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FBD7E">
      <w:pPr>
        <w:pStyle w:val="311"/>
        <w:ind w:firstLine="0"/>
        <w:rPr>
          <w:rFonts w:hint="eastAsia" w:ascii="仿宋" w:hAnsi="仿宋" w:eastAsia="仿宋" w:cs="仿宋"/>
          <w:color w:val="000000"/>
          <w:sz w:val="84"/>
          <w:highlight w:val="none"/>
        </w:rPr>
      </w:pPr>
    </w:p>
    <w:p w14:paraId="00BFBD7F">
      <w:pPr>
        <w:pStyle w:val="311"/>
        <w:ind w:firstLine="0"/>
        <w:jc w:val="center"/>
        <w:rPr>
          <w:rFonts w:hint="eastAsia" w:ascii="仿宋" w:hAnsi="仿宋" w:eastAsia="仿宋" w:cs="仿宋"/>
          <w:color w:val="000000"/>
          <w:sz w:val="84"/>
          <w:highlight w:val="none"/>
          <w:lang w:eastAsia="zh-CN"/>
        </w:rPr>
      </w:pPr>
      <w:r>
        <w:rPr>
          <w:rFonts w:hint="eastAsia" w:ascii="仿宋" w:hAnsi="仿宋" w:eastAsia="仿宋" w:cs="仿宋"/>
          <w:color w:val="000000"/>
          <w:sz w:val="84"/>
          <w:highlight w:val="none"/>
          <w:lang w:eastAsia="zh-CN"/>
        </w:rPr>
        <w:t>征集文件</w:t>
      </w:r>
    </w:p>
    <w:p w14:paraId="00BFBD80">
      <w:pPr>
        <w:pStyle w:val="311"/>
        <w:ind w:firstLine="5871"/>
        <w:rPr>
          <w:rFonts w:hint="eastAsia" w:ascii="仿宋" w:hAnsi="仿宋" w:eastAsia="仿宋" w:cs="仿宋"/>
          <w:color w:val="000000"/>
          <w:sz w:val="84"/>
          <w:highlight w:val="none"/>
          <w:lang w:eastAsia="zh-CN"/>
        </w:rPr>
      </w:pPr>
    </w:p>
    <w:p w14:paraId="00BFBD81">
      <w:pPr>
        <w:pStyle w:val="311"/>
        <w:ind w:firstLine="2236"/>
        <w:rPr>
          <w:rFonts w:hint="eastAsia" w:ascii="仿宋" w:hAnsi="仿宋" w:eastAsia="仿宋" w:cs="仿宋"/>
          <w:color w:val="000000"/>
          <w:sz w:val="32"/>
          <w:highlight w:val="none"/>
          <w:lang w:eastAsia="zh-CN"/>
        </w:rPr>
      </w:pPr>
    </w:p>
    <w:p w14:paraId="00BFBD82">
      <w:pPr>
        <w:pStyle w:val="311"/>
        <w:ind w:firstLine="0"/>
        <w:jc w:val="both"/>
        <w:rPr>
          <w:rFonts w:hint="eastAsia" w:ascii="仿宋" w:hAnsi="仿宋" w:eastAsia="仿宋" w:cs="仿宋"/>
          <w:color w:val="000000"/>
          <w:sz w:val="32"/>
          <w:highlight w:val="none"/>
          <w:lang w:eastAsia="zh-CN"/>
        </w:rPr>
      </w:pPr>
      <w:r>
        <w:rPr>
          <w:rFonts w:hint="eastAsia" w:ascii="仿宋" w:hAnsi="仿宋" w:eastAsia="仿宋" w:cs="仿宋"/>
          <w:color w:val="000000"/>
          <w:sz w:val="32"/>
          <w:highlight w:val="none"/>
          <w:lang w:eastAsia="zh-CN"/>
        </w:rPr>
        <w:t>项目名称：2026年周末公益小剧场演出活动</w:t>
      </w:r>
    </w:p>
    <w:p w14:paraId="00BFBD83">
      <w:pPr>
        <w:pStyle w:val="311"/>
        <w:ind w:firstLine="0"/>
        <w:jc w:val="both"/>
        <w:rPr>
          <w:rFonts w:hint="eastAsia" w:ascii="仿宋" w:hAnsi="仿宋" w:eastAsia="仿宋" w:cs="仿宋"/>
          <w:color w:val="000000"/>
          <w:sz w:val="32"/>
          <w:highlight w:val="none"/>
          <w:lang w:eastAsia="zh-CN"/>
        </w:rPr>
      </w:pPr>
      <w:r>
        <w:rPr>
          <w:rFonts w:hint="eastAsia" w:ascii="仿宋" w:hAnsi="仿宋" w:eastAsia="仿宋" w:cs="仿宋"/>
          <w:color w:val="000000"/>
          <w:sz w:val="32"/>
          <w:highlight w:val="none"/>
          <w:lang w:eastAsia="zh-CN"/>
        </w:rPr>
        <w:t>项目编号：NJDL-20260417001</w:t>
      </w:r>
    </w:p>
    <w:p w14:paraId="00BFBD84">
      <w:pPr>
        <w:pStyle w:val="311"/>
        <w:ind w:firstLine="0"/>
        <w:jc w:val="both"/>
        <w:rPr>
          <w:rFonts w:hint="eastAsia" w:ascii="仿宋" w:hAnsi="仿宋" w:eastAsia="仿宋" w:cs="仿宋"/>
          <w:color w:val="000000"/>
          <w:sz w:val="32"/>
          <w:highlight w:val="none"/>
          <w:lang w:eastAsia="zh-CN"/>
        </w:rPr>
      </w:pPr>
      <w:r>
        <w:rPr>
          <w:rFonts w:hint="eastAsia" w:ascii="仿宋" w:hAnsi="仿宋" w:eastAsia="仿宋" w:cs="仿宋"/>
          <w:color w:val="000000"/>
          <w:sz w:val="32"/>
          <w:highlight w:val="none"/>
          <w:lang w:eastAsia="zh-CN"/>
        </w:rPr>
        <w:t>采购方式：</w:t>
      </w:r>
      <w:r>
        <w:rPr>
          <w:rFonts w:hint="eastAsia" w:ascii="仿宋" w:hAnsi="仿宋" w:eastAsia="仿宋" w:cs="仿宋"/>
          <w:color w:val="000000"/>
          <w:sz w:val="32"/>
          <w:highlight w:val="none"/>
          <w:lang w:val="en-US" w:eastAsia="zh-CN"/>
        </w:rPr>
        <w:t>封闭式</w:t>
      </w:r>
      <w:r>
        <w:rPr>
          <w:rFonts w:hint="eastAsia" w:ascii="仿宋" w:hAnsi="仿宋" w:eastAsia="仿宋" w:cs="仿宋"/>
          <w:color w:val="000000"/>
          <w:sz w:val="32"/>
          <w:highlight w:val="none"/>
          <w:lang w:eastAsia="zh-CN"/>
        </w:rPr>
        <w:t>框架协议</w:t>
      </w:r>
    </w:p>
    <w:p w14:paraId="00BFBD86">
      <w:pPr>
        <w:pStyle w:val="311"/>
        <w:spacing w:before="0" w:after="0"/>
        <w:ind w:firstLine="0"/>
        <w:rPr>
          <w:rFonts w:hint="eastAsia" w:ascii="仿宋" w:hAnsi="仿宋" w:eastAsia="仿宋" w:cs="仿宋"/>
          <w:color w:val="000000"/>
          <w:highlight w:val="none"/>
          <w:lang w:eastAsia="zh-CN"/>
        </w:rPr>
      </w:pPr>
    </w:p>
    <w:p w14:paraId="14B75FB8">
      <w:pPr>
        <w:pStyle w:val="311"/>
        <w:spacing w:before="0" w:after="0"/>
        <w:ind w:firstLine="0"/>
        <w:rPr>
          <w:rFonts w:hint="eastAsia" w:ascii="仿宋" w:hAnsi="仿宋" w:eastAsia="仿宋" w:cs="仿宋"/>
          <w:color w:val="000000"/>
          <w:highlight w:val="none"/>
          <w:lang w:eastAsia="zh-CN"/>
        </w:rPr>
      </w:pPr>
    </w:p>
    <w:p w14:paraId="00BFBD87">
      <w:pPr>
        <w:pStyle w:val="311"/>
        <w:spacing w:before="0" w:after="0"/>
        <w:ind w:firstLine="0"/>
        <w:rPr>
          <w:rFonts w:hint="eastAsia" w:ascii="仿宋" w:hAnsi="仿宋" w:eastAsia="仿宋" w:cs="仿宋"/>
          <w:color w:val="000000"/>
          <w:highlight w:val="none"/>
          <w:lang w:eastAsia="zh-CN"/>
        </w:rPr>
      </w:pPr>
    </w:p>
    <w:p w14:paraId="00BFBD88">
      <w:pPr>
        <w:pStyle w:val="311"/>
        <w:spacing w:before="0" w:after="0"/>
        <w:ind w:firstLine="0"/>
        <w:rPr>
          <w:rFonts w:hint="eastAsia" w:ascii="仿宋" w:hAnsi="仿宋" w:eastAsia="仿宋" w:cs="仿宋"/>
          <w:color w:val="000000"/>
          <w:highlight w:val="none"/>
          <w:lang w:eastAsia="zh-CN"/>
        </w:rPr>
      </w:pPr>
    </w:p>
    <w:p w14:paraId="00BFBD89">
      <w:pPr>
        <w:pStyle w:val="311"/>
        <w:spacing w:before="0" w:after="0"/>
        <w:ind w:firstLine="0"/>
        <w:rPr>
          <w:rFonts w:hint="eastAsia" w:ascii="仿宋" w:hAnsi="仿宋" w:eastAsia="仿宋" w:cs="仿宋"/>
          <w:color w:val="000000"/>
          <w:highlight w:val="none"/>
          <w:lang w:eastAsia="zh-CN"/>
        </w:rPr>
      </w:pPr>
    </w:p>
    <w:p w14:paraId="00BFBD8A">
      <w:pPr>
        <w:pStyle w:val="311"/>
        <w:ind w:firstLine="0"/>
        <w:jc w:val="center"/>
        <w:rPr>
          <w:rFonts w:hint="eastAsia" w:ascii="仿宋" w:hAnsi="仿宋" w:eastAsia="仿宋" w:cs="仿宋"/>
          <w:color w:val="000000"/>
          <w:sz w:val="32"/>
          <w:highlight w:val="none"/>
          <w:lang w:eastAsia="zh-CN"/>
        </w:rPr>
      </w:pPr>
      <w:r>
        <w:rPr>
          <w:rFonts w:hint="eastAsia" w:ascii="仿宋" w:hAnsi="仿宋" w:eastAsia="仿宋" w:cs="仿宋"/>
          <w:color w:val="000000"/>
          <w:sz w:val="32"/>
          <w:highlight w:val="none"/>
          <w:lang w:eastAsia="zh-CN"/>
        </w:rPr>
        <w:t>南京市江宁区文化和旅游局</w:t>
      </w:r>
    </w:p>
    <w:p w14:paraId="00BFBD8B">
      <w:pPr>
        <w:pStyle w:val="311"/>
        <w:ind w:firstLine="0"/>
        <w:jc w:val="center"/>
        <w:rPr>
          <w:rFonts w:hint="eastAsia" w:ascii="仿宋" w:hAnsi="仿宋" w:eastAsia="仿宋" w:cs="仿宋"/>
          <w:color w:val="000000"/>
          <w:sz w:val="32"/>
          <w:highlight w:val="none"/>
          <w:lang w:eastAsia="zh-CN"/>
        </w:rPr>
      </w:pPr>
      <w:r>
        <w:rPr>
          <w:rFonts w:hint="eastAsia" w:ascii="仿宋" w:hAnsi="仿宋" w:eastAsia="仿宋" w:cs="仿宋"/>
          <w:color w:val="000000"/>
          <w:sz w:val="32"/>
          <w:highlight w:val="none"/>
          <w:lang w:eastAsia="zh-CN"/>
        </w:rPr>
        <w:t>202</w:t>
      </w:r>
      <w:r>
        <w:rPr>
          <w:rFonts w:hint="eastAsia" w:ascii="仿宋" w:hAnsi="仿宋" w:eastAsia="仿宋" w:cs="仿宋"/>
          <w:color w:val="000000"/>
          <w:sz w:val="32"/>
          <w:highlight w:val="none"/>
          <w:lang w:val="en-US" w:eastAsia="zh-CN"/>
        </w:rPr>
        <w:t>6</w:t>
      </w:r>
      <w:r>
        <w:rPr>
          <w:rFonts w:hint="eastAsia" w:ascii="仿宋" w:hAnsi="仿宋" w:eastAsia="仿宋" w:cs="仿宋"/>
          <w:color w:val="000000"/>
          <w:sz w:val="32"/>
          <w:highlight w:val="none"/>
          <w:lang w:eastAsia="zh-CN"/>
        </w:rPr>
        <w:t xml:space="preserve">年 </w:t>
      </w:r>
      <w:r>
        <w:rPr>
          <w:rFonts w:hint="eastAsia" w:ascii="仿宋" w:hAnsi="仿宋" w:eastAsia="仿宋" w:cs="仿宋"/>
          <w:color w:val="000000"/>
          <w:sz w:val="32"/>
          <w:highlight w:val="none"/>
          <w:lang w:val="en-US" w:eastAsia="zh-CN"/>
        </w:rPr>
        <w:t>4</w:t>
      </w:r>
      <w:r>
        <w:rPr>
          <w:rFonts w:hint="eastAsia" w:ascii="仿宋" w:hAnsi="仿宋" w:eastAsia="仿宋" w:cs="仿宋"/>
          <w:color w:val="000000"/>
          <w:sz w:val="32"/>
          <w:highlight w:val="none"/>
          <w:lang w:eastAsia="zh-CN"/>
        </w:rPr>
        <w:t xml:space="preserve"> 月</w:t>
      </w:r>
    </w:p>
    <w:p w14:paraId="00BFBD8C">
      <w:pPr>
        <w:spacing w:line="480" w:lineRule="auto"/>
        <w:jc w:val="center"/>
        <w:outlineLvl w:val="0"/>
        <w:rPr>
          <w:rFonts w:hint="eastAsia" w:ascii="仿宋" w:hAnsi="仿宋" w:eastAsia="仿宋" w:cs="仿宋"/>
          <w:color w:val="000000"/>
          <w:sz w:val="44"/>
          <w:highlight w:val="none"/>
        </w:rPr>
        <w:sectPr>
          <w:footerReference r:id="rId6" w:type="first"/>
          <w:headerReference r:id="rId3" w:type="default"/>
          <w:footerReference r:id="rId4" w:type="default"/>
          <w:footerReference r:id="rId5" w:type="even"/>
          <w:pgSz w:w="11906" w:h="16838"/>
          <w:pgMar w:top="1418" w:right="1588" w:bottom="1418" w:left="1365" w:header="851" w:footer="907" w:gutter="0"/>
          <w:pgNumType w:fmt="decimal"/>
          <w:cols w:space="720" w:num="1"/>
          <w:titlePg/>
          <w:docGrid w:linePitch="360" w:charSpace="0"/>
        </w:sectPr>
      </w:pPr>
      <w:bookmarkStart w:id="0" w:name="_Toc27276"/>
      <w:bookmarkStart w:id="1" w:name="_Toc120614210"/>
      <w:bookmarkStart w:id="2" w:name="_Toc513029200"/>
      <w:bookmarkStart w:id="3" w:name="_Toc16938516"/>
      <w:bookmarkStart w:id="4" w:name="_Toc479757206"/>
      <w:bookmarkStart w:id="5" w:name="_Toc523127445"/>
      <w:bookmarkStart w:id="6" w:name="_Toc20823272"/>
    </w:p>
    <w:p w14:paraId="00BFBD8D">
      <w:pPr>
        <w:spacing w:line="480" w:lineRule="auto"/>
        <w:jc w:val="center"/>
        <w:outlineLvl w:val="0"/>
        <w:rPr>
          <w:rFonts w:hint="eastAsia" w:ascii="仿宋" w:hAnsi="仿宋" w:eastAsia="仿宋" w:cs="仿宋"/>
          <w:color w:val="000000"/>
          <w:sz w:val="44"/>
          <w:highlight w:val="none"/>
        </w:rPr>
      </w:pPr>
      <w:r>
        <w:rPr>
          <w:rFonts w:hint="eastAsia" w:ascii="仿宋" w:hAnsi="仿宋" w:eastAsia="仿宋" w:cs="仿宋"/>
          <w:color w:val="000000"/>
          <w:sz w:val="44"/>
          <w:highlight w:val="none"/>
        </w:rPr>
        <w:t>总  目  录</w:t>
      </w:r>
      <w:bookmarkEnd w:id="0"/>
    </w:p>
    <w:sdt>
      <w:sdtPr>
        <w:rPr>
          <w:rFonts w:ascii="宋体" w:hAnsi="宋体"/>
          <w:highlight w:val="none"/>
        </w:rPr>
        <w:id w:val="147461833"/>
        <w15:color w:val="DBDBDB"/>
        <w:docPartObj>
          <w:docPartGallery w:val="Table of Contents"/>
          <w:docPartUnique/>
        </w:docPartObj>
      </w:sdtPr>
      <w:sdtEndPr>
        <w:rPr>
          <w:rFonts w:hint="eastAsia" w:ascii="仿宋" w:hAnsi="仿宋" w:eastAsia="仿宋" w:cs="仿宋"/>
          <w:color w:val="000000"/>
          <w:highlight w:val="none"/>
        </w:rPr>
      </w:sdtEndPr>
      <w:sdtContent>
        <w:p w14:paraId="00BFBD8E">
          <w:pPr>
            <w:jc w:val="center"/>
            <w:rPr>
              <w:highlight w:val="none"/>
            </w:rPr>
          </w:pPr>
        </w:p>
        <w:p w14:paraId="00BFBD8F">
          <w:pPr>
            <w:pStyle w:val="350"/>
            <w:tabs>
              <w:tab w:val="right" w:leader="dot" w:pos="8953"/>
            </w:tabs>
            <w:rPr>
              <w:highlight w:val="none"/>
            </w:rPr>
          </w:pPr>
          <w:r>
            <w:rPr>
              <w:rFonts w:hint="eastAsia" w:ascii="仿宋" w:hAnsi="仿宋" w:eastAsia="仿宋" w:cs="仿宋"/>
              <w:color w:val="000000"/>
              <w:sz w:val="28"/>
              <w:highlight w:val="none"/>
            </w:rPr>
            <w:fldChar w:fldCharType="begin"/>
          </w:r>
          <w:r>
            <w:rPr>
              <w:rFonts w:hint="eastAsia" w:ascii="仿宋" w:hAnsi="仿宋" w:eastAsia="仿宋" w:cs="仿宋"/>
              <w:color w:val="000000"/>
              <w:sz w:val="28"/>
              <w:highlight w:val="none"/>
            </w:rPr>
            <w:instrText xml:space="preserve">TOC \o "1-1" \h \u </w:instrText>
          </w:r>
          <w:r>
            <w:rPr>
              <w:rFonts w:hint="eastAsia" w:ascii="仿宋" w:hAnsi="仿宋" w:eastAsia="仿宋" w:cs="仿宋"/>
              <w:color w:val="000000"/>
              <w:sz w:val="28"/>
              <w:highlight w:val="none"/>
            </w:rPr>
            <w:fldChar w:fldCharType="separate"/>
          </w:r>
        </w:p>
        <w:p w14:paraId="00BFBD90">
          <w:pPr>
            <w:pStyle w:val="350"/>
            <w:tabs>
              <w:tab w:val="right" w:leader="dot" w:pos="8953"/>
            </w:tabs>
            <w:spacing w:line="360" w:lineRule="auto"/>
            <w:rPr>
              <w:sz w:val="32"/>
              <w:szCs w:val="32"/>
              <w:highlight w:val="none"/>
            </w:rPr>
          </w:pPr>
          <w:r>
            <w:rPr>
              <w:highlight w:val="none"/>
            </w:rPr>
            <w:fldChar w:fldCharType="begin"/>
          </w:r>
          <w:r>
            <w:rPr>
              <w:highlight w:val="none"/>
            </w:rPr>
            <w:instrText xml:space="preserve"> HYPERLINK \l "_Toc27842" </w:instrText>
          </w:r>
          <w:r>
            <w:rPr>
              <w:highlight w:val="none"/>
            </w:rPr>
            <w:fldChar w:fldCharType="separate"/>
          </w:r>
          <w:r>
            <w:rPr>
              <w:rFonts w:hint="eastAsia" w:ascii="黑体" w:hAnsi="黑体" w:eastAsia="黑体" w:cs="黑体"/>
              <w:sz w:val="32"/>
              <w:szCs w:val="72"/>
              <w:highlight w:val="none"/>
            </w:rPr>
            <w:t>第一章  参加征集活动的邀请</w:t>
          </w:r>
          <w:r>
            <w:rPr>
              <w:sz w:val="32"/>
              <w:szCs w:val="32"/>
              <w:highlight w:val="none"/>
            </w:rPr>
            <w:tab/>
          </w:r>
          <w:r>
            <w:rPr>
              <w:sz w:val="32"/>
              <w:szCs w:val="32"/>
              <w:highlight w:val="none"/>
            </w:rPr>
            <w:fldChar w:fldCharType="begin"/>
          </w:r>
          <w:r>
            <w:rPr>
              <w:sz w:val="32"/>
              <w:szCs w:val="32"/>
              <w:highlight w:val="none"/>
            </w:rPr>
            <w:instrText xml:space="preserve"> PAGEREF _Toc27842 \h </w:instrText>
          </w:r>
          <w:r>
            <w:rPr>
              <w:sz w:val="32"/>
              <w:szCs w:val="32"/>
              <w:highlight w:val="none"/>
            </w:rPr>
            <w:fldChar w:fldCharType="separate"/>
          </w:r>
          <w:r>
            <w:rPr>
              <w:sz w:val="32"/>
              <w:szCs w:val="32"/>
              <w:highlight w:val="none"/>
            </w:rPr>
            <w:t>2</w:t>
          </w:r>
          <w:r>
            <w:rPr>
              <w:sz w:val="32"/>
              <w:szCs w:val="32"/>
              <w:highlight w:val="none"/>
            </w:rPr>
            <w:fldChar w:fldCharType="end"/>
          </w:r>
          <w:r>
            <w:rPr>
              <w:sz w:val="32"/>
              <w:szCs w:val="32"/>
              <w:highlight w:val="none"/>
            </w:rPr>
            <w:fldChar w:fldCharType="end"/>
          </w:r>
        </w:p>
        <w:p w14:paraId="00BFBD91">
          <w:pPr>
            <w:pStyle w:val="350"/>
            <w:tabs>
              <w:tab w:val="right" w:leader="dot" w:pos="8953"/>
            </w:tabs>
            <w:spacing w:line="360" w:lineRule="auto"/>
            <w:rPr>
              <w:rFonts w:hint="eastAsia" w:ascii="黑体" w:hAnsi="黑体" w:eastAsia="黑体" w:cs="黑体"/>
              <w:sz w:val="32"/>
              <w:szCs w:val="72"/>
              <w:highlight w:val="none"/>
            </w:rPr>
          </w:pPr>
          <w:r>
            <w:rPr>
              <w:highlight w:val="none"/>
            </w:rPr>
            <w:fldChar w:fldCharType="begin"/>
          </w:r>
          <w:r>
            <w:rPr>
              <w:highlight w:val="none"/>
            </w:rPr>
            <w:instrText xml:space="preserve"> HYPERLINK \l "_Toc19603" </w:instrText>
          </w:r>
          <w:r>
            <w:rPr>
              <w:highlight w:val="none"/>
            </w:rPr>
            <w:fldChar w:fldCharType="separate"/>
          </w:r>
          <w:r>
            <w:rPr>
              <w:rFonts w:hint="eastAsia" w:ascii="黑体" w:hAnsi="黑体" w:eastAsia="黑体" w:cs="黑体"/>
              <w:sz w:val="32"/>
              <w:szCs w:val="72"/>
              <w:highlight w:val="none"/>
            </w:rPr>
            <w:t>第二章  供应商须知</w:t>
          </w:r>
          <w:r>
            <w:rPr>
              <w:rFonts w:hint="eastAsia" w:ascii="黑体" w:hAnsi="黑体" w:eastAsia="黑体" w:cs="黑体"/>
              <w:sz w:val="32"/>
              <w:szCs w:val="72"/>
              <w:highlight w:val="none"/>
            </w:rPr>
            <w:tab/>
          </w:r>
          <w:r>
            <w:rPr>
              <w:rFonts w:hint="eastAsia" w:ascii="黑体" w:hAnsi="黑体" w:eastAsia="黑体" w:cs="黑体"/>
              <w:sz w:val="32"/>
              <w:szCs w:val="72"/>
              <w:highlight w:val="none"/>
            </w:rPr>
            <w:fldChar w:fldCharType="begin"/>
          </w:r>
          <w:r>
            <w:rPr>
              <w:rFonts w:hint="eastAsia" w:ascii="黑体" w:hAnsi="黑体" w:eastAsia="黑体" w:cs="黑体"/>
              <w:sz w:val="32"/>
              <w:szCs w:val="72"/>
              <w:highlight w:val="none"/>
            </w:rPr>
            <w:instrText xml:space="preserve"> PAGEREF _Toc19603 \h </w:instrText>
          </w:r>
          <w:r>
            <w:rPr>
              <w:rFonts w:hint="eastAsia" w:ascii="黑体" w:hAnsi="黑体" w:eastAsia="黑体" w:cs="黑体"/>
              <w:sz w:val="32"/>
              <w:szCs w:val="72"/>
              <w:highlight w:val="none"/>
            </w:rPr>
            <w:fldChar w:fldCharType="separate"/>
          </w:r>
          <w:r>
            <w:rPr>
              <w:rFonts w:hint="eastAsia" w:ascii="黑体" w:hAnsi="黑体" w:eastAsia="黑体" w:cs="黑体"/>
              <w:sz w:val="32"/>
              <w:szCs w:val="72"/>
              <w:highlight w:val="none"/>
            </w:rPr>
            <w:t>4</w:t>
          </w:r>
          <w:r>
            <w:rPr>
              <w:rFonts w:hint="eastAsia" w:ascii="黑体" w:hAnsi="黑体" w:eastAsia="黑体" w:cs="黑体"/>
              <w:sz w:val="32"/>
              <w:szCs w:val="72"/>
              <w:highlight w:val="none"/>
            </w:rPr>
            <w:fldChar w:fldCharType="end"/>
          </w:r>
          <w:r>
            <w:rPr>
              <w:rFonts w:hint="eastAsia" w:ascii="黑体" w:hAnsi="黑体" w:eastAsia="黑体" w:cs="黑体"/>
              <w:sz w:val="32"/>
              <w:szCs w:val="72"/>
              <w:highlight w:val="none"/>
            </w:rPr>
            <w:fldChar w:fldCharType="end"/>
          </w:r>
        </w:p>
        <w:p w14:paraId="00BFBD92">
          <w:pPr>
            <w:pStyle w:val="350"/>
            <w:tabs>
              <w:tab w:val="right" w:leader="dot" w:pos="8953"/>
            </w:tabs>
            <w:spacing w:line="360" w:lineRule="auto"/>
            <w:rPr>
              <w:rFonts w:hint="eastAsia" w:ascii="黑体" w:hAnsi="黑体" w:eastAsia="黑体" w:cs="黑体"/>
              <w:sz w:val="32"/>
              <w:szCs w:val="72"/>
              <w:highlight w:val="none"/>
            </w:rPr>
          </w:pPr>
          <w:r>
            <w:rPr>
              <w:highlight w:val="none"/>
            </w:rPr>
            <w:fldChar w:fldCharType="begin"/>
          </w:r>
          <w:r>
            <w:rPr>
              <w:highlight w:val="none"/>
            </w:rPr>
            <w:instrText xml:space="preserve"> HYPERLINK \l "_Toc20277" </w:instrText>
          </w:r>
          <w:r>
            <w:rPr>
              <w:highlight w:val="none"/>
            </w:rPr>
            <w:fldChar w:fldCharType="separate"/>
          </w:r>
          <w:r>
            <w:rPr>
              <w:rFonts w:hint="eastAsia" w:ascii="黑体" w:hAnsi="黑体" w:eastAsia="黑体" w:cs="黑体"/>
              <w:sz w:val="32"/>
              <w:szCs w:val="72"/>
              <w:highlight w:val="none"/>
            </w:rPr>
            <w:t>第三章  协议文本</w:t>
          </w:r>
          <w:r>
            <w:rPr>
              <w:rFonts w:hint="eastAsia" w:ascii="黑体" w:hAnsi="黑体" w:eastAsia="黑体" w:cs="黑体"/>
              <w:sz w:val="32"/>
              <w:szCs w:val="72"/>
              <w:highlight w:val="none"/>
            </w:rPr>
            <w:tab/>
          </w:r>
          <w:r>
            <w:rPr>
              <w:rFonts w:hint="eastAsia" w:ascii="黑体" w:hAnsi="黑体" w:eastAsia="黑体" w:cs="黑体"/>
              <w:sz w:val="32"/>
              <w:szCs w:val="72"/>
              <w:highlight w:val="none"/>
            </w:rPr>
            <w:fldChar w:fldCharType="begin"/>
          </w:r>
          <w:r>
            <w:rPr>
              <w:rFonts w:hint="eastAsia" w:ascii="黑体" w:hAnsi="黑体" w:eastAsia="黑体" w:cs="黑体"/>
              <w:sz w:val="32"/>
              <w:szCs w:val="72"/>
              <w:highlight w:val="none"/>
            </w:rPr>
            <w:instrText xml:space="preserve"> PAGEREF _Toc20277 \h </w:instrText>
          </w:r>
          <w:r>
            <w:rPr>
              <w:rFonts w:hint="eastAsia" w:ascii="黑体" w:hAnsi="黑体" w:eastAsia="黑体" w:cs="黑体"/>
              <w:sz w:val="32"/>
              <w:szCs w:val="72"/>
              <w:highlight w:val="none"/>
            </w:rPr>
            <w:fldChar w:fldCharType="separate"/>
          </w:r>
          <w:r>
            <w:rPr>
              <w:rFonts w:hint="eastAsia" w:ascii="黑体" w:hAnsi="黑体" w:eastAsia="黑体" w:cs="黑体"/>
              <w:sz w:val="32"/>
              <w:szCs w:val="72"/>
              <w:highlight w:val="none"/>
            </w:rPr>
            <w:t>10</w:t>
          </w:r>
          <w:r>
            <w:rPr>
              <w:rFonts w:hint="eastAsia" w:ascii="黑体" w:hAnsi="黑体" w:eastAsia="黑体" w:cs="黑体"/>
              <w:sz w:val="32"/>
              <w:szCs w:val="72"/>
              <w:highlight w:val="none"/>
            </w:rPr>
            <w:fldChar w:fldCharType="end"/>
          </w:r>
          <w:r>
            <w:rPr>
              <w:rFonts w:hint="eastAsia" w:ascii="黑体" w:hAnsi="黑体" w:eastAsia="黑体" w:cs="黑体"/>
              <w:sz w:val="32"/>
              <w:szCs w:val="72"/>
              <w:highlight w:val="none"/>
            </w:rPr>
            <w:fldChar w:fldCharType="end"/>
          </w:r>
        </w:p>
        <w:p w14:paraId="00BFBD93">
          <w:pPr>
            <w:pStyle w:val="350"/>
            <w:tabs>
              <w:tab w:val="right" w:leader="dot" w:pos="8953"/>
            </w:tabs>
            <w:spacing w:line="360" w:lineRule="auto"/>
            <w:rPr>
              <w:rFonts w:hint="eastAsia" w:ascii="黑体" w:hAnsi="黑体" w:eastAsia="黑体" w:cs="黑体"/>
              <w:sz w:val="32"/>
              <w:szCs w:val="72"/>
              <w:highlight w:val="none"/>
            </w:rPr>
          </w:pPr>
          <w:r>
            <w:rPr>
              <w:highlight w:val="none"/>
            </w:rPr>
            <w:fldChar w:fldCharType="begin"/>
          </w:r>
          <w:r>
            <w:rPr>
              <w:highlight w:val="none"/>
            </w:rPr>
            <w:instrText xml:space="preserve"> HYPERLINK \l "_Toc23665" </w:instrText>
          </w:r>
          <w:r>
            <w:rPr>
              <w:highlight w:val="none"/>
            </w:rPr>
            <w:fldChar w:fldCharType="separate"/>
          </w:r>
          <w:r>
            <w:rPr>
              <w:rFonts w:hint="eastAsia" w:ascii="黑体" w:hAnsi="黑体" w:eastAsia="黑体" w:cs="黑体"/>
              <w:sz w:val="32"/>
              <w:szCs w:val="72"/>
              <w:highlight w:val="none"/>
            </w:rPr>
            <w:t>第四章  采购需求</w:t>
          </w:r>
          <w:r>
            <w:rPr>
              <w:rFonts w:hint="eastAsia" w:ascii="黑体" w:hAnsi="黑体" w:eastAsia="黑体" w:cs="黑体"/>
              <w:sz w:val="32"/>
              <w:szCs w:val="72"/>
              <w:highlight w:val="none"/>
            </w:rPr>
            <w:tab/>
          </w:r>
          <w:r>
            <w:rPr>
              <w:rFonts w:hint="eastAsia" w:ascii="黑体" w:hAnsi="黑体" w:eastAsia="黑体" w:cs="黑体"/>
              <w:sz w:val="32"/>
              <w:szCs w:val="72"/>
              <w:highlight w:val="none"/>
            </w:rPr>
            <w:fldChar w:fldCharType="begin"/>
          </w:r>
          <w:r>
            <w:rPr>
              <w:rFonts w:hint="eastAsia" w:ascii="黑体" w:hAnsi="黑体" w:eastAsia="黑体" w:cs="黑体"/>
              <w:sz w:val="32"/>
              <w:szCs w:val="72"/>
              <w:highlight w:val="none"/>
            </w:rPr>
            <w:instrText xml:space="preserve"> PAGEREF _Toc23665 \h </w:instrText>
          </w:r>
          <w:r>
            <w:rPr>
              <w:rFonts w:hint="eastAsia" w:ascii="黑体" w:hAnsi="黑体" w:eastAsia="黑体" w:cs="黑体"/>
              <w:sz w:val="32"/>
              <w:szCs w:val="72"/>
              <w:highlight w:val="none"/>
            </w:rPr>
            <w:fldChar w:fldCharType="separate"/>
          </w:r>
          <w:r>
            <w:rPr>
              <w:rFonts w:hint="eastAsia" w:ascii="黑体" w:hAnsi="黑体" w:eastAsia="黑体" w:cs="黑体"/>
              <w:sz w:val="32"/>
              <w:szCs w:val="72"/>
              <w:highlight w:val="none"/>
            </w:rPr>
            <w:t>16</w:t>
          </w:r>
          <w:r>
            <w:rPr>
              <w:rFonts w:hint="eastAsia" w:ascii="黑体" w:hAnsi="黑体" w:eastAsia="黑体" w:cs="黑体"/>
              <w:sz w:val="32"/>
              <w:szCs w:val="72"/>
              <w:highlight w:val="none"/>
            </w:rPr>
            <w:fldChar w:fldCharType="end"/>
          </w:r>
          <w:r>
            <w:rPr>
              <w:rFonts w:hint="eastAsia" w:ascii="黑体" w:hAnsi="黑体" w:eastAsia="黑体" w:cs="黑体"/>
              <w:sz w:val="32"/>
              <w:szCs w:val="72"/>
              <w:highlight w:val="none"/>
            </w:rPr>
            <w:fldChar w:fldCharType="end"/>
          </w:r>
        </w:p>
        <w:p w14:paraId="00BFBD94">
          <w:pPr>
            <w:pStyle w:val="350"/>
            <w:tabs>
              <w:tab w:val="right" w:leader="dot" w:pos="8953"/>
            </w:tabs>
            <w:spacing w:line="360" w:lineRule="auto"/>
            <w:rPr>
              <w:rFonts w:hint="eastAsia" w:ascii="黑体" w:hAnsi="黑体" w:eastAsia="黑体" w:cs="黑体"/>
              <w:sz w:val="32"/>
              <w:szCs w:val="72"/>
              <w:highlight w:val="none"/>
            </w:rPr>
          </w:pPr>
          <w:r>
            <w:rPr>
              <w:highlight w:val="none"/>
            </w:rPr>
            <w:fldChar w:fldCharType="begin"/>
          </w:r>
          <w:r>
            <w:rPr>
              <w:highlight w:val="none"/>
            </w:rPr>
            <w:instrText xml:space="preserve"> HYPERLINK \l "_Toc30785" </w:instrText>
          </w:r>
          <w:r>
            <w:rPr>
              <w:highlight w:val="none"/>
            </w:rPr>
            <w:fldChar w:fldCharType="separate"/>
          </w:r>
          <w:r>
            <w:rPr>
              <w:rFonts w:hint="eastAsia" w:ascii="黑体" w:hAnsi="黑体" w:eastAsia="黑体" w:cs="黑体"/>
              <w:sz w:val="32"/>
              <w:szCs w:val="72"/>
              <w:highlight w:val="none"/>
            </w:rPr>
            <w:t>第五章  确定入围及成交供应商</w:t>
          </w:r>
          <w:r>
            <w:rPr>
              <w:rFonts w:hint="eastAsia" w:ascii="黑体" w:hAnsi="黑体" w:eastAsia="黑体" w:cs="黑体"/>
              <w:sz w:val="32"/>
              <w:szCs w:val="72"/>
              <w:highlight w:val="none"/>
            </w:rPr>
            <w:tab/>
          </w:r>
          <w:r>
            <w:rPr>
              <w:rFonts w:hint="eastAsia" w:ascii="黑体" w:hAnsi="黑体" w:eastAsia="黑体" w:cs="黑体"/>
              <w:sz w:val="32"/>
              <w:szCs w:val="72"/>
              <w:highlight w:val="none"/>
            </w:rPr>
            <w:fldChar w:fldCharType="begin"/>
          </w:r>
          <w:r>
            <w:rPr>
              <w:rFonts w:hint="eastAsia" w:ascii="黑体" w:hAnsi="黑体" w:eastAsia="黑体" w:cs="黑体"/>
              <w:sz w:val="32"/>
              <w:szCs w:val="72"/>
              <w:highlight w:val="none"/>
            </w:rPr>
            <w:instrText xml:space="preserve"> PAGEREF _Toc30785 \h </w:instrText>
          </w:r>
          <w:r>
            <w:rPr>
              <w:rFonts w:hint="eastAsia" w:ascii="黑体" w:hAnsi="黑体" w:eastAsia="黑体" w:cs="黑体"/>
              <w:sz w:val="32"/>
              <w:szCs w:val="72"/>
              <w:highlight w:val="none"/>
            </w:rPr>
            <w:fldChar w:fldCharType="separate"/>
          </w:r>
          <w:r>
            <w:rPr>
              <w:rFonts w:hint="eastAsia" w:ascii="黑体" w:hAnsi="黑体" w:eastAsia="黑体" w:cs="黑体"/>
              <w:sz w:val="32"/>
              <w:szCs w:val="72"/>
              <w:highlight w:val="none"/>
            </w:rPr>
            <w:t>18</w:t>
          </w:r>
          <w:r>
            <w:rPr>
              <w:rFonts w:hint="eastAsia" w:ascii="黑体" w:hAnsi="黑体" w:eastAsia="黑体" w:cs="黑体"/>
              <w:sz w:val="32"/>
              <w:szCs w:val="72"/>
              <w:highlight w:val="none"/>
            </w:rPr>
            <w:fldChar w:fldCharType="end"/>
          </w:r>
          <w:r>
            <w:rPr>
              <w:rFonts w:hint="eastAsia" w:ascii="黑体" w:hAnsi="黑体" w:eastAsia="黑体" w:cs="黑体"/>
              <w:sz w:val="32"/>
              <w:szCs w:val="72"/>
              <w:highlight w:val="none"/>
            </w:rPr>
            <w:fldChar w:fldCharType="end"/>
          </w:r>
        </w:p>
        <w:p w14:paraId="00BFBD95">
          <w:pPr>
            <w:pStyle w:val="350"/>
            <w:tabs>
              <w:tab w:val="right" w:leader="dot" w:pos="8953"/>
            </w:tabs>
            <w:spacing w:line="360" w:lineRule="auto"/>
            <w:rPr>
              <w:sz w:val="32"/>
              <w:szCs w:val="32"/>
              <w:highlight w:val="none"/>
            </w:rPr>
          </w:pPr>
          <w:r>
            <w:rPr>
              <w:highlight w:val="none"/>
            </w:rPr>
            <w:fldChar w:fldCharType="begin"/>
          </w:r>
          <w:r>
            <w:rPr>
              <w:highlight w:val="none"/>
            </w:rPr>
            <w:instrText xml:space="preserve"> HYPERLINK \l "_Toc4470" </w:instrText>
          </w:r>
          <w:r>
            <w:rPr>
              <w:highlight w:val="none"/>
            </w:rPr>
            <w:fldChar w:fldCharType="separate"/>
          </w:r>
          <w:r>
            <w:rPr>
              <w:rFonts w:hint="eastAsia" w:ascii="黑体" w:hAnsi="黑体" w:eastAsia="黑体" w:cs="黑体"/>
              <w:sz w:val="32"/>
              <w:szCs w:val="72"/>
              <w:highlight w:val="none"/>
            </w:rPr>
            <w:t>第六章  响应文件格式</w:t>
          </w:r>
          <w:r>
            <w:rPr>
              <w:rFonts w:hint="eastAsia" w:ascii="黑体" w:hAnsi="黑体" w:eastAsia="黑体" w:cs="黑体"/>
              <w:sz w:val="32"/>
              <w:szCs w:val="72"/>
              <w:highlight w:val="none"/>
            </w:rPr>
            <w:tab/>
          </w:r>
          <w:r>
            <w:rPr>
              <w:rFonts w:hint="eastAsia" w:ascii="黑体" w:hAnsi="黑体" w:eastAsia="黑体" w:cs="黑体"/>
              <w:sz w:val="32"/>
              <w:szCs w:val="72"/>
              <w:highlight w:val="none"/>
            </w:rPr>
            <w:fldChar w:fldCharType="begin"/>
          </w:r>
          <w:r>
            <w:rPr>
              <w:rFonts w:hint="eastAsia" w:ascii="黑体" w:hAnsi="黑体" w:eastAsia="黑体" w:cs="黑体"/>
              <w:sz w:val="32"/>
              <w:szCs w:val="72"/>
              <w:highlight w:val="none"/>
            </w:rPr>
            <w:instrText xml:space="preserve"> PAGEREF _Toc4470 \h </w:instrText>
          </w:r>
          <w:r>
            <w:rPr>
              <w:rFonts w:hint="eastAsia" w:ascii="黑体" w:hAnsi="黑体" w:eastAsia="黑体" w:cs="黑体"/>
              <w:sz w:val="32"/>
              <w:szCs w:val="72"/>
              <w:highlight w:val="none"/>
            </w:rPr>
            <w:fldChar w:fldCharType="separate"/>
          </w:r>
          <w:r>
            <w:rPr>
              <w:rFonts w:hint="eastAsia" w:ascii="黑体" w:hAnsi="黑体" w:eastAsia="黑体" w:cs="黑体"/>
              <w:sz w:val="32"/>
              <w:szCs w:val="72"/>
              <w:highlight w:val="none"/>
            </w:rPr>
            <w:t>20</w:t>
          </w:r>
          <w:r>
            <w:rPr>
              <w:rFonts w:hint="eastAsia" w:ascii="黑体" w:hAnsi="黑体" w:eastAsia="黑体" w:cs="黑体"/>
              <w:sz w:val="32"/>
              <w:szCs w:val="72"/>
              <w:highlight w:val="none"/>
            </w:rPr>
            <w:fldChar w:fldCharType="end"/>
          </w:r>
          <w:r>
            <w:rPr>
              <w:rFonts w:hint="eastAsia" w:ascii="黑体" w:hAnsi="黑体" w:eastAsia="黑体" w:cs="黑体"/>
              <w:sz w:val="32"/>
              <w:szCs w:val="72"/>
              <w:highlight w:val="none"/>
            </w:rPr>
            <w:fldChar w:fldCharType="end"/>
          </w:r>
        </w:p>
        <w:p w14:paraId="00BFBD96">
          <w:pPr>
            <w:spacing w:line="480" w:lineRule="auto"/>
            <w:rPr>
              <w:rFonts w:hint="eastAsia" w:ascii="仿宋" w:hAnsi="仿宋" w:eastAsia="仿宋" w:cs="仿宋"/>
              <w:color w:val="000000"/>
              <w:highlight w:val="none"/>
            </w:rPr>
          </w:pPr>
          <w:r>
            <w:rPr>
              <w:rFonts w:hint="eastAsia" w:ascii="仿宋" w:hAnsi="仿宋" w:eastAsia="仿宋" w:cs="仿宋"/>
              <w:color w:val="000000"/>
              <w:highlight w:val="none"/>
            </w:rPr>
            <w:fldChar w:fldCharType="end"/>
          </w:r>
        </w:p>
      </w:sdtContent>
    </w:sdt>
    <w:p w14:paraId="00BFBD97">
      <w:pPr>
        <w:pStyle w:val="14"/>
        <w:rPr>
          <w:highlight w:val="none"/>
        </w:rPr>
      </w:pPr>
    </w:p>
    <w:p w14:paraId="00BFBD98">
      <w:pPr>
        <w:rPr>
          <w:rFonts w:hint="eastAsia" w:ascii="仿宋" w:hAnsi="仿宋" w:eastAsia="仿宋" w:cs="仿宋"/>
          <w:color w:val="000000"/>
          <w:highlight w:val="none"/>
        </w:rPr>
      </w:pPr>
    </w:p>
    <w:p w14:paraId="00BFBD99">
      <w:pPr>
        <w:rPr>
          <w:rFonts w:hint="eastAsia" w:ascii="仿宋" w:hAnsi="仿宋" w:eastAsia="仿宋" w:cs="仿宋"/>
          <w:color w:val="000000"/>
          <w:highlight w:val="none"/>
        </w:rPr>
      </w:pPr>
    </w:p>
    <w:p w14:paraId="00BFBD9A">
      <w:pPr>
        <w:rPr>
          <w:rFonts w:hint="eastAsia" w:ascii="仿宋" w:hAnsi="仿宋" w:eastAsia="仿宋" w:cs="仿宋"/>
          <w:color w:val="000000"/>
          <w:highlight w:val="none"/>
        </w:rPr>
      </w:pPr>
    </w:p>
    <w:p w14:paraId="00BFBD9B">
      <w:pPr>
        <w:rPr>
          <w:rFonts w:hint="eastAsia" w:ascii="仿宋" w:hAnsi="仿宋" w:eastAsia="仿宋" w:cs="仿宋"/>
          <w:color w:val="000000"/>
          <w:highlight w:val="none"/>
        </w:rPr>
      </w:pPr>
    </w:p>
    <w:p w14:paraId="00BFBD9C">
      <w:pPr>
        <w:rPr>
          <w:rFonts w:hint="eastAsia" w:ascii="仿宋" w:hAnsi="仿宋" w:eastAsia="仿宋" w:cs="仿宋"/>
          <w:color w:val="000000"/>
          <w:highlight w:val="none"/>
        </w:rPr>
      </w:pPr>
    </w:p>
    <w:p w14:paraId="00BFBD9D">
      <w:pPr>
        <w:rPr>
          <w:rFonts w:hint="eastAsia" w:ascii="黑体" w:hAnsi="黑体" w:eastAsia="黑体" w:cs="黑体"/>
          <w:color w:val="000000"/>
          <w:sz w:val="44"/>
          <w:szCs w:val="44"/>
          <w:highlight w:val="none"/>
        </w:rPr>
      </w:pPr>
      <w:bookmarkStart w:id="7" w:name="_Toc27842"/>
      <w:r>
        <w:rPr>
          <w:rFonts w:hint="eastAsia" w:ascii="黑体" w:hAnsi="黑体" w:eastAsia="黑体" w:cs="黑体"/>
          <w:color w:val="000000"/>
          <w:sz w:val="44"/>
          <w:szCs w:val="44"/>
          <w:highlight w:val="none"/>
        </w:rPr>
        <w:br w:type="page"/>
      </w:r>
    </w:p>
    <w:p w14:paraId="00BFBD9E">
      <w:pPr>
        <w:pStyle w:val="252"/>
        <w:rPr>
          <w:rFonts w:hint="eastAsia" w:ascii="黑体" w:hAnsi="黑体" w:eastAsia="黑体" w:cs="黑体"/>
          <w:color w:val="000000"/>
          <w:sz w:val="44"/>
          <w:szCs w:val="44"/>
          <w:highlight w:val="none"/>
        </w:rPr>
      </w:pPr>
      <w:r>
        <w:rPr>
          <w:rFonts w:hint="eastAsia" w:ascii="黑体" w:hAnsi="黑体" w:eastAsia="黑体" w:cs="黑体"/>
          <w:color w:val="000000"/>
          <w:sz w:val="44"/>
          <w:szCs w:val="44"/>
          <w:highlight w:val="none"/>
        </w:rPr>
        <w:t xml:space="preserve">第一章 </w:t>
      </w:r>
      <w:bookmarkEnd w:id="1"/>
      <w:r>
        <w:rPr>
          <w:rFonts w:hint="eastAsia" w:ascii="黑体" w:hAnsi="黑体" w:eastAsia="黑体" w:cs="黑体"/>
          <w:color w:val="000000"/>
          <w:sz w:val="44"/>
          <w:szCs w:val="44"/>
          <w:highlight w:val="none"/>
        </w:rPr>
        <w:t>参加征集活动的邀请</w:t>
      </w:r>
      <w:bookmarkEnd w:id="7"/>
    </w:p>
    <w:p w14:paraId="00BFBD9F">
      <w:pPr>
        <w:rPr>
          <w:rFonts w:hint="eastAsia" w:ascii="仿宋" w:hAnsi="仿宋" w:eastAsia="仿宋" w:cs="仿宋"/>
          <w:color w:val="000000"/>
          <w:highlight w:val="none"/>
        </w:rPr>
      </w:pPr>
    </w:p>
    <w:p w14:paraId="00BFBDA0">
      <w:pPr>
        <w:pStyle w:val="256"/>
        <w:spacing w:before="145" w:after="145" w:line="300" w:lineRule="auto"/>
        <w:ind w:firstLine="496"/>
        <w:outlineLvl w:val="9"/>
        <w:rPr>
          <w:rFonts w:hint="eastAsia" w:ascii="仿宋" w:hAnsi="仿宋" w:eastAsia="仿宋" w:cs="仿宋"/>
          <w:b w:val="0"/>
          <w:bCs w:val="0"/>
          <w:color w:val="000000"/>
          <w:sz w:val="24"/>
          <w:szCs w:val="24"/>
          <w:highlight w:val="none"/>
        </w:rPr>
      </w:pPr>
      <w:bookmarkStart w:id="8" w:name="_Toc35393621"/>
      <w:bookmarkStart w:id="9" w:name="_Toc28359079"/>
      <w:bookmarkStart w:id="10" w:name="_Toc38985263"/>
      <w:bookmarkStart w:id="11" w:name="_Toc28359002"/>
      <w:bookmarkStart w:id="12" w:name="_Toc35393790"/>
      <w:bookmarkStart w:id="13" w:name="_Hlk24379207"/>
      <w:r>
        <w:rPr>
          <w:rFonts w:hint="eastAsia" w:ascii="仿宋" w:hAnsi="仿宋" w:eastAsia="仿宋" w:cs="仿宋"/>
          <w:b w:val="0"/>
          <w:bCs w:val="0"/>
          <w:color w:val="000000"/>
          <w:sz w:val="24"/>
          <w:szCs w:val="24"/>
          <w:highlight w:val="none"/>
          <w:lang w:eastAsia="zh-CN"/>
        </w:rPr>
        <w:t>2026年周末公益小剧场演出活动</w:t>
      </w:r>
      <w:r>
        <w:rPr>
          <w:rFonts w:hint="eastAsia" w:ascii="仿宋" w:hAnsi="仿宋" w:eastAsia="仿宋" w:cs="仿宋"/>
          <w:b w:val="0"/>
          <w:bCs w:val="0"/>
          <w:color w:val="000000"/>
          <w:sz w:val="24"/>
          <w:szCs w:val="24"/>
          <w:highlight w:val="none"/>
        </w:rPr>
        <w:t>项目的潜在投标人应在</w:t>
      </w:r>
      <w:r>
        <w:rPr>
          <w:rFonts w:hint="eastAsia" w:ascii="仿宋" w:hAnsi="仿宋" w:eastAsia="仿宋" w:cs="仿宋"/>
          <w:b w:val="0"/>
          <w:bCs w:val="0"/>
          <w:color w:val="000000"/>
          <w:sz w:val="24"/>
          <w:szCs w:val="24"/>
          <w:highlight w:val="none"/>
          <w:lang w:val="zh-CN"/>
        </w:rPr>
        <w:t>南京市江宁区府前东路9号万达广场E座12</w:t>
      </w:r>
      <w:r>
        <w:rPr>
          <w:rFonts w:hint="eastAsia" w:ascii="仿宋" w:hAnsi="仿宋" w:eastAsia="仿宋" w:cs="仿宋"/>
          <w:b w:val="0"/>
          <w:bCs w:val="0"/>
          <w:color w:val="000000"/>
          <w:sz w:val="24"/>
          <w:szCs w:val="24"/>
          <w:highlight w:val="none"/>
          <w:lang w:val="en-US" w:eastAsia="zh-CN"/>
        </w:rPr>
        <w:t>17</w:t>
      </w:r>
      <w:r>
        <w:rPr>
          <w:rFonts w:hint="eastAsia" w:ascii="仿宋" w:hAnsi="仿宋" w:eastAsia="仿宋" w:cs="仿宋"/>
          <w:b w:val="0"/>
          <w:bCs w:val="0"/>
          <w:color w:val="000000"/>
          <w:sz w:val="24"/>
          <w:szCs w:val="24"/>
          <w:highlight w:val="none"/>
          <w:lang w:val="zh-CN"/>
        </w:rPr>
        <w:t>室</w:t>
      </w:r>
      <w:r>
        <w:rPr>
          <w:rFonts w:hint="eastAsia" w:ascii="仿宋" w:hAnsi="仿宋" w:eastAsia="仿宋" w:cs="仿宋"/>
          <w:b w:val="0"/>
          <w:bCs w:val="0"/>
          <w:color w:val="000000"/>
          <w:sz w:val="24"/>
          <w:szCs w:val="24"/>
          <w:highlight w:val="none"/>
        </w:rPr>
        <w:t>获取招标文件，并于202</w:t>
      </w:r>
      <w:r>
        <w:rPr>
          <w:rFonts w:hint="eastAsia" w:ascii="仿宋" w:hAnsi="仿宋" w:eastAsia="仿宋" w:cs="仿宋"/>
          <w:b w:val="0"/>
          <w:bCs w:val="0"/>
          <w:color w:val="000000"/>
          <w:sz w:val="24"/>
          <w:szCs w:val="24"/>
          <w:highlight w:val="none"/>
          <w:lang w:val="en-US" w:eastAsia="zh-CN"/>
        </w:rPr>
        <w:t>6</w:t>
      </w:r>
      <w:r>
        <w:rPr>
          <w:rFonts w:hint="eastAsia" w:ascii="仿宋" w:hAnsi="仿宋" w:eastAsia="仿宋" w:cs="仿宋"/>
          <w:b w:val="0"/>
          <w:bCs w:val="0"/>
          <w:color w:val="000000"/>
          <w:sz w:val="24"/>
          <w:szCs w:val="24"/>
          <w:highlight w:val="none"/>
        </w:rPr>
        <w:t xml:space="preserve">年 </w:t>
      </w:r>
      <w:r>
        <w:rPr>
          <w:rFonts w:hint="eastAsia" w:ascii="仿宋" w:hAnsi="仿宋" w:eastAsia="仿宋" w:cs="仿宋"/>
          <w:b w:val="0"/>
          <w:bCs w:val="0"/>
          <w:color w:val="000000"/>
          <w:sz w:val="24"/>
          <w:szCs w:val="24"/>
          <w:highlight w:val="none"/>
          <w:lang w:val="en-US" w:eastAsia="zh-CN"/>
        </w:rPr>
        <w:t>05</w:t>
      </w:r>
      <w:r>
        <w:rPr>
          <w:rFonts w:hint="eastAsia" w:ascii="仿宋" w:hAnsi="仿宋" w:eastAsia="仿宋" w:cs="仿宋"/>
          <w:b w:val="0"/>
          <w:bCs w:val="0"/>
          <w:color w:val="000000"/>
          <w:sz w:val="24"/>
          <w:szCs w:val="24"/>
          <w:highlight w:val="none"/>
        </w:rPr>
        <w:t>月</w:t>
      </w:r>
      <w:r>
        <w:rPr>
          <w:rFonts w:hint="eastAsia" w:ascii="仿宋" w:hAnsi="仿宋" w:eastAsia="仿宋" w:cs="仿宋"/>
          <w:b w:val="0"/>
          <w:bCs w:val="0"/>
          <w:color w:val="000000"/>
          <w:sz w:val="24"/>
          <w:szCs w:val="24"/>
          <w:highlight w:val="none"/>
          <w:lang w:val="en-US" w:eastAsia="zh-CN"/>
        </w:rPr>
        <w:t>14</w:t>
      </w:r>
      <w:r>
        <w:rPr>
          <w:rFonts w:hint="eastAsia" w:ascii="仿宋" w:hAnsi="仿宋" w:eastAsia="仿宋" w:cs="仿宋"/>
          <w:b w:val="0"/>
          <w:bCs w:val="0"/>
          <w:color w:val="000000"/>
          <w:sz w:val="24"/>
          <w:szCs w:val="24"/>
          <w:highlight w:val="none"/>
        </w:rPr>
        <w:t>日09点30分（北京时间）前提交投标文件。</w:t>
      </w:r>
    </w:p>
    <w:p w14:paraId="00BFBDA1">
      <w:pPr>
        <w:pStyle w:val="256"/>
        <w:spacing w:before="145" w:after="145" w:line="276" w:lineRule="auto"/>
        <w:ind w:firstLine="320"/>
        <w:rPr>
          <w:rFonts w:hint="eastAsia" w:ascii="仿宋" w:hAnsi="仿宋" w:eastAsia="仿宋" w:cs="仿宋"/>
          <w:color w:val="000000"/>
          <w:highlight w:val="none"/>
        </w:rPr>
      </w:pPr>
      <w:r>
        <w:rPr>
          <w:rFonts w:hint="eastAsia" w:ascii="仿宋" w:hAnsi="仿宋" w:eastAsia="仿宋" w:cs="仿宋"/>
          <w:color w:val="000000"/>
          <w:highlight w:val="none"/>
        </w:rPr>
        <w:t>一、项目基本情况</w:t>
      </w:r>
      <w:bookmarkEnd w:id="8"/>
      <w:bookmarkEnd w:id="9"/>
      <w:bookmarkEnd w:id="10"/>
      <w:bookmarkEnd w:id="11"/>
      <w:bookmarkEnd w:id="12"/>
    </w:p>
    <w:bookmarkEnd w:id="13"/>
    <w:p w14:paraId="00BFBDA2">
      <w:pPr>
        <w:spacing w:line="300" w:lineRule="auto"/>
        <w:ind w:firstLine="480"/>
        <w:rPr>
          <w:rFonts w:hint="eastAsia" w:ascii="仿宋" w:hAnsi="仿宋" w:eastAsia="仿宋" w:cs="仿宋"/>
          <w:color w:val="000000"/>
          <w:sz w:val="24"/>
          <w:szCs w:val="24"/>
          <w:highlight w:val="none"/>
          <w:u w:val="single"/>
          <w:lang w:eastAsia="zh-CN"/>
        </w:rPr>
      </w:pPr>
      <w:bookmarkStart w:id="14" w:name="_Toc38985264"/>
      <w:bookmarkStart w:id="15" w:name="_Toc28359080"/>
      <w:bookmarkStart w:id="16" w:name="_Toc28359003"/>
      <w:bookmarkStart w:id="17" w:name="_Toc35393791"/>
      <w:bookmarkStart w:id="18" w:name="_Toc35393622"/>
      <w:r>
        <w:rPr>
          <w:rFonts w:hint="eastAsia" w:ascii="仿宋" w:hAnsi="仿宋" w:eastAsia="仿宋" w:cs="仿宋"/>
          <w:color w:val="000000"/>
          <w:sz w:val="24"/>
          <w:szCs w:val="24"/>
          <w:highlight w:val="none"/>
        </w:rPr>
        <w:t>1.项目编号：</w:t>
      </w:r>
      <w:r>
        <w:rPr>
          <w:rFonts w:hint="eastAsia" w:ascii="仿宋" w:hAnsi="仿宋" w:eastAsia="仿宋" w:cs="仿宋"/>
          <w:color w:val="000000"/>
          <w:sz w:val="24"/>
          <w:szCs w:val="24"/>
          <w:highlight w:val="none"/>
          <w:lang w:eastAsia="zh-CN"/>
        </w:rPr>
        <w:t>NJDL-20260417001</w:t>
      </w:r>
    </w:p>
    <w:p w14:paraId="00BFBDA3">
      <w:pPr>
        <w:spacing w:line="300" w:lineRule="auto"/>
        <w:ind w:firstLine="480"/>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2.项目名称：</w:t>
      </w:r>
      <w:r>
        <w:rPr>
          <w:rFonts w:hint="eastAsia" w:ascii="仿宋" w:hAnsi="仿宋" w:eastAsia="仿宋" w:cs="仿宋"/>
          <w:color w:val="000000"/>
          <w:sz w:val="24"/>
          <w:szCs w:val="24"/>
          <w:highlight w:val="none"/>
          <w:u w:val="single"/>
          <w:lang w:eastAsia="zh-CN"/>
        </w:rPr>
        <w:t>2026年周末公益小剧场演出活动</w:t>
      </w:r>
    </w:p>
    <w:p w14:paraId="00BFBDA4">
      <w:pPr>
        <w:spacing w:line="300" w:lineRule="auto"/>
        <w:ind w:firstLine="48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3.采购方式：</w:t>
      </w:r>
      <w:r>
        <w:rPr>
          <w:rFonts w:hint="eastAsia" w:ascii="仿宋" w:hAnsi="仿宋" w:eastAsia="仿宋" w:cs="仿宋"/>
          <w:color w:val="000000"/>
          <w:sz w:val="24"/>
          <w:szCs w:val="24"/>
          <w:highlight w:val="none"/>
          <w:lang w:val="en-US" w:eastAsia="zh-CN"/>
        </w:rPr>
        <w:t>封闭式</w:t>
      </w:r>
      <w:r>
        <w:rPr>
          <w:rFonts w:hint="eastAsia" w:ascii="仿宋" w:hAnsi="仿宋" w:eastAsia="仿宋" w:cs="仿宋"/>
          <w:color w:val="000000"/>
          <w:sz w:val="24"/>
          <w:szCs w:val="24"/>
          <w:highlight w:val="none"/>
        </w:rPr>
        <w:t>框架协议</w:t>
      </w:r>
    </w:p>
    <w:p w14:paraId="00BFBDA5">
      <w:pPr>
        <w:spacing w:line="300" w:lineRule="auto"/>
        <w:ind w:firstLine="48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4.采购形式：内控采购</w:t>
      </w:r>
    </w:p>
    <w:p w14:paraId="00BFBDA6">
      <w:pPr>
        <w:spacing w:line="300" w:lineRule="auto"/>
        <w:ind w:firstLine="48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5.预算及最高限制单价：</w:t>
      </w:r>
      <w:r>
        <w:rPr>
          <w:rFonts w:hint="eastAsia" w:ascii="仿宋" w:hAnsi="仿宋" w:eastAsia="仿宋" w:cs="仿宋"/>
          <w:color w:val="000000"/>
          <w:sz w:val="24"/>
          <w:szCs w:val="24"/>
          <w:highlight w:val="none"/>
          <w:lang w:val="en-US" w:eastAsia="zh-CN"/>
        </w:rPr>
        <w:t>60</w:t>
      </w:r>
      <w:r>
        <w:rPr>
          <w:rFonts w:hint="eastAsia" w:ascii="仿宋" w:hAnsi="仿宋" w:eastAsia="仿宋" w:cs="仿宋"/>
          <w:color w:val="000000"/>
          <w:sz w:val="24"/>
          <w:szCs w:val="24"/>
          <w:highlight w:val="none"/>
        </w:rPr>
        <w:t>万元，单场次不超过</w:t>
      </w:r>
      <w:r>
        <w:rPr>
          <w:rFonts w:hint="eastAsia" w:ascii="仿宋" w:hAnsi="仿宋" w:eastAsia="仿宋" w:cs="仿宋"/>
          <w:color w:val="000000"/>
          <w:sz w:val="24"/>
          <w:szCs w:val="24"/>
          <w:highlight w:val="none"/>
          <w:lang w:val="en-US" w:eastAsia="zh-CN"/>
        </w:rPr>
        <w:t>3000</w:t>
      </w:r>
      <w:r>
        <w:rPr>
          <w:rFonts w:hint="eastAsia" w:ascii="仿宋" w:hAnsi="仿宋" w:eastAsia="仿宋" w:cs="仿宋"/>
          <w:color w:val="000000"/>
          <w:sz w:val="24"/>
          <w:szCs w:val="24"/>
          <w:highlight w:val="none"/>
        </w:rPr>
        <w:t>元/场</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最高投标限价</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w:t>
      </w:r>
    </w:p>
    <w:p w14:paraId="00BFBDA7">
      <w:pPr>
        <w:spacing w:line="300" w:lineRule="auto"/>
        <w:ind w:firstLine="48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6.确定第一阶段入围供应商淘汰率：</w:t>
      </w:r>
      <w:r>
        <w:rPr>
          <w:rFonts w:hint="eastAsia" w:ascii="仿宋" w:hAnsi="仿宋" w:eastAsia="仿宋" w:cs="仿宋"/>
          <w:color w:val="000000"/>
          <w:sz w:val="24"/>
          <w:szCs w:val="24"/>
          <w:highlight w:val="none"/>
          <w:lang w:val="en-US" w:eastAsia="zh-CN"/>
        </w:rPr>
        <w:t>40</w:t>
      </w:r>
      <w:r>
        <w:rPr>
          <w:rFonts w:hint="eastAsia" w:ascii="仿宋" w:hAnsi="仿宋" w:eastAsia="仿宋" w:cs="仿宋"/>
          <w:color w:val="000000"/>
          <w:sz w:val="24"/>
          <w:szCs w:val="24"/>
          <w:highlight w:val="none"/>
        </w:rPr>
        <w:t>%</w:t>
      </w:r>
    </w:p>
    <w:p w14:paraId="00BFBDA8">
      <w:pPr>
        <w:spacing w:line="300" w:lineRule="auto"/>
        <w:ind w:firstLine="48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7.采购需求：详细内容见本征集文件第四章</w:t>
      </w:r>
    </w:p>
    <w:p w14:paraId="00BFBDA9">
      <w:pPr>
        <w:spacing w:line="300" w:lineRule="auto"/>
        <w:ind w:firstLine="48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8.服务期限：本次征集有效期一年。期间如因相关政策调整等影响本项目执行，本项目将做出相应调整或即时终止。本项目入围通知书发出后，征集人与入围供应商按照项目征集结果签订框架协议。</w:t>
      </w:r>
    </w:p>
    <w:p w14:paraId="00BFBDAA">
      <w:pPr>
        <w:spacing w:line="300" w:lineRule="auto"/>
        <w:ind w:firstLine="48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9.本次征集活动不收取保证金。</w:t>
      </w:r>
    </w:p>
    <w:p w14:paraId="00BFBDAB">
      <w:pPr>
        <w:pStyle w:val="256"/>
        <w:spacing w:before="145" w:after="145" w:line="276" w:lineRule="auto"/>
        <w:ind w:firstLine="320"/>
        <w:rPr>
          <w:rFonts w:hint="eastAsia" w:ascii="仿宋" w:hAnsi="仿宋" w:eastAsia="仿宋" w:cs="仿宋"/>
          <w:color w:val="000000"/>
          <w:highlight w:val="none"/>
        </w:rPr>
      </w:pPr>
      <w:r>
        <w:rPr>
          <w:rFonts w:hint="eastAsia" w:ascii="仿宋" w:hAnsi="仿宋" w:eastAsia="仿宋" w:cs="仿宋"/>
          <w:color w:val="000000"/>
          <w:highlight w:val="none"/>
        </w:rPr>
        <w:t>二、</w:t>
      </w:r>
      <w:bookmarkStart w:id="19" w:name="OLE_LINK1"/>
      <w:r>
        <w:rPr>
          <w:rFonts w:hint="eastAsia" w:ascii="仿宋" w:hAnsi="仿宋" w:eastAsia="仿宋" w:cs="仿宋"/>
          <w:color w:val="000000"/>
          <w:highlight w:val="none"/>
        </w:rPr>
        <w:t>申报</w:t>
      </w:r>
      <w:bookmarkEnd w:id="14"/>
      <w:bookmarkEnd w:id="15"/>
      <w:bookmarkEnd w:id="16"/>
      <w:bookmarkEnd w:id="17"/>
      <w:bookmarkEnd w:id="18"/>
      <w:r>
        <w:rPr>
          <w:rFonts w:hint="eastAsia" w:ascii="仿宋" w:hAnsi="仿宋" w:eastAsia="仿宋" w:cs="仿宋"/>
          <w:color w:val="000000"/>
          <w:highlight w:val="none"/>
        </w:rPr>
        <w:t>条件</w:t>
      </w:r>
    </w:p>
    <w:bookmarkEnd w:id="19"/>
    <w:p w14:paraId="677534D0">
      <w:pPr>
        <w:spacing w:line="300" w:lineRule="auto"/>
        <w:ind w:firstLine="480"/>
        <w:rPr>
          <w:rFonts w:hint="eastAsia" w:ascii="仿宋" w:hAnsi="仿宋" w:eastAsia="仿宋" w:cs="仿宋"/>
          <w:b w:val="0"/>
          <w:bCs w:val="0"/>
          <w:color w:val="000000"/>
          <w:sz w:val="24"/>
          <w:szCs w:val="24"/>
          <w:highlight w:val="none"/>
          <w:lang w:val="en-US" w:eastAsia="zh-CN" w:bidi="ar-SA"/>
        </w:rPr>
      </w:pPr>
      <w:bookmarkStart w:id="20" w:name="_Toc35393623"/>
      <w:bookmarkStart w:id="21" w:name="_Toc28359004"/>
      <w:bookmarkStart w:id="22" w:name="_Toc28359081"/>
      <w:bookmarkStart w:id="23" w:name="_Toc35393792"/>
      <w:bookmarkStart w:id="24" w:name="_Toc38985265"/>
      <w:r>
        <w:rPr>
          <w:rFonts w:hint="eastAsia" w:ascii="仿宋" w:hAnsi="仿宋" w:eastAsia="仿宋" w:cs="仿宋"/>
          <w:b w:val="0"/>
          <w:bCs w:val="0"/>
          <w:color w:val="000000"/>
          <w:sz w:val="24"/>
          <w:szCs w:val="24"/>
          <w:highlight w:val="none"/>
          <w:lang w:val="en-US" w:eastAsia="zh-CN" w:bidi="ar-SA"/>
        </w:rPr>
        <w:t>1.满足《中华人民共和国政府采购法》第二十二条规定；</w:t>
      </w:r>
    </w:p>
    <w:p w14:paraId="717C03E1">
      <w:pPr>
        <w:spacing w:line="300" w:lineRule="auto"/>
        <w:ind w:firstLine="480"/>
        <w:rPr>
          <w:rFonts w:hint="eastAsia" w:ascii="仿宋" w:hAnsi="仿宋" w:eastAsia="仿宋" w:cs="仿宋"/>
          <w:b w:val="0"/>
          <w:bCs w:val="0"/>
          <w:color w:val="000000"/>
          <w:sz w:val="24"/>
          <w:szCs w:val="24"/>
          <w:highlight w:val="none"/>
          <w:lang w:val="zh-CN" w:eastAsia="zh-CN" w:bidi="ar-SA"/>
        </w:rPr>
      </w:pPr>
      <w:r>
        <w:rPr>
          <w:rFonts w:hint="eastAsia" w:ascii="仿宋" w:hAnsi="仿宋" w:eastAsia="仿宋" w:cs="仿宋"/>
          <w:b w:val="0"/>
          <w:bCs w:val="0"/>
          <w:color w:val="000000"/>
          <w:sz w:val="24"/>
          <w:szCs w:val="24"/>
          <w:highlight w:val="none"/>
          <w:lang w:val="zh-CN" w:eastAsia="zh-CN" w:bidi="ar-SA"/>
        </w:rPr>
        <w:t>（1）具有独立承担民事责任的能力（提供法人或者其他组织的营业执照，供应商为自然人的提供自然人的身份证）；</w:t>
      </w:r>
    </w:p>
    <w:p w14:paraId="04C1BCFE">
      <w:pPr>
        <w:spacing w:line="300" w:lineRule="auto"/>
        <w:ind w:firstLine="480"/>
        <w:rPr>
          <w:rFonts w:hint="eastAsia" w:ascii="仿宋" w:hAnsi="仿宋" w:eastAsia="仿宋" w:cs="仿宋"/>
          <w:b w:val="0"/>
          <w:bCs w:val="0"/>
          <w:color w:val="000000"/>
          <w:sz w:val="24"/>
          <w:szCs w:val="24"/>
          <w:highlight w:val="none"/>
          <w:lang w:val="zh-CN" w:eastAsia="zh-CN" w:bidi="ar-SA"/>
        </w:rPr>
      </w:pPr>
      <w:r>
        <w:rPr>
          <w:rFonts w:hint="eastAsia" w:ascii="仿宋" w:hAnsi="仿宋" w:eastAsia="仿宋" w:cs="仿宋"/>
          <w:b w:val="0"/>
          <w:bCs w:val="0"/>
          <w:color w:val="000000"/>
          <w:sz w:val="24"/>
          <w:szCs w:val="24"/>
          <w:highlight w:val="none"/>
          <w:lang w:val="zh-CN" w:eastAsia="zh-CN" w:bidi="ar-SA"/>
        </w:rPr>
        <w:t>（2）具有良好的商业信誉和健全的财务会计制度（提供参加本次采购活动前的会计报表）；</w:t>
      </w:r>
    </w:p>
    <w:p w14:paraId="453C7371">
      <w:pPr>
        <w:spacing w:line="300" w:lineRule="auto"/>
        <w:ind w:firstLine="480"/>
        <w:rPr>
          <w:rFonts w:hint="eastAsia" w:ascii="仿宋" w:hAnsi="仿宋" w:eastAsia="仿宋" w:cs="仿宋"/>
          <w:b w:val="0"/>
          <w:bCs w:val="0"/>
          <w:color w:val="000000"/>
          <w:sz w:val="24"/>
          <w:szCs w:val="24"/>
          <w:highlight w:val="none"/>
          <w:lang w:val="zh-CN" w:eastAsia="zh-CN" w:bidi="ar-SA"/>
        </w:rPr>
      </w:pPr>
      <w:r>
        <w:rPr>
          <w:rFonts w:hint="eastAsia" w:ascii="仿宋" w:hAnsi="仿宋" w:eastAsia="仿宋" w:cs="仿宋"/>
          <w:b w:val="0"/>
          <w:bCs w:val="0"/>
          <w:color w:val="000000"/>
          <w:sz w:val="24"/>
          <w:szCs w:val="24"/>
          <w:highlight w:val="none"/>
          <w:lang w:val="zh-CN" w:eastAsia="zh-CN" w:bidi="ar-SA"/>
        </w:rPr>
        <w:t>（3）具有履行合同所必需的设备和专业技术能力（根据项目需求提供履行合同所必需的设备和专业技术能力的声明）；</w:t>
      </w:r>
    </w:p>
    <w:p w14:paraId="11E4A4A5">
      <w:pPr>
        <w:spacing w:line="300" w:lineRule="auto"/>
        <w:ind w:firstLine="480"/>
        <w:rPr>
          <w:rFonts w:hint="eastAsia" w:ascii="仿宋" w:hAnsi="仿宋" w:eastAsia="仿宋" w:cs="仿宋"/>
          <w:b w:val="0"/>
          <w:bCs w:val="0"/>
          <w:color w:val="000000"/>
          <w:sz w:val="24"/>
          <w:szCs w:val="24"/>
          <w:highlight w:val="none"/>
          <w:lang w:val="zh-CN" w:eastAsia="zh-CN" w:bidi="ar-SA"/>
        </w:rPr>
      </w:pPr>
      <w:r>
        <w:rPr>
          <w:rFonts w:hint="eastAsia" w:ascii="仿宋" w:hAnsi="仿宋" w:eastAsia="仿宋" w:cs="仿宋"/>
          <w:b w:val="0"/>
          <w:bCs w:val="0"/>
          <w:color w:val="000000"/>
          <w:sz w:val="24"/>
          <w:szCs w:val="24"/>
          <w:highlight w:val="none"/>
          <w:lang w:val="zh-CN" w:eastAsia="zh-CN" w:bidi="ar-SA"/>
        </w:rPr>
        <w:t>（4）有依法缴纳税收和社会保障资金的良好记录（提供参加本次政府采购活动前半年内（至少一个月）依法缴纳税收和社会保障资金的相关材料）；</w:t>
      </w:r>
    </w:p>
    <w:p w14:paraId="3350C0C2">
      <w:pPr>
        <w:spacing w:line="300" w:lineRule="auto"/>
        <w:ind w:firstLine="480"/>
        <w:rPr>
          <w:rFonts w:hint="eastAsia" w:ascii="仿宋" w:hAnsi="仿宋" w:eastAsia="仿宋" w:cs="仿宋"/>
          <w:b w:val="0"/>
          <w:bCs w:val="0"/>
          <w:color w:val="000000"/>
          <w:sz w:val="24"/>
          <w:szCs w:val="24"/>
          <w:highlight w:val="none"/>
          <w:lang w:val="zh-CN" w:eastAsia="zh-CN" w:bidi="ar-SA"/>
        </w:rPr>
      </w:pPr>
      <w:r>
        <w:rPr>
          <w:rFonts w:hint="eastAsia" w:ascii="仿宋" w:hAnsi="仿宋" w:eastAsia="仿宋" w:cs="仿宋"/>
          <w:b w:val="0"/>
          <w:bCs w:val="0"/>
          <w:color w:val="000000"/>
          <w:sz w:val="24"/>
          <w:szCs w:val="24"/>
          <w:highlight w:val="none"/>
          <w:lang w:val="zh-CN" w:eastAsia="zh-CN" w:bidi="ar-SA"/>
        </w:rPr>
        <w:t>（5）参加政府采购活动前三年内，在经营活动中没有重大违法记录（提供参加本次政府采购活动前3年内在经营活动中没有重大违法记录的书面声明）；</w:t>
      </w:r>
    </w:p>
    <w:p w14:paraId="0A71E0A2">
      <w:pPr>
        <w:spacing w:line="300" w:lineRule="auto"/>
        <w:ind w:firstLine="480"/>
        <w:rPr>
          <w:rFonts w:hint="eastAsia" w:ascii="仿宋" w:hAnsi="仿宋" w:eastAsia="仿宋" w:cs="仿宋"/>
          <w:b w:val="0"/>
          <w:bCs w:val="0"/>
          <w:color w:val="000000"/>
          <w:sz w:val="24"/>
          <w:szCs w:val="24"/>
          <w:highlight w:val="none"/>
          <w:lang w:val="zh-CN" w:eastAsia="zh-CN" w:bidi="ar-SA"/>
        </w:rPr>
      </w:pPr>
      <w:r>
        <w:rPr>
          <w:rFonts w:hint="eastAsia" w:ascii="仿宋" w:hAnsi="仿宋" w:eastAsia="仿宋" w:cs="仿宋"/>
          <w:b w:val="0"/>
          <w:bCs w:val="0"/>
          <w:color w:val="000000"/>
          <w:sz w:val="24"/>
          <w:szCs w:val="24"/>
          <w:highlight w:val="none"/>
          <w:lang w:val="zh-CN" w:eastAsia="zh-CN" w:bidi="ar-SA"/>
        </w:rPr>
        <w:t>2.落实政府采购政策需满足的资格要求：本项目专门面向中小微企业采购，供应商应为中小微企业。提供《中小企业声明函》</w:t>
      </w:r>
    </w:p>
    <w:p w14:paraId="34705345">
      <w:pPr>
        <w:spacing w:line="300" w:lineRule="auto"/>
        <w:ind w:firstLine="480"/>
        <w:rPr>
          <w:rFonts w:hint="eastAsia" w:ascii="仿宋" w:hAnsi="仿宋" w:eastAsia="仿宋" w:cs="仿宋"/>
          <w:b w:val="0"/>
          <w:bCs w:val="0"/>
          <w:color w:val="000000"/>
          <w:sz w:val="24"/>
          <w:szCs w:val="24"/>
          <w:highlight w:val="none"/>
          <w:lang w:val="zh-CN" w:eastAsia="zh-CN" w:bidi="ar-SA"/>
        </w:rPr>
      </w:pPr>
      <w:r>
        <w:rPr>
          <w:rFonts w:hint="eastAsia" w:ascii="仿宋" w:hAnsi="仿宋" w:eastAsia="仿宋" w:cs="仿宋"/>
          <w:b w:val="0"/>
          <w:bCs w:val="0"/>
          <w:color w:val="000000"/>
          <w:sz w:val="24"/>
          <w:szCs w:val="24"/>
          <w:highlight w:val="none"/>
          <w:lang w:val="zh-CN" w:eastAsia="zh-CN" w:bidi="ar-SA"/>
        </w:rPr>
        <w:t>本项目采购标的对应的中小企业划分标准所属行业为：其他未列明行业。</w:t>
      </w:r>
    </w:p>
    <w:p w14:paraId="56FCD0DB">
      <w:pPr>
        <w:numPr>
          <w:ilvl w:val="0"/>
          <w:numId w:val="4"/>
        </w:numPr>
        <w:spacing w:line="300" w:lineRule="auto"/>
        <w:ind w:firstLine="480"/>
        <w:rPr>
          <w:rFonts w:hint="eastAsia" w:ascii="仿宋" w:hAnsi="仿宋" w:eastAsia="仿宋" w:cs="仿宋"/>
          <w:b w:val="0"/>
          <w:bCs w:val="0"/>
          <w:color w:val="000000"/>
          <w:sz w:val="24"/>
          <w:szCs w:val="24"/>
          <w:highlight w:val="none"/>
          <w:lang w:val="en-US" w:eastAsia="zh-CN" w:bidi="ar-SA"/>
        </w:rPr>
      </w:pPr>
      <w:r>
        <w:rPr>
          <w:rFonts w:hint="eastAsia" w:ascii="仿宋" w:hAnsi="仿宋" w:eastAsia="仿宋" w:cs="仿宋"/>
          <w:b w:val="0"/>
          <w:bCs w:val="0"/>
          <w:color w:val="000000"/>
          <w:sz w:val="24"/>
          <w:szCs w:val="24"/>
          <w:highlight w:val="none"/>
          <w:lang w:val="zh-CN" w:eastAsia="zh-CN" w:bidi="ar-SA"/>
        </w:rPr>
        <w:t>本项目的特定资格要求：</w:t>
      </w:r>
      <w:r>
        <w:rPr>
          <w:rFonts w:hint="eastAsia" w:ascii="仿宋" w:hAnsi="仿宋" w:eastAsia="仿宋" w:cs="仿宋"/>
          <w:b w:val="0"/>
          <w:bCs w:val="0"/>
          <w:color w:val="000000"/>
          <w:sz w:val="24"/>
          <w:szCs w:val="24"/>
          <w:highlight w:val="none"/>
          <w:lang w:val="en-US" w:eastAsia="zh-CN" w:bidi="ar-SA"/>
        </w:rPr>
        <w:t>无。</w:t>
      </w:r>
    </w:p>
    <w:p w14:paraId="316CB9E0">
      <w:pPr>
        <w:spacing w:line="300" w:lineRule="auto"/>
        <w:ind w:firstLine="480"/>
        <w:rPr>
          <w:rFonts w:hint="eastAsia" w:ascii="仿宋" w:hAnsi="仿宋" w:eastAsia="仿宋" w:cs="仿宋"/>
          <w:b w:val="0"/>
          <w:bCs w:val="0"/>
          <w:color w:val="000000"/>
          <w:sz w:val="24"/>
          <w:szCs w:val="24"/>
          <w:highlight w:val="none"/>
          <w:lang w:val="zh-CN" w:eastAsia="zh-CN" w:bidi="ar-SA"/>
        </w:rPr>
      </w:pPr>
      <w:r>
        <w:rPr>
          <w:rFonts w:hint="eastAsia" w:ascii="仿宋" w:hAnsi="仿宋" w:eastAsia="仿宋" w:cs="仿宋"/>
          <w:b w:val="0"/>
          <w:bCs w:val="0"/>
          <w:color w:val="000000"/>
          <w:sz w:val="24"/>
          <w:szCs w:val="24"/>
          <w:highlight w:val="none"/>
          <w:lang w:val="en-US" w:eastAsia="zh-CN" w:bidi="ar-SA"/>
        </w:rPr>
        <w:t>4.</w:t>
      </w:r>
      <w:r>
        <w:rPr>
          <w:rFonts w:hint="eastAsia" w:ascii="仿宋" w:hAnsi="仿宋" w:eastAsia="仿宋" w:cs="仿宋"/>
          <w:b w:val="0"/>
          <w:bCs w:val="0"/>
          <w:color w:val="000000"/>
          <w:sz w:val="24"/>
          <w:szCs w:val="24"/>
          <w:highlight w:val="none"/>
          <w:lang w:val="zh-CN" w:eastAsia="zh-CN" w:bidi="ar-SA"/>
        </w:rPr>
        <w:t>拒绝下述供应商参加本次采购活动：</w:t>
      </w:r>
    </w:p>
    <w:p w14:paraId="40DC27AA">
      <w:pPr>
        <w:spacing w:line="300" w:lineRule="auto"/>
        <w:ind w:firstLine="480"/>
        <w:rPr>
          <w:rFonts w:hint="eastAsia" w:ascii="仿宋" w:hAnsi="仿宋" w:eastAsia="仿宋" w:cs="仿宋"/>
          <w:b w:val="0"/>
          <w:bCs w:val="0"/>
          <w:color w:val="000000"/>
          <w:sz w:val="24"/>
          <w:szCs w:val="24"/>
          <w:highlight w:val="none"/>
          <w:lang w:val="zh-CN" w:eastAsia="zh-CN" w:bidi="ar-SA"/>
        </w:rPr>
      </w:pPr>
      <w:r>
        <w:rPr>
          <w:rFonts w:hint="eastAsia" w:ascii="仿宋" w:hAnsi="仿宋" w:eastAsia="仿宋" w:cs="仿宋"/>
          <w:b w:val="0"/>
          <w:bCs w:val="0"/>
          <w:color w:val="000000"/>
          <w:sz w:val="24"/>
          <w:szCs w:val="24"/>
          <w:highlight w:val="none"/>
          <w:lang w:val="zh-CN" w:eastAsia="zh-CN" w:bidi="ar-SA"/>
        </w:rPr>
        <w:t>（</w:t>
      </w:r>
      <w:r>
        <w:rPr>
          <w:rFonts w:hint="eastAsia" w:ascii="仿宋" w:hAnsi="仿宋" w:eastAsia="仿宋" w:cs="仿宋"/>
          <w:b w:val="0"/>
          <w:bCs w:val="0"/>
          <w:color w:val="000000"/>
          <w:sz w:val="24"/>
          <w:szCs w:val="24"/>
          <w:highlight w:val="none"/>
          <w:lang w:val="en-US" w:eastAsia="zh-CN" w:bidi="ar-SA"/>
        </w:rPr>
        <w:t>1</w:t>
      </w:r>
      <w:r>
        <w:rPr>
          <w:rFonts w:hint="eastAsia" w:ascii="仿宋" w:hAnsi="仿宋" w:eastAsia="仿宋" w:cs="仿宋"/>
          <w:b w:val="0"/>
          <w:bCs w:val="0"/>
          <w:color w:val="000000"/>
          <w:sz w:val="24"/>
          <w:szCs w:val="24"/>
          <w:highlight w:val="none"/>
          <w:lang w:val="zh-CN" w:eastAsia="zh-CN" w:bidi="ar-SA"/>
        </w:rPr>
        <w:t>）供应商单位负责人为同一人或者存在直接控股、管理关系的不同供应商，不得参加同一合同项下的政府采购活动；</w:t>
      </w:r>
    </w:p>
    <w:p w14:paraId="3F9520B3">
      <w:pPr>
        <w:spacing w:line="300" w:lineRule="auto"/>
        <w:ind w:firstLine="480"/>
        <w:rPr>
          <w:rFonts w:hint="eastAsia" w:ascii="仿宋" w:hAnsi="仿宋" w:eastAsia="仿宋" w:cs="仿宋"/>
          <w:b w:val="0"/>
          <w:bCs w:val="0"/>
          <w:color w:val="000000"/>
          <w:sz w:val="24"/>
          <w:szCs w:val="24"/>
          <w:highlight w:val="none"/>
          <w:lang w:val="zh-CN" w:eastAsia="zh-CN" w:bidi="ar-SA"/>
        </w:rPr>
      </w:pPr>
      <w:r>
        <w:rPr>
          <w:rFonts w:hint="eastAsia" w:ascii="仿宋" w:hAnsi="仿宋" w:eastAsia="仿宋" w:cs="仿宋"/>
          <w:b w:val="0"/>
          <w:bCs w:val="0"/>
          <w:color w:val="000000"/>
          <w:sz w:val="24"/>
          <w:szCs w:val="24"/>
          <w:highlight w:val="none"/>
          <w:lang w:val="zh-CN" w:eastAsia="zh-CN" w:bidi="ar-SA"/>
        </w:rPr>
        <w:t>（</w:t>
      </w:r>
      <w:r>
        <w:rPr>
          <w:rFonts w:hint="eastAsia" w:ascii="仿宋" w:hAnsi="仿宋" w:eastAsia="仿宋" w:cs="仿宋"/>
          <w:b w:val="0"/>
          <w:bCs w:val="0"/>
          <w:color w:val="000000"/>
          <w:sz w:val="24"/>
          <w:szCs w:val="24"/>
          <w:highlight w:val="none"/>
          <w:lang w:val="en-US" w:eastAsia="zh-CN" w:bidi="ar-SA"/>
        </w:rPr>
        <w:t>2</w:t>
      </w:r>
      <w:r>
        <w:rPr>
          <w:rFonts w:hint="eastAsia" w:ascii="仿宋" w:hAnsi="仿宋" w:eastAsia="仿宋" w:cs="仿宋"/>
          <w:b w:val="0"/>
          <w:bCs w:val="0"/>
          <w:color w:val="000000"/>
          <w:sz w:val="24"/>
          <w:szCs w:val="24"/>
          <w:highlight w:val="none"/>
          <w:lang w:val="zh-CN" w:eastAsia="zh-CN" w:bidi="ar-SA"/>
        </w:rPr>
        <w:t>）为采购项目提供整体设计、规范编制或者项目管理、监理、检测等服务的供应商，不得参加本项目的采购活动；</w:t>
      </w:r>
    </w:p>
    <w:p w14:paraId="34D7680A">
      <w:pPr>
        <w:spacing w:line="300" w:lineRule="auto"/>
        <w:ind w:firstLine="480"/>
        <w:rPr>
          <w:rFonts w:hint="eastAsia" w:ascii="仿宋" w:hAnsi="仿宋" w:eastAsia="仿宋" w:cs="仿宋"/>
          <w:b w:val="0"/>
          <w:bCs w:val="0"/>
          <w:color w:val="000000"/>
          <w:sz w:val="24"/>
          <w:szCs w:val="24"/>
          <w:highlight w:val="none"/>
          <w:lang w:val="zh-CN" w:eastAsia="zh-CN" w:bidi="ar-SA"/>
        </w:rPr>
      </w:pPr>
      <w:r>
        <w:rPr>
          <w:rFonts w:hint="eastAsia" w:ascii="仿宋" w:hAnsi="仿宋" w:eastAsia="仿宋" w:cs="仿宋"/>
          <w:b w:val="0"/>
          <w:bCs w:val="0"/>
          <w:color w:val="000000"/>
          <w:sz w:val="24"/>
          <w:szCs w:val="24"/>
          <w:highlight w:val="none"/>
          <w:lang w:val="zh-CN" w:eastAsia="zh-CN" w:bidi="ar-SA"/>
        </w:rPr>
        <w:t>（</w:t>
      </w:r>
      <w:r>
        <w:rPr>
          <w:rFonts w:hint="eastAsia" w:ascii="仿宋" w:hAnsi="仿宋" w:eastAsia="仿宋" w:cs="仿宋"/>
          <w:b w:val="0"/>
          <w:bCs w:val="0"/>
          <w:color w:val="000000"/>
          <w:sz w:val="24"/>
          <w:szCs w:val="24"/>
          <w:highlight w:val="none"/>
          <w:lang w:val="en-US" w:eastAsia="zh-CN" w:bidi="ar-SA"/>
        </w:rPr>
        <w:t>3</w:t>
      </w:r>
      <w:r>
        <w:rPr>
          <w:rFonts w:hint="eastAsia" w:ascii="仿宋" w:hAnsi="仿宋" w:eastAsia="仿宋" w:cs="仿宋"/>
          <w:b w:val="0"/>
          <w:bCs w:val="0"/>
          <w:color w:val="000000"/>
          <w:sz w:val="24"/>
          <w:szCs w:val="24"/>
          <w:highlight w:val="none"/>
          <w:lang w:val="zh-CN" w:eastAsia="zh-CN" w:bidi="ar-SA"/>
        </w:rPr>
        <w:t>）供应商被“信用中国”网站（www.creditchina.gov.cn）、“中国政府采购网”(www.ccgp.gov.cn)列入失信被执行人、重大税收违法案件当事人名单、政府采购严重违法失信行为记录名单；</w:t>
      </w:r>
    </w:p>
    <w:p w14:paraId="00BFBDAF">
      <w:pPr>
        <w:pStyle w:val="256"/>
        <w:spacing w:before="145" w:after="145" w:line="276" w:lineRule="auto"/>
        <w:ind w:firstLine="320"/>
        <w:rPr>
          <w:rFonts w:hint="eastAsia" w:ascii="仿宋" w:hAnsi="仿宋" w:eastAsia="仿宋" w:cs="仿宋"/>
          <w:color w:val="000000"/>
          <w:highlight w:val="none"/>
        </w:rPr>
      </w:pPr>
      <w:r>
        <w:rPr>
          <w:rFonts w:hint="eastAsia" w:ascii="仿宋" w:hAnsi="仿宋" w:eastAsia="仿宋" w:cs="仿宋"/>
          <w:color w:val="000000"/>
          <w:highlight w:val="none"/>
        </w:rPr>
        <w:t>三、</w:t>
      </w:r>
      <w:bookmarkEnd w:id="20"/>
      <w:bookmarkEnd w:id="21"/>
      <w:bookmarkEnd w:id="22"/>
      <w:bookmarkEnd w:id="23"/>
      <w:bookmarkEnd w:id="24"/>
      <w:r>
        <w:rPr>
          <w:rFonts w:hint="eastAsia" w:ascii="仿宋" w:hAnsi="仿宋" w:eastAsia="仿宋" w:cs="仿宋"/>
          <w:color w:val="000000"/>
          <w:highlight w:val="none"/>
        </w:rPr>
        <w:t>获取征集文件</w:t>
      </w:r>
    </w:p>
    <w:p w14:paraId="3429A4BA">
      <w:pPr>
        <w:spacing w:line="300" w:lineRule="auto"/>
        <w:ind w:firstLine="6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时间：</w:t>
      </w:r>
      <w:r>
        <w:rPr>
          <w:rFonts w:hint="eastAsia" w:ascii="仿宋" w:hAnsi="仿宋" w:eastAsia="仿宋" w:cs="仿宋"/>
          <w:color w:val="000000"/>
          <w:sz w:val="24"/>
          <w:szCs w:val="24"/>
          <w:highlight w:val="none"/>
          <w:lang w:val="en-US" w:eastAsia="zh-CN"/>
        </w:rPr>
        <w:t>2026</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04</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17</w:t>
      </w:r>
      <w:r>
        <w:rPr>
          <w:rFonts w:hint="eastAsia" w:ascii="仿宋" w:hAnsi="仿宋" w:eastAsia="仿宋" w:cs="仿宋"/>
          <w:color w:val="000000"/>
          <w:sz w:val="24"/>
          <w:szCs w:val="24"/>
          <w:highlight w:val="none"/>
        </w:rPr>
        <w:t>日至</w:t>
      </w:r>
      <w:r>
        <w:rPr>
          <w:rFonts w:hint="eastAsia" w:ascii="仿宋" w:hAnsi="仿宋" w:eastAsia="仿宋" w:cs="仿宋"/>
          <w:color w:val="000000"/>
          <w:sz w:val="24"/>
          <w:szCs w:val="24"/>
          <w:highlight w:val="none"/>
          <w:lang w:val="en-US" w:eastAsia="zh-CN"/>
        </w:rPr>
        <w:t>2026</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04</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24</w:t>
      </w:r>
      <w:r>
        <w:rPr>
          <w:rFonts w:hint="eastAsia" w:ascii="仿宋" w:hAnsi="仿宋" w:eastAsia="仿宋" w:cs="仿宋"/>
          <w:color w:val="000000"/>
          <w:sz w:val="24"/>
          <w:szCs w:val="24"/>
          <w:highlight w:val="none"/>
        </w:rPr>
        <w:t>日，每天上午</w:t>
      </w:r>
      <w:r>
        <w:rPr>
          <w:rFonts w:hint="eastAsia" w:ascii="仿宋" w:hAnsi="仿宋" w:eastAsia="仿宋" w:cs="仿宋"/>
          <w:color w:val="000000"/>
          <w:sz w:val="24"/>
          <w:szCs w:val="24"/>
          <w:highlight w:val="none"/>
          <w:lang w:val="en-US" w:eastAsia="zh-CN"/>
        </w:rPr>
        <w:t>9:00</w:t>
      </w:r>
      <w:r>
        <w:rPr>
          <w:rFonts w:hint="eastAsia" w:ascii="仿宋" w:hAnsi="仿宋" w:eastAsia="仿宋" w:cs="仿宋"/>
          <w:color w:val="000000"/>
          <w:sz w:val="24"/>
          <w:szCs w:val="24"/>
          <w:highlight w:val="none"/>
        </w:rPr>
        <w:t>至</w:t>
      </w:r>
      <w:r>
        <w:rPr>
          <w:rFonts w:hint="eastAsia" w:ascii="仿宋" w:hAnsi="仿宋" w:eastAsia="仿宋" w:cs="仿宋"/>
          <w:color w:val="000000"/>
          <w:sz w:val="24"/>
          <w:szCs w:val="24"/>
          <w:highlight w:val="none"/>
          <w:lang w:val="en-US" w:eastAsia="zh-CN"/>
        </w:rPr>
        <w:t>11:30</w:t>
      </w:r>
      <w:r>
        <w:rPr>
          <w:rFonts w:hint="eastAsia" w:ascii="仿宋" w:hAnsi="仿宋" w:eastAsia="仿宋" w:cs="仿宋"/>
          <w:color w:val="000000"/>
          <w:sz w:val="24"/>
          <w:szCs w:val="24"/>
          <w:highlight w:val="none"/>
        </w:rPr>
        <w:t>，下午</w:t>
      </w:r>
      <w:r>
        <w:rPr>
          <w:rFonts w:hint="eastAsia" w:ascii="仿宋" w:hAnsi="仿宋" w:eastAsia="仿宋" w:cs="仿宋"/>
          <w:color w:val="000000"/>
          <w:sz w:val="24"/>
          <w:szCs w:val="24"/>
          <w:highlight w:val="none"/>
          <w:lang w:val="en-US" w:eastAsia="zh-CN"/>
        </w:rPr>
        <w:t>14:00</w:t>
      </w:r>
      <w:r>
        <w:rPr>
          <w:rFonts w:hint="eastAsia" w:ascii="仿宋" w:hAnsi="仿宋" w:eastAsia="仿宋" w:cs="仿宋"/>
          <w:color w:val="000000"/>
          <w:sz w:val="24"/>
          <w:szCs w:val="24"/>
          <w:highlight w:val="none"/>
        </w:rPr>
        <w:t>至</w:t>
      </w:r>
      <w:r>
        <w:rPr>
          <w:rFonts w:hint="eastAsia" w:ascii="仿宋" w:hAnsi="仿宋" w:eastAsia="仿宋" w:cs="仿宋"/>
          <w:color w:val="000000"/>
          <w:sz w:val="24"/>
          <w:szCs w:val="24"/>
          <w:highlight w:val="none"/>
          <w:lang w:val="en-US" w:eastAsia="zh-CN"/>
        </w:rPr>
        <w:t>17:00</w:t>
      </w:r>
      <w:r>
        <w:rPr>
          <w:rFonts w:hint="eastAsia" w:ascii="仿宋" w:hAnsi="仿宋" w:eastAsia="仿宋" w:cs="仿宋"/>
          <w:color w:val="000000"/>
          <w:sz w:val="24"/>
          <w:szCs w:val="24"/>
          <w:highlight w:val="none"/>
        </w:rPr>
        <w:t>（北京时间，法定节假日除外 ）</w:t>
      </w:r>
    </w:p>
    <w:p w14:paraId="3CA151AE">
      <w:pPr>
        <w:spacing w:line="300" w:lineRule="auto"/>
        <w:ind w:firstLine="6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地点：</w:t>
      </w:r>
      <w:r>
        <w:rPr>
          <w:rFonts w:hint="eastAsia" w:ascii="仿宋" w:hAnsi="仿宋" w:eastAsia="仿宋" w:cs="仿宋"/>
          <w:color w:val="000000"/>
          <w:sz w:val="24"/>
          <w:szCs w:val="24"/>
          <w:highlight w:val="none"/>
          <w:lang w:val="zh-CN"/>
        </w:rPr>
        <w:t>南京市江宁区府前东路9号万达广场E座12</w:t>
      </w:r>
      <w:r>
        <w:rPr>
          <w:rFonts w:hint="eastAsia" w:ascii="仿宋" w:hAnsi="仿宋" w:eastAsia="仿宋" w:cs="仿宋"/>
          <w:color w:val="000000"/>
          <w:sz w:val="24"/>
          <w:szCs w:val="24"/>
          <w:highlight w:val="none"/>
          <w:lang w:val="en-US" w:eastAsia="zh-CN"/>
        </w:rPr>
        <w:t>17</w:t>
      </w:r>
      <w:r>
        <w:rPr>
          <w:rFonts w:hint="eastAsia" w:ascii="仿宋" w:hAnsi="仿宋" w:eastAsia="仿宋" w:cs="仿宋"/>
          <w:color w:val="000000"/>
          <w:sz w:val="24"/>
          <w:szCs w:val="24"/>
          <w:highlight w:val="none"/>
          <w:lang w:val="zh-CN"/>
        </w:rPr>
        <w:t>室。</w:t>
      </w:r>
    </w:p>
    <w:p w14:paraId="47AB4333">
      <w:pPr>
        <w:spacing w:line="300" w:lineRule="auto"/>
        <w:ind w:firstLine="6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方式：</w:t>
      </w:r>
      <w:r>
        <w:rPr>
          <w:rFonts w:hint="eastAsia" w:ascii="仿宋" w:hAnsi="仿宋" w:eastAsia="仿宋" w:cs="仿宋"/>
          <w:color w:val="000000"/>
          <w:sz w:val="24"/>
          <w:szCs w:val="24"/>
          <w:highlight w:val="none"/>
          <w:lang w:val="zh-CN"/>
        </w:rPr>
        <w:t>投标申请人的法定代表人或其授权的委托代理人持个人有效身份证件原件及复印件、营业执照复印件、单位介绍信原件（或授权委托书原件）至南京东来工程咨询有限公司购买纸质文件(网上登记请微信搜索公众号“东来招标”)。</w:t>
      </w:r>
    </w:p>
    <w:p w14:paraId="62A56D15">
      <w:pPr>
        <w:spacing w:line="300" w:lineRule="auto"/>
        <w:ind w:firstLine="600"/>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售价：每本0元人民币，售后不退；</w:t>
      </w:r>
    </w:p>
    <w:p w14:paraId="00BFBDB3">
      <w:pPr>
        <w:pStyle w:val="256"/>
        <w:spacing w:before="145" w:after="145" w:line="276" w:lineRule="auto"/>
        <w:ind w:firstLine="320"/>
        <w:rPr>
          <w:rFonts w:hint="eastAsia" w:ascii="仿宋" w:hAnsi="仿宋" w:eastAsia="仿宋" w:cs="仿宋"/>
          <w:color w:val="000000"/>
          <w:highlight w:val="none"/>
        </w:rPr>
      </w:pPr>
      <w:r>
        <w:rPr>
          <w:rFonts w:hint="eastAsia" w:ascii="仿宋" w:hAnsi="仿宋" w:eastAsia="仿宋" w:cs="仿宋"/>
          <w:color w:val="000000"/>
          <w:highlight w:val="none"/>
        </w:rPr>
        <w:t>四、响应文件的提交方式、截止时间和地点</w:t>
      </w:r>
    </w:p>
    <w:p w14:paraId="00BFBDB4">
      <w:pPr>
        <w:spacing w:line="300" w:lineRule="auto"/>
        <w:ind w:firstLine="6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提交方式：纸质邮寄</w:t>
      </w:r>
    </w:p>
    <w:p w14:paraId="00BFBDB5">
      <w:pPr>
        <w:spacing w:line="300" w:lineRule="auto"/>
        <w:ind w:firstLine="6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正本份数：1份（正本须打印后每页盖章）</w:t>
      </w:r>
    </w:p>
    <w:p w14:paraId="00BFBDB6">
      <w:pPr>
        <w:spacing w:line="300" w:lineRule="auto"/>
        <w:ind w:firstLine="6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副本份数：</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份 （正本签字盖章后复印即可）</w:t>
      </w:r>
    </w:p>
    <w:p w14:paraId="00BFBDB7">
      <w:pPr>
        <w:spacing w:line="300" w:lineRule="auto"/>
        <w:ind w:firstLine="6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电子档文件：1份（正本签字盖章后的扫描件PDF和可编辑的Word版本，往期演出照片、视频。电子投标文件以U盘/光盘为载体）</w:t>
      </w:r>
    </w:p>
    <w:p w14:paraId="52CF151A">
      <w:pPr>
        <w:spacing w:line="300" w:lineRule="auto"/>
        <w:ind w:firstLine="600"/>
        <w:rPr>
          <w:rFonts w:hint="eastAsia" w:ascii="仿宋" w:hAnsi="仿宋" w:eastAsia="仿宋" w:cs="仿宋"/>
          <w:color w:val="FF0000"/>
          <w:sz w:val="24"/>
          <w:szCs w:val="24"/>
          <w:highlight w:val="none"/>
        </w:rPr>
      </w:pPr>
      <w:r>
        <w:rPr>
          <w:rFonts w:hint="eastAsia" w:ascii="仿宋" w:hAnsi="仿宋" w:eastAsia="仿宋" w:cs="仿宋"/>
          <w:color w:val="000000"/>
          <w:sz w:val="24"/>
          <w:szCs w:val="24"/>
          <w:highlight w:val="none"/>
          <w:lang w:val="en-US" w:eastAsia="zh-CN"/>
        </w:rPr>
        <w:t>接收文件</w:t>
      </w:r>
      <w:r>
        <w:rPr>
          <w:rFonts w:hint="eastAsia" w:ascii="仿宋" w:hAnsi="仿宋" w:eastAsia="仿宋" w:cs="仿宋"/>
          <w:color w:val="000000"/>
          <w:sz w:val="24"/>
          <w:szCs w:val="24"/>
          <w:highlight w:val="none"/>
        </w:rPr>
        <w:t>截止时间：</w:t>
      </w:r>
      <w:r>
        <w:rPr>
          <w:rFonts w:hint="eastAsia" w:ascii="仿宋" w:hAnsi="仿宋" w:eastAsia="仿宋" w:cs="仿宋"/>
          <w:b/>
          <w:bCs/>
          <w:color w:val="000000"/>
          <w:sz w:val="24"/>
          <w:szCs w:val="24"/>
          <w:highlight w:val="none"/>
        </w:rPr>
        <w:t>202</w:t>
      </w:r>
      <w:r>
        <w:rPr>
          <w:rFonts w:hint="eastAsia" w:ascii="仿宋" w:hAnsi="仿宋" w:eastAsia="仿宋" w:cs="仿宋"/>
          <w:b/>
          <w:bCs/>
          <w:color w:val="000000"/>
          <w:sz w:val="24"/>
          <w:szCs w:val="24"/>
          <w:highlight w:val="none"/>
          <w:lang w:val="en-US" w:eastAsia="zh-CN"/>
        </w:rPr>
        <w:t>6</w:t>
      </w:r>
      <w:r>
        <w:rPr>
          <w:rFonts w:hint="eastAsia" w:ascii="仿宋" w:hAnsi="仿宋" w:eastAsia="仿宋" w:cs="仿宋"/>
          <w:b/>
          <w:bCs/>
          <w:color w:val="000000"/>
          <w:sz w:val="24"/>
          <w:szCs w:val="24"/>
          <w:highlight w:val="none"/>
        </w:rPr>
        <w:t xml:space="preserve">年 </w:t>
      </w:r>
      <w:r>
        <w:rPr>
          <w:rFonts w:hint="eastAsia" w:ascii="仿宋" w:hAnsi="仿宋" w:eastAsia="仿宋" w:cs="仿宋"/>
          <w:b/>
          <w:bCs/>
          <w:color w:val="000000"/>
          <w:sz w:val="24"/>
          <w:szCs w:val="24"/>
          <w:highlight w:val="none"/>
          <w:lang w:val="en-US" w:eastAsia="zh-CN"/>
        </w:rPr>
        <w:t>05</w:t>
      </w:r>
      <w:r>
        <w:rPr>
          <w:rFonts w:hint="eastAsia" w:ascii="仿宋" w:hAnsi="仿宋" w:eastAsia="仿宋" w:cs="仿宋"/>
          <w:b/>
          <w:bCs/>
          <w:color w:val="000000"/>
          <w:sz w:val="24"/>
          <w:szCs w:val="24"/>
          <w:highlight w:val="none"/>
        </w:rPr>
        <w:t>月</w:t>
      </w:r>
      <w:r>
        <w:rPr>
          <w:rFonts w:hint="eastAsia" w:ascii="仿宋" w:hAnsi="仿宋" w:eastAsia="仿宋" w:cs="仿宋"/>
          <w:b/>
          <w:bCs/>
          <w:color w:val="000000"/>
          <w:sz w:val="24"/>
          <w:szCs w:val="24"/>
          <w:highlight w:val="none"/>
          <w:lang w:val="en-US" w:eastAsia="zh-CN"/>
        </w:rPr>
        <w:t>14</w:t>
      </w:r>
      <w:r>
        <w:rPr>
          <w:rFonts w:hint="eastAsia" w:ascii="仿宋" w:hAnsi="仿宋" w:eastAsia="仿宋" w:cs="仿宋"/>
          <w:b/>
          <w:bCs/>
          <w:color w:val="000000"/>
          <w:sz w:val="24"/>
          <w:szCs w:val="24"/>
          <w:highlight w:val="none"/>
        </w:rPr>
        <w:t>日</w:t>
      </w:r>
      <w:r>
        <w:rPr>
          <w:rFonts w:hint="eastAsia" w:ascii="仿宋" w:hAnsi="仿宋" w:eastAsia="仿宋" w:cs="仿宋"/>
          <w:b/>
          <w:bCs/>
          <w:color w:val="000000"/>
          <w:sz w:val="24"/>
          <w:szCs w:val="24"/>
          <w:highlight w:val="none"/>
          <w:lang w:val="en-US" w:eastAsia="zh-CN"/>
        </w:rPr>
        <w:t>09</w:t>
      </w:r>
      <w:r>
        <w:rPr>
          <w:rFonts w:hint="eastAsia" w:ascii="仿宋" w:hAnsi="仿宋" w:eastAsia="仿宋" w:cs="仿宋"/>
          <w:b/>
          <w:bCs/>
          <w:color w:val="000000"/>
          <w:sz w:val="24"/>
          <w:szCs w:val="24"/>
          <w:highlight w:val="none"/>
        </w:rPr>
        <w:t>时</w:t>
      </w:r>
      <w:r>
        <w:rPr>
          <w:rFonts w:hint="eastAsia" w:ascii="仿宋" w:hAnsi="仿宋" w:eastAsia="仿宋" w:cs="仿宋"/>
          <w:b/>
          <w:bCs/>
          <w:color w:val="000000"/>
          <w:sz w:val="24"/>
          <w:szCs w:val="24"/>
          <w:highlight w:val="none"/>
          <w:lang w:val="en-US" w:eastAsia="zh-CN"/>
        </w:rPr>
        <w:t>30分</w:t>
      </w:r>
      <w:r>
        <w:rPr>
          <w:rFonts w:hint="eastAsia" w:ascii="仿宋" w:hAnsi="仿宋" w:eastAsia="仿宋" w:cs="仿宋"/>
          <w:b/>
          <w:bCs/>
          <w:color w:val="000000"/>
          <w:sz w:val="24"/>
          <w:szCs w:val="24"/>
          <w:highlight w:val="none"/>
        </w:rPr>
        <w:t>（</w:t>
      </w:r>
      <w:r>
        <w:rPr>
          <w:rFonts w:hint="eastAsia" w:ascii="仿宋" w:hAnsi="仿宋" w:eastAsia="仿宋" w:cs="仿宋"/>
          <w:b/>
          <w:bCs/>
          <w:color w:val="000000"/>
          <w:sz w:val="24"/>
          <w:szCs w:val="24"/>
          <w:highlight w:val="none"/>
          <w:lang w:val="en-US" w:eastAsia="zh-CN"/>
        </w:rPr>
        <w:t>收到</w:t>
      </w:r>
      <w:r>
        <w:rPr>
          <w:rFonts w:hint="eastAsia" w:ascii="仿宋" w:hAnsi="仿宋" w:eastAsia="仿宋" w:cs="仿宋"/>
          <w:b/>
          <w:bCs/>
          <w:color w:val="000000"/>
          <w:sz w:val="24"/>
          <w:szCs w:val="24"/>
          <w:highlight w:val="none"/>
        </w:rPr>
        <w:t>时间</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若不是顺丰，请电话通知</w:t>
      </w:r>
      <w:r>
        <w:rPr>
          <w:rFonts w:hint="eastAsia" w:ascii="仿宋" w:hAnsi="仿宋" w:eastAsia="仿宋" w:cs="仿宋"/>
          <w:b/>
          <w:bCs/>
          <w:color w:val="000000"/>
          <w:sz w:val="24"/>
          <w:szCs w:val="24"/>
          <w:highlight w:val="none"/>
        </w:rPr>
        <w:t>）</w:t>
      </w:r>
    </w:p>
    <w:p w14:paraId="00BFBDB9">
      <w:pPr>
        <w:spacing w:line="300" w:lineRule="auto"/>
        <w:ind w:firstLine="600"/>
        <w:rPr>
          <w:rFonts w:hint="eastAsia" w:ascii="仿宋" w:hAnsi="仿宋" w:eastAsia="仿宋" w:cs="仿宋"/>
          <w:b/>
          <w:bCs/>
          <w:color w:val="000000"/>
          <w:sz w:val="24"/>
          <w:szCs w:val="24"/>
          <w:highlight w:val="none"/>
          <w:lang w:eastAsia="zh-CN"/>
        </w:rPr>
      </w:pPr>
      <w:r>
        <w:rPr>
          <w:rFonts w:hint="eastAsia" w:ascii="仿宋" w:hAnsi="仿宋" w:eastAsia="仿宋" w:cs="仿宋"/>
          <w:b/>
          <w:bCs/>
          <w:color w:val="000000"/>
          <w:sz w:val="24"/>
          <w:szCs w:val="24"/>
          <w:highlight w:val="none"/>
        </w:rPr>
        <w:t>邮寄地点：</w:t>
      </w:r>
      <w:bookmarkStart w:id="25" w:name="_Toc28359007"/>
      <w:bookmarkStart w:id="26" w:name="_Toc35393625"/>
      <w:bookmarkStart w:id="27" w:name="_Toc35393794"/>
      <w:bookmarkStart w:id="28" w:name="_Toc38985267"/>
      <w:bookmarkStart w:id="29" w:name="_Toc28359084"/>
      <w:r>
        <w:rPr>
          <w:rFonts w:hint="eastAsia" w:ascii="仿宋" w:hAnsi="仿宋" w:eastAsia="仿宋" w:cs="仿宋"/>
          <w:b/>
          <w:bCs/>
          <w:color w:val="000000"/>
          <w:sz w:val="24"/>
          <w:szCs w:val="24"/>
          <w:highlight w:val="none"/>
          <w:lang w:eastAsia="zh-CN"/>
        </w:rPr>
        <w:t>南京市江宁区府前东路9号万达广场E座1217室。</w:t>
      </w:r>
    </w:p>
    <w:p w14:paraId="00BFBDBA">
      <w:pPr>
        <w:spacing w:line="300" w:lineRule="auto"/>
        <w:ind w:firstLine="600"/>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联系人：</w:t>
      </w:r>
      <w:r>
        <w:rPr>
          <w:rFonts w:hint="eastAsia" w:ascii="仿宋" w:hAnsi="仿宋" w:eastAsia="仿宋" w:cs="仿宋"/>
          <w:b/>
          <w:bCs/>
          <w:color w:val="000000"/>
          <w:sz w:val="24"/>
          <w:szCs w:val="24"/>
          <w:highlight w:val="none"/>
          <w:lang w:val="en-US" w:eastAsia="zh-CN"/>
        </w:rPr>
        <w:t>丁</w:t>
      </w:r>
      <w:r>
        <w:rPr>
          <w:rFonts w:hint="eastAsia" w:ascii="仿宋" w:hAnsi="仿宋" w:eastAsia="仿宋" w:cs="仿宋"/>
          <w:b/>
          <w:bCs/>
          <w:color w:val="000000"/>
          <w:sz w:val="24"/>
          <w:szCs w:val="24"/>
          <w:highlight w:val="none"/>
        </w:rPr>
        <w:t>工</w:t>
      </w:r>
    </w:p>
    <w:p w14:paraId="00BFBDBB">
      <w:pPr>
        <w:spacing w:line="300" w:lineRule="auto"/>
        <w:ind w:firstLine="600"/>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rPr>
        <w:t>联系方式：</w:t>
      </w:r>
      <w:r>
        <w:rPr>
          <w:rFonts w:hint="eastAsia" w:ascii="仿宋" w:hAnsi="仿宋" w:eastAsia="仿宋" w:cs="仿宋"/>
          <w:b/>
          <w:bCs/>
          <w:color w:val="000000"/>
          <w:sz w:val="24"/>
          <w:szCs w:val="24"/>
          <w:highlight w:val="none"/>
          <w:lang w:val="en-US" w:eastAsia="zh-CN"/>
        </w:rPr>
        <w:t>18014721481</w:t>
      </w:r>
    </w:p>
    <w:p w14:paraId="5A1D613D">
      <w:pPr>
        <w:pStyle w:val="256"/>
        <w:spacing w:before="145" w:after="145" w:line="276" w:lineRule="auto"/>
        <w:ind w:firstLine="320"/>
        <w:rPr>
          <w:rFonts w:hint="default" w:ascii="仿宋" w:hAnsi="仿宋" w:eastAsia="仿宋" w:cs="仿宋"/>
          <w:color w:val="000000"/>
          <w:highlight w:val="none"/>
          <w:lang w:val="en-US" w:eastAsia="zh-CN"/>
        </w:rPr>
      </w:pPr>
      <w:r>
        <w:rPr>
          <w:rFonts w:hint="eastAsia" w:ascii="仿宋" w:hAnsi="仿宋" w:eastAsia="仿宋" w:cs="仿宋"/>
          <w:color w:val="000000"/>
          <w:highlight w:val="none"/>
        </w:rPr>
        <w:t>五、</w:t>
      </w:r>
      <w:r>
        <w:rPr>
          <w:rFonts w:hint="eastAsia" w:ascii="仿宋" w:hAnsi="仿宋" w:eastAsia="仿宋" w:cs="仿宋"/>
          <w:color w:val="000000"/>
          <w:highlight w:val="none"/>
          <w:lang w:val="en-US" w:eastAsia="zh-CN"/>
        </w:rPr>
        <w:t>不见面开标</w:t>
      </w:r>
    </w:p>
    <w:p w14:paraId="7DF4F1DB">
      <w:pPr>
        <w:pStyle w:val="256"/>
        <w:spacing w:before="145" w:after="145" w:line="276" w:lineRule="auto"/>
        <w:ind w:firstLine="320"/>
        <w:rPr>
          <w:rFonts w:hint="eastAsia" w:ascii="仿宋" w:hAnsi="仿宋" w:eastAsia="仿宋" w:cs="仿宋"/>
          <w:b w:val="0"/>
          <w:bCs w:val="0"/>
          <w:color w:val="000000"/>
          <w:sz w:val="24"/>
          <w:szCs w:val="24"/>
          <w:highlight w:val="none"/>
          <w:lang w:val="en-US" w:eastAsia="zh-CN" w:bidi="ar-SA"/>
        </w:rPr>
      </w:pPr>
      <w:r>
        <w:rPr>
          <w:rFonts w:hint="eastAsia" w:ascii="仿宋" w:hAnsi="仿宋" w:eastAsia="仿宋" w:cs="仿宋"/>
          <w:b w:val="0"/>
          <w:bCs w:val="0"/>
          <w:color w:val="000000"/>
          <w:sz w:val="24"/>
          <w:szCs w:val="24"/>
          <w:highlight w:val="none"/>
          <w:lang w:val="en-US" w:eastAsia="zh-CN" w:bidi="ar-SA"/>
        </w:rPr>
        <w:t>开标时间：2026年 05月14日09时30分</w:t>
      </w:r>
    </w:p>
    <w:p w14:paraId="32091382">
      <w:pPr>
        <w:pStyle w:val="256"/>
        <w:spacing w:before="145" w:after="145" w:line="276" w:lineRule="auto"/>
        <w:ind w:firstLine="320"/>
        <w:rPr>
          <w:rFonts w:hint="eastAsia" w:ascii="仿宋" w:hAnsi="仿宋" w:eastAsia="仿宋" w:cs="仿宋"/>
          <w:b w:val="0"/>
          <w:bCs w:val="0"/>
          <w:color w:val="000000"/>
          <w:sz w:val="24"/>
          <w:szCs w:val="24"/>
          <w:highlight w:val="none"/>
          <w:lang w:val="en-US" w:eastAsia="zh-CN" w:bidi="ar-SA"/>
        </w:rPr>
      </w:pPr>
      <w:r>
        <w:rPr>
          <w:rFonts w:hint="eastAsia" w:ascii="仿宋" w:hAnsi="仿宋" w:eastAsia="仿宋" w:cs="仿宋"/>
          <w:b w:val="0"/>
          <w:bCs w:val="0"/>
          <w:color w:val="000000"/>
          <w:sz w:val="24"/>
          <w:szCs w:val="24"/>
          <w:highlight w:val="none"/>
          <w:lang w:val="en-US" w:eastAsia="zh-CN" w:bidi="ar-SA"/>
        </w:rPr>
        <w:t>开标地点：南京市江宁区府前东路9号万达广场E座1209室。</w:t>
      </w:r>
    </w:p>
    <w:p w14:paraId="42E538DF">
      <w:pPr>
        <w:pStyle w:val="256"/>
        <w:spacing w:before="145" w:after="145" w:line="276" w:lineRule="auto"/>
        <w:ind w:firstLine="320"/>
        <w:rPr>
          <w:rFonts w:hint="eastAsia" w:ascii="仿宋" w:hAnsi="仿宋" w:eastAsia="仿宋" w:cs="仿宋"/>
          <w:b w:val="0"/>
          <w:bCs w:val="0"/>
          <w:color w:val="000000"/>
          <w:sz w:val="24"/>
          <w:szCs w:val="24"/>
          <w:highlight w:val="none"/>
          <w:lang w:val="en-US" w:eastAsia="zh-CN" w:bidi="ar-SA"/>
        </w:rPr>
      </w:pPr>
      <w:r>
        <w:rPr>
          <w:rFonts w:hint="eastAsia" w:ascii="仿宋" w:hAnsi="仿宋" w:eastAsia="仿宋" w:cs="仿宋"/>
          <w:b w:val="0"/>
          <w:bCs w:val="0"/>
          <w:color w:val="000000"/>
          <w:sz w:val="24"/>
          <w:szCs w:val="24"/>
          <w:highlight w:val="none"/>
          <w:lang w:val="en-US" w:eastAsia="zh-CN" w:bidi="ar-SA"/>
        </w:rPr>
        <w:t>开标方式；不见面开标流程，详见附件。</w:t>
      </w:r>
    </w:p>
    <w:p w14:paraId="47C73ECA">
      <w:pPr>
        <w:pStyle w:val="254"/>
        <w:rPr>
          <w:rFonts w:hint="default" w:ascii="仿宋" w:hAnsi="仿宋" w:eastAsia="仿宋" w:cs="仿宋"/>
          <w:b w:val="0"/>
          <w:bCs w:val="0"/>
          <w:color w:val="000000"/>
          <w:sz w:val="24"/>
          <w:szCs w:val="24"/>
          <w:highlight w:val="none"/>
          <w:lang w:val="en-US" w:eastAsia="zh-CN" w:bidi="ar-SA"/>
        </w:rPr>
      </w:pPr>
      <w:r>
        <w:rPr>
          <w:rFonts w:hint="eastAsia" w:ascii="仿宋" w:hAnsi="仿宋" w:eastAsia="仿宋" w:cs="仿宋"/>
          <w:b w:val="0"/>
          <w:bCs w:val="0"/>
          <w:color w:val="000000"/>
          <w:sz w:val="24"/>
          <w:szCs w:val="24"/>
          <w:highlight w:val="none"/>
          <w:lang w:val="en-US" w:eastAsia="zh-CN" w:bidi="ar-SA"/>
        </w:rPr>
        <w:t>投标人未参加视频开标，以及未在视频会议中留言提出异议的，均视为认同开标过程及唱标结果。</w:t>
      </w:r>
    </w:p>
    <w:p w14:paraId="00BFBDBC">
      <w:pPr>
        <w:pStyle w:val="256"/>
        <w:spacing w:before="145" w:after="145" w:line="276" w:lineRule="auto"/>
        <w:ind w:firstLine="320"/>
        <w:rPr>
          <w:rFonts w:hint="eastAsia" w:ascii="仿宋" w:hAnsi="仿宋" w:eastAsia="仿宋" w:cs="仿宋"/>
          <w:color w:val="000000"/>
          <w:highlight w:val="none"/>
        </w:rPr>
      </w:pPr>
      <w:r>
        <w:rPr>
          <w:rFonts w:hint="eastAsia" w:ascii="仿宋" w:hAnsi="仿宋" w:eastAsia="仿宋" w:cs="仿宋"/>
          <w:color w:val="000000"/>
          <w:highlight w:val="none"/>
          <w:lang w:val="en-US" w:eastAsia="zh-CN"/>
        </w:rPr>
        <w:t>六</w:t>
      </w:r>
      <w:r>
        <w:rPr>
          <w:rFonts w:hint="eastAsia" w:ascii="仿宋" w:hAnsi="仿宋" w:eastAsia="仿宋" w:cs="仿宋"/>
          <w:color w:val="000000"/>
          <w:highlight w:val="none"/>
        </w:rPr>
        <w:t>、公告期限</w:t>
      </w:r>
      <w:bookmarkEnd w:id="25"/>
      <w:bookmarkEnd w:id="26"/>
      <w:bookmarkEnd w:id="27"/>
      <w:bookmarkEnd w:id="28"/>
      <w:bookmarkEnd w:id="29"/>
    </w:p>
    <w:p w14:paraId="00BFBDBD">
      <w:pPr>
        <w:spacing w:line="300" w:lineRule="auto"/>
        <w:ind w:firstLine="480"/>
        <w:rPr>
          <w:rFonts w:hint="eastAsia" w:ascii="仿宋" w:hAnsi="仿宋" w:eastAsia="仿宋" w:cs="仿宋"/>
          <w:color w:val="000000"/>
          <w:sz w:val="24"/>
          <w:szCs w:val="24"/>
          <w:highlight w:val="none"/>
        </w:rPr>
      </w:pPr>
      <w:bookmarkStart w:id="30" w:name="_Toc35393795"/>
      <w:bookmarkStart w:id="31" w:name="_Toc35393626"/>
      <w:bookmarkStart w:id="32" w:name="_Toc38985268"/>
      <w:r>
        <w:rPr>
          <w:rFonts w:hint="eastAsia" w:ascii="仿宋" w:hAnsi="仿宋" w:eastAsia="仿宋" w:cs="仿宋"/>
          <w:color w:val="000000"/>
          <w:sz w:val="24"/>
          <w:szCs w:val="24"/>
          <w:highlight w:val="none"/>
        </w:rPr>
        <w:t>征集公告及征集文件公告期限为自本公告发布之日起5个工作日。</w:t>
      </w:r>
    </w:p>
    <w:p w14:paraId="3DA63147">
      <w:pPr>
        <w:numPr>
          <w:ilvl w:val="0"/>
          <w:numId w:val="0"/>
        </w:numPr>
        <w:spacing w:line="300" w:lineRule="auto"/>
        <w:ind w:firstLine="321" w:firstLineChars="100"/>
        <w:rPr>
          <w:rFonts w:hint="default" w:ascii="仿宋" w:hAnsi="仿宋" w:eastAsia="仿宋" w:cs="仿宋"/>
          <w:b/>
          <w:bCs/>
          <w:color w:val="000000"/>
          <w:sz w:val="32"/>
          <w:szCs w:val="32"/>
          <w:highlight w:val="none"/>
          <w:lang w:val="en-US" w:eastAsia="zh-CN" w:bidi="ar-SA"/>
        </w:rPr>
      </w:pPr>
      <w:r>
        <w:rPr>
          <w:rFonts w:hint="eastAsia" w:ascii="仿宋" w:hAnsi="仿宋" w:eastAsia="仿宋" w:cs="仿宋"/>
          <w:b/>
          <w:bCs/>
          <w:color w:val="000000"/>
          <w:sz w:val="32"/>
          <w:szCs w:val="32"/>
          <w:highlight w:val="none"/>
          <w:lang w:val="en-US" w:eastAsia="zh-CN" w:bidi="ar-SA"/>
        </w:rPr>
        <w:t>七、其他事宜</w:t>
      </w:r>
    </w:p>
    <w:p w14:paraId="3194880C">
      <w:pPr>
        <w:spacing w:line="300" w:lineRule="auto"/>
        <w:ind w:firstLine="48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1.本次</w:t>
      </w:r>
      <w:r>
        <w:rPr>
          <w:rFonts w:hint="eastAsia" w:ascii="仿宋" w:hAnsi="仿宋" w:eastAsia="仿宋" w:cs="仿宋"/>
          <w:color w:val="000000"/>
          <w:sz w:val="24"/>
          <w:szCs w:val="24"/>
          <w:highlight w:val="none"/>
          <w:lang w:val="en-US" w:eastAsia="zh-CN"/>
        </w:rPr>
        <w:t>征集</w:t>
      </w:r>
      <w:r>
        <w:rPr>
          <w:rFonts w:hint="eastAsia" w:ascii="仿宋" w:hAnsi="仿宋" w:eastAsia="仿宋" w:cs="仿宋"/>
          <w:color w:val="000000"/>
          <w:sz w:val="24"/>
          <w:szCs w:val="24"/>
          <w:highlight w:val="none"/>
        </w:rPr>
        <w:t>不收取</w:t>
      </w:r>
      <w:r>
        <w:rPr>
          <w:rFonts w:hint="eastAsia" w:ascii="仿宋" w:hAnsi="仿宋" w:eastAsia="仿宋" w:cs="仿宋"/>
          <w:color w:val="000000"/>
          <w:sz w:val="24"/>
          <w:szCs w:val="24"/>
          <w:highlight w:val="none"/>
          <w:lang w:val="en-US" w:eastAsia="zh-CN"/>
        </w:rPr>
        <w:t>投标</w:t>
      </w:r>
      <w:r>
        <w:rPr>
          <w:rFonts w:hint="eastAsia" w:ascii="仿宋" w:hAnsi="仿宋" w:eastAsia="仿宋" w:cs="仿宋"/>
          <w:color w:val="000000"/>
          <w:sz w:val="24"/>
          <w:szCs w:val="24"/>
          <w:highlight w:val="none"/>
        </w:rPr>
        <w:t>保证金。</w:t>
      </w:r>
    </w:p>
    <w:p w14:paraId="35E60AD0">
      <w:pPr>
        <w:spacing w:line="300" w:lineRule="auto"/>
        <w:ind w:firstLine="48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.有关本次采购的事项若存在变动或修改，请及时关注“</w:t>
      </w:r>
      <w:r>
        <w:rPr>
          <w:rFonts w:hint="eastAsia" w:ascii="仿宋" w:hAnsi="仿宋" w:eastAsia="仿宋" w:cs="仿宋"/>
          <w:color w:val="000000"/>
          <w:sz w:val="24"/>
          <w:szCs w:val="24"/>
          <w:highlight w:val="none"/>
          <w:lang w:val="en-US" w:eastAsia="zh-CN"/>
        </w:rPr>
        <w:t>南京公共采购信息网</w:t>
      </w:r>
      <w:r>
        <w:rPr>
          <w:rFonts w:hint="eastAsia" w:ascii="仿宋" w:hAnsi="仿宋" w:eastAsia="仿宋" w:cs="仿宋"/>
          <w:color w:val="000000"/>
          <w:sz w:val="24"/>
          <w:szCs w:val="24"/>
          <w:highlight w:val="none"/>
        </w:rPr>
        <w:t>”（https://njgc.jfh.com/）更正公告。</w:t>
      </w:r>
    </w:p>
    <w:p w14:paraId="3D9B79FC">
      <w:pPr>
        <w:spacing w:line="300" w:lineRule="auto"/>
        <w:ind w:firstLine="48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.“根据《关于在政府采购活动中推行信用承诺制的通知》宁财购通〔2021〕5号规定， 参加南京地区政府采购活动的供应商，应以书面形式向采购人或政府采购代理机构作出信用承诺。供应商应尽早做好承诺工作，点击‘南京公共采购信息网’首页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要求完成注册），然后在“信用记录”模块页面点击“信用记录打印”下载本单位《南京市政府采购供应商信用记录表暨信用承诺书》，由法人签字并加盖单位公章，随响应文件一并递交。</w:t>
      </w:r>
    </w:p>
    <w:p w14:paraId="019B2994">
      <w:pPr>
        <w:spacing w:line="300" w:lineRule="auto"/>
        <w:ind w:firstLine="480"/>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在政府采购资格审查环节，供应商只需提供书面《南京市政府采购供应商信用记录表暨信用承诺书》，即可替代以下证明材料： （1）符合国家相关规定的财务状况报告； （2）依法缴纳税收的证明材料； （3）依法缴纳社会保障资金的证明材料； （4）具备履行政府采购合同所必需的设备和专业技术能力的证明材料； （5）参加政府采购活动前三年内在经营活动中没有重大违法记录的证明材料； （6）未被列入失信被执行人、重大税收违法失信主体、政府采购严重违法失信行为记录名单的证明材料。 供应商在中标（成交）后，应按采购文件要求，将上述由信用承诺书替代的证明材料提交采购人或采购代理机构核验。经核验无误后，由采购人或采购代理机构发出中标（成交）通知书。 供应商涉及以下情形的，不适用信用承诺： （1）供应商被列入严重失信主体名单； （2）被相关监管部门作出行政处罚且尚在处罚有效期内； （3）其他法律、行政法规规定的不适用信用承诺的情形。 供应商对信用承诺内容的真实性、合法性、有效性负责。如作出虚假信用承诺，视同为“提供虚假材料谋取中标、成交”的违法行为。</w:t>
      </w:r>
    </w:p>
    <w:bookmarkEnd w:id="30"/>
    <w:bookmarkEnd w:id="31"/>
    <w:bookmarkEnd w:id="32"/>
    <w:p w14:paraId="00BFBDBE">
      <w:pPr>
        <w:pStyle w:val="256"/>
        <w:spacing w:before="145" w:after="145" w:line="276" w:lineRule="auto"/>
        <w:ind w:firstLine="320"/>
        <w:rPr>
          <w:rFonts w:hint="eastAsia" w:ascii="仿宋" w:hAnsi="仿宋" w:eastAsia="仿宋" w:cs="仿宋"/>
          <w:color w:val="000000"/>
          <w:highlight w:val="none"/>
        </w:rPr>
      </w:pPr>
      <w:bookmarkStart w:id="33" w:name="_Toc35393796"/>
      <w:bookmarkStart w:id="34" w:name="_Toc28359008"/>
      <w:bookmarkStart w:id="35" w:name="_Toc35393627"/>
      <w:bookmarkStart w:id="36" w:name="_Toc28359085"/>
      <w:bookmarkStart w:id="37" w:name="_Toc38985269"/>
      <w:r>
        <w:rPr>
          <w:rFonts w:hint="eastAsia" w:ascii="仿宋" w:hAnsi="仿宋" w:eastAsia="仿宋" w:cs="仿宋"/>
          <w:color w:val="000000"/>
          <w:highlight w:val="none"/>
          <w:lang w:val="en-US" w:eastAsia="zh-CN"/>
        </w:rPr>
        <w:t>八</w:t>
      </w:r>
      <w:r>
        <w:rPr>
          <w:rFonts w:hint="eastAsia" w:ascii="仿宋" w:hAnsi="仿宋" w:eastAsia="仿宋" w:cs="仿宋"/>
          <w:color w:val="000000"/>
          <w:highlight w:val="none"/>
        </w:rPr>
        <w:t>、</w:t>
      </w:r>
      <w:bookmarkEnd w:id="33"/>
      <w:bookmarkEnd w:id="34"/>
      <w:bookmarkEnd w:id="35"/>
      <w:bookmarkEnd w:id="36"/>
      <w:bookmarkEnd w:id="37"/>
      <w:r>
        <w:rPr>
          <w:rFonts w:hint="eastAsia" w:ascii="仿宋" w:hAnsi="仿宋" w:eastAsia="仿宋" w:cs="仿宋"/>
          <w:color w:val="000000"/>
          <w:highlight w:val="none"/>
        </w:rPr>
        <w:t>征集人相关信息</w:t>
      </w:r>
    </w:p>
    <w:p w14:paraId="00BFBDBF">
      <w:pPr>
        <w:spacing w:line="300" w:lineRule="auto"/>
        <w:ind w:firstLine="48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1.采购人信息</w:t>
      </w:r>
    </w:p>
    <w:p w14:paraId="00BFBDC0">
      <w:pPr>
        <w:spacing w:line="300" w:lineRule="auto"/>
        <w:ind w:firstLine="48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名 称：</w:t>
      </w:r>
      <w:r>
        <w:rPr>
          <w:rFonts w:hint="eastAsia" w:ascii="仿宋" w:hAnsi="仿宋" w:eastAsia="仿宋" w:cs="仿宋"/>
          <w:color w:val="000000"/>
          <w:sz w:val="24"/>
          <w:szCs w:val="24"/>
          <w:highlight w:val="none"/>
          <w:lang w:eastAsia="zh-CN"/>
        </w:rPr>
        <w:t>南京市江宁区文化和旅游局</w:t>
      </w:r>
    </w:p>
    <w:p w14:paraId="00BFBDC1">
      <w:pPr>
        <w:spacing w:line="300" w:lineRule="auto"/>
        <w:ind w:firstLine="48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地址：</w:t>
      </w:r>
      <w:r>
        <w:rPr>
          <w:rFonts w:hint="eastAsia" w:ascii="仿宋" w:hAnsi="仿宋" w:eastAsia="仿宋" w:cs="仿宋"/>
          <w:color w:val="000000"/>
          <w:sz w:val="24"/>
          <w:szCs w:val="24"/>
          <w:highlight w:val="none"/>
          <w:lang w:val="zh-CN" w:eastAsia="zh-CN"/>
        </w:rPr>
        <w:t>南京市江宁区胜太路18号</w:t>
      </w:r>
      <w:r>
        <w:rPr>
          <w:rFonts w:hint="eastAsia" w:ascii="仿宋" w:hAnsi="仿宋" w:eastAsia="仿宋" w:cs="仿宋"/>
          <w:color w:val="000000"/>
          <w:sz w:val="24"/>
          <w:szCs w:val="24"/>
          <w:highlight w:val="none"/>
        </w:rPr>
        <w:t xml:space="preserve"> </w:t>
      </w:r>
    </w:p>
    <w:p w14:paraId="00BFBDC2">
      <w:pPr>
        <w:spacing w:line="300" w:lineRule="auto"/>
        <w:ind w:firstLine="48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联系人：</w:t>
      </w:r>
      <w:r>
        <w:rPr>
          <w:rFonts w:hint="eastAsia" w:ascii="仿宋" w:hAnsi="仿宋" w:eastAsia="仿宋" w:cs="仿宋"/>
          <w:color w:val="000000"/>
          <w:sz w:val="24"/>
          <w:szCs w:val="24"/>
          <w:highlight w:val="none"/>
          <w:lang w:val="en-US" w:eastAsia="zh-CN"/>
        </w:rPr>
        <w:t xml:space="preserve">吴科长 </w:t>
      </w:r>
    </w:p>
    <w:p w14:paraId="00BFBDC3">
      <w:pPr>
        <w:spacing w:line="300" w:lineRule="auto"/>
        <w:ind w:firstLine="48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联系方式：025-52188768</w:t>
      </w:r>
      <w:r>
        <w:rPr>
          <w:rFonts w:hint="eastAsia" w:ascii="仿宋" w:hAnsi="仿宋" w:eastAsia="仿宋" w:cs="仿宋"/>
          <w:color w:val="000000"/>
          <w:sz w:val="24"/>
          <w:szCs w:val="24"/>
          <w:highlight w:val="none"/>
          <w:lang w:val="en-US" w:eastAsia="zh-CN"/>
        </w:rPr>
        <w:t xml:space="preserve"> </w:t>
      </w:r>
    </w:p>
    <w:p w14:paraId="00BFBDC4">
      <w:pPr>
        <w:spacing w:line="300" w:lineRule="auto"/>
        <w:ind w:firstLine="48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2.采购代理机构信息</w:t>
      </w:r>
    </w:p>
    <w:p w14:paraId="00BFBDC5">
      <w:pPr>
        <w:spacing w:line="300" w:lineRule="auto"/>
        <w:ind w:firstLine="480"/>
        <w:rPr>
          <w:rFonts w:hint="eastAsia" w:ascii="仿宋" w:hAnsi="仿宋" w:eastAsia="仿宋" w:cs="仿宋"/>
          <w:color w:val="000000"/>
          <w:sz w:val="24"/>
          <w:szCs w:val="24"/>
          <w:highlight w:val="none"/>
          <w:lang w:eastAsia="zh-CN"/>
        </w:rPr>
      </w:pPr>
      <w:bookmarkStart w:id="38" w:name="_Toc17423"/>
      <w:r>
        <w:rPr>
          <w:rFonts w:hint="eastAsia" w:ascii="仿宋" w:hAnsi="仿宋" w:eastAsia="仿宋" w:cs="仿宋"/>
          <w:color w:val="000000"/>
          <w:sz w:val="24"/>
          <w:szCs w:val="24"/>
          <w:highlight w:val="none"/>
        </w:rPr>
        <w:t>名称：</w:t>
      </w:r>
      <w:bookmarkEnd w:id="38"/>
      <w:r>
        <w:rPr>
          <w:rFonts w:hint="eastAsia" w:ascii="仿宋" w:hAnsi="仿宋" w:eastAsia="仿宋" w:cs="仿宋"/>
          <w:color w:val="000000"/>
          <w:sz w:val="24"/>
          <w:szCs w:val="24"/>
          <w:highlight w:val="none"/>
          <w:lang w:eastAsia="zh-CN"/>
        </w:rPr>
        <w:t>南京东来工程咨询有限公司</w:t>
      </w:r>
    </w:p>
    <w:p w14:paraId="00BFBDC6">
      <w:pPr>
        <w:spacing w:line="300" w:lineRule="auto"/>
        <w:ind w:firstLine="48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地址：</w:t>
      </w:r>
      <w:r>
        <w:rPr>
          <w:rFonts w:hint="eastAsia" w:ascii="仿宋" w:hAnsi="仿宋" w:eastAsia="仿宋" w:cs="仿宋"/>
          <w:color w:val="000000"/>
          <w:sz w:val="24"/>
          <w:szCs w:val="24"/>
          <w:highlight w:val="none"/>
          <w:lang w:eastAsia="zh-CN"/>
        </w:rPr>
        <w:t>南京市江宁区府前东路9号万达广场E座1217室</w:t>
      </w:r>
    </w:p>
    <w:p w14:paraId="00BFBDC7">
      <w:pPr>
        <w:spacing w:line="300" w:lineRule="auto"/>
        <w:ind w:firstLine="48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联系人：</w:t>
      </w:r>
      <w:bookmarkStart w:id="39" w:name="_Toc28359087"/>
      <w:bookmarkStart w:id="40" w:name="_Toc28359010"/>
      <w:r>
        <w:rPr>
          <w:rFonts w:hint="eastAsia" w:ascii="仿宋" w:hAnsi="仿宋" w:eastAsia="仿宋" w:cs="仿宋"/>
          <w:color w:val="000000"/>
          <w:sz w:val="24"/>
          <w:szCs w:val="24"/>
          <w:highlight w:val="none"/>
          <w:lang w:eastAsia="zh-CN"/>
        </w:rPr>
        <w:t>丁工</w:t>
      </w:r>
    </w:p>
    <w:p w14:paraId="00BFBDC8">
      <w:pPr>
        <w:spacing w:line="300" w:lineRule="auto"/>
        <w:ind w:firstLine="48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联系方式：</w:t>
      </w:r>
      <w:r>
        <w:rPr>
          <w:rFonts w:hint="eastAsia" w:ascii="仿宋" w:hAnsi="仿宋" w:eastAsia="仿宋" w:cs="仿宋"/>
          <w:color w:val="000000"/>
          <w:sz w:val="24"/>
          <w:szCs w:val="24"/>
          <w:highlight w:val="none"/>
          <w:lang w:eastAsia="zh-CN"/>
        </w:rPr>
        <w:t>025-51195811</w:t>
      </w:r>
    </w:p>
    <w:bookmarkEnd w:id="39"/>
    <w:bookmarkEnd w:id="40"/>
    <w:p w14:paraId="00BFBDC9">
      <w:pPr>
        <w:pStyle w:val="252"/>
        <w:rPr>
          <w:rFonts w:hint="eastAsia" w:ascii="仿宋" w:hAnsi="仿宋" w:eastAsia="仿宋" w:cs="仿宋"/>
          <w:color w:val="000000"/>
          <w:sz w:val="44"/>
          <w:szCs w:val="44"/>
          <w:highlight w:val="none"/>
        </w:rPr>
      </w:pPr>
      <w:r>
        <w:rPr>
          <w:rFonts w:hint="eastAsia" w:ascii="仿宋" w:hAnsi="仿宋" w:eastAsia="仿宋" w:cs="仿宋"/>
          <w:color w:val="000000"/>
          <w:sz w:val="24"/>
          <w:szCs w:val="24"/>
          <w:highlight w:val="none"/>
        </w:rPr>
        <w:br w:type="page" w:clear="all"/>
      </w:r>
      <w:bookmarkStart w:id="41" w:name="_Toc120614211"/>
      <w:bookmarkStart w:id="42" w:name="_Toc19603"/>
      <w:r>
        <w:rPr>
          <w:rFonts w:hint="eastAsia" w:ascii="黑体" w:hAnsi="黑体" w:eastAsia="黑体" w:cs="黑体"/>
          <w:color w:val="000000"/>
          <w:sz w:val="44"/>
          <w:szCs w:val="44"/>
          <w:highlight w:val="none"/>
        </w:rPr>
        <w:t xml:space="preserve">第二章  </w:t>
      </w:r>
      <w:bookmarkEnd w:id="2"/>
      <w:bookmarkEnd w:id="3"/>
      <w:bookmarkEnd w:id="4"/>
      <w:bookmarkEnd w:id="5"/>
      <w:bookmarkEnd w:id="6"/>
      <w:bookmarkEnd w:id="41"/>
      <w:bookmarkStart w:id="43" w:name="_Toc120614213"/>
      <w:bookmarkStart w:id="44" w:name="_Toc16938518"/>
      <w:bookmarkStart w:id="45" w:name="_Toc513029202"/>
      <w:bookmarkStart w:id="46" w:name="_Toc20823274"/>
      <w:r>
        <w:rPr>
          <w:rFonts w:hint="eastAsia" w:ascii="黑体" w:hAnsi="黑体" w:eastAsia="黑体" w:cs="黑体"/>
          <w:color w:val="000000"/>
          <w:sz w:val="44"/>
          <w:szCs w:val="44"/>
          <w:highlight w:val="none"/>
        </w:rPr>
        <w:t>供应商须知</w:t>
      </w:r>
      <w:bookmarkEnd w:id="42"/>
      <w:bookmarkEnd w:id="43"/>
      <w:bookmarkEnd w:id="44"/>
      <w:bookmarkEnd w:id="45"/>
      <w:bookmarkEnd w:id="46"/>
    </w:p>
    <w:p w14:paraId="00BFBDCA">
      <w:pPr>
        <w:pStyle w:val="256"/>
        <w:spacing w:before="145" w:after="145" w:line="276" w:lineRule="auto"/>
        <w:ind w:firstLine="320"/>
        <w:rPr>
          <w:rFonts w:hint="eastAsia" w:ascii="仿宋" w:hAnsi="仿宋" w:eastAsia="仿宋" w:cs="仿宋"/>
          <w:color w:val="000000"/>
          <w:highlight w:val="none"/>
        </w:rPr>
      </w:pPr>
      <w:bookmarkStart w:id="47" w:name="_Toc20823275"/>
      <w:bookmarkStart w:id="48" w:name="_Toc513029203"/>
      <w:bookmarkStart w:id="49" w:name="_Toc120614214"/>
      <w:bookmarkStart w:id="50" w:name="_Toc16938519"/>
      <w:r>
        <w:rPr>
          <w:rFonts w:hint="eastAsia" w:ascii="仿宋" w:hAnsi="仿宋" w:eastAsia="仿宋" w:cs="仿宋"/>
          <w:color w:val="000000"/>
          <w:highlight w:val="none"/>
        </w:rPr>
        <w:t>一、总则</w:t>
      </w:r>
      <w:bookmarkEnd w:id="47"/>
      <w:bookmarkEnd w:id="48"/>
      <w:bookmarkEnd w:id="49"/>
      <w:bookmarkEnd w:id="50"/>
    </w:p>
    <w:p w14:paraId="00BFBDCB">
      <w:pPr>
        <w:pStyle w:val="257"/>
        <w:spacing w:before="0" w:after="0" w:line="276" w:lineRule="auto"/>
        <w:ind w:firstLine="420"/>
        <w:rPr>
          <w:rFonts w:hint="eastAsia" w:ascii="仿宋" w:hAnsi="仿宋" w:eastAsia="仿宋" w:cs="仿宋"/>
          <w:b w:val="0"/>
          <w:bCs w:val="0"/>
          <w:color w:val="000000"/>
          <w:highlight w:val="none"/>
        </w:rPr>
      </w:pPr>
      <w:bookmarkStart w:id="51" w:name="_Hlt16619475"/>
      <w:bookmarkEnd w:id="51"/>
      <w:bookmarkStart w:id="52" w:name="_Toc458694821"/>
      <w:bookmarkStart w:id="53" w:name="_Toc20823276"/>
      <w:bookmarkStart w:id="54" w:name="_Toc513029204"/>
      <w:bookmarkStart w:id="55" w:name="_Toc16938520"/>
      <w:r>
        <w:rPr>
          <w:rFonts w:hint="eastAsia" w:ascii="仿宋" w:hAnsi="仿宋" w:eastAsia="仿宋" w:cs="仿宋"/>
          <w:b w:val="0"/>
          <w:bCs w:val="0"/>
          <w:color w:val="000000"/>
          <w:highlight w:val="none"/>
        </w:rPr>
        <w:t>1</w:t>
      </w:r>
      <w:bookmarkEnd w:id="52"/>
      <w:r>
        <w:rPr>
          <w:rFonts w:hint="eastAsia" w:ascii="仿宋" w:hAnsi="仿宋" w:eastAsia="仿宋" w:cs="仿宋"/>
          <w:b w:val="0"/>
          <w:bCs w:val="0"/>
          <w:color w:val="000000"/>
          <w:highlight w:val="none"/>
        </w:rPr>
        <w:t>、采购方式</w:t>
      </w:r>
      <w:bookmarkEnd w:id="53"/>
      <w:bookmarkEnd w:id="54"/>
      <w:bookmarkEnd w:id="55"/>
    </w:p>
    <w:p w14:paraId="00BFBDCC">
      <w:pPr>
        <w:spacing w:line="276" w:lineRule="auto"/>
        <w:ind w:firstLine="48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 本项目采用封闭式框架协议（参照）采购方式，本征集文件仅适用于征集公告中所述项目。</w:t>
      </w:r>
    </w:p>
    <w:p w14:paraId="00BFBDCD">
      <w:pPr>
        <w:pStyle w:val="257"/>
        <w:spacing w:before="0" w:after="0" w:line="276" w:lineRule="auto"/>
        <w:ind w:firstLine="420"/>
        <w:rPr>
          <w:rFonts w:hint="eastAsia" w:ascii="仿宋" w:hAnsi="仿宋" w:eastAsia="仿宋" w:cs="仿宋"/>
          <w:b w:val="0"/>
          <w:bCs w:val="0"/>
          <w:color w:val="000000"/>
          <w:highlight w:val="none"/>
        </w:rPr>
      </w:pPr>
      <w:bookmarkStart w:id="56" w:name="_Toc513029205"/>
      <w:bookmarkStart w:id="57" w:name="_Toc20823277"/>
      <w:bookmarkStart w:id="58" w:name="_Toc16938521"/>
      <w:r>
        <w:rPr>
          <w:rFonts w:hint="eastAsia" w:ascii="仿宋" w:hAnsi="仿宋" w:eastAsia="仿宋" w:cs="仿宋"/>
          <w:b w:val="0"/>
          <w:bCs w:val="0"/>
          <w:color w:val="000000"/>
          <w:highlight w:val="none"/>
        </w:rPr>
        <w:t>2、合格的</w:t>
      </w:r>
      <w:bookmarkEnd w:id="56"/>
      <w:bookmarkEnd w:id="57"/>
      <w:bookmarkEnd w:id="58"/>
      <w:r>
        <w:rPr>
          <w:rFonts w:hint="eastAsia" w:ascii="仿宋" w:hAnsi="仿宋" w:eastAsia="仿宋" w:cs="仿宋"/>
          <w:b w:val="0"/>
          <w:bCs w:val="0"/>
          <w:color w:val="000000"/>
          <w:highlight w:val="none"/>
        </w:rPr>
        <w:t>供应商</w:t>
      </w:r>
    </w:p>
    <w:p w14:paraId="00BFBDCE">
      <w:pPr>
        <w:spacing w:line="276" w:lineRule="auto"/>
        <w:ind w:firstLine="48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2.1 满足征集公告中供应商申报条件的规定。</w:t>
      </w:r>
    </w:p>
    <w:p w14:paraId="00BFBDCF">
      <w:pPr>
        <w:spacing w:line="276" w:lineRule="auto"/>
        <w:ind w:firstLine="48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2.2 满足本征集文件实质性要求和条件的规定。</w:t>
      </w:r>
    </w:p>
    <w:p w14:paraId="00BFBDD0">
      <w:pPr>
        <w:pStyle w:val="257"/>
        <w:spacing w:before="0" w:after="0" w:line="276" w:lineRule="auto"/>
        <w:ind w:firstLine="420"/>
        <w:rPr>
          <w:rFonts w:hint="eastAsia" w:ascii="仿宋" w:hAnsi="仿宋" w:eastAsia="仿宋" w:cs="仿宋"/>
          <w:b w:val="0"/>
          <w:bCs w:val="0"/>
          <w:color w:val="000000"/>
          <w:highlight w:val="none"/>
        </w:rPr>
      </w:pPr>
      <w:bookmarkStart w:id="59" w:name="_Toc513029206"/>
      <w:bookmarkStart w:id="60" w:name="_Toc20823278"/>
      <w:bookmarkStart w:id="61" w:name="_Toc16938522"/>
      <w:r>
        <w:rPr>
          <w:rFonts w:hint="eastAsia" w:ascii="仿宋" w:hAnsi="仿宋" w:eastAsia="仿宋" w:cs="仿宋"/>
          <w:b w:val="0"/>
          <w:bCs w:val="0"/>
          <w:color w:val="000000"/>
          <w:highlight w:val="none"/>
        </w:rPr>
        <w:t>3、适用法律</w:t>
      </w:r>
      <w:bookmarkEnd w:id="59"/>
      <w:bookmarkEnd w:id="60"/>
      <w:bookmarkEnd w:id="61"/>
      <w:r>
        <w:rPr>
          <w:rFonts w:hint="eastAsia" w:ascii="仿宋" w:hAnsi="仿宋" w:eastAsia="仿宋" w:cs="仿宋"/>
          <w:b w:val="0"/>
          <w:bCs w:val="0"/>
          <w:color w:val="000000"/>
          <w:highlight w:val="none"/>
        </w:rPr>
        <w:t>（参照）</w:t>
      </w:r>
    </w:p>
    <w:p w14:paraId="00BFBDD1">
      <w:pPr>
        <w:spacing w:line="276" w:lineRule="auto"/>
        <w:ind w:firstLine="48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3.1 本次封闭式框架协议采购活动（以下简称采购活动）及由此产生的框架协议文本和采购合同文本受中华人民共和国有关的法律法规管辖和保护。</w:t>
      </w:r>
    </w:p>
    <w:p w14:paraId="00BFBDD2">
      <w:pPr>
        <w:pStyle w:val="257"/>
        <w:spacing w:before="0" w:after="0" w:line="276" w:lineRule="auto"/>
        <w:ind w:firstLine="420"/>
        <w:rPr>
          <w:rFonts w:hint="eastAsia" w:ascii="仿宋" w:hAnsi="仿宋" w:eastAsia="仿宋" w:cs="仿宋"/>
          <w:b w:val="0"/>
          <w:bCs w:val="0"/>
          <w:color w:val="000000"/>
          <w:highlight w:val="none"/>
        </w:rPr>
      </w:pPr>
      <w:bookmarkStart w:id="62" w:name="_Toc462564067"/>
      <w:bookmarkStart w:id="63" w:name="_Toc20823279"/>
      <w:bookmarkStart w:id="64" w:name="_Toc513029207"/>
      <w:bookmarkStart w:id="65" w:name="_Toc16938523"/>
      <w:r>
        <w:rPr>
          <w:rFonts w:hint="eastAsia" w:ascii="仿宋" w:hAnsi="仿宋" w:eastAsia="仿宋" w:cs="仿宋"/>
          <w:b w:val="0"/>
          <w:bCs w:val="0"/>
          <w:color w:val="000000"/>
          <w:highlight w:val="none"/>
        </w:rPr>
        <w:t>4、参加采购活动的费用</w:t>
      </w:r>
      <w:bookmarkEnd w:id="62"/>
      <w:bookmarkEnd w:id="63"/>
      <w:bookmarkEnd w:id="64"/>
      <w:bookmarkEnd w:id="65"/>
    </w:p>
    <w:p w14:paraId="00BFBDD3">
      <w:pPr>
        <w:spacing w:line="276" w:lineRule="auto"/>
        <w:ind w:firstLine="48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4.1 供应商应自行承担所有与参加采购活动有关的费用，无论采购活动过程中的做法和结果如何，征集人在任何情况下均无义务和责任承担这些费用。</w:t>
      </w:r>
    </w:p>
    <w:p w14:paraId="6528A6EE">
      <w:pPr>
        <w:spacing w:line="276" w:lineRule="auto"/>
        <w:ind w:firstLine="480"/>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 xml:space="preserve">4.2 </w:t>
      </w:r>
      <w:r>
        <w:rPr>
          <w:rFonts w:hint="eastAsia" w:ascii="仿宋" w:hAnsi="仿宋" w:eastAsia="仿宋" w:cs="仿宋"/>
          <w:color w:val="000000"/>
          <w:sz w:val="24"/>
          <w:szCs w:val="24"/>
          <w:highlight w:val="none"/>
          <w:lang w:val="en-US" w:eastAsia="zh-CN"/>
        </w:rPr>
        <w:t>本项目代理费为300元/家，</w:t>
      </w:r>
      <w:bookmarkStart w:id="193" w:name="_GoBack"/>
      <w:bookmarkEnd w:id="193"/>
      <w:r>
        <w:rPr>
          <w:rFonts w:hint="eastAsia" w:ascii="仿宋" w:hAnsi="仿宋" w:eastAsia="仿宋" w:cs="仿宋"/>
          <w:color w:val="000000"/>
          <w:sz w:val="24"/>
          <w:szCs w:val="24"/>
          <w:highlight w:val="none"/>
          <w:lang w:val="en-US" w:eastAsia="zh-CN"/>
        </w:rPr>
        <w:t>以上费用在领取中标通知书前一次性支付。</w:t>
      </w:r>
    </w:p>
    <w:p w14:paraId="00BFBDD5">
      <w:pPr>
        <w:pStyle w:val="257"/>
        <w:spacing w:before="0" w:after="0" w:line="276" w:lineRule="auto"/>
        <w:ind w:firstLine="420"/>
        <w:rPr>
          <w:rFonts w:hint="eastAsia" w:ascii="仿宋" w:hAnsi="仿宋" w:eastAsia="仿宋" w:cs="仿宋"/>
          <w:b w:val="0"/>
          <w:bCs w:val="0"/>
          <w:color w:val="000000"/>
          <w:highlight w:val="none"/>
        </w:rPr>
      </w:pPr>
      <w:r>
        <w:rPr>
          <w:rFonts w:hint="eastAsia" w:ascii="仿宋" w:hAnsi="仿宋" w:eastAsia="仿宋" w:cs="仿宋"/>
          <w:b w:val="0"/>
          <w:bCs w:val="0"/>
          <w:color w:val="000000"/>
          <w:highlight w:val="none"/>
        </w:rPr>
        <w:t>5、征集文件的约束力</w:t>
      </w:r>
    </w:p>
    <w:p w14:paraId="00BFBDD6">
      <w:pPr>
        <w:spacing w:line="276" w:lineRule="auto"/>
        <w:ind w:firstLine="48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5.1 供应商一旦参加本项目采购活动，即被认为接受了本征集文件的规定和约束。</w:t>
      </w:r>
    </w:p>
    <w:p w14:paraId="00BFBDD7">
      <w:pPr>
        <w:pStyle w:val="256"/>
        <w:spacing w:before="145" w:after="145" w:line="276" w:lineRule="auto"/>
        <w:ind w:firstLine="320"/>
        <w:rPr>
          <w:rFonts w:hint="eastAsia" w:ascii="仿宋" w:hAnsi="仿宋" w:eastAsia="仿宋" w:cs="仿宋"/>
          <w:color w:val="000000"/>
          <w:highlight w:val="none"/>
        </w:rPr>
      </w:pPr>
      <w:bookmarkStart w:id="66" w:name="_Toc20823281"/>
      <w:bookmarkStart w:id="67" w:name="_Toc120614215"/>
      <w:bookmarkStart w:id="68" w:name="_Toc513029209"/>
      <w:bookmarkStart w:id="69" w:name="_Toc16938525"/>
      <w:r>
        <w:rPr>
          <w:rFonts w:hint="eastAsia" w:ascii="仿宋" w:hAnsi="仿宋" w:eastAsia="仿宋" w:cs="仿宋"/>
          <w:color w:val="000000"/>
          <w:highlight w:val="none"/>
        </w:rPr>
        <w:t>二、征集文件</w:t>
      </w:r>
      <w:bookmarkEnd w:id="66"/>
      <w:bookmarkEnd w:id="67"/>
      <w:bookmarkEnd w:id="68"/>
      <w:bookmarkEnd w:id="69"/>
    </w:p>
    <w:p w14:paraId="00BFBDD8">
      <w:pPr>
        <w:pStyle w:val="257"/>
        <w:spacing w:before="0" w:after="0" w:line="276" w:lineRule="auto"/>
        <w:ind w:firstLine="420"/>
        <w:rPr>
          <w:rFonts w:hint="eastAsia" w:ascii="仿宋" w:hAnsi="仿宋" w:eastAsia="仿宋" w:cs="仿宋"/>
          <w:b w:val="0"/>
          <w:bCs w:val="0"/>
          <w:color w:val="000000"/>
          <w:highlight w:val="none"/>
        </w:rPr>
      </w:pPr>
      <w:bookmarkStart w:id="70" w:name="_Toc16938526"/>
      <w:bookmarkStart w:id="71" w:name="_Toc513029210"/>
      <w:bookmarkStart w:id="72" w:name="_Toc20823282"/>
      <w:r>
        <w:rPr>
          <w:rFonts w:hint="eastAsia" w:ascii="仿宋" w:hAnsi="仿宋" w:eastAsia="仿宋" w:cs="仿宋"/>
          <w:b w:val="0"/>
          <w:bCs w:val="0"/>
          <w:color w:val="000000"/>
          <w:highlight w:val="none"/>
        </w:rPr>
        <w:t>6、征集文件构成</w:t>
      </w:r>
      <w:bookmarkEnd w:id="70"/>
      <w:bookmarkEnd w:id="71"/>
      <w:bookmarkEnd w:id="72"/>
    </w:p>
    <w:p w14:paraId="00BFBDD9">
      <w:pPr>
        <w:spacing w:line="276" w:lineRule="auto"/>
        <w:ind w:firstLine="48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6.1 征集文件由以下部分组成：</w:t>
      </w:r>
    </w:p>
    <w:p w14:paraId="00BFBDDA">
      <w:pPr>
        <w:spacing w:line="276" w:lineRule="auto"/>
        <w:ind w:firstLine="48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6.1.1参加征集活动的邀请</w:t>
      </w:r>
    </w:p>
    <w:p w14:paraId="00BFBDDB">
      <w:pPr>
        <w:spacing w:line="276" w:lineRule="auto"/>
        <w:ind w:firstLine="48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6.1.2供应商须知</w:t>
      </w:r>
    </w:p>
    <w:p w14:paraId="00BFBDDC">
      <w:pPr>
        <w:spacing w:line="276" w:lineRule="auto"/>
        <w:ind w:firstLine="48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6.1.3框架协议文本</w:t>
      </w:r>
    </w:p>
    <w:p w14:paraId="00BFBDDD">
      <w:pPr>
        <w:spacing w:line="276" w:lineRule="auto"/>
        <w:ind w:firstLine="48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6.1.4采购需求</w:t>
      </w:r>
    </w:p>
    <w:p w14:paraId="00BFBDDE">
      <w:pPr>
        <w:spacing w:line="276" w:lineRule="auto"/>
        <w:ind w:firstLine="48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6.1.5确定入围及成交供应商</w:t>
      </w:r>
    </w:p>
    <w:p w14:paraId="00BFBDDF">
      <w:pPr>
        <w:spacing w:line="276" w:lineRule="auto"/>
        <w:ind w:firstLine="48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6.1.6响应文件格式</w:t>
      </w:r>
    </w:p>
    <w:p w14:paraId="00BFBDE0">
      <w:pPr>
        <w:spacing w:line="276" w:lineRule="auto"/>
        <w:ind w:firstLine="48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请仔细检查征集文件是否齐全，如有缺漏请立即与征集人联系解决。</w:t>
      </w:r>
    </w:p>
    <w:p w14:paraId="00BFBDE1">
      <w:pPr>
        <w:spacing w:line="276" w:lineRule="auto"/>
        <w:ind w:firstLine="48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6.2 供应商应认真阅读征集文件中所有的事项、格式、条款和规范等要求。按征集文件的要求和规定编制响应文件，并保证所提供的全部资料的真实性，以使其响应文件对征集文件作出实质性响应，否则其风险由供应商自行承担。</w:t>
      </w:r>
    </w:p>
    <w:p w14:paraId="00BFBDE2">
      <w:pPr>
        <w:pStyle w:val="257"/>
        <w:spacing w:before="0" w:after="0" w:line="276" w:lineRule="auto"/>
        <w:ind w:firstLine="420"/>
        <w:rPr>
          <w:rFonts w:hint="eastAsia" w:ascii="仿宋" w:hAnsi="仿宋" w:eastAsia="仿宋" w:cs="仿宋"/>
          <w:b w:val="0"/>
          <w:bCs w:val="0"/>
          <w:color w:val="000000"/>
          <w:highlight w:val="none"/>
        </w:rPr>
      </w:pPr>
      <w:bookmarkStart w:id="73" w:name="_Toc462564070"/>
      <w:bookmarkStart w:id="74" w:name="_Toc16938527"/>
      <w:bookmarkStart w:id="75" w:name="_Toc20823283"/>
      <w:bookmarkStart w:id="76" w:name="_Toc513029211"/>
      <w:r>
        <w:rPr>
          <w:rFonts w:hint="eastAsia" w:ascii="仿宋" w:hAnsi="仿宋" w:eastAsia="仿宋" w:cs="仿宋"/>
          <w:b w:val="0"/>
          <w:bCs w:val="0"/>
          <w:color w:val="000000"/>
          <w:highlight w:val="none"/>
        </w:rPr>
        <w:t>7、征集文件的澄清</w:t>
      </w:r>
      <w:bookmarkEnd w:id="73"/>
      <w:bookmarkEnd w:id="74"/>
      <w:bookmarkEnd w:id="75"/>
      <w:bookmarkEnd w:id="76"/>
    </w:p>
    <w:p w14:paraId="00BFBDE3">
      <w:pPr>
        <w:spacing w:line="276" w:lineRule="auto"/>
        <w:ind w:firstLine="480"/>
        <w:rPr>
          <w:rFonts w:hint="eastAsia" w:ascii="仿宋" w:hAnsi="仿宋" w:eastAsia="仿宋" w:cs="仿宋"/>
          <w:color w:val="000000"/>
          <w:sz w:val="24"/>
          <w:szCs w:val="24"/>
          <w:highlight w:val="none"/>
        </w:rPr>
      </w:pPr>
      <w:bookmarkStart w:id="77" w:name="_Toc16938529"/>
      <w:bookmarkStart w:id="78" w:name="_Toc120614216"/>
      <w:bookmarkStart w:id="79" w:name="_Toc513029213"/>
      <w:bookmarkStart w:id="80" w:name="_Toc20823285"/>
      <w:bookmarkStart w:id="81" w:name="_Toc462564072"/>
      <w:r>
        <w:rPr>
          <w:rFonts w:hint="eastAsia" w:ascii="仿宋" w:hAnsi="仿宋" w:eastAsia="仿宋" w:cs="仿宋"/>
          <w:color w:val="000000"/>
          <w:sz w:val="24"/>
          <w:szCs w:val="24"/>
          <w:highlight w:val="none"/>
        </w:rPr>
        <w:t>7.1 征集人对已发出的征集文件进行必要澄清或者修改的，将在征集文件要求提交响应文件截止时间十五日前，在原公告媒体发布更正公告，该澄清或者修改的内容为征集文件的组成部分。</w:t>
      </w:r>
    </w:p>
    <w:p w14:paraId="00BFBDE4">
      <w:pPr>
        <w:spacing w:line="276" w:lineRule="auto"/>
        <w:ind w:firstLine="48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7.2 征集人在征集文件要求提交响应文件截止时间前，有权决定延长提交响应文件截止时间和开启时间，并在原采购信息发布媒体上发布变更公告。</w:t>
      </w:r>
    </w:p>
    <w:p w14:paraId="00BFBDE5">
      <w:pPr>
        <w:spacing w:line="276" w:lineRule="auto"/>
        <w:ind w:firstLine="48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7.3 供应商应在提交响应文件截止时间前关注原采购信息发布媒体上有关本征集项目有无变更公告。</w:t>
      </w:r>
    </w:p>
    <w:p w14:paraId="00BFBDE6">
      <w:pPr>
        <w:pStyle w:val="256"/>
        <w:spacing w:before="145" w:after="145" w:line="276" w:lineRule="auto"/>
        <w:ind w:firstLine="320"/>
        <w:rPr>
          <w:rFonts w:hint="eastAsia" w:ascii="仿宋" w:hAnsi="仿宋" w:eastAsia="仿宋" w:cs="仿宋"/>
          <w:color w:val="000000"/>
          <w:highlight w:val="none"/>
        </w:rPr>
      </w:pPr>
      <w:r>
        <w:rPr>
          <w:rFonts w:hint="eastAsia" w:ascii="仿宋" w:hAnsi="仿宋" w:eastAsia="仿宋" w:cs="仿宋"/>
          <w:color w:val="000000"/>
          <w:highlight w:val="none"/>
        </w:rPr>
        <w:t>三、响应文件的编制</w:t>
      </w:r>
      <w:bookmarkEnd w:id="77"/>
      <w:bookmarkEnd w:id="78"/>
      <w:bookmarkEnd w:id="79"/>
      <w:bookmarkEnd w:id="80"/>
      <w:bookmarkEnd w:id="81"/>
    </w:p>
    <w:p w14:paraId="00BFBDE7">
      <w:pPr>
        <w:pStyle w:val="257"/>
        <w:spacing w:before="0" w:after="0" w:line="276" w:lineRule="auto"/>
        <w:ind w:firstLine="420"/>
        <w:rPr>
          <w:rFonts w:hint="eastAsia" w:ascii="仿宋" w:hAnsi="仿宋" w:eastAsia="仿宋" w:cs="仿宋"/>
          <w:b w:val="0"/>
          <w:bCs w:val="0"/>
          <w:color w:val="000000"/>
          <w:highlight w:val="none"/>
        </w:rPr>
      </w:pPr>
      <w:bookmarkStart w:id="82" w:name="_Toc16938530"/>
      <w:bookmarkStart w:id="83" w:name="_Toc20823286"/>
      <w:bookmarkStart w:id="84" w:name="_Toc462564073"/>
      <w:bookmarkStart w:id="85" w:name="_Toc513029214"/>
      <w:r>
        <w:rPr>
          <w:rFonts w:hint="eastAsia" w:ascii="仿宋" w:hAnsi="仿宋" w:eastAsia="仿宋" w:cs="仿宋"/>
          <w:b w:val="0"/>
          <w:bCs w:val="0"/>
          <w:color w:val="000000"/>
          <w:highlight w:val="none"/>
        </w:rPr>
        <w:t>8、响应文件的语言及度量衡单位</w:t>
      </w:r>
      <w:bookmarkEnd w:id="82"/>
      <w:bookmarkEnd w:id="83"/>
      <w:bookmarkEnd w:id="84"/>
      <w:bookmarkEnd w:id="85"/>
    </w:p>
    <w:p w14:paraId="00BFBDE8">
      <w:pPr>
        <w:spacing w:line="276" w:lineRule="auto"/>
        <w:ind w:firstLine="48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8.1 供应商提交的响应文件以及供应商与征集人就采购活动的所有来往通知、函件和文件均应使用简体中文。</w:t>
      </w:r>
    </w:p>
    <w:p w14:paraId="00BFBDE9">
      <w:pPr>
        <w:spacing w:line="276" w:lineRule="auto"/>
        <w:ind w:firstLine="48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8.2 除技术性能另有规定外，响应文件所使用的度量衡单位，均须采用国家法定计量单位。</w:t>
      </w:r>
    </w:p>
    <w:p w14:paraId="00BFBDEA">
      <w:pPr>
        <w:pStyle w:val="257"/>
        <w:spacing w:before="0" w:after="0" w:line="276" w:lineRule="auto"/>
        <w:ind w:firstLine="420"/>
        <w:rPr>
          <w:rFonts w:hint="eastAsia" w:ascii="仿宋" w:hAnsi="仿宋" w:eastAsia="仿宋" w:cs="仿宋"/>
          <w:b w:val="0"/>
          <w:bCs w:val="0"/>
          <w:color w:val="000000"/>
          <w:highlight w:val="none"/>
        </w:rPr>
      </w:pPr>
      <w:bookmarkStart w:id="86" w:name="_Toc20823287"/>
      <w:bookmarkStart w:id="87" w:name="_Toc513029215"/>
      <w:bookmarkStart w:id="88" w:name="_Toc16938531"/>
      <w:bookmarkStart w:id="89" w:name="_Toc462564074"/>
      <w:r>
        <w:rPr>
          <w:rFonts w:hint="eastAsia" w:ascii="仿宋" w:hAnsi="仿宋" w:eastAsia="仿宋" w:cs="仿宋"/>
          <w:b w:val="0"/>
          <w:bCs w:val="0"/>
          <w:color w:val="000000"/>
          <w:highlight w:val="none"/>
        </w:rPr>
        <w:t>9、响应文件构成</w:t>
      </w:r>
      <w:bookmarkEnd w:id="86"/>
      <w:bookmarkEnd w:id="87"/>
      <w:bookmarkEnd w:id="88"/>
      <w:bookmarkEnd w:id="89"/>
    </w:p>
    <w:p w14:paraId="00BFBDEB">
      <w:pPr>
        <w:spacing w:line="276" w:lineRule="auto"/>
        <w:ind w:firstLine="48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9.1 供应商编写的响应文件应包括资格证明文件、符合性证明文件、其他证明文件、响应函、报价一览表等部分。</w:t>
      </w:r>
    </w:p>
    <w:p w14:paraId="00BFBDEC">
      <w:pPr>
        <w:pStyle w:val="257"/>
        <w:spacing w:before="0" w:after="0" w:line="276" w:lineRule="auto"/>
        <w:ind w:firstLine="420"/>
        <w:rPr>
          <w:rFonts w:hint="eastAsia" w:ascii="仿宋" w:hAnsi="仿宋" w:eastAsia="仿宋" w:cs="仿宋"/>
          <w:b w:val="0"/>
          <w:bCs w:val="0"/>
          <w:color w:val="000000"/>
          <w:highlight w:val="none"/>
        </w:rPr>
      </w:pPr>
      <w:bookmarkStart w:id="90" w:name="_Hlt26954846"/>
      <w:bookmarkEnd w:id="90"/>
      <w:bookmarkStart w:id="91" w:name="_Hlt26670482"/>
      <w:bookmarkEnd w:id="91"/>
      <w:bookmarkStart w:id="92" w:name="_Hlt26668975"/>
      <w:bookmarkEnd w:id="92"/>
      <w:bookmarkStart w:id="93" w:name="_Hlt26954838"/>
      <w:bookmarkEnd w:id="93"/>
      <w:bookmarkStart w:id="94" w:name="_Hlt26670486"/>
      <w:bookmarkEnd w:id="94"/>
      <w:bookmarkStart w:id="95" w:name="_Hlt26954848"/>
      <w:bookmarkEnd w:id="95"/>
      <w:bookmarkStart w:id="96" w:name="_Hlt26954731"/>
      <w:bookmarkEnd w:id="96"/>
      <w:bookmarkStart w:id="97" w:name="_Hlt26670360"/>
      <w:bookmarkEnd w:id="97"/>
      <w:r>
        <w:rPr>
          <w:rFonts w:hint="eastAsia" w:ascii="仿宋" w:hAnsi="仿宋" w:eastAsia="仿宋" w:cs="仿宋"/>
          <w:b w:val="0"/>
          <w:bCs w:val="0"/>
          <w:color w:val="000000"/>
          <w:highlight w:val="none"/>
        </w:rPr>
        <w:t>10、技术与商务要求响应</w:t>
      </w:r>
    </w:p>
    <w:p w14:paraId="00BFBDED">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1</w:t>
      </w:r>
      <w:r>
        <w:rPr>
          <w:rFonts w:hint="eastAsia" w:ascii="仿宋" w:hAnsi="仿宋" w:eastAsia="仿宋" w:cs="仿宋"/>
          <w:color w:val="000000"/>
          <w:sz w:val="24"/>
          <w:szCs w:val="24"/>
          <w:highlight w:val="none"/>
        </w:rPr>
        <w:t>0</w:t>
      </w:r>
      <w:r>
        <w:rPr>
          <w:rFonts w:hint="eastAsia" w:ascii="仿宋" w:hAnsi="仿宋" w:eastAsia="仿宋" w:cs="仿宋"/>
          <w:color w:val="000000"/>
          <w:sz w:val="24"/>
          <w:szCs w:val="24"/>
          <w:highlight w:val="none"/>
          <w:lang w:val="zh-CN"/>
        </w:rPr>
        <w:t>.1 供应商需对征集文件中的技术与商务要求作出响应。供应商响应的技术与商务要求不得低于征集文件要求。</w:t>
      </w:r>
    </w:p>
    <w:p w14:paraId="00BFBDEE">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1</w:t>
      </w:r>
      <w:r>
        <w:rPr>
          <w:rFonts w:hint="eastAsia" w:ascii="仿宋" w:hAnsi="仿宋" w:eastAsia="仿宋" w:cs="仿宋"/>
          <w:color w:val="000000"/>
          <w:sz w:val="24"/>
          <w:szCs w:val="24"/>
          <w:highlight w:val="none"/>
        </w:rPr>
        <w:t>0</w:t>
      </w:r>
      <w:r>
        <w:rPr>
          <w:rFonts w:hint="eastAsia" w:ascii="仿宋" w:hAnsi="仿宋" w:eastAsia="仿宋" w:cs="仿宋"/>
          <w:color w:val="000000"/>
          <w:sz w:val="24"/>
          <w:szCs w:val="24"/>
          <w:highlight w:val="none"/>
          <w:lang w:val="zh-CN"/>
        </w:rPr>
        <w:t>.2 供应商可在响应文件中提供认为需要的其他技术文件或说明。</w:t>
      </w:r>
    </w:p>
    <w:p w14:paraId="00BFBDEF">
      <w:pPr>
        <w:pStyle w:val="257"/>
        <w:spacing w:before="0" w:after="0" w:line="276" w:lineRule="auto"/>
        <w:ind w:firstLine="420"/>
        <w:rPr>
          <w:rFonts w:hint="eastAsia" w:ascii="仿宋" w:hAnsi="仿宋" w:eastAsia="仿宋" w:cs="仿宋"/>
          <w:b w:val="0"/>
          <w:bCs w:val="0"/>
          <w:color w:val="000000"/>
          <w:highlight w:val="none"/>
        </w:rPr>
      </w:pPr>
      <w:bookmarkStart w:id="98" w:name="_Toc14577359"/>
      <w:bookmarkStart w:id="99" w:name="_Toc49090510"/>
      <w:r>
        <w:rPr>
          <w:rFonts w:hint="eastAsia" w:ascii="仿宋" w:hAnsi="仿宋" w:eastAsia="仿宋" w:cs="仿宋"/>
          <w:b w:val="0"/>
          <w:bCs w:val="0"/>
          <w:color w:val="000000"/>
          <w:highlight w:val="none"/>
        </w:rPr>
        <w:t>11、响应函和报价一览表</w:t>
      </w:r>
    </w:p>
    <w:p w14:paraId="00BFBDF0">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1</w:t>
      </w: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zh-CN"/>
        </w:rPr>
        <w:t>.1 供应商应按照征集文件中提供的格式完整、正确填写响应函、报价一览表。</w:t>
      </w:r>
    </w:p>
    <w:p w14:paraId="00BFBDF1">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1</w:t>
      </w: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val="zh-CN"/>
        </w:rPr>
        <w:t>响应文件中的服务单价和专用耗材单价无特殊规定的采用人民币报价，以元为单位标注。征集文件中另有规定的按规定执行。</w:t>
      </w:r>
    </w:p>
    <w:bookmarkEnd w:id="98"/>
    <w:bookmarkEnd w:id="99"/>
    <w:p w14:paraId="00BFBDF2">
      <w:pPr>
        <w:pStyle w:val="257"/>
        <w:spacing w:before="0" w:after="0" w:line="276" w:lineRule="auto"/>
        <w:ind w:firstLine="420"/>
        <w:rPr>
          <w:rFonts w:hint="eastAsia" w:ascii="仿宋" w:hAnsi="仿宋" w:eastAsia="仿宋" w:cs="仿宋"/>
          <w:b w:val="0"/>
          <w:bCs w:val="0"/>
          <w:color w:val="000000"/>
          <w:highlight w:val="none"/>
        </w:rPr>
      </w:pPr>
      <w:bookmarkStart w:id="100" w:name="_Toc14577360"/>
      <w:bookmarkStart w:id="101" w:name="_Toc49090511"/>
      <w:r>
        <w:rPr>
          <w:rFonts w:hint="eastAsia" w:ascii="仿宋" w:hAnsi="仿宋" w:eastAsia="仿宋" w:cs="仿宋"/>
          <w:b w:val="0"/>
          <w:bCs w:val="0"/>
          <w:color w:val="000000"/>
          <w:highlight w:val="none"/>
        </w:rPr>
        <w:t>12、响应文件有效期</w:t>
      </w:r>
      <w:bookmarkEnd w:id="100"/>
      <w:bookmarkEnd w:id="101"/>
    </w:p>
    <w:p w14:paraId="00BFBDF3">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1</w:t>
      </w: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zh-CN"/>
        </w:rPr>
        <w:t>.1</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val="zh-CN"/>
        </w:rPr>
        <w:t>响应文件有效期为响应文件提交截止时间之日后九十天。响应文件有效期比规定短的将被视为未实质性响应征集文件而予以拒绝。</w:t>
      </w:r>
    </w:p>
    <w:p w14:paraId="00BFBDF4">
      <w:pPr>
        <w:pStyle w:val="257"/>
        <w:spacing w:before="0" w:after="0" w:line="276" w:lineRule="auto"/>
        <w:ind w:firstLine="420"/>
        <w:rPr>
          <w:rFonts w:hint="eastAsia" w:ascii="仿宋" w:hAnsi="仿宋" w:eastAsia="仿宋" w:cs="仿宋"/>
          <w:b w:val="0"/>
          <w:bCs w:val="0"/>
          <w:color w:val="000000"/>
          <w:highlight w:val="none"/>
        </w:rPr>
      </w:pPr>
      <w:r>
        <w:rPr>
          <w:rFonts w:hint="eastAsia" w:ascii="仿宋" w:hAnsi="仿宋" w:eastAsia="仿宋" w:cs="仿宋"/>
          <w:b w:val="0"/>
          <w:bCs w:val="0"/>
          <w:color w:val="000000"/>
          <w:highlight w:val="none"/>
        </w:rPr>
        <w:t>13、响应文件有效期的延长</w:t>
      </w:r>
    </w:p>
    <w:p w14:paraId="00BFBDF5">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1</w:t>
      </w: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zh-CN"/>
        </w:rPr>
        <w:t>.1</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val="zh-CN"/>
        </w:rPr>
        <w:t>在特殊情况下，</w:t>
      </w:r>
      <w:r>
        <w:rPr>
          <w:rFonts w:hint="eastAsia" w:ascii="仿宋" w:hAnsi="仿宋" w:eastAsia="仿宋" w:cs="仿宋"/>
          <w:color w:val="000000"/>
          <w:sz w:val="24"/>
          <w:szCs w:val="24"/>
          <w:highlight w:val="none"/>
        </w:rPr>
        <w:t>征集人</w:t>
      </w:r>
      <w:r>
        <w:rPr>
          <w:rFonts w:hint="eastAsia" w:ascii="仿宋" w:hAnsi="仿宋" w:eastAsia="仿宋" w:cs="仿宋"/>
          <w:color w:val="000000"/>
          <w:sz w:val="24"/>
          <w:szCs w:val="24"/>
          <w:highlight w:val="none"/>
          <w:lang w:val="zh-CN"/>
        </w:rPr>
        <w:t>于原响应文件有效期满之前，可向供应商提出延长响应文件有效期的要求。这种要求与答复均应采用书面形式。供应商可以拒绝这一要求而放弃参加采购活动，同意延长响应文件有效期的供应商既不能要求也不允许修改其响应文件。受响应文件有效期约束的所有权利与义务均延长至新的有效期。</w:t>
      </w:r>
    </w:p>
    <w:p w14:paraId="00BFBDF6">
      <w:pPr>
        <w:pStyle w:val="256"/>
        <w:spacing w:before="145" w:after="145" w:line="276" w:lineRule="auto"/>
        <w:ind w:firstLine="320"/>
        <w:rPr>
          <w:rFonts w:hint="eastAsia" w:ascii="仿宋" w:hAnsi="仿宋" w:eastAsia="仿宋" w:cs="仿宋"/>
          <w:color w:val="000000"/>
          <w:highlight w:val="none"/>
        </w:rPr>
      </w:pPr>
      <w:bookmarkStart w:id="102" w:name="_Hlt26954739"/>
      <w:bookmarkEnd w:id="102"/>
      <w:bookmarkStart w:id="103" w:name="_Hlt26954852"/>
      <w:bookmarkEnd w:id="103"/>
      <w:bookmarkStart w:id="104" w:name="_Toc20823296"/>
      <w:bookmarkStart w:id="105" w:name="_Toc513029224"/>
      <w:bookmarkStart w:id="106" w:name="_Toc120614217"/>
      <w:bookmarkStart w:id="107" w:name="_Toc16938540"/>
      <w:r>
        <w:rPr>
          <w:rFonts w:hint="eastAsia" w:ascii="仿宋" w:hAnsi="仿宋" w:eastAsia="仿宋" w:cs="仿宋"/>
          <w:color w:val="000000"/>
          <w:highlight w:val="none"/>
        </w:rPr>
        <w:t>四、响应文件的递交</w:t>
      </w:r>
      <w:bookmarkEnd w:id="104"/>
      <w:bookmarkEnd w:id="105"/>
      <w:bookmarkEnd w:id="106"/>
      <w:bookmarkEnd w:id="107"/>
    </w:p>
    <w:p w14:paraId="00BFBDF7">
      <w:pPr>
        <w:pStyle w:val="257"/>
        <w:spacing w:before="0" w:after="0" w:line="276" w:lineRule="auto"/>
        <w:ind w:firstLine="420"/>
        <w:rPr>
          <w:rFonts w:hint="eastAsia" w:ascii="仿宋" w:hAnsi="仿宋" w:eastAsia="仿宋" w:cs="仿宋"/>
          <w:b w:val="0"/>
          <w:bCs w:val="0"/>
          <w:color w:val="000000"/>
          <w:highlight w:val="none"/>
        </w:rPr>
      </w:pPr>
      <w:bookmarkStart w:id="108" w:name="_Toc16938541"/>
      <w:bookmarkStart w:id="109" w:name="_Toc20823297"/>
      <w:bookmarkStart w:id="110" w:name="_Toc462564084"/>
      <w:bookmarkStart w:id="111" w:name="_Toc513029225"/>
      <w:r>
        <w:rPr>
          <w:rFonts w:hint="eastAsia" w:ascii="仿宋" w:hAnsi="仿宋" w:eastAsia="仿宋" w:cs="仿宋"/>
          <w:b w:val="0"/>
          <w:bCs w:val="0"/>
          <w:color w:val="000000"/>
          <w:highlight w:val="none"/>
        </w:rPr>
        <w:t>14、响应文件</w:t>
      </w:r>
      <w:bookmarkEnd w:id="108"/>
      <w:bookmarkEnd w:id="109"/>
      <w:bookmarkEnd w:id="110"/>
      <w:bookmarkEnd w:id="111"/>
      <w:r>
        <w:rPr>
          <w:rFonts w:hint="eastAsia" w:ascii="仿宋" w:hAnsi="仿宋" w:eastAsia="仿宋" w:cs="仿宋"/>
          <w:b w:val="0"/>
          <w:bCs w:val="0"/>
          <w:color w:val="000000"/>
          <w:highlight w:val="none"/>
        </w:rPr>
        <w:t>的递交</w:t>
      </w:r>
    </w:p>
    <w:p w14:paraId="00BFBDF8">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1</w:t>
      </w:r>
      <w:r>
        <w:rPr>
          <w:rFonts w:hint="eastAsia" w:ascii="仿宋" w:hAnsi="仿宋" w:eastAsia="仿宋" w:cs="仿宋"/>
          <w:color w:val="000000"/>
          <w:sz w:val="24"/>
          <w:szCs w:val="24"/>
          <w:highlight w:val="none"/>
        </w:rPr>
        <w:t>4</w:t>
      </w:r>
      <w:r>
        <w:rPr>
          <w:rFonts w:hint="eastAsia" w:ascii="仿宋" w:hAnsi="仿宋" w:eastAsia="仿宋" w:cs="仿宋"/>
          <w:color w:val="000000"/>
          <w:sz w:val="24"/>
          <w:szCs w:val="24"/>
          <w:highlight w:val="none"/>
          <w:lang w:val="zh-CN"/>
        </w:rPr>
        <w:t>.1 供应商应当按照规定，在响应文件提交截止时间前制作并提交响应文件。</w:t>
      </w:r>
      <w:bookmarkStart w:id="112" w:name="_Toc20823298"/>
      <w:bookmarkStart w:id="113" w:name="_Toc513029226"/>
      <w:bookmarkStart w:id="114" w:name="_Toc16938542"/>
    </w:p>
    <w:p w14:paraId="00BFBDF9">
      <w:pPr>
        <w:pStyle w:val="257"/>
        <w:spacing w:before="0" w:after="0" w:line="276" w:lineRule="auto"/>
        <w:ind w:firstLine="420"/>
        <w:rPr>
          <w:rFonts w:hint="eastAsia" w:ascii="仿宋" w:hAnsi="仿宋" w:eastAsia="仿宋" w:cs="仿宋"/>
          <w:b w:val="0"/>
          <w:bCs w:val="0"/>
          <w:color w:val="000000"/>
          <w:highlight w:val="none"/>
        </w:rPr>
      </w:pPr>
      <w:r>
        <w:rPr>
          <w:rFonts w:hint="eastAsia" w:ascii="仿宋" w:hAnsi="仿宋" w:eastAsia="仿宋" w:cs="仿宋"/>
          <w:b w:val="0"/>
          <w:bCs w:val="0"/>
          <w:color w:val="000000"/>
          <w:highlight w:val="none"/>
        </w:rPr>
        <w:t>15、</w:t>
      </w:r>
      <w:bookmarkEnd w:id="112"/>
      <w:bookmarkEnd w:id="113"/>
      <w:bookmarkEnd w:id="114"/>
      <w:r>
        <w:rPr>
          <w:rFonts w:hint="eastAsia" w:ascii="仿宋" w:hAnsi="仿宋" w:eastAsia="仿宋" w:cs="仿宋"/>
          <w:b w:val="0"/>
          <w:bCs w:val="0"/>
          <w:color w:val="000000"/>
          <w:highlight w:val="none"/>
        </w:rPr>
        <w:t>响应文件提交截止时间</w:t>
      </w:r>
    </w:p>
    <w:p w14:paraId="00BFBDFA">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1</w:t>
      </w:r>
      <w:r>
        <w:rPr>
          <w:rFonts w:hint="eastAsia" w:ascii="仿宋" w:hAnsi="仿宋" w:eastAsia="仿宋" w:cs="仿宋"/>
          <w:color w:val="000000"/>
          <w:sz w:val="24"/>
          <w:szCs w:val="24"/>
          <w:highlight w:val="none"/>
        </w:rPr>
        <w:t>5</w:t>
      </w:r>
      <w:r>
        <w:rPr>
          <w:rFonts w:hint="eastAsia" w:ascii="仿宋" w:hAnsi="仿宋" w:eastAsia="仿宋" w:cs="仿宋"/>
          <w:color w:val="000000"/>
          <w:sz w:val="24"/>
          <w:szCs w:val="24"/>
          <w:highlight w:val="none"/>
          <w:lang w:val="zh-CN"/>
        </w:rPr>
        <w:t>.1 供应商提交响应文件的时间不得迟于征集公告中规定的截止时间。</w:t>
      </w:r>
    </w:p>
    <w:p w14:paraId="00BFBDFB">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1</w:t>
      </w:r>
      <w:r>
        <w:rPr>
          <w:rFonts w:hint="eastAsia" w:ascii="仿宋" w:hAnsi="仿宋" w:eastAsia="仿宋" w:cs="仿宋"/>
          <w:color w:val="000000"/>
          <w:sz w:val="24"/>
          <w:szCs w:val="24"/>
          <w:highlight w:val="none"/>
        </w:rPr>
        <w:t>5</w:t>
      </w:r>
      <w:r>
        <w:rPr>
          <w:rFonts w:hint="eastAsia" w:ascii="仿宋" w:hAnsi="仿宋" w:eastAsia="仿宋" w:cs="仿宋"/>
          <w:color w:val="000000"/>
          <w:sz w:val="24"/>
          <w:szCs w:val="24"/>
          <w:highlight w:val="none"/>
          <w:lang w:val="zh-CN"/>
        </w:rPr>
        <w:t xml:space="preserve">.2 </w:t>
      </w:r>
      <w:r>
        <w:rPr>
          <w:rFonts w:hint="eastAsia" w:ascii="仿宋" w:hAnsi="仿宋" w:eastAsia="仿宋" w:cs="仿宋"/>
          <w:color w:val="000000"/>
          <w:sz w:val="24"/>
          <w:szCs w:val="24"/>
          <w:highlight w:val="none"/>
        </w:rPr>
        <w:t>征集人</w:t>
      </w:r>
      <w:r>
        <w:rPr>
          <w:rFonts w:hint="eastAsia" w:ascii="仿宋" w:hAnsi="仿宋" w:eastAsia="仿宋" w:cs="仿宋"/>
          <w:color w:val="000000"/>
          <w:sz w:val="24"/>
          <w:szCs w:val="24"/>
          <w:highlight w:val="none"/>
          <w:lang w:val="zh-CN"/>
        </w:rPr>
        <w:t>可以按照规定，通过修改征集文件酌情延长截止日期，在此情况下，供应商的所有权利和义务以及供应商受制的截止日期均应以延长后新的截止日期为准。</w:t>
      </w:r>
    </w:p>
    <w:p w14:paraId="00BFBDFC">
      <w:pPr>
        <w:pStyle w:val="257"/>
        <w:spacing w:before="0" w:after="0" w:line="276" w:lineRule="auto"/>
        <w:ind w:firstLine="420"/>
        <w:rPr>
          <w:rFonts w:hint="eastAsia" w:ascii="仿宋" w:hAnsi="仿宋" w:eastAsia="仿宋" w:cs="仿宋"/>
          <w:b w:val="0"/>
          <w:bCs w:val="0"/>
          <w:color w:val="000000"/>
          <w:highlight w:val="none"/>
        </w:rPr>
      </w:pPr>
      <w:bookmarkStart w:id="115" w:name="_Toc20823299"/>
      <w:bookmarkStart w:id="116" w:name="_Toc513029227"/>
      <w:bookmarkStart w:id="117" w:name="_Toc16938543"/>
      <w:r>
        <w:rPr>
          <w:rFonts w:hint="eastAsia" w:ascii="仿宋" w:hAnsi="仿宋" w:eastAsia="仿宋" w:cs="仿宋"/>
          <w:b w:val="0"/>
          <w:bCs w:val="0"/>
          <w:color w:val="000000"/>
          <w:highlight w:val="none"/>
        </w:rPr>
        <w:t>16、</w:t>
      </w:r>
      <w:bookmarkEnd w:id="115"/>
      <w:bookmarkEnd w:id="116"/>
      <w:bookmarkEnd w:id="117"/>
      <w:r>
        <w:rPr>
          <w:rFonts w:hint="eastAsia" w:ascii="仿宋" w:hAnsi="仿宋" w:eastAsia="仿宋" w:cs="仿宋"/>
          <w:b w:val="0"/>
          <w:bCs w:val="0"/>
          <w:color w:val="000000"/>
          <w:highlight w:val="none"/>
        </w:rPr>
        <w:t>响应文件的拒收</w:t>
      </w:r>
    </w:p>
    <w:p w14:paraId="00BFBDFD">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1</w:t>
      </w:r>
      <w:r>
        <w:rPr>
          <w:rFonts w:hint="eastAsia" w:ascii="仿宋" w:hAnsi="仿宋" w:eastAsia="仿宋" w:cs="仿宋"/>
          <w:color w:val="000000"/>
          <w:sz w:val="24"/>
          <w:szCs w:val="24"/>
          <w:highlight w:val="none"/>
        </w:rPr>
        <w:t>6</w:t>
      </w:r>
      <w:r>
        <w:rPr>
          <w:rFonts w:hint="eastAsia" w:ascii="仿宋" w:hAnsi="仿宋" w:eastAsia="仿宋" w:cs="仿宋"/>
          <w:color w:val="000000"/>
          <w:sz w:val="24"/>
          <w:szCs w:val="24"/>
          <w:highlight w:val="none"/>
          <w:lang w:val="zh-CN"/>
        </w:rPr>
        <w:t xml:space="preserve">.1 </w:t>
      </w:r>
      <w:r>
        <w:rPr>
          <w:rFonts w:hint="eastAsia" w:ascii="仿宋" w:hAnsi="仿宋" w:eastAsia="仿宋" w:cs="仿宋"/>
          <w:color w:val="000000"/>
          <w:sz w:val="24"/>
          <w:szCs w:val="24"/>
          <w:highlight w:val="none"/>
        </w:rPr>
        <w:t>征集人</w:t>
      </w:r>
      <w:r>
        <w:rPr>
          <w:rFonts w:hint="eastAsia" w:ascii="仿宋" w:hAnsi="仿宋" w:eastAsia="仿宋" w:cs="仿宋"/>
          <w:color w:val="000000"/>
          <w:sz w:val="24"/>
          <w:szCs w:val="24"/>
          <w:highlight w:val="none"/>
          <w:lang w:val="zh-CN"/>
        </w:rPr>
        <w:t>拒绝接收在其规定的响应文件提交截止时间后上传的任何响应文件。</w:t>
      </w:r>
    </w:p>
    <w:p w14:paraId="00BFBDFE">
      <w:pPr>
        <w:pStyle w:val="257"/>
        <w:spacing w:before="0" w:after="0" w:line="276" w:lineRule="auto"/>
        <w:ind w:firstLine="420"/>
        <w:rPr>
          <w:rFonts w:hint="eastAsia" w:ascii="仿宋" w:hAnsi="仿宋" w:eastAsia="仿宋" w:cs="仿宋"/>
          <w:b w:val="0"/>
          <w:bCs w:val="0"/>
          <w:color w:val="000000"/>
          <w:highlight w:val="none"/>
        </w:rPr>
      </w:pPr>
      <w:bookmarkStart w:id="118" w:name="_Toc20823300"/>
      <w:bookmarkStart w:id="119" w:name="_Toc513029228"/>
      <w:bookmarkStart w:id="120" w:name="_Toc16938544"/>
      <w:r>
        <w:rPr>
          <w:rFonts w:hint="eastAsia" w:ascii="仿宋" w:hAnsi="仿宋" w:eastAsia="仿宋" w:cs="仿宋"/>
          <w:b w:val="0"/>
          <w:bCs w:val="0"/>
          <w:color w:val="000000"/>
          <w:highlight w:val="none"/>
        </w:rPr>
        <w:t>17、响应文件的撤回和修改</w:t>
      </w:r>
      <w:bookmarkEnd w:id="118"/>
      <w:bookmarkEnd w:id="119"/>
      <w:bookmarkEnd w:id="120"/>
    </w:p>
    <w:p w14:paraId="00BFBDFF">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1</w:t>
      </w:r>
      <w:r>
        <w:rPr>
          <w:rFonts w:hint="eastAsia" w:ascii="仿宋" w:hAnsi="仿宋" w:eastAsia="仿宋" w:cs="仿宋"/>
          <w:color w:val="000000"/>
          <w:sz w:val="24"/>
          <w:szCs w:val="24"/>
          <w:highlight w:val="none"/>
        </w:rPr>
        <w:t>7</w:t>
      </w:r>
      <w:r>
        <w:rPr>
          <w:rFonts w:hint="eastAsia" w:ascii="仿宋" w:hAnsi="仿宋" w:eastAsia="仿宋" w:cs="仿宋"/>
          <w:color w:val="000000"/>
          <w:sz w:val="24"/>
          <w:szCs w:val="24"/>
          <w:highlight w:val="none"/>
          <w:lang w:val="zh-CN"/>
        </w:rPr>
        <w:t>.1 响应文件的撤回</w:t>
      </w:r>
    </w:p>
    <w:p w14:paraId="00BFBE00">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1</w:t>
      </w:r>
      <w:r>
        <w:rPr>
          <w:rFonts w:hint="eastAsia" w:ascii="仿宋" w:hAnsi="仿宋" w:eastAsia="仿宋" w:cs="仿宋"/>
          <w:color w:val="000000"/>
          <w:sz w:val="24"/>
          <w:szCs w:val="24"/>
          <w:highlight w:val="none"/>
        </w:rPr>
        <w:t>7</w:t>
      </w:r>
      <w:r>
        <w:rPr>
          <w:rFonts w:hint="eastAsia" w:ascii="仿宋" w:hAnsi="仿宋" w:eastAsia="仿宋" w:cs="仿宋"/>
          <w:color w:val="000000"/>
          <w:sz w:val="24"/>
          <w:szCs w:val="24"/>
          <w:highlight w:val="none"/>
          <w:lang w:val="zh-CN"/>
        </w:rPr>
        <w:t>.1.1响应文件的撤回</w:t>
      </w:r>
    </w:p>
    <w:p w14:paraId="00BFBE01">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供应商可在响应文件提交截止时间前，撤回其响应文件。</w:t>
      </w:r>
    </w:p>
    <w:p w14:paraId="00BFBE02">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1</w:t>
      </w:r>
      <w:r>
        <w:rPr>
          <w:rFonts w:hint="eastAsia" w:ascii="仿宋" w:hAnsi="仿宋" w:eastAsia="仿宋" w:cs="仿宋"/>
          <w:color w:val="000000"/>
          <w:sz w:val="24"/>
          <w:szCs w:val="24"/>
          <w:highlight w:val="none"/>
        </w:rPr>
        <w:t>7</w:t>
      </w:r>
      <w:r>
        <w:rPr>
          <w:rFonts w:hint="eastAsia" w:ascii="仿宋" w:hAnsi="仿宋" w:eastAsia="仿宋" w:cs="仿宋"/>
          <w:color w:val="000000"/>
          <w:sz w:val="24"/>
          <w:szCs w:val="24"/>
          <w:highlight w:val="none"/>
          <w:lang w:val="zh-CN"/>
        </w:rPr>
        <w:t>.1.2供应商撤回响应文件，则认为其不再参与本项采购活动。</w:t>
      </w:r>
    </w:p>
    <w:p w14:paraId="00BFBE03">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1</w:t>
      </w:r>
      <w:r>
        <w:rPr>
          <w:rFonts w:hint="eastAsia" w:ascii="仿宋" w:hAnsi="仿宋" w:eastAsia="仿宋" w:cs="仿宋"/>
          <w:color w:val="000000"/>
          <w:sz w:val="24"/>
          <w:szCs w:val="24"/>
          <w:highlight w:val="none"/>
        </w:rPr>
        <w:t>7</w:t>
      </w:r>
      <w:r>
        <w:rPr>
          <w:rFonts w:hint="eastAsia" w:ascii="仿宋" w:hAnsi="仿宋" w:eastAsia="仿宋" w:cs="仿宋"/>
          <w:color w:val="000000"/>
          <w:sz w:val="24"/>
          <w:szCs w:val="24"/>
          <w:highlight w:val="none"/>
          <w:lang w:val="zh-CN"/>
        </w:rPr>
        <w:t>.2 响应文件的修改</w:t>
      </w:r>
    </w:p>
    <w:p w14:paraId="00BFBE04">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供应商可在响应文件提交截止时间前，对其响应文件进行修改。</w:t>
      </w:r>
    </w:p>
    <w:p w14:paraId="00BFBE05">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1</w:t>
      </w:r>
      <w:r>
        <w:rPr>
          <w:rFonts w:hint="eastAsia" w:ascii="仿宋" w:hAnsi="仿宋" w:eastAsia="仿宋" w:cs="仿宋"/>
          <w:color w:val="000000"/>
          <w:sz w:val="24"/>
          <w:szCs w:val="24"/>
          <w:highlight w:val="none"/>
        </w:rPr>
        <w:t>7</w:t>
      </w:r>
      <w:r>
        <w:rPr>
          <w:rFonts w:hint="eastAsia" w:ascii="仿宋" w:hAnsi="仿宋" w:eastAsia="仿宋" w:cs="仿宋"/>
          <w:color w:val="000000"/>
          <w:sz w:val="24"/>
          <w:szCs w:val="24"/>
          <w:highlight w:val="none"/>
          <w:lang w:val="zh-CN"/>
        </w:rPr>
        <w:t>.3 在响应文件提交截止时间之后，供应商不得对其响应文件作任何修改。</w:t>
      </w:r>
    </w:p>
    <w:p w14:paraId="00BFBE06">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1</w:t>
      </w:r>
      <w:r>
        <w:rPr>
          <w:rFonts w:hint="eastAsia" w:ascii="仿宋" w:hAnsi="仿宋" w:eastAsia="仿宋" w:cs="仿宋"/>
          <w:color w:val="000000"/>
          <w:sz w:val="24"/>
          <w:szCs w:val="24"/>
          <w:highlight w:val="none"/>
        </w:rPr>
        <w:t>7</w:t>
      </w:r>
      <w:r>
        <w:rPr>
          <w:rFonts w:hint="eastAsia" w:ascii="仿宋" w:hAnsi="仿宋" w:eastAsia="仿宋" w:cs="仿宋"/>
          <w:color w:val="000000"/>
          <w:sz w:val="24"/>
          <w:szCs w:val="24"/>
          <w:highlight w:val="none"/>
          <w:lang w:val="zh-CN"/>
        </w:rPr>
        <w:t>.4 在响应文件提交截止时间至征集文件中规定的响应文件有效期满之间的这段时间内，供应商不得撤回其响应文件。</w:t>
      </w:r>
    </w:p>
    <w:p w14:paraId="00BFBE07">
      <w:pPr>
        <w:pStyle w:val="256"/>
        <w:spacing w:before="145" w:after="145" w:line="276" w:lineRule="auto"/>
        <w:ind w:firstLine="320"/>
        <w:rPr>
          <w:rFonts w:hint="eastAsia" w:ascii="仿宋" w:hAnsi="仿宋" w:eastAsia="仿宋" w:cs="仿宋"/>
          <w:color w:val="000000"/>
          <w:highlight w:val="none"/>
        </w:rPr>
      </w:pPr>
      <w:bookmarkStart w:id="121" w:name="_Toc120614218"/>
      <w:bookmarkStart w:id="122" w:name="_Toc513029229"/>
      <w:bookmarkStart w:id="123" w:name="_Toc16938545"/>
      <w:bookmarkStart w:id="124" w:name="_Toc20823301"/>
      <w:r>
        <w:rPr>
          <w:rFonts w:hint="eastAsia" w:ascii="仿宋" w:hAnsi="仿宋" w:eastAsia="仿宋" w:cs="仿宋"/>
          <w:color w:val="000000"/>
          <w:highlight w:val="none"/>
        </w:rPr>
        <w:t>五、响应文件的开启与</w:t>
      </w:r>
      <w:bookmarkEnd w:id="121"/>
      <w:bookmarkEnd w:id="122"/>
      <w:bookmarkEnd w:id="123"/>
      <w:bookmarkEnd w:id="124"/>
      <w:r>
        <w:rPr>
          <w:rFonts w:hint="eastAsia" w:ascii="仿宋" w:hAnsi="仿宋" w:eastAsia="仿宋" w:cs="仿宋"/>
          <w:color w:val="000000"/>
          <w:highlight w:val="none"/>
        </w:rPr>
        <w:t>评审</w:t>
      </w:r>
    </w:p>
    <w:p w14:paraId="00BFBE08">
      <w:pPr>
        <w:pStyle w:val="257"/>
        <w:spacing w:before="0" w:after="0" w:line="276" w:lineRule="auto"/>
        <w:ind w:firstLine="420"/>
        <w:rPr>
          <w:rFonts w:hint="eastAsia" w:ascii="仿宋" w:hAnsi="仿宋" w:eastAsia="仿宋" w:cs="仿宋"/>
          <w:b w:val="0"/>
          <w:bCs w:val="0"/>
          <w:color w:val="000000"/>
          <w:highlight w:val="none"/>
        </w:rPr>
      </w:pPr>
      <w:bookmarkStart w:id="125" w:name="_Toc513029230"/>
      <w:bookmarkStart w:id="126" w:name="_Toc16938546"/>
      <w:bookmarkStart w:id="127" w:name="_Toc20823302"/>
      <w:r>
        <w:rPr>
          <w:rFonts w:hint="eastAsia" w:ascii="仿宋" w:hAnsi="仿宋" w:eastAsia="仿宋" w:cs="仿宋"/>
          <w:b w:val="0"/>
          <w:bCs w:val="0"/>
          <w:color w:val="000000"/>
          <w:highlight w:val="none"/>
        </w:rPr>
        <w:t>18、</w:t>
      </w:r>
      <w:bookmarkEnd w:id="125"/>
      <w:bookmarkEnd w:id="126"/>
      <w:bookmarkEnd w:id="127"/>
      <w:r>
        <w:rPr>
          <w:rFonts w:hint="eastAsia" w:ascii="仿宋" w:hAnsi="仿宋" w:eastAsia="仿宋" w:cs="仿宋"/>
          <w:b w:val="0"/>
          <w:bCs w:val="0"/>
          <w:color w:val="000000"/>
          <w:highlight w:val="none"/>
        </w:rPr>
        <w:t>响应文件的开启</w:t>
      </w:r>
    </w:p>
    <w:p w14:paraId="00BFBE09">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rPr>
        <w:t>18</w:t>
      </w:r>
      <w:r>
        <w:rPr>
          <w:rFonts w:hint="eastAsia" w:ascii="仿宋" w:hAnsi="仿宋" w:eastAsia="仿宋" w:cs="仿宋"/>
          <w:color w:val="000000"/>
          <w:sz w:val="24"/>
          <w:szCs w:val="24"/>
          <w:highlight w:val="none"/>
          <w:lang w:val="zh-CN"/>
        </w:rPr>
        <w:t xml:space="preserve">.1 </w:t>
      </w:r>
      <w:r>
        <w:rPr>
          <w:rFonts w:hint="eastAsia" w:ascii="仿宋" w:hAnsi="仿宋" w:eastAsia="仿宋" w:cs="仿宋"/>
          <w:color w:val="000000"/>
          <w:sz w:val="24"/>
          <w:szCs w:val="24"/>
          <w:highlight w:val="none"/>
        </w:rPr>
        <w:t>征集人</w:t>
      </w:r>
      <w:r>
        <w:rPr>
          <w:rFonts w:hint="eastAsia" w:ascii="仿宋" w:hAnsi="仿宋" w:eastAsia="仿宋" w:cs="仿宋"/>
          <w:color w:val="000000"/>
          <w:sz w:val="24"/>
          <w:szCs w:val="24"/>
          <w:highlight w:val="none"/>
          <w:lang w:val="zh-CN"/>
        </w:rPr>
        <w:t>将在征集公告中规定的时间和地点组织开启响应文件。</w:t>
      </w:r>
    </w:p>
    <w:p w14:paraId="00BFBE0A">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rPr>
        <w:t>18</w:t>
      </w:r>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val="zh-CN"/>
        </w:rPr>
        <w:t>响应文件开启仪式由</w:t>
      </w:r>
      <w:r>
        <w:rPr>
          <w:rFonts w:hint="eastAsia" w:ascii="仿宋" w:hAnsi="仿宋" w:eastAsia="仿宋" w:cs="仿宋"/>
          <w:color w:val="000000"/>
          <w:sz w:val="24"/>
          <w:szCs w:val="24"/>
          <w:highlight w:val="none"/>
        </w:rPr>
        <w:t>征集人</w:t>
      </w:r>
      <w:r>
        <w:rPr>
          <w:rFonts w:hint="eastAsia" w:ascii="仿宋" w:hAnsi="仿宋" w:eastAsia="仿宋" w:cs="仿宋"/>
          <w:color w:val="000000"/>
          <w:sz w:val="24"/>
          <w:szCs w:val="24"/>
          <w:highlight w:val="none"/>
          <w:lang w:val="zh-CN"/>
        </w:rPr>
        <w:t>组织。</w:t>
      </w:r>
    </w:p>
    <w:p w14:paraId="00BFBE0B">
      <w:pPr>
        <w:pStyle w:val="257"/>
        <w:spacing w:before="0" w:after="0" w:line="276" w:lineRule="auto"/>
        <w:ind w:firstLine="420"/>
        <w:rPr>
          <w:rFonts w:hint="eastAsia" w:ascii="仿宋" w:hAnsi="仿宋" w:eastAsia="仿宋" w:cs="仿宋"/>
          <w:b w:val="0"/>
          <w:bCs w:val="0"/>
          <w:color w:val="000000"/>
          <w:highlight w:val="none"/>
        </w:rPr>
      </w:pPr>
      <w:bookmarkStart w:id="128" w:name="_Toc513029231"/>
      <w:bookmarkStart w:id="129" w:name="_Toc16938547"/>
      <w:bookmarkStart w:id="130" w:name="_Toc20823303"/>
      <w:r>
        <w:rPr>
          <w:rFonts w:hint="eastAsia" w:ascii="仿宋" w:hAnsi="仿宋" w:eastAsia="仿宋" w:cs="仿宋"/>
          <w:b w:val="0"/>
          <w:bCs w:val="0"/>
          <w:color w:val="000000"/>
          <w:highlight w:val="none"/>
        </w:rPr>
        <w:t>19、评审小组</w:t>
      </w:r>
    </w:p>
    <w:p w14:paraId="00BFBE0C">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rPr>
        <w:t>19</w:t>
      </w:r>
      <w:r>
        <w:rPr>
          <w:rFonts w:hint="eastAsia" w:ascii="仿宋" w:hAnsi="仿宋" w:eastAsia="仿宋" w:cs="仿宋"/>
          <w:color w:val="000000"/>
          <w:sz w:val="24"/>
          <w:szCs w:val="24"/>
          <w:highlight w:val="none"/>
          <w:lang w:val="zh-CN"/>
        </w:rPr>
        <w:t>.1 响应文件开启后，</w:t>
      </w:r>
      <w:r>
        <w:rPr>
          <w:rFonts w:hint="eastAsia" w:ascii="仿宋" w:hAnsi="仿宋" w:eastAsia="仿宋" w:cs="仿宋"/>
          <w:color w:val="000000"/>
          <w:sz w:val="24"/>
          <w:szCs w:val="24"/>
          <w:highlight w:val="none"/>
        </w:rPr>
        <w:t>征集人</w:t>
      </w:r>
      <w:r>
        <w:rPr>
          <w:rFonts w:hint="eastAsia" w:ascii="仿宋" w:hAnsi="仿宋" w:eastAsia="仿宋" w:cs="仿宋"/>
          <w:color w:val="000000"/>
          <w:sz w:val="24"/>
          <w:szCs w:val="24"/>
          <w:highlight w:val="none"/>
          <w:lang w:val="zh-CN"/>
        </w:rPr>
        <w:t>将组织评审小组进行项目评审。</w:t>
      </w:r>
    </w:p>
    <w:p w14:paraId="00BFBE0D">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rPr>
        <w:t>19</w:t>
      </w:r>
      <w:r>
        <w:rPr>
          <w:rFonts w:hint="eastAsia" w:ascii="仿宋" w:hAnsi="仿宋" w:eastAsia="仿宋" w:cs="仿宋"/>
          <w:color w:val="000000"/>
          <w:sz w:val="24"/>
          <w:szCs w:val="24"/>
          <w:highlight w:val="none"/>
          <w:lang w:val="zh-CN"/>
        </w:rPr>
        <w:t>.2 评审小组由技术、经济等方面的专家组成，且人员构成符合政府采购有关规定。</w:t>
      </w:r>
    </w:p>
    <w:p w14:paraId="00BFBE0E">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rPr>
        <w:t>19</w:t>
      </w:r>
      <w:r>
        <w:rPr>
          <w:rFonts w:hint="eastAsia" w:ascii="仿宋" w:hAnsi="仿宋" w:eastAsia="仿宋" w:cs="仿宋"/>
          <w:color w:val="000000"/>
          <w:sz w:val="24"/>
          <w:szCs w:val="24"/>
          <w:highlight w:val="none"/>
          <w:lang w:val="zh-CN"/>
        </w:rPr>
        <w:t>.3</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val="zh-CN"/>
        </w:rPr>
        <w:t>评审小组独立工作，负责评审所有响应文件并确定入围供应商。</w:t>
      </w:r>
    </w:p>
    <w:p w14:paraId="00BFBE0F">
      <w:pPr>
        <w:pStyle w:val="257"/>
        <w:spacing w:before="0" w:after="0" w:line="276" w:lineRule="auto"/>
        <w:ind w:firstLine="420"/>
        <w:rPr>
          <w:rFonts w:hint="eastAsia" w:ascii="仿宋" w:hAnsi="仿宋" w:eastAsia="仿宋" w:cs="仿宋"/>
          <w:b w:val="0"/>
          <w:bCs w:val="0"/>
          <w:color w:val="000000"/>
          <w:highlight w:val="none"/>
        </w:rPr>
      </w:pPr>
      <w:r>
        <w:rPr>
          <w:rFonts w:hint="eastAsia" w:ascii="仿宋" w:hAnsi="仿宋" w:eastAsia="仿宋" w:cs="仿宋"/>
          <w:b w:val="0"/>
          <w:bCs w:val="0"/>
          <w:color w:val="000000"/>
          <w:highlight w:val="none"/>
        </w:rPr>
        <w:t>20、评审过程的保密与公正</w:t>
      </w:r>
    </w:p>
    <w:bookmarkEnd w:id="128"/>
    <w:bookmarkEnd w:id="129"/>
    <w:bookmarkEnd w:id="130"/>
    <w:p w14:paraId="00BFBE10">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0</w:t>
      </w:r>
      <w:r>
        <w:rPr>
          <w:rFonts w:hint="eastAsia" w:ascii="仿宋" w:hAnsi="仿宋" w:eastAsia="仿宋" w:cs="仿宋"/>
          <w:color w:val="000000"/>
          <w:sz w:val="24"/>
          <w:szCs w:val="24"/>
          <w:highlight w:val="none"/>
          <w:lang w:val="zh-CN"/>
        </w:rPr>
        <w:t>.1</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val="zh-CN"/>
        </w:rPr>
        <w:t>凡是与审查、澄清、评价和比较的有关资料以及授标建议等，评审小组成员、</w:t>
      </w:r>
      <w:r>
        <w:rPr>
          <w:rFonts w:hint="eastAsia" w:ascii="仿宋" w:hAnsi="仿宋" w:eastAsia="仿宋" w:cs="仿宋"/>
          <w:color w:val="000000"/>
          <w:sz w:val="24"/>
          <w:szCs w:val="24"/>
          <w:highlight w:val="none"/>
        </w:rPr>
        <w:t>征集人</w:t>
      </w:r>
      <w:r>
        <w:rPr>
          <w:rFonts w:hint="eastAsia" w:ascii="仿宋" w:hAnsi="仿宋" w:eastAsia="仿宋" w:cs="仿宋"/>
          <w:color w:val="000000"/>
          <w:sz w:val="24"/>
          <w:szCs w:val="24"/>
          <w:highlight w:val="none"/>
          <w:lang w:val="zh-CN"/>
        </w:rPr>
        <w:t>均不得向供应商或与评审工作无关的其他人员透露。</w:t>
      </w:r>
    </w:p>
    <w:p w14:paraId="00BFBE11">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0</w:t>
      </w:r>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val="zh-CN"/>
        </w:rPr>
        <w:t>在评审过程中，供应商不得以任何行为影响评审</w:t>
      </w:r>
      <w:r>
        <w:rPr>
          <w:rFonts w:hint="eastAsia" w:ascii="仿宋" w:hAnsi="仿宋" w:eastAsia="仿宋" w:cs="仿宋"/>
          <w:color w:val="000000"/>
          <w:sz w:val="24"/>
          <w:szCs w:val="24"/>
          <w:highlight w:val="none"/>
        </w:rPr>
        <w:t>工作</w:t>
      </w:r>
      <w:r>
        <w:rPr>
          <w:rFonts w:hint="eastAsia" w:ascii="仿宋" w:hAnsi="仿宋" w:eastAsia="仿宋" w:cs="仿宋"/>
          <w:color w:val="000000"/>
          <w:sz w:val="24"/>
          <w:szCs w:val="24"/>
          <w:highlight w:val="none"/>
          <w:lang w:val="zh-CN"/>
        </w:rPr>
        <w:t>，否则其响应文件将被作为无效响应文件。</w:t>
      </w:r>
    </w:p>
    <w:p w14:paraId="00BFBE12">
      <w:pPr>
        <w:pStyle w:val="257"/>
        <w:spacing w:before="0" w:after="0" w:line="276" w:lineRule="auto"/>
        <w:ind w:firstLine="420"/>
        <w:rPr>
          <w:rFonts w:hint="eastAsia" w:ascii="仿宋" w:hAnsi="仿宋" w:eastAsia="仿宋" w:cs="仿宋"/>
          <w:b w:val="0"/>
          <w:bCs w:val="0"/>
          <w:color w:val="000000"/>
          <w:highlight w:val="none"/>
        </w:rPr>
      </w:pPr>
      <w:bookmarkStart w:id="131" w:name="_Toc513029232"/>
      <w:bookmarkStart w:id="132" w:name="_Toc16938548"/>
      <w:bookmarkStart w:id="133" w:name="_Toc20823304"/>
      <w:r>
        <w:rPr>
          <w:rFonts w:hint="eastAsia" w:ascii="仿宋" w:hAnsi="仿宋" w:eastAsia="仿宋" w:cs="仿宋"/>
          <w:b w:val="0"/>
          <w:bCs w:val="0"/>
          <w:color w:val="000000"/>
          <w:highlight w:val="none"/>
        </w:rPr>
        <w:t>21、响应文件的澄清</w:t>
      </w:r>
      <w:bookmarkEnd w:id="131"/>
      <w:bookmarkEnd w:id="132"/>
      <w:bookmarkEnd w:id="133"/>
    </w:p>
    <w:p w14:paraId="00BFBE13">
      <w:pPr>
        <w:spacing w:line="276" w:lineRule="auto"/>
        <w:ind w:firstLine="480"/>
        <w:rPr>
          <w:rFonts w:hint="eastAsia" w:ascii="仿宋" w:hAnsi="仿宋" w:eastAsia="仿宋" w:cs="仿宋"/>
          <w:color w:val="000000"/>
          <w:sz w:val="24"/>
          <w:szCs w:val="24"/>
          <w:highlight w:val="none"/>
          <w:lang w:val="zh-CN"/>
        </w:rPr>
      </w:pPr>
      <w:bookmarkStart w:id="134" w:name="_Toc20823305"/>
      <w:bookmarkStart w:id="135" w:name="_Toc16938549"/>
      <w:bookmarkStart w:id="136" w:name="_Toc513029233"/>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zh-CN"/>
        </w:rPr>
        <w:t>.1</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val="zh-CN"/>
        </w:rPr>
        <w:t>评审期间，对于响应文件中含义不明确、同类问题表述不一致或者有明显文字和计算错误的内容，评审小组将要求供应商作出必要的澄清、说明和补正。</w:t>
      </w:r>
    </w:p>
    <w:p w14:paraId="00BFBE14">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val="zh-CN"/>
        </w:rPr>
        <w:t>收到评审小组澄清、说明和补正要求的供应商应派人按评审小组规定的时间做出澄清、说明和补正。澄清、说明或者补正不得超出征集文件的范围或者改变响应文件的实质性内容。</w:t>
      </w:r>
    </w:p>
    <w:p w14:paraId="00BFBE15">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zh-CN"/>
        </w:rPr>
        <w:t>.3</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val="zh-CN"/>
        </w:rPr>
        <w:t>供应商如未按规定做出澄清、说明和补正，其风险由供应商自行承担。</w:t>
      </w:r>
    </w:p>
    <w:p w14:paraId="00BFBE16">
      <w:pPr>
        <w:pStyle w:val="257"/>
        <w:spacing w:before="0" w:after="0" w:line="276" w:lineRule="auto"/>
        <w:ind w:firstLine="420"/>
        <w:rPr>
          <w:rFonts w:hint="eastAsia" w:ascii="仿宋" w:hAnsi="仿宋" w:eastAsia="仿宋" w:cs="仿宋"/>
          <w:b w:val="0"/>
          <w:bCs w:val="0"/>
          <w:color w:val="000000"/>
          <w:highlight w:val="none"/>
        </w:rPr>
      </w:pPr>
      <w:r>
        <w:rPr>
          <w:rFonts w:hint="eastAsia" w:ascii="仿宋" w:hAnsi="仿宋" w:eastAsia="仿宋" w:cs="仿宋"/>
          <w:b w:val="0"/>
          <w:bCs w:val="0"/>
          <w:color w:val="000000"/>
          <w:highlight w:val="none"/>
        </w:rPr>
        <w:t>22、响应文件的初审</w:t>
      </w:r>
      <w:bookmarkEnd w:id="134"/>
      <w:bookmarkEnd w:id="135"/>
      <w:bookmarkEnd w:id="136"/>
    </w:p>
    <w:p w14:paraId="00BFBE17">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zh-CN"/>
        </w:rPr>
        <w:t>.1</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val="zh-CN"/>
        </w:rPr>
        <w:t>响应文件初审分为资格审查和符合性审查。</w:t>
      </w:r>
    </w:p>
    <w:p w14:paraId="00BFBE18">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zh-CN"/>
        </w:rPr>
        <w:t>.1.1资格审查：依据法律法规和征集文件规定的资格要求对供应商的资格证明文件进行审查。</w:t>
      </w:r>
    </w:p>
    <w:p w14:paraId="00BFBE19">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资格审查时，</w:t>
      </w:r>
      <w:r>
        <w:rPr>
          <w:rFonts w:hint="eastAsia" w:ascii="仿宋" w:hAnsi="仿宋" w:eastAsia="仿宋" w:cs="仿宋"/>
          <w:color w:val="000000"/>
          <w:sz w:val="24"/>
          <w:szCs w:val="24"/>
          <w:highlight w:val="none"/>
        </w:rPr>
        <w:t>征集人</w:t>
      </w:r>
      <w:r>
        <w:rPr>
          <w:rFonts w:hint="eastAsia" w:ascii="仿宋" w:hAnsi="仿宋" w:eastAsia="仿宋" w:cs="仿宋"/>
          <w:color w:val="000000"/>
          <w:sz w:val="24"/>
          <w:szCs w:val="24"/>
          <w:highlight w:val="none"/>
          <w:lang w:val="zh-CN"/>
        </w:rPr>
        <w:t>将在“信用中国”网站（www.creditchina.gov.cn）查询供应商的信用记录，以确定供应商是否具备参加本次采购活动的资格。</w:t>
      </w:r>
    </w:p>
    <w:p w14:paraId="00BFBE1A">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zh-CN"/>
        </w:rPr>
        <w:t>.1.2符合性审查：依据征集活动的规定，由评审小组从响应文件的有效性、完整性和对征集文件的响应程度进行审查，以确定是否对征集文件的实质性要求作出响应。</w:t>
      </w:r>
    </w:p>
    <w:p w14:paraId="00BFBE1B">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zh-CN"/>
        </w:rPr>
        <w:t>.1.3未通过资格审查或符合性审查的供应商，</w:t>
      </w:r>
      <w:r>
        <w:rPr>
          <w:rFonts w:hint="eastAsia" w:ascii="仿宋" w:hAnsi="仿宋" w:eastAsia="仿宋" w:cs="仿宋"/>
          <w:color w:val="000000"/>
          <w:sz w:val="24"/>
          <w:szCs w:val="24"/>
          <w:highlight w:val="none"/>
        </w:rPr>
        <w:t>征集人</w:t>
      </w:r>
      <w:r>
        <w:rPr>
          <w:rFonts w:hint="eastAsia" w:ascii="仿宋" w:hAnsi="仿宋" w:eastAsia="仿宋" w:cs="仿宋"/>
          <w:color w:val="000000"/>
          <w:sz w:val="24"/>
          <w:szCs w:val="24"/>
          <w:highlight w:val="none"/>
          <w:lang w:val="zh-CN"/>
        </w:rPr>
        <w:t>将在告知未通过资格审查或符合性审查的原因，评审结束后，</w:t>
      </w:r>
      <w:r>
        <w:rPr>
          <w:rFonts w:hint="eastAsia" w:ascii="仿宋" w:hAnsi="仿宋" w:eastAsia="仿宋" w:cs="仿宋"/>
          <w:color w:val="000000"/>
          <w:sz w:val="24"/>
          <w:szCs w:val="24"/>
          <w:highlight w:val="none"/>
        </w:rPr>
        <w:t>征集人</w:t>
      </w:r>
      <w:r>
        <w:rPr>
          <w:rFonts w:hint="eastAsia" w:ascii="仿宋" w:hAnsi="仿宋" w:eastAsia="仿宋" w:cs="仿宋"/>
          <w:color w:val="000000"/>
          <w:sz w:val="24"/>
          <w:szCs w:val="24"/>
          <w:highlight w:val="none"/>
          <w:lang w:val="zh-CN"/>
        </w:rPr>
        <w:t>将不再告知未通过资格审查或符合性审查的原因。</w:t>
      </w:r>
    </w:p>
    <w:p w14:paraId="00BFBE1C">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val="zh-CN"/>
        </w:rPr>
        <w:t>在详细评审之前，评审小组将首先审查每份响应文件是否实质性响应了征集文件的要求。实质性响应是与征集文件要求的全部条款、条件和规格相符，没有重大偏离或保留的响应。</w:t>
      </w:r>
    </w:p>
    <w:p w14:paraId="00BFBE1D">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所谓重大偏离或保留是指与征集文件规定的实质性要求存在负偏离，或者在实质上与征集文件不一致，而且限制了框架协议中征集人的权利或入围供应商的义务，纠正这些偏离或保留将会对其他实质性响应要求的供应商的竞争地位产生不公正的影响。重大偏离的认定需经过评审小组以少数服从多数的原则作出结论。评审小组决定响应文件的响应性只根据响应文件本身的内容，而不寻求外部的证据。</w:t>
      </w:r>
    </w:p>
    <w:p w14:paraId="00BFBE1E">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zh-CN"/>
        </w:rPr>
        <w:t>.3</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val="zh-CN"/>
        </w:rPr>
        <w:t>如果响应文件实质上没有响应征集文件的要求，评审小组将予以拒绝，供应商不得通过修改或撤销不合要求的偏离或保留而使其响应文件成为实质性响应文件。</w:t>
      </w:r>
    </w:p>
    <w:p w14:paraId="00BFBE1F">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zh-CN"/>
        </w:rPr>
        <w:t>.4</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val="zh-CN"/>
        </w:rPr>
        <w:t>评审小组将允许修正响应文件中不构成重大偏离的、微小的、非正规的、不一致的或不规则的地方，但这些修改不能影响任何供应商相应的名次排列。</w:t>
      </w:r>
    </w:p>
    <w:p w14:paraId="00BFBE20">
      <w:pPr>
        <w:spacing w:line="276" w:lineRule="auto"/>
        <w:ind w:firstLine="480"/>
        <w:rPr>
          <w:rFonts w:hint="eastAsia" w:ascii="仿宋" w:hAnsi="仿宋" w:eastAsia="仿宋" w:cs="仿宋"/>
          <w:color w:val="000000"/>
          <w:sz w:val="24"/>
          <w:szCs w:val="24"/>
          <w:highlight w:val="none"/>
          <w:lang w:val="zh-CN"/>
        </w:rPr>
      </w:pPr>
      <w:bookmarkStart w:id="137" w:name="_Toc513029234"/>
      <w:bookmarkStart w:id="138" w:name="_Toc16938550"/>
      <w:bookmarkStart w:id="139" w:name="_Toc20823306"/>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zh-CN"/>
        </w:rPr>
        <w:t>.5</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val="zh-CN"/>
        </w:rPr>
        <w:t>供应商在响应文件开启及项目评审全过程中应保持通讯畅通。</w:t>
      </w:r>
    </w:p>
    <w:p w14:paraId="00BFBE21">
      <w:pPr>
        <w:pStyle w:val="257"/>
        <w:spacing w:before="0" w:after="0" w:line="276" w:lineRule="auto"/>
        <w:ind w:firstLine="420"/>
        <w:rPr>
          <w:rFonts w:hint="eastAsia" w:ascii="仿宋" w:hAnsi="仿宋" w:eastAsia="仿宋" w:cs="仿宋"/>
          <w:b w:val="0"/>
          <w:bCs w:val="0"/>
          <w:color w:val="000000"/>
          <w:highlight w:val="none"/>
        </w:rPr>
      </w:pPr>
      <w:r>
        <w:rPr>
          <w:rFonts w:hint="eastAsia" w:ascii="仿宋" w:hAnsi="仿宋" w:eastAsia="仿宋" w:cs="仿宋"/>
          <w:b w:val="0"/>
          <w:bCs w:val="0"/>
          <w:color w:val="000000"/>
          <w:highlight w:val="none"/>
        </w:rPr>
        <w:t>23、</w:t>
      </w:r>
      <w:bookmarkEnd w:id="137"/>
      <w:bookmarkEnd w:id="138"/>
      <w:bookmarkEnd w:id="139"/>
      <w:r>
        <w:rPr>
          <w:rFonts w:hint="eastAsia" w:ascii="仿宋" w:hAnsi="仿宋" w:eastAsia="仿宋" w:cs="仿宋"/>
          <w:b w:val="0"/>
          <w:bCs w:val="0"/>
          <w:color w:val="000000"/>
          <w:highlight w:val="none"/>
        </w:rPr>
        <w:t>无效响应条款和采购活动终止条款</w:t>
      </w:r>
    </w:p>
    <w:p w14:paraId="00BFBE22">
      <w:pPr>
        <w:spacing w:line="276" w:lineRule="auto"/>
        <w:ind w:firstLine="480"/>
        <w:rPr>
          <w:rFonts w:hint="eastAsia" w:ascii="仿宋" w:hAnsi="仿宋" w:eastAsia="仿宋" w:cs="仿宋"/>
          <w:color w:val="000000"/>
          <w:sz w:val="24"/>
          <w:szCs w:val="24"/>
          <w:highlight w:val="none"/>
          <w:lang w:val="zh-CN"/>
        </w:rPr>
      </w:pPr>
      <w:bookmarkStart w:id="140" w:name="_Toc120614219"/>
      <w:bookmarkStart w:id="141" w:name="_Toc513029235"/>
      <w:bookmarkStart w:id="142" w:name="_Toc20823307"/>
      <w:bookmarkStart w:id="143" w:name="_Toc16938551"/>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zh-CN"/>
        </w:rPr>
        <w:t>.1</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val="zh-CN"/>
        </w:rPr>
        <w:t>无效响应条款</w:t>
      </w:r>
    </w:p>
    <w:p w14:paraId="00BFBE23">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zh-CN"/>
        </w:rPr>
        <w:t>.1.</w:t>
      </w: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zh-CN"/>
        </w:rPr>
        <w:t>供应商同一项服务提交两个（含两个）以上不同的报价的。</w:t>
      </w:r>
    </w:p>
    <w:p w14:paraId="00BFBE24">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zh-CN"/>
        </w:rPr>
        <w:t>.1.</w:t>
      </w: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zh-CN"/>
        </w:rPr>
        <w:t>供应商不具备征集文件中规定资格要求的。</w:t>
      </w:r>
    </w:p>
    <w:p w14:paraId="00BFBE25">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zh-CN"/>
        </w:rPr>
        <w:t>.1.</w:t>
      </w: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zh-CN"/>
        </w:rPr>
        <w:t>供应商所报服务单价或专用耗材单价超过了最高限制单价的。</w:t>
      </w:r>
    </w:p>
    <w:p w14:paraId="00BFBE26">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zh-CN"/>
        </w:rPr>
        <w:t>.1.</w:t>
      </w:r>
      <w:r>
        <w:rPr>
          <w:rFonts w:hint="eastAsia" w:ascii="仿宋" w:hAnsi="仿宋" w:eastAsia="仿宋" w:cs="仿宋"/>
          <w:color w:val="000000"/>
          <w:sz w:val="24"/>
          <w:szCs w:val="24"/>
          <w:highlight w:val="none"/>
        </w:rPr>
        <w:t>4</w:t>
      </w:r>
      <w:r>
        <w:rPr>
          <w:rFonts w:hint="eastAsia" w:ascii="仿宋" w:hAnsi="仿宋" w:eastAsia="仿宋" w:cs="仿宋"/>
          <w:color w:val="000000"/>
          <w:sz w:val="24"/>
          <w:szCs w:val="24"/>
          <w:highlight w:val="none"/>
          <w:lang w:val="zh-CN"/>
        </w:rPr>
        <w:t>供应商未通过符合性审查的。</w:t>
      </w:r>
    </w:p>
    <w:p w14:paraId="00BFBE27">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zh-CN"/>
        </w:rPr>
        <w:t>.1.</w:t>
      </w:r>
      <w:r>
        <w:rPr>
          <w:rFonts w:hint="eastAsia" w:ascii="仿宋" w:hAnsi="仿宋" w:eastAsia="仿宋" w:cs="仿宋"/>
          <w:color w:val="000000"/>
          <w:sz w:val="24"/>
          <w:szCs w:val="24"/>
          <w:highlight w:val="none"/>
        </w:rPr>
        <w:t>5</w:t>
      </w:r>
      <w:r>
        <w:rPr>
          <w:rFonts w:hint="eastAsia" w:ascii="仿宋" w:hAnsi="仿宋" w:eastAsia="仿宋" w:cs="仿宋"/>
          <w:color w:val="000000"/>
          <w:sz w:val="24"/>
          <w:szCs w:val="24"/>
          <w:highlight w:val="none"/>
          <w:lang w:val="zh-CN"/>
        </w:rPr>
        <w:t>不符合征集文件中规定的实质性要求和条件的。</w:t>
      </w:r>
    </w:p>
    <w:p w14:paraId="00BFBE28">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zh-CN"/>
        </w:rPr>
        <w:t>.1.</w:t>
      </w:r>
      <w:r>
        <w:rPr>
          <w:rFonts w:hint="eastAsia" w:ascii="仿宋" w:hAnsi="仿宋" w:eastAsia="仿宋" w:cs="仿宋"/>
          <w:color w:val="000000"/>
          <w:sz w:val="24"/>
          <w:szCs w:val="24"/>
          <w:highlight w:val="none"/>
        </w:rPr>
        <w:t>6</w:t>
      </w:r>
      <w:r>
        <w:rPr>
          <w:rFonts w:hint="eastAsia" w:ascii="仿宋" w:hAnsi="仿宋" w:eastAsia="仿宋" w:cs="仿宋"/>
          <w:color w:val="000000"/>
          <w:sz w:val="24"/>
          <w:szCs w:val="24"/>
          <w:highlight w:val="none"/>
          <w:lang w:val="zh-CN"/>
        </w:rPr>
        <w:t>供应商被“信用中国”网站（www.creditchina.gov.cn）列入失信被执行人或重大税收违法案件当事人名单或政府采购严重失信行为记录名单。</w:t>
      </w:r>
    </w:p>
    <w:p w14:paraId="00BFBE29">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zh-CN"/>
        </w:rPr>
        <w:t>.1.</w:t>
      </w:r>
      <w:r>
        <w:rPr>
          <w:rFonts w:hint="eastAsia" w:ascii="仿宋" w:hAnsi="仿宋" w:eastAsia="仿宋" w:cs="仿宋"/>
          <w:color w:val="000000"/>
          <w:sz w:val="24"/>
          <w:szCs w:val="24"/>
          <w:highlight w:val="none"/>
        </w:rPr>
        <w:t>7</w:t>
      </w:r>
      <w:r>
        <w:rPr>
          <w:rFonts w:hint="eastAsia" w:ascii="仿宋" w:hAnsi="仿宋" w:eastAsia="仿宋" w:cs="仿宋"/>
          <w:color w:val="000000"/>
          <w:sz w:val="24"/>
          <w:szCs w:val="24"/>
          <w:highlight w:val="none"/>
          <w:lang w:val="zh-CN"/>
        </w:rPr>
        <w:t>响应文件含有</w:t>
      </w:r>
      <w:r>
        <w:rPr>
          <w:rFonts w:hint="eastAsia" w:ascii="仿宋" w:hAnsi="仿宋" w:eastAsia="仿宋" w:cs="仿宋"/>
          <w:color w:val="000000"/>
          <w:sz w:val="24"/>
          <w:szCs w:val="24"/>
          <w:highlight w:val="none"/>
        </w:rPr>
        <w:t>征集人</w:t>
      </w:r>
      <w:r>
        <w:rPr>
          <w:rFonts w:hint="eastAsia" w:ascii="仿宋" w:hAnsi="仿宋" w:eastAsia="仿宋" w:cs="仿宋"/>
          <w:color w:val="000000"/>
          <w:sz w:val="24"/>
          <w:szCs w:val="24"/>
          <w:highlight w:val="none"/>
          <w:lang w:val="zh-CN"/>
        </w:rPr>
        <w:t>不能接受的附加条件的。</w:t>
      </w:r>
    </w:p>
    <w:p w14:paraId="00BFBE2A">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zh-CN"/>
        </w:rPr>
        <w:t>.1.</w:t>
      </w:r>
      <w:r>
        <w:rPr>
          <w:rFonts w:hint="eastAsia" w:ascii="仿宋" w:hAnsi="仿宋" w:eastAsia="仿宋" w:cs="仿宋"/>
          <w:color w:val="000000"/>
          <w:sz w:val="24"/>
          <w:szCs w:val="24"/>
          <w:highlight w:val="none"/>
        </w:rPr>
        <w:t>8</w:t>
      </w:r>
      <w:r>
        <w:rPr>
          <w:rFonts w:hint="eastAsia" w:ascii="仿宋" w:hAnsi="仿宋" w:eastAsia="仿宋" w:cs="仿宋"/>
          <w:color w:val="000000"/>
          <w:sz w:val="24"/>
          <w:szCs w:val="24"/>
          <w:highlight w:val="none"/>
          <w:lang w:val="zh-CN"/>
        </w:rPr>
        <w:t>评审小组认为供应商的报价明显低于其他通过符合性审查供应商的报价，有可能影响服务质量或者不能诚信履约的，将要求其在合理的时间内提供说明，必要时提交相关证明材料；供应商不能证明其报价合理性的，评审小组应当将其作为无效响应处理。</w:t>
      </w:r>
    </w:p>
    <w:p w14:paraId="00BFBE2B">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zh-CN"/>
        </w:rPr>
        <w:t>.1.</w:t>
      </w:r>
      <w:r>
        <w:rPr>
          <w:rFonts w:hint="eastAsia" w:ascii="仿宋" w:hAnsi="仿宋" w:eastAsia="仿宋" w:cs="仿宋"/>
          <w:color w:val="000000"/>
          <w:sz w:val="24"/>
          <w:szCs w:val="24"/>
          <w:highlight w:val="none"/>
        </w:rPr>
        <w:t>9</w:t>
      </w:r>
      <w:r>
        <w:rPr>
          <w:rFonts w:hint="eastAsia" w:ascii="仿宋" w:hAnsi="仿宋" w:eastAsia="仿宋" w:cs="仿宋"/>
          <w:color w:val="000000"/>
          <w:sz w:val="24"/>
          <w:szCs w:val="24"/>
          <w:highlight w:val="none"/>
          <w:lang w:val="zh-CN"/>
        </w:rPr>
        <w:t>响应文件未按照征集文件要求盖章的。</w:t>
      </w:r>
    </w:p>
    <w:p w14:paraId="00BFBE2C">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zh-CN"/>
        </w:rPr>
        <w:t>.1.1</w:t>
      </w:r>
      <w:r>
        <w:rPr>
          <w:rFonts w:hint="eastAsia" w:ascii="仿宋" w:hAnsi="仿宋" w:eastAsia="仿宋" w:cs="仿宋"/>
          <w:color w:val="000000"/>
          <w:sz w:val="24"/>
          <w:szCs w:val="24"/>
          <w:highlight w:val="none"/>
        </w:rPr>
        <w:t>0</w:t>
      </w:r>
      <w:r>
        <w:rPr>
          <w:rFonts w:hint="eastAsia" w:ascii="仿宋" w:hAnsi="仿宋" w:eastAsia="仿宋" w:cs="仿宋"/>
          <w:color w:val="000000"/>
          <w:sz w:val="24"/>
          <w:szCs w:val="24"/>
          <w:highlight w:val="none"/>
          <w:lang w:val="zh-CN"/>
        </w:rPr>
        <w:t>其他法律、法规及本征集文件规定的属无效响应的情形。</w:t>
      </w:r>
    </w:p>
    <w:p w14:paraId="00BFBE2D">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val="zh-CN"/>
        </w:rPr>
        <w:t>采购活动终止条款</w:t>
      </w:r>
    </w:p>
    <w:p w14:paraId="00BFBE2E">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zh-CN"/>
        </w:rPr>
        <w:t>.2.1出现影响采购公正的违法、违规行为。</w:t>
      </w:r>
    </w:p>
    <w:p w14:paraId="00BFBE2F">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zh-CN"/>
        </w:rPr>
        <w:t>.2.2因重大变故，采购任务取消的。</w:t>
      </w:r>
    </w:p>
    <w:p w14:paraId="00BFBE30">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zh-CN"/>
        </w:rPr>
        <w:t>.2.3评审小组认定征集文件存在歧义、重大缺陷导致评审工作无法进行。</w:t>
      </w:r>
    </w:p>
    <w:p w14:paraId="00BFBE31">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4</w:t>
      </w:r>
      <w:r>
        <w:rPr>
          <w:rFonts w:hint="eastAsia" w:ascii="仿宋" w:hAnsi="仿宋" w:eastAsia="仿宋" w:cs="仿宋"/>
          <w:color w:val="000000"/>
          <w:sz w:val="24"/>
          <w:szCs w:val="24"/>
          <w:highlight w:val="none"/>
          <w:lang w:val="zh-CN"/>
        </w:rPr>
        <w:t>提交响应文件和通过资格审查、符合性审查的供应商数量少于2家。</w:t>
      </w:r>
    </w:p>
    <w:p w14:paraId="00BFBE32">
      <w:pPr>
        <w:pStyle w:val="256"/>
        <w:spacing w:before="145" w:after="145" w:line="276" w:lineRule="auto"/>
        <w:ind w:firstLine="320"/>
        <w:rPr>
          <w:rFonts w:hint="eastAsia" w:ascii="仿宋" w:hAnsi="仿宋" w:eastAsia="仿宋" w:cs="仿宋"/>
          <w:color w:val="000000"/>
          <w:highlight w:val="none"/>
        </w:rPr>
      </w:pPr>
      <w:r>
        <w:rPr>
          <w:rFonts w:hint="eastAsia" w:ascii="仿宋" w:hAnsi="仿宋" w:eastAsia="仿宋" w:cs="仿宋"/>
          <w:color w:val="000000"/>
          <w:highlight w:val="none"/>
        </w:rPr>
        <w:t>六、</w:t>
      </w:r>
      <w:bookmarkEnd w:id="140"/>
      <w:bookmarkEnd w:id="141"/>
      <w:bookmarkEnd w:id="142"/>
      <w:bookmarkEnd w:id="143"/>
      <w:r>
        <w:rPr>
          <w:rFonts w:hint="eastAsia" w:ascii="仿宋" w:hAnsi="仿宋" w:eastAsia="仿宋" w:cs="仿宋"/>
          <w:color w:val="000000"/>
          <w:highlight w:val="none"/>
        </w:rPr>
        <w:t>入围</w:t>
      </w:r>
    </w:p>
    <w:p w14:paraId="00BFBE33">
      <w:pPr>
        <w:pStyle w:val="257"/>
        <w:spacing w:before="0" w:after="0" w:line="276" w:lineRule="auto"/>
        <w:ind w:firstLine="420"/>
        <w:rPr>
          <w:rFonts w:hint="eastAsia" w:ascii="仿宋" w:hAnsi="仿宋" w:eastAsia="仿宋" w:cs="仿宋"/>
          <w:b w:val="0"/>
          <w:bCs w:val="0"/>
          <w:color w:val="000000"/>
          <w:highlight w:val="none"/>
        </w:rPr>
      </w:pPr>
      <w:bookmarkStart w:id="144" w:name="_Toc513029238"/>
      <w:bookmarkStart w:id="145" w:name="_Toc16938554"/>
      <w:bookmarkStart w:id="146" w:name="_Toc20823310"/>
      <w:r>
        <w:rPr>
          <w:rFonts w:hint="eastAsia" w:ascii="仿宋" w:hAnsi="仿宋" w:eastAsia="仿宋" w:cs="仿宋"/>
          <w:b w:val="0"/>
          <w:bCs w:val="0"/>
          <w:color w:val="000000"/>
          <w:highlight w:val="none"/>
        </w:rPr>
        <w:t>24、</w:t>
      </w:r>
      <w:bookmarkEnd w:id="144"/>
      <w:r>
        <w:rPr>
          <w:rFonts w:hint="eastAsia" w:ascii="仿宋" w:hAnsi="仿宋" w:eastAsia="仿宋" w:cs="仿宋"/>
          <w:b w:val="0"/>
          <w:bCs w:val="0"/>
          <w:color w:val="000000"/>
          <w:highlight w:val="none"/>
        </w:rPr>
        <w:t>确定</w:t>
      </w:r>
      <w:bookmarkEnd w:id="145"/>
      <w:bookmarkEnd w:id="146"/>
      <w:r>
        <w:rPr>
          <w:rFonts w:hint="eastAsia" w:ascii="仿宋" w:hAnsi="仿宋" w:eastAsia="仿宋" w:cs="仿宋"/>
          <w:b w:val="0"/>
          <w:bCs w:val="0"/>
          <w:color w:val="000000"/>
          <w:highlight w:val="none"/>
        </w:rPr>
        <w:t>入围供应商</w:t>
      </w:r>
    </w:p>
    <w:p w14:paraId="00BFBE34">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4</w:t>
      </w:r>
      <w:r>
        <w:rPr>
          <w:rFonts w:hint="eastAsia" w:ascii="仿宋" w:hAnsi="仿宋" w:eastAsia="仿宋" w:cs="仿宋"/>
          <w:color w:val="000000"/>
          <w:sz w:val="24"/>
          <w:szCs w:val="24"/>
          <w:highlight w:val="none"/>
          <w:lang w:val="zh-CN"/>
        </w:rPr>
        <w:t>.1</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val="zh-CN"/>
        </w:rPr>
        <w:t xml:space="preserve">入围供应商的选取原则和数量见征集文件第五章规定。 </w:t>
      </w:r>
    </w:p>
    <w:p w14:paraId="00BFBE35">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4</w:t>
      </w:r>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 xml:space="preserve"> 征集人</w:t>
      </w:r>
      <w:r>
        <w:rPr>
          <w:rFonts w:hint="eastAsia" w:ascii="仿宋" w:hAnsi="仿宋" w:eastAsia="仿宋" w:cs="仿宋"/>
          <w:color w:val="000000"/>
          <w:sz w:val="24"/>
          <w:szCs w:val="24"/>
          <w:highlight w:val="none"/>
          <w:lang w:val="zh-CN"/>
        </w:rPr>
        <w:t>将在“</w:t>
      </w:r>
      <w:r>
        <w:rPr>
          <w:rFonts w:hint="eastAsia" w:ascii="仿宋" w:hAnsi="仿宋" w:eastAsia="仿宋" w:cs="仿宋"/>
          <w:color w:val="000000"/>
          <w:sz w:val="24"/>
          <w:szCs w:val="24"/>
          <w:highlight w:val="none"/>
          <w:lang w:val="en-US" w:eastAsia="zh-CN"/>
        </w:rPr>
        <w:t>南京公共采购信息网</w:t>
      </w:r>
      <w:r>
        <w:rPr>
          <w:rFonts w:hint="eastAsia" w:ascii="仿宋" w:hAnsi="仿宋" w:eastAsia="仿宋" w:cs="仿宋"/>
          <w:color w:val="000000"/>
          <w:sz w:val="24"/>
          <w:szCs w:val="24"/>
          <w:highlight w:val="none"/>
          <w:lang w:val="zh-CN"/>
        </w:rPr>
        <w:t>”发布“入围结果公告”，公告期限为1个工作日。</w:t>
      </w:r>
    </w:p>
    <w:p w14:paraId="00BFBE36">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4</w:t>
      </w:r>
      <w:r>
        <w:rPr>
          <w:rFonts w:hint="eastAsia" w:ascii="仿宋" w:hAnsi="仿宋" w:eastAsia="仿宋" w:cs="仿宋"/>
          <w:color w:val="000000"/>
          <w:sz w:val="24"/>
          <w:szCs w:val="24"/>
          <w:highlight w:val="none"/>
          <w:lang w:val="zh-CN"/>
        </w:rPr>
        <w:t>.</w:t>
      </w:r>
      <w:r>
        <w:rPr>
          <w:rFonts w:hint="eastAsia" w:ascii="仿宋" w:hAnsi="仿宋" w:eastAsia="仿宋" w:cs="仿宋"/>
          <w:color w:val="000000"/>
          <w:sz w:val="24"/>
          <w:szCs w:val="24"/>
          <w:highlight w:val="none"/>
        </w:rPr>
        <w:t xml:space="preserve">3 </w:t>
      </w:r>
      <w:r>
        <w:rPr>
          <w:rFonts w:hint="eastAsia" w:ascii="仿宋" w:hAnsi="仿宋" w:eastAsia="仿宋" w:cs="仿宋"/>
          <w:color w:val="000000"/>
          <w:sz w:val="24"/>
          <w:szCs w:val="24"/>
          <w:highlight w:val="none"/>
          <w:lang w:val="zh-CN"/>
        </w:rPr>
        <w:t>入围供应商有下列情形之一，尚未签订框架协议的，取消其入围资格；已经签订框架协议的，解除与其签订的框架协议：</w:t>
      </w:r>
    </w:p>
    <w:p w14:paraId="00BFBE37">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4</w:t>
      </w:r>
      <w:r>
        <w:rPr>
          <w:rFonts w:hint="eastAsia" w:ascii="仿宋" w:hAnsi="仿宋" w:eastAsia="仿宋" w:cs="仿宋"/>
          <w:color w:val="000000"/>
          <w:sz w:val="24"/>
          <w:szCs w:val="24"/>
          <w:highlight w:val="none"/>
          <w:lang w:val="zh-CN"/>
        </w:rPr>
        <w:t>.</w:t>
      </w: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zh-CN"/>
        </w:rPr>
        <w:t>.1恶意串通谋取入围或者合同成交的。</w:t>
      </w:r>
    </w:p>
    <w:p w14:paraId="00BFBE38">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4</w:t>
      </w:r>
      <w:r>
        <w:rPr>
          <w:rFonts w:hint="eastAsia" w:ascii="仿宋" w:hAnsi="仿宋" w:eastAsia="仿宋" w:cs="仿宋"/>
          <w:color w:val="000000"/>
          <w:sz w:val="24"/>
          <w:szCs w:val="24"/>
          <w:highlight w:val="none"/>
          <w:lang w:val="zh-CN"/>
        </w:rPr>
        <w:t>.</w:t>
      </w: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zh-CN"/>
        </w:rPr>
        <w:t>.2提供虚假材料谋取入围或者合同成交的。 </w:t>
      </w:r>
    </w:p>
    <w:p w14:paraId="00BFBE39">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4</w:t>
      </w:r>
      <w:r>
        <w:rPr>
          <w:rFonts w:hint="eastAsia" w:ascii="仿宋" w:hAnsi="仿宋" w:eastAsia="仿宋" w:cs="仿宋"/>
          <w:color w:val="000000"/>
          <w:sz w:val="24"/>
          <w:szCs w:val="24"/>
          <w:highlight w:val="none"/>
          <w:lang w:val="zh-CN"/>
        </w:rPr>
        <w:t>.</w:t>
      </w: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zh-CN"/>
        </w:rPr>
        <w:t>.3无正当理由拒不接受合同授予的。</w:t>
      </w:r>
    </w:p>
    <w:p w14:paraId="00BFBE3A">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4</w:t>
      </w:r>
      <w:r>
        <w:rPr>
          <w:rFonts w:hint="eastAsia" w:ascii="仿宋" w:hAnsi="仿宋" w:eastAsia="仿宋" w:cs="仿宋"/>
          <w:color w:val="000000"/>
          <w:sz w:val="24"/>
          <w:szCs w:val="24"/>
          <w:highlight w:val="none"/>
          <w:lang w:val="zh-CN"/>
        </w:rPr>
        <w:t>.</w:t>
      </w: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zh-CN"/>
        </w:rPr>
        <w:t>.4不履行合同义务或者履行合同义务不符合约定，经采购人请求履行后仍不履行或者仍未按约定履行的。</w:t>
      </w:r>
    </w:p>
    <w:p w14:paraId="00BFBE3B">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4</w:t>
      </w:r>
      <w:r>
        <w:rPr>
          <w:rFonts w:hint="eastAsia" w:ascii="仿宋" w:hAnsi="仿宋" w:eastAsia="仿宋" w:cs="仿宋"/>
          <w:color w:val="000000"/>
          <w:sz w:val="24"/>
          <w:szCs w:val="24"/>
          <w:highlight w:val="none"/>
          <w:lang w:val="zh-CN"/>
        </w:rPr>
        <w:t>.</w:t>
      </w: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zh-CN"/>
        </w:rPr>
        <w:t>.5框架协议有效期内，因违法行为被禁止或限制参加政府采购活动的。</w:t>
      </w:r>
    </w:p>
    <w:p w14:paraId="00BFBE3C">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4</w:t>
      </w:r>
      <w:r>
        <w:rPr>
          <w:rFonts w:hint="eastAsia" w:ascii="仿宋" w:hAnsi="仿宋" w:eastAsia="仿宋" w:cs="仿宋"/>
          <w:color w:val="000000"/>
          <w:sz w:val="24"/>
          <w:szCs w:val="24"/>
          <w:highlight w:val="none"/>
          <w:lang w:val="zh-CN"/>
        </w:rPr>
        <w:t>.</w:t>
      </w: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zh-CN"/>
        </w:rPr>
        <w:t>.6框架协议约定的其他情形。</w:t>
      </w:r>
    </w:p>
    <w:p w14:paraId="00BFBE3D">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被取消入围资格或者被解除框架协议的供应商不得参加同一封闭式框架协议补充征集。</w:t>
      </w:r>
    </w:p>
    <w:p w14:paraId="00BFBE3E">
      <w:pPr>
        <w:pStyle w:val="257"/>
        <w:spacing w:before="0" w:after="0" w:line="276" w:lineRule="auto"/>
        <w:ind w:firstLine="420"/>
        <w:rPr>
          <w:rFonts w:hint="eastAsia" w:ascii="仿宋" w:hAnsi="仿宋" w:eastAsia="仿宋" w:cs="仿宋"/>
          <w:b w:val="0"/>
          <w:bCs w:val="0"/>
          <w:color w:val="000000"/>
          <w:highlight w:val="none"/>
        </w:rPr>
      </w:pPr>
      <w:bookmarkStart w:id="147" w:name="_Toc200451960"/>
      <w:r>
        <w:rPr>
          <w:rFonts w:hint="eastAsia" w:ascii="仿宋" w:hAnsi="仿宋" w:eastAsia="仿宋" w:cs="仿宋"/>
          <w:b w:val="0"/>
          <w:bCs w:val="0"/>
          <w:color w:val="000000"/>
          <w:highlight w:val="none"/>
        </w:rPr>
        <w:t>25、质疑处理</w:t>
      </w:r>
      <w:bookmarkEnd w:id="147"/>
    </w:p>
    <w:p w14:paraId="00BFBE3F">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5</w:t>
      </w:r>
      <w:r>
        <w:rPr>
          <w:rFonts w:hint="eastAsia" w:ascii="仿宋" w:hAnsi="仿宋" w:eastAsia="仿宋" w:cs="仿宋"/>
          <w:color w:val="000000"/>
          <w:sz w:val="24"/>
          <w:szCs w:val="24"/>
          <w:highlight w:val="none"/>
          <w:lang w:val="zh-CN"/>
        </w:rPr>
        <w:t>.1</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val="zh-CN"/>
        </w:rPr>
        <w:t>供应商认为征集文件、征集过程和</w:t>
      </w:r>
      <w:r>
        <w:rPr>
          <w:rFonts w:hint="eastAsia" w:ascii="仿宋" w:hAnsi="仿宋" w:eastAsia="仿宋" w:cs="仿宋"/>
          <w:color w:val="000000"/>
          <w:sz w:val="24"/>
          <w:szCs w:val="24"/>
          <w:highlight w:val="none"/>
        </w:rPr>
        <w:t>入围</w:t>
      </w:r>
      <w:r>
        <w:rPr>
          <w:rFonts w:hint="eastAsia" w:ascii="仿宋" w:hAnsi="仿宋" w:eastAsia="仿宋" w:cs="仿宋"/>
          <w:color w:val="000000"/>
          <w:sz w:val="24"/>
          <w:szCs w:val="24"/>
          <w:highlight w:val="none"/>
          <w:lang w:val="zh-CN"/>
        </w:rPr>
        <w:t>结果使自己的合法权益受到损害的，可以在知道或者应当知道其权益受到损害之日起七个工作日内，将《质疑函》及相关证明材料送至南京市江宁区文化和旅游局。</w:t>
      </w:r>
    </w:p>
    <w:p w14:paraId="00BFBE40">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5</w:t>
      </w:r>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val="zh-CN"/>
        </w:rPr>
        <w:t>质疑供应商的质疑行为应符合财政部94号令相关规定，未参加采购活动的供应商或在采购活动中自身权益未受到损害的供应商所提出的质疑不予受理。</w:t>
      </w:r>
    </w:p>
    <w:p w14:paraId="00BFBE41">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5</w:t>
      </w:r>
      <w:r>
        <w:rPr>
          <w:rFonts w:hint="eastAsia" w:ascii="仿宋" w:hAnsi="仿宋" w:eastAsia="仿宋" w:cs="仿宋"/>
          <w:color w:val="000000"/>
          <w:sz w:val="24"/>
          <w:szCs w:val="24"/>
          <w:highlight w:val="none"/>
          <w:lang w:val="zh-CN"/>
        </w:rPr>
        <w:t>.3 上述应知其权益受到损害之日是指：</w:t>
      </w:r>
    </w:p>
    <w:p w14:paraId="00BFBE42">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5</w:t>
      </w:r>
      <w:r>
        <w:rPr>
          <w:rFonts w:hint="eastAsia" w:ascii="仿宋" w:hAnsi="仿宋" w:eastAsia="仿宋" w:cs="仿宋"/>
          <w:color w:val="000000"/>
          <w:sz w:val="24"/>
          <w:szCs w:val="24"/>
          <w:highlight w:val="none"/>
          <w:lang w:val="zh-CN"/>
        </w:rPr>
        <w:t>.3.1对征集文件提出质疑的，为征集文件公告期限届满之日起计算；</w:t>
      </w:r>
    </w:p>
    <w:p w14:paraId="00BFBE43">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5</w:t>
      </w:r>
      <w:r>
        <w:rPr>
          <w:rFonts w:hint="eastAsia" w:ascii="仿宋" w:hAnsi="仿宋" w:eastAsia="仿宋" w:cs="仿宋"/>
          <w:color w:val="000000"/>
          <w:sz w:val="24"/>
          <w:szCs w:val="24"/>
          <w:highlight w:val="none"/>
          <w:lang w:val="zh-CN"/>
        </w:rPr>
        <w:t>.3.2对征集过程提出质疑的，自征集程序环节结束之日起计算；</w:t>
      </w:r>
    </w:p>
    <w:p w14:paraId="00BFBE44">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5</w:t>
      </w:r>
      <w:r>
        <w:rPr>
          <w:rFonts w:hint="eastAsia" w:ascii="仿宋" w:hAnsi="仿宋" w:eastAsia="仿宋" w:cs="仿宋"/>
          <w:color w:val="000000"/>
          <w:sz w:val="24"/>
          <w:szCs w:val="24"/>
          <w:highlight w:val="none"/>
          <w:lang w:val="zh-CN"/>
        </w:rPr>
        <w:t xml:space="preserve">.3.3对入围结果提出质疑的，自入围结果公告期限届满之日起计算。  </w:t>
      </w:r>
    </w:p>
    <w:p w14:paraId="00BFBE45">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5</w:t>
      </w:r>
      <w:r>
        <w:rPr>
          <w:rFonts w:hint="eastAsia" w:ascii="仿宋" w:hAnsi="仿宋" w:eastAsia="仿宋" w:cs="仿宋"/>
          <w:color w:val="000000"/>
          <w:sz w:val="24"/>
          <w:szCs w:val="24"/>
          <w:highlight w:val="none"/>
          <w:lang w:val="zh-CN"/>
        </w:rPr>
        <w:t>.4 质疑供应商在法定质疑期内应当一次性提出针对同一采购环节的质疑事项。</w:t>
      </w:r>
    </w:p>
    <w:p w14:paraId="00BFBE46">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 xml:space="preserve">27.5 </w:t>
      </w:r>
      <w:r>
        <w:rPr>
          <w:rFonts w:hint="eastAsia" w:ascii="仿宋" w:hAnsi="仿宋" w:eastAsia="仿宋" w:cs="仿宋"/>
          <w:color w:val="000000"/>
          <w:sz w:val="24"/>
          <w:szCs w:val="24"/>
          <w:highlight w:val="none"/>
        </w:rPr>
        <w:t>征集人</w:t>
      </w:r>
      <w:r>
        <w:rPr>
          <w:rFonts w:hint="eastAsia" w:ascii="仿宋" w:hAnsi="仿宋" w:eastAsia="仿宋" w:cs="仿宋"/>
          <w:color w:val="000000"/>
          <w:sz w:val="24"/>
          <w:szCs w:val="24"/>
          <w:highlight w:val="none"/>
          <w:lang w:val="zh-CN"/>
        </w:rPr>
        <w:t>在收到供应商的质疑后将及时组织调查核实，在七个工作日内作出答复，答复的内容不涉及商业秘密。</w:t>
      </w:r>
    </w:p>
    <w:p w14:paraId="00BFBE47">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5</w:t>
      </w:r>
      <w:r>
        <w:rPr>
          <w:rFonts w:hint="eastAsia" w:ascii="仿宋" w:hAnsi="仿宋" w:eastAsia="仿宋" w:cs="仿宋"/>
          <w:color w:val="000000"/>
          <w:sz w:val="24"/>
          <w:szCs w:val="24"/>
          <w:highlight w:val="none"/>
          <w:lang w:val="zh-CN"/>
        </w:rPr>
        <w:t>.6 以下情形的质疑不予受理</w:t>
      </w:r>
    </w:p>
    <w:p w14:paraId="00BFBE48">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5</w:t>
      </w:r>
      <w:r>
        <w:rPr>
          <w:rFonts w:hint="eastAsia" w:ascii="仿宋" w:hAnsi="仿宋" w:eastAsia="仿宋" w:cs="仿宋"/>
          <w:color w:val="000000"/>
          <w:sz w:val="24"/>
          <w:szCs w:val="24"/>
          <w:highlight w:val="none"/>
          <w:lang w:val="zh-CN"/>
        </w:rPr>
        <w:t>.6.1内容不符合《政府采购质疑和投诉办法》第十二条规定的质疑。</w:t>
      </w:r>
    </w:p>
    <w:p w14:paraId="00BFBE49">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5</w:t>
      </w:r>
      <w:r>
        <w:rPr>
          <w:rFonts w:hint="eastAsia" w:ascii="仿宋" w:hAnsi="仿宋" w:eastAsia="仿宋" w:cs="仿宋"/>
          <w:color w:val="000000"/>
          <w:sz w:val="24"/>
          <w:szCs w:val="24"/>
          <w:highlight w:val="none"/>
          <w:lang w:val="zh-CN"/>
        </w:rPr>
        <w:t>.6.2超出政府采购法定期限的质疑。</w:t>
      </w:r>
    </w:p>
    <w:p w14:paraId="00BFBE4A">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5</w:t>
      </w:r>
      <w:r>
        <w:rPr>
          <w:rFonts w:hint="eastAsia" w:ascii="仿宋" w:hAnsi="仿宋" w:eastAsia="仿宋" w:cs="仿宋"/>
          <w:color w:val="000000"/>
          <w:sz w:val="24"/>
          <w:szCs w:val="24"/>
          <w:highlight w:val="none"/>
          <w:lang w:val="zh-CN"/>
        </w:rPr>
        <w:t>.6.3以传真、电子邮件等方式递交的非原件形式的质疑。</w:t>
      </w:r>
    </w:p>
    <w:p w14:paraId="00BFBE4B">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5</w:t>
      </w:r>
      <w:r>
        <w:rPr>
          <w:rFonts w:hint="eastAsia" w:ascii="仿宋" w:hAnsi="仿宋" w:eastAsia="仿宋" w:cs="仿宋"/>
          <w:color w:val="000000"/>
          <w:sz w:val="24"/>
          <w:szCs w:val="24"/>
          <w:highlight w:val="none"/>
          <w:lang w:val="zh-CN"/>
        </w:rPr>
        <w:t>.6.4未参加采购活动的供应商或在采购活动中自身权益未受到损害的供应商所提出的质疑。</w:t>
      </w:r>
    </w:p>
    <w:p w14:paraId="00BFBE4C">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5</w:t>
      </w:r>
      <w:r>
        <w:rPr>
          <w:rFonts w:hint="eastAsia" w:ascii="仿宋" w:hAnsi="仿宋" w:eastAsia="仿宋" w:cs="仿宋"/>
          <w:color w:val="000000"/>
          <w:sz w:val="24"/>
          <w:szCs w:val="24"/>
          <w:highlight w:val="none"/>
          <w:lang w:val="zh-CN"/>
        </w:rPr>
        <w:t>.</w:t>
      </w:r>
      <w:r>
        <w:rPr>
          <w:rFonts w:hint="eastAsia" w:ascii="仿宋" w:hAnsi="仿宋" w:eastAsia="仿宋" w:cs="仿宋"/>
          <w:color w:val="000000"/>
          <w:sz w:val="24"/>
          <w:szCs w:val="24"/>
          <w:highlight w:val="none"/>
        </w:rPr>
        <w:t>7</w:t>
      </w:r>
      <w:r>
        <w:rPr>
          <w:rFonts w:hint="eastAsia" w:ascii="仿宋" w:hAnsi="仿宋" w:eastAsia="仿宋" w:cs="仿宋"/>
          <w:color w:val="000000"/>
          <w:sz w:val="24"/>
          <w:szCs w:val="24"/>
          <w:highlight w:val="none"/>
          <w:lang w:val="zh-CN"/>
        </w:rPr>
        <w:t xml:space="preserve"> 供应商提出书面质疑必须有理、有据，不得捏造事实、提供虚假材料进行恶意质疑。否则，一经查实，</w:t>
      </w:r>
      <w:r>
        <w:rPr>
          <w:rFonts w:hint="eastAsia" w:ascii="仿宋" w:hAnsi="仿宋" w:eastAsia="仿宋" w:cs="仿宋"/>
          <w:color w:val="000000"/>
          <w:sz w:val="24"/>
          <w:szCs w:val="24"/>
          <w:highlight w:val="none"/>
        </w:rPr>
        <w:t>征集人</w:t>
      </w:r>
      <w:r>
        <w:rPr>
          <w:rFonts w:hint="eastAsia" w:ascii="仿宋" w:hAnsi="仿宋" w:eastAsia="仿宋" w:cs="仿宋"/>
          <w:color w:val="000000"/>
          <w:sz w:val="24"/>
          <w:szCs w:val="24"/>
          <w:highlight w:val="none"/>
          <w:lang w:val="zh-CN"/>
        </w:rPr>
        <w:t>有权依据政府采购的有关规定，报请政府采购监管部门对该供应商进行相应的行政处罚和记录该供应商的失信信息。</w:t>
      </w:r>
    </w:p>
    <w:p w14:paraId="00BFBE4D">
      <w:pPr>
        <w:pStyle w:val="257"/>
        <w:spacing w:before="0" w:after="0" w:line="276" w:lineRule="auto"/>
        <w:ind w:firstLine="420"/>
        <w:rPr>
          <w:rFonts w:hint="eastAsia" w:ascii="仿宋" w:hAnsi="仿宋" w:eastAsia="仿宋" w:cs="仿宋"/>
          <w:b w:val="0"/>
          <w:bCs w:val="0"/>
          <w:color w:val="000000"/>
          <w:highlight w:val="none"/>
        </w:rPr>
      </w:pPr>
      <w:r>
        <w:rPr>
          <w:rFonts w:hint="eastAsia" w:ascii="仿宋" w:hAnsi="仿宋" w:eastAsia="仿宋" w:cs="仿宋"/>
          <w:b w:val="0"/>
          <w:bCs w:val="0"/>
          <w:color w:val="000000"/>
          <w:highlight w:val="none"/>
        </w:rPr>
        <w:t>26、入围通知书</w:t>
      </w:r>
    </w:p>
    <w:p w14:paraId="00BFBE4E">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6</w:t>
      </w:r>
      <w:r>
        <w:rPr>
          <w:rFonts w:hint="eastAsia" w:ascii="仿宋" w:hAnsi="仿宋" w:eastAsia="仿宋" w:cs="仿宋"/>
          <w:color w:val="000000"/>
          <w:sz w:val="24"/>
          <w:szCs w:val="24"/>
          <w:highlight w:val="none"/>
          <w:lang w:val="zh-CN"/>
        </w:rPr>
        <w:t>.1</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val="zh-CN"/>
        </w:rPr>
        <w:t>入围结果确定后，</w:t>
      </w:r>
      <w:r>
        <w:rPr>
          <w:rFonts w:hint="eastAsia" w:ascii="仿宋" w:hAnsi="仿宋" w:eastAsia="仿宋" w:cs="仿宋"/>
          <w:color w:val="000000"/>
          <w:sz w:val="24"/>
          <w:szCs w:val="24"/>
          <w:highlight w:val="none"/>
        </w:rPr>
        <w:t>征集人</w:t>
      </w:r>
      <w:r>
        <w:rPr>
          <w:rFonts w:hint="eastAsia" w:ascii="仿宋" w:hAnsi="仿宋" w:eastAsia="仿宋" w:cs="仿宋"/>
          <w:color w:val="000000"/>
          <w:sz w:val="24"/>
          <w:szCs w:val="24"/>
          <w:highlight w:val="none"/>
          <w:lang w:val="zh-CN"/>
        </w:rPr>
        <w:t>将向入围供应商发出入围通知书。</w:t>
      </w:r>
    </w:p>
    <w:p w14:paraId="00BFBE4F">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6</w:t>
      </w:r>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val="zh-CN"/>
        </w:rPr>
        <w:t>入围通知书将是框架协议的一个组成部分。对</w:t>
      </w:r>
      <w:r>
        <w:rPr>
          <w:rFonts w:hint="eastAsia" w:ascii="仿宋" w:hAnsi="仿宋" w:eastAsia="仿宋" w:cs="仿宋"/>
          <w:color w:val="000000"/>
          <w:sz w:val="24"/>
          <w:szCs w:val="24"/>
          <w:highlight w:val="none"/>
        </w:rPr>
        <w:t>征集人</w:t>
      </w:r>
      <w:r>
        <w:rPr>
          <w:rFonts w:hint="eastAsia" w:ascii="仿宋" w:hAnsi="仿宋" w:eastAsia="仿宋" w:cs="仿宋"/>
          <w:color w:val="000000"/>
          <w:sz w:val="24"/>
          <w:szCs w:val="24"/>
          <w:highlight w:val="none"/>
          <w:lang w:val="zh-CN"/>
        </w:rPr>
        <w:t>和入围供应商均具有法律效力。入围通知书发出后，入围供应商无正当理由，不得主动放弃入围资格或者退出框架协议，否则应当依法承担法律责任。</w:t>
      </w:r>
    </w:p>
    <w:p w14:paraId="00BFBE50">
      <w:pPr>
        <w:pStyle w:val="256"/>
        <w:spacing w:before="145" w:after="145" w:line="276" w:lineRule="auto"/>
        <w:ind w:firstLine="320"/>
        <w:rPr>
          <w:rFonts w:hint="eastAsia" w:ascii="仿宋" w:hAnsi="仿宋" w:eastAsia="仿宋" w:cs="仿宋"/>
          <w:color w:val="000000"/>
          <w:highlight w:val="none"/>
        </w:rPr>
      </w:pPr>
      <w:bookmarkStart w:id="148" w:name="_Toc120614220"/>
      <w:bookmarkStart w:id="149" w:name="_Toc16938552"/>
      <w:bookmarkStart w:id="150" w:name="_Toc513029236"/>
      <w:bookmarkStart w:id="151" w:name="_Toc20823308"/>
      <w:r>
        <w:rPr>
          <w:rFonts w:hint="eastAsia" w:ascii="仿宋" w:hAnsi="仿宋" w:eastAsia="仿宋" w:cs="仿宋"/>
          <w:color w:val="000000"/>
          <w:highlight w:val="none"/>
        </w:rPr>
        <w:t>七、</w:t>
      </w:r>
      <w:bookmarkEnd w:id="148"/>
      <w:r>
        <w:rPr>
          <w:rFonts w:hint="eastAsia" w:ascii="仿宋" w:hAnsi="仿宋" w:eastAsia="仿宋" w:cs="仿宋"/>
          <w:color w:val="000000"/>
          <w:highlight w:val="none"/>
        </w:rPr>
        <w:t>签订框架协议</w:t>
      </w:r>
    </w:p>
    <w:bookmarkEnd w:id="149"/>
    <w:bookmarkEnd w:id="150"/>
    <w:bookmarkEnd w:id="151"/>
    <w:p w14:paraId="00BFBE51">
      <w:pPr>
        <w:pStyle w:val="257"/>
        <w:spacing w:before="0" w:after="0" w:line="276" w:lineRule="auto"/>
        <w:ind w:firstLine="420"/>
        <w:rPr>
          <w:rFonts w:hint="eastAsia" w:ascii="仿宋" w:hAnsi="仿宋" w:eastAsia="仿宋" w:cs="仿宋"/>
          <w:b w:val="0"/>
          <w:bCs w:val="0"/>
          <w:color w:val="000000"/>
          <w:highlight w:val="none"/>
        </w:rPr>
      </w:pPr>
      <w:bookmarkStart w:id="152" w:name="_Toc513029237"/>
      <w:bookmarkStart w:id="153" w:name="_Toc16938553"/>
      <w:bookmarkStart w:id="154" w:name="_Toc20823309"/>
      <w:r>
        <w:rPr>
          <w:rFonts w:hint="eastAsia" w:ascii="仿宋" w:hAnsi="仿宋" w:eastAsia="仿宋" w:cs="仿宋"/>
          <w:b w:val="0"/>
          <w:bCs w:val="0"/>
          <w:color w:val="000000"/>
          <w:highlight w:val="none"/>
        </w:rPr>
        <w:t>27、签订框架协议</w:t>
      </w:r>
    </w:p>
    <w:p w14:paraId="00BFBE52">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7</w:t>
      </w:r>
      <w:r>
        <w:rPr>
          <w:rFonts w:hint="eastAsia" w:ascii="仿宋" w:hAnsi="仿宋" w:eastAsia="仿宋" w:cs="仿宋"/>
          <w:color w:val="000000"/>
          <w:sz w:val="24"/>
          <w:szCs w:val="24"/>
          <w:highlight w:val="none"/>
          <w:lang w:val="zh-CN"/>
        </w:rPr>
        <w:t>.l</w:t>
      </w:r>
      <w:r>
        <w:rPr>
          <w:rFonts w:hint="eastAsia" w:ascii="仿宋" w:hAnsi="仿宋" w:eastAsia="仿宋" w:cs="仿宋"/>
          <w:color w:val="000000"/>
          <w:sz w:val="24"/>
          <w:szCs w:val="24"/>
          <w:highlight w:val="none"/>
        </w:rPr>
        <w:t xml:space="preserve"> 征集人</w:t>
      </w:r>
      <w:r>
        <w:rPr>
          <w:rFonts w:hint="eastAsia" w:ascii="仿宋" w:hAnsi="仿宋" w:eastAsia="仿宋" w:cs="仿宋"/>
          <w:color w:val="000000"/>
          <w:sz w:val="24"/>
          <w:szCs w:val="24"/>
          <w:highlight w:val="none"/>
          <w:lang w:val="zh-CN"/>
        </w:rPr>
        <w:t>在入围通知书发出之日起30日内和入围供应商签订框架协议，入围供应商在接到通知后需及时完成框架协议的签订工作，框架协议不得对征集文件确定的事项以及入围供应商的响应文件作实质性修改。入围供应商如无正当理由不及时签订框架协议的，应承担《中华人民共和国政府采购法实施条例》第七十二条第一款第（二）项规定的法律责任。</w:t>
      </w:r>
    </w:p>
    <w:p w14:paraId="00BFBE53">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7</w:t>
      </w:r>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val="zh-CN"/>
        </w:rPr>
        <w:t>征集文件、入围供应商的响应文件及评审过程中有关澄清、承诺文件均应作为框架协议的附件。</w:t>
      </w:r>
    </w:p>
    <w:p w14:paraId="00BFBE54">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7</w:t>
      </w:r>
      <w:r>
        <w:rPr>
          <w:rFonts w:hint="eastAsia" w:ascii="仿宋" w:hAnsi="仿宋" w:eastAsia="仿宋" w:cs="仿宋"/>
          <w:color w:val="000000"/>
          <w:sz w:val="24"/>
          <w:szCs w:val="24"/>
          <w:highlight w:val="none"/>
          <w:lang w:val="zh-CN"/>
        </w:rPr>
        <w:t>.3</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val="zh-CN"/>
        </w:rPr>
        <w:t>签订框架协议后，入围供应商不得将服务及其他相关货物进行转包。未经采购人同意，入围供应商也不得采用分包的形式履行合同，否则</w:t>
      </w:r>
      <w:r>
        <w:rPr>
          <w:rFonts w:hint="eastAsia" w:ascii="仿宋" w:hAnsi="仿宋" w:eastAsia="仿宋" w:cs="仿宋"/>
          <w:color w:val="000000"/>
          <w:sz w:val="24"/>
          <w:szCs w:val="24"/>
          <w:highlight w:val="none"/>
        </w:rPr>
        <w:t>征集人</w:t>
      </w:r>
      <w:r>
        <w:rPr>
          <w:rFonts w:hint="eastAsia" w:ascii="仿宋" w:hAnsi="仿宋" w:eastAsia="仿宋" w:cs="仿宋"/>
          <w:color w:val="000000"/>
          <w:sz w:val="24"/>
          <w:szCs w:val="24"/>
          <w:highlight w:val="none"/>
          <w:lang w:val="zh-CN"/>
        </w:rPr>
        <w:t>有权终止框架协议，采购人有权终止采购合同。转包或分包造成</w:t>
      </w:r>
      <w:r>
        <w:rPr>
          <w:rFonts w:hint="eastAsia" w:ascii="仿宋" w:hAnsi="仿宋" w:eastAsia="仿宋" w:cs="仿宋"/>
          <w:color w:val="000000"/>
          <w:sz w:val="24"/>
          <w:szCs w:val="24"/>
          <w:highlight w:val="none"/>
        </w:rPr>
        <w:t>征集人</w:t>
      </w:r>
      <w:r>
        <w:rPr>
          <w:rFonts w:hint="eastAsia" w:ascii="仿宋" w:hAnsi="仿宋" w:eastAsia="仿宋" w:cs="仿宋"/>
          <w:color w:val="000000"/>
          <w:sz w:val="24"/>
          <w:szCs w:val="24"/>
          <w:highlight w:val="none"/>
          <w:lang w:val="zh-CN"/>
        </w:rPr>
        <w:t>或采购人损失的，入围供应商及其委托代理商应承担相应赔偿责任。</w:t>
      </w:r>
    </w:p>
    <w:bookmarkEnd w:id="152"/>
    <w:bookmarkEnd w:id="153"/>
    <w:bookmarkEnd w:id="154"/>
    <w:p w14:paraId="00BFBE55">
      <w:pPr>
        <w:pStyle w:val="256"/>
        <w:spacing w:before="145" w:after="145" w:line="276" w:lineRule="auto"/>
        <w:ind w:firstLine="320"/>
        <w:rPr>
          <w:rFonts w:hint="eastAsia" w:ascii="仿宋" w:hAnsi="仿宋" w:eastAsia="仿宋" w:cs="仿宋"/>
          <w:color w:val="000000"/>
          <w:highlight w:val="none"/>
        </w:rPr>
      </w:pPr>
      <w:bookmarkStart w:id="155" w:name="_Toc16938558"/>
      <w:bookmarkStart w:id="156" w:name="_Toc20823314"/>
      <w:bookmarkStart w:id="157" w:name="_Toc513029242"/>
      <w:bookmarkStart w:id="158" w:name="_Toc120614221"/>
      <w:bookmarkStart w:id="159" w:name="_Toc479757207"/>
      <w:r>
        <w:rPr>
          <w:rFonts w:hint="eastAsia" w:ascii="仿宋" w:hAnsi="仿宋" w:eastAsia="仿宋" w:cs="仿宋"/>
          <w:color w:val="000000"/>
          <w:highlight w:val="none"/>
        </w:rPr>
        <w:t>八、其他</w:t>
      </w:r>
    </w:p>
    <w:p w14:paraId="00BFBE56">
      <w:pPr>
        <w:pStyle w:val="257"/>
        <w:spacing w:before="0" w:after="0" w:line="276" w:lineRule="auto"/>
        <w:ind w:firstLine="420"/>
        <w:rPr>
          <w:rFonts w:hint="eastAsia" w:ascii="仿宋" w:hAnsi="仿宋" w:eastAsia="仿宋" w:cs="仿宋"/>
          <w:b w:val="0"/>
          <w:bCs w:val="0"/>
          <w:color w:val="000000"/>
          <w:highlight w:val="none"/>
        </w:rPr>
      </w:pPr>
      <w:r>
        <w:rPr>
          <w:rFonts w:hint="eastAsia" w:ascii="仿宋" w:hAnsi="仿宋" w:eastAsia="仿宋" w:cs="仿宋"/>
          <w:b w:val="0"/>
          <w:bCs w:val="0"/>
          <w:color w:val="000000"/>
          <w:highlight w:val="none"/>
        </w:rPr>
        <w:t>28、其他</w:t>
      </w:r>
    </w:p>
    <w:p w14:paraId="00BFBE57">
      <w:pPr>
        <w:spacing w:line="276"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rPr>
        <w:t>28</w:t>
      </w:r>
      <w:r>
        <w:rPr>
          <w:rFonts w:hint="eastAsia" w:ascii="仿宋" w:hAnsi="仿宋" w:eastAsia="仿宋" w:cs="仿宋"/>
          <w:color w:val="000000"/>
          <w:sz w:val="24"/>
          <w:szCs w:val="24"/>
          <w:highlight w:val="none"/>
          <w:lang w:val="zh-CN"/>
        </w:rPr>
        <w:t>.1</w:t>
      </w:r>
      <w:r>
        <w:rPr>
          <w:rFonts w:hint="eastAsia" w:ascii="仿宋" w:hAnsi="仿宋" w:eastAsia="仿宋" w:cs="仿宋"/>
          <w:color w:val="000000"/>
          <w:sz w:val="24"/>
          <w:szCs w:val="24"/>
          <w:highlight w:val="none"/>
        </w:rPr>
        <w:t xml:space="preserve"> 征集人</w:t>
      </w:r>
      <w:r>
        <w:rPr>
          <w:rFonts w:hint="eastAsia" w:ascii="仿宋" w:hAnsi="仿宋" w:eastAsia="仿宋" w:cs="仿宋"/>
          <w:color w:val="000000"/>
          <w:sz w:val="24"/>
          <w:szCs w:val="24"/>
          <w:highlight w:val="none"/>
          <w:lang w:val="zh-CN"/>
        </w:rPr>
        <w:t>将建立用户反馈和评价机制，接受采购人对入围供应商履行框架协议和采购合同情况的反馈与评价，并将用户反馈和评价情况向采购人公开，作为第二阶段选定成交供应商的参考。</w:t>
      </w:r>
    </w:p>
    <w:p w14:paraId="00BFBE58">
      <w:pPr>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br w:type="page"/>
      </w:r>
    </w:p>
    <w:bookmarkEnd w:id="155"/>
    <w:bookmarkEnd w:id="156"/>
    <w:bookmarkEnd w:id="157"/>
    <w:bookmarkEnd w:id="158"/>
    <w:bookmarkEnd w:id="159"/>
    <w:p w14:paraId="00BFBE59">
      <w:pPr>
        <w:pStyle w:val="252"/>
        <w:rPr>
          <w:rFonts w:hint="eastAsia" w:ascii="黑体" w:hAnsi="黑体" w:eastAsia="黑体" w:cs="黑体"/>
          <w:color w:val="000000"/>
          <w:sz w:val="44"/>
          <w:szCs w:val="44"/>
          <w:highlight w:val="none"/>
        </w:rPr>
      </w:pPr>
      <w:bookmarkStart w:id="160" w:name="_Toc20277"/>
      <w:bookmarkStart w:id="161" w:name="_Hlt16619350"/>
      <w:bookmarkStart w:id="162" w:name="_Toc20823346"/>
      <w:bookmarkStart w:id="163" w:name="_Toc120614244"/>
      <w:bookmarkStart w:id="164" w:name="_Toc16938590"/>
      <w:bookmarkStart w:id="165" w:name="_Toc479757211"/>
      <w:bookmarkStart w:id="166" w:name="_Toc462564139"/>
      <w:r>
        <w:rPr>
          <w:rFonts w:hint="eastAsia" w:ascii="黑体" w:hAnsi="黑体" w:eastAsia="黑体" w:cs="黑体"/>
          <w:color w:val="000000"/>
          <w:sz w:val="44"/>
          <w:szCs w:val="44"/>
          <w:highlight w:val="none"/>
        </w:rPr>
        <w:t>第三章  协议文本</w:t>
      </w:r>
      <w:bookmarkEnd w:id="160"/>
      <w:r>
        <w:rPr>
          <w:rFonts w:hint="eastAsia" w:ascii="黑体" w:hAnsi="黑体" w:eastAsia="黑体" w:cs="黑体"/>
          <w:color w:val="000000"/>
          <w:sz w:val="44"/>
          <w:szCs w:val="44"/>
          <w:highlight w:val="none"/>
        </w:rPr>
        <w:t>（供参照）</w:t>
      </w:r>
    </w:p>
    <w:p w14:paraId="00BFBE5A">
      <w:pPr>
        <w:pStyle w:val="273"/>
        <w:spacing w:before="120" w:after="120" w:line="288" w:lineRule="auto"/>
        <w:rPr>
          <w:rFonts w:hint="eastAsia" w:ascii="仿宋" w:hAnsi="仿宋" w:eastAsia="仿宋" w:cs="仿宋"/>
          <w:color w:val="000000"/>
          <w:sz w:val="24"/>
          <w:szCs w:val="24"/>
          <w:highlight w:val="none"/>
          <w:lang w:eastAsia="zh-CN"/>
        </w:rPr>
      </w:pPr>
      <w:bookmarkStart w:id="167" w:name="_Toc16938559"/>
      <w:bookmarkStart w:id="168" w:name="_Toc513029243"/>
      <w:bookmarkStart w:id="169" w:name="_Toc20823315"/>
      <w:r>
        <w:rPr>
          <w:rFonts w:hint="eastAsia" w:ascii="仿宋" w:hAnsi="仿宋" w:eastAsia="仿宋" w:cs="仿宋"/>
          <w:color w:val="000000"/>
          <w:sz w:val="24"/>
          <w:szCs w:val="24"/>
          <w:highlight w:val="none"/>
          <w:lang w:eastAsia="zh-CN"/>
        </w:rPr>
        <w:t>项目名称：                                项目编号：</w:t>
      </w:r>
    </w:p>
    <w:p w14:paraId="00BFBE5B">
      <w:pPr>
        <w:pStyle w:val="273"/>
        <w:spacing w:before="120" w:after="120" w:line="288"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甲方：（征集人）</w:t>
      </w:r>
      <w:r>
        <w:rPr>
          <w:rFonts w:hint="eastAsia" w:ascii="仿宋" w:hAnsi="仿宋" w:eastAsia="仿宋" w:cs="仿宋"/>
          <w:color w:val="000000"/>
          <w:sz w:val="24"/>
          <w:szCs w:val="24"/>
          <w:highlight w:val="none"/>
          <w:u w:val="single"/>
          <w:lang w:eastAsia="zh-CN"/>
        </w:rPr>
        <w:t>南京市江宁区文化和旅游局</w:t>
      </w:r>
      <w:r>
        <w:rPr>
          <w:rFonts w:hint="eastAsia" w:ascii="仿宋" w:hAnsi="仿宋" w:eastAsia="仿宋" w:cs="仿宋"/>
          <w:color w:val="000000"/>
          <w:sz w:val="24"/>
          <w:szCs w:val="24"/>
          <w:highlight w:val="none"/>
          <w:lang w:eastAsia="zh-CN"/>
        </w:rPr>
        <w:t>__</w:t>
      </w:r>
    </w:p>
    <w:p w14:paraId="00BFBE5C">
      <w:pPr>
        <w:pStyle w:val="273"/>
        <w:spacing w:before="120" w:after="120" w:line="288"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乙方：（入围供应商）_________</w:t>
      </w:r>
    </w:p>
    <w:p w14:paraId="00BFBE5D">
      <w:pPr>
        <w:pStyle w:val="273"/>
        <w:spacing w:before="120" w:after="120" w:line="288"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 xml:space="preserve">   甲、乙双方根据</w:t>
      </w:r>
      <w:r>
        <w:rPr>
          <w:rFonts w:hint="eastAsia" w:ascii="仿宋" w:hAnsi="仿宋" w:eastAsia="仿宋" w:cs="仿宋"/>
          <w:color w:val="000000"/>
          <w:sz w:val="24"/>
          <w:szCs w:val="24"/>
          <w:highlight w:val="none"/>
          <w:u w:val="single"/>
          <w:lang w:eastAsia="zh-CN"/>
        </w:rPr>
        <w:t xml:space="preserve">         </w:t>
      </w:r>
      <w:r>
        <w:rPr>
          <w:rFonts w:hint="eastAsia" w:ascii="仿宋" w:hAnsi="仿宋" w:eastAsia="仿宋" w:cs="仿宋"/>
          <w:color w:val="000000"/>
          <w:sz w:val="24"/>
          <w:szCs w:val="24"/>
          <w:highlight w:val="none"/>
          <w:lang w:eastAsia="zh-CN"/>
        </w:rPr>
        <w:t>项目采购的结果，签署本文本。</w:t>
      </w:r>
    </w:p>
    <w:p w14:paraId="00BFBE5E">
      <w:pPr>
        <w:pStyle w:val="273"/>
        <w:spacing w:before="120" w:after="120" w:line="288"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一、项目基本情况</w:t>
      </w:r>
    </w:p>
    <w:p w14:paraId="00BFBE5F">
      <w:pPr>
        <w:pStyle w:val="273"/>
        <w:spacing w:before="120" w:after="120" w:line="288" w:lineRule="auto"/>
        <w:rPr>
          <w:rFonts w:hint="eastAsia" w:ascii="仿宋" w:hAnsi="仿宋" w:eastAsia="仿宋" w:cs="仿宋"/>
          <w:color w:val="000000"/>
          <w:sz w:val="24"/>
          <w:szCs w:val="24"/>
          <w:highlight w:val="none"/>
          <w:u w:val="single"/>
          <w:lang w:eastAsia="zh-CN"/>
        </w:rPr>
      </w:pPr>
      <w:r>
        <w:rPr>
          <w:rFonts w:hint="eastAsia" w:ascii="仿宋" w:hAnsi="仿宋" w:eastAsia="仿宋" w:cs="仿宋"/>
          <w:color w:val="000000"/>
          <w:sz w:val="24"/>
          <w:szCs w:val="24"/>
          <w:highlight w:val="none"/>
          <w:lang w:eastAsia="zh-CN"/>
        </w:rPr>
        <w:t>1.1 采购需求：</w:t>
      </w:r>
      <w:r>
        <w:rPr>
          <w:rFonts w:hint="eastAsia" w:ascii="仿宋" w:hAnsi="仿宋" w:eastAsia="仿宋" w:cs="仿宋"/>
          <w:color w:val="000000"/>
          <w:sz w:val="24"/>
          <w:szCs w:val="24"/>
          <w:highlight w:val="none"/>
          <w:u w:val="single"/>
          <w:lang w:eastAsia="zh-CN"/>
        </w:rPr>
        <w:t>见征集文件</w:t>
      </w:r>
    </w:p>
    <w:p w14:paraId="00BFBE60">
      <w:pPr>
        <w:pStyle w:val="273"/>
        <w:spacing w:before="120" w:after="120" w:line="288" w:lineRule="auto"/>
        <w:rPr>
          <w:rFonts w:hint="eastAsia" w:ascii="仿宋" w:hAnsi="仿宋" w:eastAsia="仿宋" w:cs="仿宋"/>
          <w:color w:val="000000"/>
          <w:sz w:val="24"/>
          <w:szCs w:val="24"/>
          <w:highlight w:val="none"/>
          <w:u w:val="single"/>
          <w:lang w:eastAsia="zh-CN"/>
        </w:rPr>
      </w:pPr>
      <w:r>
        <w:rPr>
          <w:rFonts w:hint="eastAsia" w:ascii="仿宋" w:hAnsi="仿宋" w:eastAsia="仿宋" w:cs="仿宋"/>
          <w:color w:val="000000"/>
          <w:sz w:val="24"/>
          <w:szCs w:val="24"/>
          <w:highlight w:val="none"/>
          <w:lang w:eastAsia="zh-CN"/>
        </w:rPr>
        <w:t>1.2 服务最高限制单价：</w:t>
      </w:r>
      <w:r>
        <w:rPr>
          <w:rFonts w:hint="eastAsia" w:ascii="仿宋" w:hAnsi="仿宋" w:eastAsia="仿宋" w:cs="仿宋"/>
          <w:color w:val="000000"/>
          <w:sz w:val="24"/>
          <w:szCs w:val="24"/>
          <w:highlight w:val="none"/>
          <w:u w:val="single"/>
          <w:lang w:eastAsia="zh-CN"/>
        </w:rPr>
        <w:t>见征集文件</w:t>
      </w:r>
    </w:p>
    <w:p w14:paraId="00BFBE61">
      <w:pPr>
        <w:pStyle w:val="273"/>
        <w:spacing w:before="120" w:after="120" w:line="288" w:lineRule="auto"/>
        <w:rPr>
          <w:rFonts w:hint="eastAsia" w:ascii="仿宋" w:hAnsi="仿宋" w:eastAsia="仿宋" w:cs="仿宋"/>
          <w:color w:val="000000"/>
          <w:sz w:val="24"/>
          <w:szCs w:val="24"/>
          <w:highlight w:val="none"/>
          <w:u w:val="single"/>
          <w:lang w:eastAsia="zh-CN"/>
        </w:rPr>
      </w:pPr>
      <w:r>
        <w:rPr>
          <w:rFonts w:hint="eastAsia" w:ascii="仿宋" w:hAnsi="仿宋" w:eastAsia="仿宋" w:cs="仿宋"/>
          <w:color w:val="000000"/>
          <w:sz w:val="24"/>
          <w:szCs w:val="24"/>
          <w:highlight w:val="none"/>
          <w:lang w:eastAsia="zh-CN"/>
        </w:rPr>
        <w:t>1.3适用本次协议的采购人范围：</w:t>
      </w:r>
      <w:r>
        <w:rPr>
          <w:rFonts w:hint="eastAsia" w:ascii="仿宋" w:hAnsi="仿宋" w:eastAsia="仿宋" w:cs="仿宋"/>
          <w:color w:val="000000"/>
          <w:sz w:val="24"/>
          <w:szCs w:val="24"/>
          <w:highlight w:val="none"/>
          <w:u w:val="single"/>
          <w:lang w:eastAsia="zh-CN"/>
        </w:rPr>
        <w:t>南京市江宁区文化和旅游局</w:t>
      </w:r>
    </w:p>
    <w:p w14:paraId="00BFBE62">
      <w:pPr>
        <w:pStyle w:val="273"/>
        <w:spacing w:before="120" w:after="120" w:line="288"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1.4 履行合同的地域范围：</w:t>
      </w:r>
      <w:r>
        <w:rPr>
          <w:rFonts w:hint="eastAsia" w:ascii="仿宋" w:hAnsi="仿宋" w:eastAsia="仿宋" w:cs="仿宋"/>
          <w:color w:val="000000"/>
          <w:sz w:val="24"/>
          <w:szCs w:val="24"/>
          <w:highlight w:val="none"/>
          <w:u w:val="single"/>
          <w:lang w:eastAsia="zh-CN"/>
        </w:rPr>
        <w:t>见征集文件</w:t>
      </w:r>
    </w:p>
    <w:p w14:paraId="00BFBE63">
      <w:pPr>
        <w:pStyle w:val="273"/>
        <w:spacing w:before="120" w:after="120" w:line="288"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二、第一阶段入围服务的相关信息</w:t>
      </w:r>
    </w:p>
    <w:p w14:paraId="00BFBE64">
      <w:pPr>
        <w:pStyle w:val="273"/>
        <w:spacing w:before="120" w:after="120" w:line="288" w:lineRule="auto"/>
        <w:rPr>
          <w:rFonts w:hint="eastAsia" w:ascii="仿宋" w:hAnsi="仿宋" w:eastAsia="仿宋" w:cs="仿宋"/>
          <w:color w:val="000000"/>
          <w:sz w:val="24"/>
          <w:szCs w:val="24"/>
          <w:highlight w:val="none"/>
          <w:u w:val="single"/>
          <w:lang w:eastAsia="zh-CN"/>
        </w:rPr>
      </w:pPr>
      <w:r>
        <w:rPr>
          <w:rFonts w:hint="eastAsia" w:ascii="仿宋" w:hAnsi="仿宋" w:eastAsia="仿宋" w:cs="仿宋"/>
          <w:color w:val="000000"/>
          <w:sz w:val="24"/>
          <w:szCs w:val="24"/>
          <w:highlight w:val="none"/>
          <w:lang w:eastAsia="zh-CN"/>
        </w:rPr>
        <w:t>2.1 入围服务详细技术规格：</w:t>
      </w:r>
      <w:r>
        <w:rPr>
          <w:rFonts w:hint="eastAsia" w:ascii="仿宋" w:hAnsi="仿宋" w:eastAsia="仿宋" w:cs="仿宋"/>
          <w:color w:val="000000"/>
          <w:sz w:val="24"/>
          <w:szCs w:val="24"/>
          <w:highlight w:val="none"/>
          <w:u w:val="single"/>
          <w:lang w:eastAsia="zh-CN"/>
        </w:rPr>
        <w:t>见响应文件</w:t>
      </w:r>
    </w:p>
    <w:p w14:paraId="00BFBE65">
      <w:pPr>
        <w:pStyle w:val="273"/>
        <w:spacing w:before="120" w:after="120" w:line="288" w:lineRule="auto"/>
        <w:rPr>
          <w:rFonts w:hint="eastAsia" w:ascii="仿宋" w:hAnsi="仿宋" w:eastAsia="仿宋" w:cs="仿宋"/>
          <w:color w:val="000000"/>
          <w:sz w:val="24"/>
          <w:szCs w:val="24"/>
          <w:highlight w:val="none"/>
          <w:u w:val="single"/>
          <w:lang w:eastAsia="zh-CN"/>
        </w:rPr>
      </w:pPr>
      <w:r>
        <w:rPr>
          <w:rFonts w:hint="eastAsia" w:ascii="仿宋" w:hAnsi="仿宋" w:eastAsia="仿宋" w:cs="仿宋"/>
          <w:color w:val="000000"/>
          <w:sz w:val="24"/>
          <w:szCs w:val="24"/>
          <w:highlight w:val="none"/>
          <w:lang w:eastAsia="zh-CN"/>
        </w:rPr>
        <w:t>2.2 服务标准：</w:t>
      </w:r>
      <w:r>
        <w:rPr>
          <w:rFonts w:hint="eastAsia" w:ascii="仿宋" w:hAnsi="仿宋" w:eastAsia="仿宋" w:cs="仿宋"/>
          <w:color w:val="000000"/>
          <w:sz w:val="24"/>
          <w:szCs w:val="24"/>
          <w:highlight w:val="none"/>
          <w:u w:val="single"/>
          <w:lang w:eastAsia="zh-CN"/>
        </w:rPr>
        <w:t>见响应文件</w:t>
      </w:r>
    </w:p>
    <w:p w14:paraId="00BFBE66">
      <w:pPr>
        <w:pStyle w:val="273"/>
        <w:spacing w:before="120" w:after="120" w:line="288" w:lineRule="auto"/>
        <w:rPr>
          <w:rFonts w:hint="eastAsia" w:ascii="仿宋" w:hAnsi="仿宋" w:eastAsia="仿宋" w:cs="仿宋"/>
          <w:color w:val="000000"/>
          <w:sz w:val="24"/>
          <w:szCs w:val="24"/>
          <w:highlight w:val="none"/>
          <w:u w:val="single"/>
          <w:lang w:eastAsia="zh-CN"/>
        </w:rPr>
      </w:pPr>
      <w:r>
        <w:rPr>
          <w:rFonts w:hint="eastAsia" w:ascii="仿宋" w:hAnsi="仿宋" w:eastAsia="仿宋" w:cs="仿宋"/>
          <w:color w:val="000000"/>
          <w:sz w:val="24"/>
          <w:szCs w:val="24"/>
          <w:highlight w:val="none"/>
          <w:lang w:eastAsia="zh-CN"/>
        </w:rPr>
        <w:t>2.3 服务协议价格：</w:t>
      </w:r>
      <w:r>
        <w:rPr>
          <w:rFonts w:hint="eastAsia" w:ascii="仿宋" w:hAnsi="仿宋" w:eastAsia="仿宋" w:cs="仿宋"/>
          <w:color w:val="000000"/>
          <w:sz w:val="24"/>
          <w:szCs w:val="24"/>
          <w:highlight w:val="none"/>
          <w:u w:val="single"/>
          <w:lang w:eastAsia="zh-CN"/>
        </w:rPr>
        <w:t xml:space="preserve">      </w:t>
      </w:r>
    </w:p>
    <w:p w14:paraId="00BFBE68">
      <w:pPr>
        <w:pStyle w:val="273"/>
        <w:spacing w:before="120" w:after="120" w:line="288"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三、入围服务升级换代规则</w:t>
      </w:r>
    </w:p>
    <w:p w14:paraId="00BFBE69">
      <w:pPr>
        <w:spacing w:before="120" w:after="120" w:line="288" w:lineRule="auto"/>
        <w:rPr>
          <w:rFonts w:hint="eastAsia" w:ascii="仿宋" w:hAnsi="仿宋" w:eastAsia="仿宋" w:cs="仿宋"/>
          <w:color w:val="000000"/>
          <w:highlight w:val="none"/>
        </w:rPr>
      </w:pPr>
      <w:r>
        <w:rPr>
          <w:rFonts w:hint="eastAsia" w:ascii="仿宋" w:hAnsi="仿宋" w:eastAsia="仿宋" w:cs="仿宋"/>
          <w:color w:val="000000"/>
          <w:sz w:val="24"/>
          <w:highlight w:val="none"/>
        </w:rPr>
        <w:t>本项目协议期内，不对入围服务进行升级换代。</w:t>
      </w:r>
    </w:p>
    <w:p w14:paraId="00BFBE6A">
      <w:pPr>
        <w:pStyle w:val="273"/>
        <w:spacing w:before="120" w:after="120" w:line="288"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四、确定第二阶段成交供应商的方式</w:t>
      </w:r>
    </w:p>
    <w:p w14:paraId="00BFBE6B">
      <w:pPr>
        <w:pStyle w:val="273"/>
        <w:spacing w:before="120" w:after="120" w:line="288" w:lineRule="auto"/>
        <w:rPr>
          <w:rFonts w:hint="eastAsia" w:ascii="仿宋" w:hAnsi="仿宋" w:eastAsia="仿宋" w:cs="仿宋"/>
          <w:b/>
          <w:bCs/>
          <w:color w:val="000000"/>
          <w:sz w:val="24"/>
          <w:szCs w:val="24"/>
          <w:highlight w:val="none"/>
          <w:lang w:eastAsia="zh-CN"/>
        </w:rPr>
      </w:pPr>
      <w:r>
        <w:rPr>
          <w:rFonts w:hint="eastAsia" w:ascii="仿宋" w:hAnsi="仿宋" w:eastAsia="仿宋" w:cs="仿宋"/>
          <w:b/>
          <w:bCs/>
          <w:color w:val="000000"/>
          <w:sz w:val="24"/>
          <w:szCs w:val="24"/>
          <w:highlight w:val="none"/>
          <w:lang w:eastAsia="zh-CN"/>
        </w:rPr>
        <w:t>采购人依据工作经验、工作质量、入围服务价格以及服务便利性、用户评价或考核情况等因素，从第一阶段入围供应商中直接选定。</w:t>
      </w:r>
    </w:p>
    <w:p w14:paraId="00BFBE6C">
      <w:pPr>
        <w:pStyle w:val="273"/>
        <w:spacing w:before="120" w:after="120" w:line="288"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五、资金支付方式、时间和条件</w:t>
      </w:r>
    </w:p>
    <w:p w14:paraId="00BFBE6D">
      <w:pPr>
        <w:pStyle w:val="273"/>
        <w:spacing w:before="120" w:after="120" w:line="288"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支付方式：</w:t>
      </w:r>
    </w:p>
    <w:p w14:paraId="00BFBE6E">
      <w:pPr>
        <w:pStyle w:val="273"/>
        <w:spacing w:before="120" w:after="120" w:line="288"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时间：202</w:t>
      </w: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lang w:eastAsia="zh-CN"/>
        </w:rPr>
        <w:t>年12月31日前，如遇特殊情况，经协商，不晚于202</w:t>
      </w:r>
      <w:r>
        <w:rPr>
          <w:rFonts w:hint="eastAsia" w:ascii="仿宋" w:hAnsi="仿宋" w:eastAsia="仿宋" w:cs="仿宋"/>
          <w:color w:val="000000"/>
          <w:sz w:val="24"/>
          <w:szCs w:val="24"/>
          <w:highlight w:val="none"/>
          <w:lang w:val="en-US" w:eastAsia="zh-CN"/>
        </w:rPr>
        <w:t>7</w:t>
      </w:r>
      <w:r>
        <w:rPr>
          <w:rFonts w:hint="eastAsia" w:ascii="仿宋" w:hAnsi="仿宋" w:eastAsia="仿宋" w:cs="仿宋"/>
          <w:color w:val="000000"/>
          <w:sz w:val="24"/>
          <w:szCs w:val="24"/>
          <w:highlight w:val="none"/>
          <w:lang w:eastAsia="zh-CN"/>
        </w:rPr>
        <w:t>年6月30日</w:t>
      </w:r>
    </w:p>
    <w:p w14:paraId="00BFBE6F">
      <w:pPr>
        <w:pStyle w:val="273"/>
        <w:spacing w:before="120" w:after="120" w:line="288" w:lineRule="auto"/>
        <w:rPr>
          <w:rFonts w:hint="eastAsia" w:ascii="仿宋" w:hAnsi="仿宋" w:eastAsia="仿宋" w:cs="仿宋"/>
          <w:color w:val="000000"/>
          <w:sz w:val="24"/>
          <w:szCs w:val="24"/>
          <w:highlight w:val="none"/>
          <w:lang w:val="zh-CN" w:eastAsia="zh-CN"/>
        </w:rPr>
      </w:pPr>
      <w:r>
        <w:rPr>
          <w:rFonts w:hint="eastAsia" w:ascii="仿宋" w:hAnsi="仿宋" w:eastAsia="仿宋" w:cs="仿宋"/>
          <w:color w:val="000000"/>
          <w:sz w:val="24"/>
          <w:szCs w:val="24"/>
          <w:highlight w:val="none"/>
          <w:lang w:eastAsia="zh-CN"/>
        </w:rPr>
        <w:t>条件：完成演出公共服务，并通过验收</w:t>
      </w:r>
    </w:p>
    <w:p w14:paraId="00BFBE70">
      <w:pPr>
        <w:pStyle w:val="273"/>
        <w:spacing w:before="120" w:after="120" w:line="288"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六、框架协议期限</w:t>
      </w:r>
    </w:p>
    <w:p w14:paraId="00BFBE71">
      <w:pPr>
        <w:pStyle w:val="273"/>
        <w:spacing w:before="120" w:after="120" w:line="288"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协议签订之日后一年。</w:t>
      </w:r>
    </w:p>
    <w:p w14:paraId="00BFBE72">
      <w:pPr>
        <w:pStyle w:val="273"/>
        <w:spacing w:before="120" w:after="120" w:line="288"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七、入围供应商的清退和补充规则</w:t>
      </w:r>
    </w:p>
    <w:p w14:paraId="00BFBE73">
      <w:pPr>
        <w:pStyle w:val="273"/>
        <w:spacing w:before="120" w:after="120" w:line="288"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7.1 清退规则 入围供应商存在《政府采购框架协议采购方式管理暂行办法》第十九条规定情形的，尚未签订框架协议的，取消其入围资格；已经签订协议的，解除与其签订的协议。</w:t>
      </w:r>
    </w:p>
    <w:p w14:paraId="00BFBE74">
      <w:pPr>
        <w:pStyle w:val="273"/>
        <w:spacing w:before="120" w:after="120" w:line="288"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7.2 补充规则 如出现剩余入围供应商不足入围供应商总数70%且影响框架协议执行的情形时，征集人报监管部门同意后，将进行补充征集供应商。补充征集的条件、程序、评审方法和淘汰比例与初次征集相同。补充征集遵守原框架协议的有效期。补充征集期间，原框架协议继续履行。</w:t>
      </w:r>
    </w:p>
    <w:p w14:paraId="00BFBE75">
      <w:pPr>
        <w:pStyle w:val="273"/>
        <w:spacing w:before="120" w:after="120" w:line="288"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八、采购合同文本</w:t>
      </w:r>
    </w:p>
    <w:p w14:paraId="00BFBE76">
      <w:pPr>
        <w:pStyle w:val="273"/>
        <w:spacing w:before="120" w:after="120" w:line="288"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见“协议文本附件1”</w:t>
      </w:r>
    </w:p>
    <w:p w14:paraId="00BFBE77">
      <w:pPr>
        <w:pStyle w:val="273"/>
        <w:spacing w:before="120" w:after="120" w:line="288"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九、甲乙双方的权利和义务</w:t>
      </w:r>
    </w:p>
    <w:p w14:paraId="00BFBE78">
      <w:pPr>
        <w:pStyle w:val="273"/>
        <w:spacing w:line="288"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9.1 甲方的权利</w:t>
      </w:r>
    </w:p>
    <w:p w14:paraId="00BFBE79">
      <w:pPr>
        <w:pStyle w:val="273"/>
        <w:spacing w:line="288"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（1）确定协议采购需求。</w:t>
      </w:r>
    </w:p>
    <w:p w14:paraId="00BFBE7A">
      <w:pPr>
        <w:pStyle w:val="273"/>
        <w:spacing w:line="288"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（2）确定最高限制单价。</w:t>
      </w:r>
    </w:p>
    <w:p w14:paraId="00BFBE7B">
      <w:pPr>
        <w:pStyle w:val="273"/>
        <w:spacing w:line="288"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（3）确定框架协议有效期。</w:t>
      </w:r>
    </w:p>
    <w:p w14:paraId="00BFBE7C">
      <w:pPr>
        <w:pStyle w:val="273"/>
        <w:spacing w:line="288"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（4）制定统一的采购合同文本供采购人、供应商使用，并明确要求采购人、供应商不得擅自改变框架协议约定的合同实质性条款。</w:t>
      </w:r>
    </w:p>
    <w:p w14:paraId="00BFBE7D">
      <w:pPr>
        <w:pStyle w:val="273"/>
        <w:spacing w:line="288"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（5）乙方存在《政府采购框架协议采购方式管理暂行办法》第十九条第一款规定的情形时，取消入围供应商的入围资格，或解除与其签订的框架协议。</w:t>
      </w:r>
    </w:p>
    <w:p w14:paraId="00BFBE7E">
      <w:pPr>
        <w:pStyle w:val="273"/>
        <w:spacing w:line="288"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 xml:space="preserve">（6）在框架协议期内，随时对乙方履约情况进行检查。 </w:t>
      </w:r>
    </w:p>
    <w:p w14:paraId="00BFBE7F">
      <w:pPr>
        <w:pStyle w:val="273"/>
        <w:spacing w:line="288"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9.2 甲方的义务</w:t>
      </w:r>
    </w:p>
    <w:p w14:paraId="00BFBE80">
      <w:pPr>
        <w:pStyle w:val="290"/>
        <w:shd w:val="clear" w:color="auto" w:fill="FFFFFF"/>
        <w:spacing w:before="0" w:beforeAutospacing="0" w:after="0" w:afterAutospacing="0" w:line="288" w:lineRule="auto"/>
        <w:rPr>
          <w:rFonts w:hint="eastAsia" w:ascii="仿宋" w:hAnsi="仿宋" w:eastAsia="仿宋" w:cs="仿宋"/>
          <w:color w:val="000000"/>
          <w:sz w:val="21"/>
          <w:szCs w:val="21"/>
          <w:highlight w:val="none"/>
        </w:rPr>
      </w:pPr>
      <w:r>
        <w:rPr>
          <w:rFonts w:hint="eastAsia" w:ascii="仿宋" w:hAnsi="仿宋" w:eastAsia="仿宋" w:cs="仿宋"/>
          <w:color w:val="000000"/>
          <w:highlight w:val="none"/>
        </w:rPr>
        <w:t>（1）为第二阶段合同授予提供工作便利。 </w:t>
      </w:r>
    </w:p>
    <w:p w14:paraId="00BFBE81">
      <w:pPr>
        <w:pStyle w:val="290"/>
        <w:shd w:val="clear" w:color="auto" w:fill="FFFFFF"/>
        <w:spacing w:before="0" w:beforeAutospacing="0" w:after="0" w:afterAutospacing="0" w:line="288" w:lineRule="auto"/>
        <w:rPr>
          <w:rFonts w:hint="eastAsia" w:ascii="仿宋" w:hAnsi="仿宋" w:eastAsia="仿宋" w:cs="仿宋"/>
          <w:color w:val="000000"/>
          <w:sz w:val="21"/>
          <w:szCs w:val="21"/>
          <w:highlight w:val="none"/>
        </w:rPr>
      </w:pPr>
      <w:r>
        <w:rPr>
          <w:rFonts w:hint="eastAsia" w:ascii="仿宋" w:hAnsi="仿宋" w:eastAsia="仿宋" w:cs="仿宋"/>
          <w:color w:val="000000"/>
          <w:highlight w:val="none"/>
        </w:rPr>
        <w:t>（2）对第二阶段最高限价和需求标准执行情况进行管理。</w:t>
      </w:r>
    </w:p>
    <w:p w14:paraId="00BFBE82">
      <w:pPr>
        <w:pStyle w:val="290"/>
        <w:shd w:val="clear" w:color="auto" w:fill="FFFFFF"/>
        <w:spacing w:before="0" w:beforeAutospacing="0" w:after="0" w:afterAutospacing="0" w:line="288" w:lineRule="auto"/>
        <w:rPr>
          <w:rFonts w:hint="eastAsia" w:ascii="仿宋" w:hAnsi="仿宋" w:eastAsia="仿宋" w:cs="仿宋"/>
          <w:color w:val="000000"/>
          <w:sz w:val="21"/>
          <w:szCs w:val="21"/>
          <w:highlight w:val="none"/>
        </w:rPr>
      </w:pPr>
      <w:r>
        <w:rPr>
          <w:rFonts w:hint="eastAsia" w:ascii="仿宋" w:hAnsi="仿宋" w:eastAsia="仿宋" w:cs="仿宋"/>
          <w:color w:val="000000"/>
          <w:highlight w:val="none"/>
        </w:rPr>
        <w:t>（3）对第二阶段确定成交供应商情况进行管理。 </w:t>
      </w:r>
    </w:p>
    <w:p w14:paraId="00BFBE83">
      <w:pPr>
        <w:pStyle w:val="290"/>
        <w:shd w:val="clear" w:color="auto" w:fill="FFFFFF"/>
        <w:spacing w:before="0" w:beforeAutospacing="0" w:after="0" w:afterAutospacing="0" w:line="288" w:lineRule="auto"/>
        <w:rPr>
          <w:rFonts w:hint="eastAsia" w:ascii="仿宋" w:hAnsi="仿宋" w:eastAsia="仿宋" w:cs="仿宋"/>
          <w:color w:val="000000"/>
          <w:sz w:val="21"/>
          <w:szCs w:val="21"/>
          <w:highlight w:val="none"/>
        </w:rPr>
      </w:pPr>
      <w:r>
        <w:rPr>
          <w:rFonts w:hint="eastAsia" w:ascii="仿宋" w:hAnsi="仿宋" w:eastAsia="仿宋" w:cs="仿宋"/>
          <w:color w:val="000000"/>
          <w:highlight w:val="none"/>
        </w:rPr>
        <w:t>（4）根据框架协议约定，在质量不降低、价格不提高的前提下，对入围供应商因服务升级换代、用新服务替代原入围服务的情形进行审核。 </w:t>
      </w:r>
    </w:p>
    <w:p w14:paraId="00BFBE84">
      <w:pPr>
        <w:pStyle w:val="290"/>
        <w:shd w:val="clear" w:color="auto" w:fill="FFFFFF"/>
        <w:spacing w:before="0" w:beforeAutospacing="0" w:after="0" w:afterAutospacing="0" w:line="288" w:lineRule="auto"/>
        <w:rPr>
          <w:rFonts w:hint="eastAsia" w:ascii="仿宋" w:hAnsi="仿宋" w:eastAsia="仿宋" w:cs="仿宋"/>
          <w:color w:val="000000"/>
          <w:sz w:val="21"/>
          <w:szCs w:val="21"/>
          <w:highlight w:val="none"/>
        </w:rPr>
      </w:pPr>
      <w:r>
        <w:rPr>
          <w:rFonts w:hint="eastAsia" w:ascii="仿宋" w:hAnsi="仿宋" w:eastAsia="仿宋" w:cs="仿宋"/>
          <w:color w:val="000000"/>
          <w:highlight w:val="none"/>
        </w:rPr>
        <w:t>（5）建立用户反馈和评价机制，接受采购人对入围供应商履行框架协议和采购合同情况的反馈与评价，并将用户反馈和评价情况向采购人公开，作为第二阶段选定成交供应商的参考。 </w:t>
      </w:r>
    </w:p>
    <w:p w14:paraId="00BFBE85">
      <w:pPr>
        <w:pStyle w:val="290"/>
        <w:shd w:val="clear" w:color="auto" w:fill="FFFFFF"/>
        <w:spacing w:before="0" w:beforeAutospacing="0" w:after="0" w:afterAutospacing="0" w:line="288" w:lineRule="auto"/>
        <w:rPr>
          <w:rFonts w:hint="eastAsia" w:ascii="仿宋" w:hAnsi="仿宋" w:eastAsia="仿宋" w:cs="仿宋"/>
          <w:color w:val="000000"/>
          <w:sz w:val="21"/>
          <w:szCs w:val="21"/>
          <w:highlight w:val="none"/>
        </w:rPr>
      </w:pPr>
      <w:r>
        <w:rPr>
          <w:rFonts w:hint="eastAsia" w:ascii="仿宋" w:hAnsi="仿宋" w:eastAsia="仿宋" w:cs="仿宋"/>
          <w:color w:val="000000"/>
          <w:highlight w:val="none"/>
        </w:rPr>
        <w:t>（6）公开封闭式框架协议的第二阶段成交结果。 </w:t>
      </w:r>
    </w:p>
    <w:p w14:paraId="00BFBE86">
      <w:pPr>
        <w:pStyle w:val="290"/>
        <w:shd w:val="clear" w:color="auto" w:fill="FFFFFF"/>
        <w:spacing w:before="0" w:beforeAutospacing="0" w:after="0" w:afterAutospacing="0" w:line="288" w:lineRule="auto"/>
        <w:rPr>
          <w:rFonts w:hint="eastAsia" w:ascii="仿宋" w:hAnsi="仿宋" w:eastAsia="仿宋" w:cs="仿宋"/>
          <w:color w:val="000000"/>
          <w:highlight w:val="none"/>
        </w:rPr>
      </w:pPr>
      <w:r>
        <w:rPr>
          <w:rFonts w:hint="eastAsia" w:ascii="仿宋" w:hAnsi="仿宋" w:eastAsia="仿宋" w:cs="仿宋"/>
          <w:color w:val="000000"/>
          <w:highlight w:val="none"/>
        </w:rPr>
        <w:t>（7）办理入围供应商清退和补充相关事宜。</w:t>
      </w:r>
    </w:p>
    <w:p w14:paraId="00BFBE87">
      <w:pPr>
        <w:pStyle w:val="290"/>
        <w:shd w:val="clear" w:color="auto" w:fill="FFFFFF"/>
        <w:spacing w:before="0" w:beforeAutospacing="0" w:after="0" w:afterAutospacing="0" w:line="288" w:lineRule="auto"/>
        <w:rPr>
          <w:rFonts w:hint="eastAsia" w:ascii="仿宋" w:hAnsi="仿宋" w:eastAsia="仿宋" w:cs="仿宋"/>
          <w:color w:val="000000"/>
          <w:sz w:val="21"/>
          <w:szCs w:val="21"/>
          <w:highlight w:val="none"/>
        </w:rPr>
      </w:pPr>
      <w:r>
        <w:rPr>
          <w:rFonts w:hint="eastAsia" w:ascii="仿宋" w:hAnsi="仿宋" w:eastAsia="仿宋" w:cs="仿宋"/>
          <w:color w:val="000000"/>
          <w:highlight w:val="none"/>
        </w:rPr>
        <w:t>（8）建立真实完整的框架协议采购档案，妥善保存每项采购活动的采购文件资料。</w:t>
      </w:r>
    </w:p>
    <w:p w14:paraId="00BFBE88">
      <w:pPr>
        <w:pStyle w:val="273"/>
        <w:spacing w:line="288"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9.3 乙方的权利</w:t>
      </w:r>
    </w:p>
    <w:p w14:paraId="00BFBE89">
      <w:pPr>
        <w:pStyle w:val="273"/>
        <w:spacing w:line="288"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（1）乙方具有为采购人提供相关服务的资格。</w:t>
      </w:r>
    </w:p>
    <w:p w14:paraId="00BFBE8A">
      <w:pPr>
        <w:pStyle w:val="273"/>
        <w:spacing w:line="288"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 xml:space="preserve">（2）乙方有权拒绝采购人提出的以本次框架协议采购名义购买非入围货物、服务、配件或满足采购人超出响应承诺以外的其他要求。 </w:t>
      </w:r>
    </w:p>
    <w:p w14:paraId="00BFBE8B">
      <w:pPr>
        <w:pStyle w:val="273"/>
        <w:spacing w:line="288"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 xml:space="preserve">（3）对采购人在购买入围服务过程中的不正当要求和违规行为进行投诉，并要求有关部门做出处理。 </w:t>
      </w:r>
    </w:p>
    <w:p w14:paraId="00BFBE8C">
      <w:pPr>
        <w:pStyle w:val="273"/>
        <w:spacing w:line="288"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（4）有权拒绝任何个人以采购人名义按照协议价格购买入围服务和进行现金交易。</w:t>
      </w:r>
    </w:p>
    <w:p w14:paraId="00BFBE8D">
      <w:pPr>
        <w:pStyle w:val="273"/>
        <w:spacing w:line="288"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9.4 乙方的义务</w:t>
      </w:r>
    </w:p>
    <w:p w14:paraId="00BFBE8E">
      <w:pPr>
        <w:pStyle w:val="273"/>
        <w:spacing w:line="288"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 xml:space="preserve">（1）严格执行国家法律法规，严格按照响应文件承诺的价格和服务履约，遵守本合同条款。 </w:t>
      </w:r>
    </w:p>
    <w:p w14:paraId="00BFBE8F">
      <w:pPr>
        <w:pStyle w:val="273"/>
        <w:spacing w:line="288"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 xml:space="preserve">（2）随时接受并配合甲方的监督检查，并配合财政部门对采购人和其他入围供应商对框架协议执行情况进行监督，发现违规违约情形的，及时向财政部门报告。 </w:t>
      </w:r>
    </w:p>
    <w:p w14:paraId="00BFBE90">
      <w:pPr>
        <w:pStyle w:val="273"/>
        <w:spacing w:line="288"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 xml:space="preserve">（3）在框架协议有效期内，按照不高于协议价格的价格，向采购人提供相关服务。 </w:t>
      </w:r>
    </w:p>
    <w:p w14:paraId="00BFBE91">
      <w:pPr>
        <w:pStyle w:val="273"/>
        <w:spacing w:line="288"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 xml:space="preserve">（4）乙方及其委托的聘用专家对本项目承担连带责任，乙方委托的聘用专家必须履行乙方在响应文件中承诺的责任和义务。 </w:t>
      </w:r>
    </w:p>
    <w:p w14:paraId="00BFBE92">
      <w:pPr>
        <w:pStyle w:val="273"/>
        <w:spacing w:line="288"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（5）框架协议期内，在质量不降低、价格不提高的前提下，乙方如出现因服务升级换代，需用新服务替代原入围服务情形时，必须向甲方提出申请。</w:t>
      </w:r>
    </w:p>
    <w:p w14:paraId="00BFBE93">
      <w:pPr>
        <w:spacing w:before="145" w:after="145" w:line="288"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十、税费</w:t>
      </w:r>
    </w:p>
    <w:p w14:paraId="00BFBE94">
      <w:pPr>
        <w:spacing w:before="145" w:after="145" w:line="288"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10.1本协议执行中相关的一切税费均由乙方负担。</w:t>
      </w:r>
    </w:p>
    <w:p w14:paraId="00BFBE95">
      <w:pPr>
        <w:spacing w:before="145" w:after="145" w:line="288"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十一、争议解决的办法</w:t>
      </w:r>
    </w:p>
    <w:p w14:paraId="00BFBE96">
      <w:pPr>
        <w:spacing w:before="145" w:after="145" w:line="288"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11.1 因本协议的签订、履行而发生的争议，甲乙双方应通过友好协商解决，如协商不成由甲方住所地人民法院管辖。</w:t>
      </w:r>
    </w:p>
    <w:p w14:paraId="00BFBE97">
      <w:pPr>
        <w:pStyle w:val="273"/>
        <w:spacing w:before="120" w:after="120" w:line="288"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十二、协议文本的生效及其它</w:t>
      </w:r>
    </w:p>
    <w:p w14:paraId="00BFBE98">
      <w:pPr>
        <w:pStyle w:val="273"/>
        <w:spacing w:before="120" w:after="120" w:line="288"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12.1 本协议文本经甲乙双方法定代表人或授权委托代表人签字并加盖单位公章后生效。</w:t>
      </w:r>
    </w:p>
    <w:p w14:paraId="00BFBE99">
      <w:pPr>
        <w:pStyle w:val="273"/>
        <w:spacing w:before="120" w:after="120" w:line="288"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12.2本协议文本未尽事宜，参照《民法典》《政府采购法》有关条文执行。</w:t>
      </w:r>
    </w:p>
    <w:p w14:paraId="00BFBE9A">
      <w:pPr>
        <w:pStyle w:val="273"/>
        <w:spacing w:before="120" w:after="120" w:line="288" w:lineRule="auto"/>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12.3 本协议文本正本一式两份，具有同等法律效力，甲方、乙方各执一份。</w:t>
      </w:r>
    </w:p>
    <w:p w14:paraId="00BFBE9B">
      <w:pPr>
        <w:pStyle w:val="273"/>
        <w:spacing w:before="120" w:after="120" w:line="288" w:lineRule="auto"/>
        <w:ind w:left="480" w:hanging="48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 xml:space="preserve">  </w:t>
      </w:r>
    </w:p>
    <w:p w14:paraId="00BFBE9C">
      <w:pPr>
        <w:pStyle w:val="273"/>
        <w:spacing w:before="120" w:after="120" w:line="288" w:lineRule="auto"/>
        <w:ind w:left="450" w:hanging="24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甲方：                                        乙方： </w:t>
      </w:r>
    </w:p>
    <w:p w14:paraId="00BFBE9D">
      <w:pPr>
        <w:pStyle w:val="273"/>
        <w:spacing w:before="120" w:after="120" w:line="288"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地址：                                        地址： </w:t>
      </w:r>
    </w:p>
    <w:p w14:paraId="00BFBE9E">
      <w:pPr>
        <w:pStyle w:val="273"/>
        <w:spacing w:before="120" w:after="120" w:line="288"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eastAsia="zh-CN"/>
        </w:rPr>
        <w:t>法定代表人或授权代表：                        法定代表人或授权代表：</w:t>
      </w:r>
    </w:p>
    <w:p w14:paraId="00BFBE9F">
      <w:pPr>
        <w:pStyle w:val="273"/>
        <w:spacing w:before="120" w:after="120" w:line="288" w:lineRule="auto"/>
        <w:ind w:firstLine="240"/>
        <w:rPr>
          <w:rFonts w:hint="eastAsia" w:ascii="仿宋" w:hAnsi="仿宋" w:eastAsia="仿宋" w:cs="仿宋"/>
          <w:color w:val="000000"/>
          <w:highlight w:val="none"/>
          <w:lang w:eastAsia="zh-CN"/>
        </w:rPr>
      </w:pPr>
      <w:r>
        <w:rPr>
          <w:rFonts w:hint="eastAsia" w:ascii="仿宋" w:hAnsi="仿宋" w:eastAsia="仿宋" w:cs="仿宋"/>
          <w:color w:val="000000"/>
          <w:sz w:val="24"/>
          <w:szCs w:val="24"/>
          <w:highlight w:val="none"/>
          <w:lang w:eastAsia="zh-CN"/>
        </w:rPr>
        <w:t xml:space="preserve">联系电话：                                    联系电话：          </w:t>
      </w:r>
    </w:p>
    <w:p w14:paraId="00BFBEA0">
      <w:pPr>
        <w:pStyle w:val="273"/>
        <w:spacing w:before="120" w:after="120" w:line="288" w:lineRule="auto"/>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highlight w:val="none"/>
          <w:lang w:eastAsia="zh-CN"/>
        </w:rPr>
        <w:t xml:space="preserve">                 </w:t>
      </w:r>
      <w:r>
        <w:rPr>
          <w:rFonts w:hint="eastAsia" w:ascii="仿宋" w:hAnsi="仿宋" w:eastAsia="仿宋" w:cs="仿宋"/>
          <w:color w:val="000000"/>
          <w:sz w:val="24"/>
          <w:szCs w:val="24"/>
          <w:highlight w:val="none"/>
          <w:lang w:eastAsia="zh-CN"/>
        </w:rPr>
        <w:t xml:space="preserve">   </w:t>
      </w:r>
    </w:p>
    <w:p w14:paraId="00BFBEA1">
      <w:pPr>
        <w:pStyle w:val="273"/>
        <w:spacing w:before="120" w:after="120" w:line="288" w:lineRule="auto"/>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 xml:space="preserve">                    签订日期：      年    月   日</w:t>
      </w:r>
      <w:bookmarkEnd w:id="167"/>
      <w:bookmarkEnd w:id="168"/>
      <w:bookmarkEnd w:id="169"/>
      <w:bookmarkStart w:id="170" w:name="_Hlt16619369"/>
      <w:bookmarkEnd w:id="170"/>
    </w:p>
    <w:p w14:paraId="00BFBEA2">
      <w:pPr>
        <w:pStyle w:val="273"/>
        <w:spacing w:before="120" w:after="120" w:line="0" w:lineRule="atLeas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br w:type="page" w:clear="all"/>
      </w:r>
      <w:r>
        <w:rPr>
          <w:rFonts w:hint="eastAsia" w:ascii="仿宋" w:hAnsi="仿宋" w:eastAsia="仿宋" w:cs="仿宋"/>
          <w:color w:val="000000"/>
          <w:sz w:val="24"/>
          <w:szCs w:val="24"/>
          <w:highlight w:val="none"/>
          <w:lang w:eastAsia="zh-CN"/>
        </w:rPr>
        <w:t>附件1：采购合同文本</w:t>
      </w:r>
    </w:p>
    <w:p w14:paraId="00BFBEA3">
      <w:pPr>
        <w:pStyle w:val="273"/>
        <w:spacing w:before="120" w:after="120" w:line="288" w:lineRule="auto"/>
        <w:ind w:firstLine="480"/>
        <w:jc w:val="left"/>
        <w:rPr>
          <w:rFonts w:hint="eastAsia" w:ascii="仿宋" w:hAnsi="仿宋" w:eastAsia="仿宋" w:cs="仿宋"/>
          <w:color w:val="000000"/>
          <w:sz w:val="24"/>
          <w:szCs w:val="24"/>
          <w:highlight w:val="none"/>
          <w:lang w:eastAsia="zh-CN"/>
        </w:rPr>
      </w:pPr>
    </w:p>
    <w:p w14:paraId="00BFBEA4">
      <w:pPr>
        <w:pStyle w:val="273"/>
        <w:spacing w:before="120" w:after="120" w:line="288" w:lineRule="auto"/>
        <w:ind w:firstLine="480"/>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 xml:space="preserve">项目名称：                           </w:t>
      </w:r>
    </w:p>
    <w:p w14:paraId="00BFBEA5">
      <w:pPr>
        <w:pStyle w:val="273"/>
        <w:spacing w:before="120" w:after="120" w:line="288" w:lineRule="auto"/>
        <w:ind w:firstLine="480"/>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项目编号：</w:t>
      </w:r>
    </w:p>
    <w:p w14:paraId="00BFBEA6">
      <w:pPr>
        <w:pStyle w:val="273"/>
        <w:spacing w:before="120" w:after="120" w:line="288" w:lineRule="auto"/>
        <w:ind w:firstLine="48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甲方：（采购人）_________</w:t>
      </w:r>
    </w:p>
    <w:p w14:paraId="00BFBEA7">
      <w:pPr>
        <w:pStyle w:val="273"/>
        <w:spacing w:before="120" w:after="120" w:line="288" w:lineRule="auto"/>
        <w:ind w:firstLine="48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乙方：（成交供应商）_________</w:t>
      </w:r>
    </w:p>
    <w:p w14:paraId="00BFBEA8">
      <w:pPr>
        <w:pStyle w:val="273"/>
        <w:spacing w:before="120" w:after="120" w:line="288" w:lineRule="auto"/>
        <w:ind w:firstLine="48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甲、乙双方根据</w:t>
      </w:r>
      <w:r>
        <w:rPr>
          <w:rFonts w:hint="eastAsia" w:ascii="仿宋" w:hAnsi="仿宋" w:eastAsia="仿宋" w:cs="仿宋"/>
          <w:color w:val="000000"/>
          <w:sz w:val="24"/>
          <w:szCs w:val="24"/>
          <w:highlight w:val="none"/>
          <w:u w:val="single"/>
          <w:lang w:eastAsia="zh-CN"/>
        </w:rPr>
        <w:t xml:space="preserve">        </w:t>
      </w:r>
      <w:r>
        <w:rPr>
          <w:rFonts w:hint="eastAsia" w:ascii="仿宋" w:hAnsi="仿宋" w:eastAsia="仿宋" w:cs="仿宋"/>
          <w:color w:val="000000"/>
          <w:sz w:val="24"/>
          <w:szCs w:val="24"/>
          <w:highlight w:val="none"/>
          <w:lang w:eastAsia="zh-CN"/>
        </w:rPr>
        <w:t>采购项目公开征集的结果，签署本合同。</w:t>
      </w:r>
    </w:p>
    <w:p w14:paraId="00BFBEA9">
      <w:pPr>
        <w:widowControl/>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甲乙双方按下述条款和条件签订本合同（以下简称合同），双方约定共同遵守：</w:t>
      </w:r>
    </w:p>
    <w:p w14:paraId="00BFBEAA">
      <w:pPr>
        <w:widowControl/>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 xml:space="preserve">第一条  </w:t>
      </w:r>
      <w:r>
        <w:rPr>
          <w:rFonts w:hint="eastAsia" w:ascii="仿宋" w:hAnsi="仿宋" w:eastAsia="仿宋" w:cs="仿宋"/>
          <w:color w:val="000000"/>
          <w:sz w:val="24"/>
          <w:szCs w:val="24"/>
          <w:highlight w:val="none"/>
        </w:rPr>
        <w:t>服务</w:t>
      </w:r>
      <w:r>
        <w:rPr>
          <w:rFonts w:hint="eastAsia" w:ascii="仿宋" w:hAnsi="仿宋" w:eastAsia="仿宋" w:cs="仿宋"/>
          <w:color w:val="000000"/>
          <w:sz w:val="24"/>
          <w:szCs w:val="24"/>
          <w:highlight w:val="none"/>
          <w:lang w:val="zh-CN"/>
        </w:rPr>
        <w:t>目标和内容</w:t>
      </w:r>
    </w:p>
    <w:p w14:paraId="00BFBEAB">
      <w:pPr>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（一）甲方购买乙方相关服务，由乙方派出人员参与甲方相关服务的工作，协助甲方完成前述相关服务项目。</w:t>
      </w:r>
    </w:p>
    <w:p w14:paraId="00BFBEAC">
      <w:pPr>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（二）乙方根据甲方指定的相关服务事项开展工作。乙方派出人员的职责是按照甲方的安排和要求，完成安排的工作内容，完成的工作内容应达到甲方要求的工作目标。</w:t>
      </w:r>
    </w:p>
    <w:p w14:paraId="00BFBEAD">
      <w:pPr>
        <w:widowControl/>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第二条  甲方权利和义务</w:t>
      </w:r>
    </w:p>
    <w:p w14:paraId="00BFBEAE">
      <w:pPr>
        <w:widowControl/>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（一）甲方权利：</w:t>
      </w:r>
    </w:p>
    <w:p w14:paraId="00BFBEAF">
      <w:pPr>
        <w:widowControl/>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1.乙方不能按合同约定派出</w:t>
      </w:r>
      <w:r>
        <w:rPr>
          <w:rFonts w:hint="eastAsia" w:ascii="仿宋" w:hAnsi="仿宋" w:eastAsia="仿宋" w:cs="仿宋"/>
          <w:color w:val="000000"/>
          <w:sz w:val="24"/>
          <w:szCs w:val="24"/>
          <w:highlight w:val="none"/>
        </w:rPr>
        <w:t>相关服务</w:t>
      </w:r>
      <w:r>
        <w:rPr>
          <w:rFonts w:hint="eastAsia" w:ascii="仿宋" w:hAnsi="仿宋" w:eastAsia="仿宋" w:cs="仿宋"/>
          <w:color w:val="000000"/>
          <w:sz w:val="24"/>
          <w:szCs w:val="24"/>
          <w:highlight w:val="none"/>
          <w:lang w:val="zh-CN"/>
        </w:rPr>
        <w:t>人员的，甲方有权单方解除合同；</w:t>
      </w:r>
    </w:p>
    <w:p w14:paraId="00BFBEB0">
      <w:pPr>
        <w:widowControl/>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2.甲方有权规定</w:t>
      </w:r>
      <w:r>
        <w:rPr>
          <w:rFonts w:hint="eastAsia" w:ascii="仿宋" w:hAnsi="仿宋" w:eastAsia="仿宋" w:cs="仿宋"/>
          <w:color w:val="000000"/>
          <w:sz w:val="24"/>
          <w:szCs w:val="24"/>
          <w:highlight w:val="none"/>
        </w:rPr>
        <w:t>相关服务</w:t>
      </w:r>
      <w:r>
        <w:rPr>
          <w:rFonts w:hint="eastAsia" w:ascii="仿宋" w:hAnsi="仿宋" w:eastAsia="仿宋" w:cs="仿宋"/>
          <w:color w:val="000000"/>
          <w:sz w:val="24"/>
          <w:szCs w:val="24"/>
          <w:highlight w:val="none"/>
          <w:lang w:val="zh-CN"/>
        </w:rPr>
        <w:t>的具体内容、要求，可以根据工作需要和乙方派出人员的工作情况，要求乙方更换或撤回不能胜任服务的派出人员。</w:t>
      </w:r>
    </w:p>
    <w:p w14:paraId="00BFBEB1">
      <w:pPr>
        <w:widowControl/>
        <w:spacing w:line="288" w:lineRule="auto"/>
        <w:ind w:firstLine="48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3.对乙方的工作质量进行指导、监督和考核，根据考核结果确定是否与供应商解除框架协议。</w:t>
      </w:r>
    </w:p>
    <w:p w14:paraId="00BFBEB2">
      <w:pPr>
        <w:widowControl/>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（二）甲方义务：</w:t>
      </w:r>
    </w:p>
    <w:p w14:paraId="00BFBEB3">
      <w:pPr>
        <w:widowControl/>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1.按照约定的条件，按时足额支付</w:t>
      </w:r>
      <w:r>
        <w:rPr>
          <w:rFonts w:hint="eastAsia" w:ascii="仿宋" w:hAnsi="仿宋" w:eastAsia="仿宋" w:cs="仿宋"/>
          <w:color w:val="000000"/>
          <w:sz w:val="24"/>
          <w:szCs w:val="24"/>
          <w:highlight w:val="none"/>
        </w:rPr>
        <w:t>相关审计</w:t>
      </w:r>
      <w:r>
        <w:rPr>
          <w:rFonts w:hint="eastAsia" w:ascii="仿宋" w:hAnsi="仿宋" w:eastAsia="仿宋" w:cs="仿宋"/>
          <w:color w:val="000000"/>
          <w:sz w:val="24"/>
          <w:szCs w:val="24"/>
          <w:highlight w:val="none"/>
          <w:lang w:val="zh-CN"/>
        </w:rPr>
        <w:t>服务费用。</w:t>
      </w:r>
    </w:p>
    <w:p w14:paraId="00BFBEB4">
      <w:pPr>
        <w:widowControl/>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2.负责帮助乙方协调与相关服务的各项工作。</w:t>
      </w:r>
    </w:p>
    <w:p w14:paraId="00BFBEB5">
      <w:pPr>
        <w:widowControl/>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3.负责召集重大</w:t>
      </w:r>
      <w:r>
        <w:rPr>
          <w:rFonts w:hint="eastAsia" w:ascii="仿宋" w:hAnsi="仿宋" w:eastAsia="仿宋" w:cs="仿宋"/>
          <w:color w:val="000000"/>
          <w:sz w:val="24"/>
          <w:szCs w:val="24"/>
          <w:highlight w:val="none"/>
        </w:rPr>
        <w:t>相关</w:t>
      </w:r>
      <w:r>
        <w:rPr>
          <w:rFonts w:hint="eastAsia" w:ascii="仿宋" w:hAnsi="仿宋" w:eastAsia="仿宋" w:cs="仿宋"/>
          <w:color w:val="000000"/>
          <w:sz w:val="24"/>
          <w:szCs w:val="24"/>
          <w:highlight w:val="none"/>
          <w:lang w:val="zh-CN"/>
        </w:rPr>
        <w:t>事项的研究和处理。</w:t>
      </w:r>
    </w:p>
    <w:p w14:paraId="00BFBEB6">
      <w:pPr>
        <w:widowControl/>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第三条  乙方权利和义务</w:t>
      </w:r>
    </w:p>
    <w:p w14:paraId="00BFBEB7">
      <w:pPr>
        <w:widowControl/>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（一）乙方权利：</w:t>
      </w:r>
    </w:p>
    <w:p w14:paraId="00BFBEB8">
      <w:pPr>
        <w:widowControl/>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1.乙方有权对派出人员进行管理，监督派出人员按甲方项目、规章制度及法律法规的要求完成工作；</w:t>
      </w:r>
    </w:p>
    <w:p w14:paraId="00BFBEB9">
      <w:pPr>
        <w:widowControl/>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2.乙方有权要求甲方按时足额支付</w:t>
      </w:r>
      <w:r>
        <w:rPr>
          <w:rFonts w:hint="eastAsia" w:ascii="仿宋" w:hAnsi="仿宋" w:eastAsia="仿宋" w:cs="仿宋"/>
          <w:color w:val="000000"/>
          <w:sz w:val="24"/>
          <w:szCs w:val="24"/>
          <w:highlight w:val="none"/>
        </w:rPr>
        <w:t>相关审计</w:t>
      </w:r>
      <w:r>
        <w:rPr>
          <w:rFonts w:hint="eastAsia" w:ascii="仿宋" w:hAnsi="仿宋" w:eastAsia="仿宋" w:cs="仿宋"/>
          <w:color w:val="000000"/>
          <w:sz w:val="24"/>
          <w:szCs w:val="24"/>
          <w:highlight w:val="none"/>
          <w:lang w:val="zh-CN"/>
        </w:rPr>
        <w:t>服务费用。</w:t>
      </w:r>
    </w:p>
    <w:p w14:paraId="00BFBEBA">
      <w:pPr>
        <w:widowControl/>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（二）乙方义务：</w:t>
      </w:r>
    </w:p>
    <w:p w14:paraId="00BFBEBB">
      <w:pPr>
        <w:widowControl/>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1.乙方根据响应文件派出人员后，必须确保派出人员能够将参与的</w:t>
      </w:r>
      <w:r>
        <w:rPr>
          <w:rFonts w:hint="eastAsia" w:ascii="仿宋" w:hAnsi="仿宋" w:eastAsia="仿宋" w:cs="仿宋"/>
          <w:color w:val="000000"/>
          <w:sz w:val="24"/>
          <w:szCs w:val="24"/>
          <w:highlight w:val="none"/>
        </w:rPr>
        <w:t>相关</w:t>
      </w:r>
      <w:r>
        <w:rPr>
          <w:rFonts w:hint="eastAsia" w:ascii="仿宋" w:hAnsi="仿宋" w:eastAsia="仿宋" w:cs="仿宋"/>
          <w:color w:val="000000"/>
          <w:sz w:val="24"/>
          <w:szCs w:val="24"/>
          <w:highlight w:val="none"/>
          <w:lang w:val="zh-CN"/>
        </w:rPr>
        <w:t>项目实施完毕，不得更改派出人员。甲方按本合同要求调换、退回派出人员的，乙方应按要求及时更换符合条件的人员到甲方完成</w:t>
      </w:r>
      <w:r>
        <w:rPr>
          <w:rFonts w:hint="eastAsia" w:ascii="仿宋" w:hAnsi="仿宋" w:eastAsia="仿宋" w:cs="仿宋"/>
          <w:color w:val="000000"/>
          <w:sz w:val="24"/>
          <w:szCs w:val="24"/>
          <w:highlight w:val="none"/>
        </w:rPr>
        <w:t>相关</w:t>
      </w:r>
      <w:r>
        <w:rPr>
          <w:rFonts w:hint="eastAsia" w:ascii="仿宋" w:hAnsi="仿宋" w:eastAsia="仿宋" w:cs="仿宋"/>
          <w:color w:val="000000"/>
          <w:sz w:val="24"/>
          <w:szCs w:val="24"/>
          <w:highlight w:val="none"/>
          <w:lang w:val="zh-CN"/>
        </w:rPr>
        <w:t>服务；</w:t>
      </w:r>
    </w:p>
    <w:p w14:paraId="00BFBEBC">
      <w:pPr>
        <w:widowControl/>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2.乙方及派出人员参与</w:t>
      </w:r>
      <w:r>
        <w:rPr>
          <w:rFonts w:hint="eastAsia" w:ascii="仿宋" w:hAnsi="仿宋" w:eastAsia="仿宋" w:cs="仿宋"/>
          <w:color w:val="000000"/>
          <w:sz w:val="24"/>
          <w:szCs w:val="24"/>
          <w:highlight w:val="none"/>
        </w:rPr>
        <w:t>相关</w:t>
      </w:r>
      <w:r>
        <w:rPr>
          <w:rFonts w:hint="eastAsia" w:ascii="仿宋" w:hAnsi="仿宋" w:eastAsia="仿宋" w:cs="仿宋"/>
          <w:color w:val="000000"/>
          <w:sz w:val="24"/>
          <w:szCs w:val="24"/>
          <w:highlight w:val="none"/>
          <w:lang w:val="zh-CN"/>
        </w:rPr>
        <w:t>工作，必须遵守</w:t>
      </w:r>
      <w:r>
        <w:rPr>
          <w:rFonts w:hint="eastAsia" w:ascii="仿宋" w:hAnsi="仿宋" w:eastAsia="仿宋" w:cs="仿宋"/>
          <w:color w:val="000000"/>
          <w:sz w:val="24"/>
          <w:szCs w:val="24"/>
          <w:highlight w:val="none"/>
        </w:rPr>
        <w:t>甲方制定印发的相关制度、办法、规程要求</w:t>
      </w:r>
      <w:r>
        <w:rPr>
          <w:rFonts w:hint="eastAsia" w:ascii="仿宋" w:hAnsi="仿宋" w:eastAsia="仿宋" w:cs="仿宋"/>
          <w:color w:val="000000"/>
          <w:sz w:val="24"/>
          <w:szCs w:val="24"/>
          <w:highlight w:val="none"/>
          <w:lang w:val="zh-CN"/>
        </w:rPr>
        <w:t>及廉政纪律、考核办法；</w:t>
      </w:r>
    </w:p>
    <w:p w14:paraId="00BFBEBD">
      <w:pPr>
        <w:widowControl/>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zh-CN"/>
        </w:rPr>
        <w:t>.乙方及派出人员在甲方明确其参与</w:t>
      </w:r>
      <w:r>
        <w:rPr>
          <w:rFonts w:hint="eastAsia" w:ascii="仿宋" w:hAnsi="仿宋" w:eastAsia="仿宋" w:cs="仿宋"/>
          <w:color w:val="000000"/>
          <w:sz w:val="24"/>
          <w:szCs w:val="24"/>
          <w:highlight w:val="none"/>
        </w:rPr>
        <w:t>相关</w:t>
      </w:r>
      <w:r>
        <w:rPr>
          <w:rFonts w:hint="eastAsia" w:ascii="仿宋" w:hAnsi="仿宋" w:eastAsia="仿宋" w:cs="仿宋"/>
          <w:color w:val="000000"/>
          <w:sz w:val="24"/>
          <w:szCs w:val="24"/>
          <w:highlight w:val="none"/>
          <w:lang w:val="zh-CN"/>
        </w:rPr>
        <w:t>工作和任务后，乙方派出人员如与</w:t>
      </w:r>
      <w:r>
        <w:rPr>
          <w:rFonts w:hint="eastAsia" w:ascii="仿宋" w:hAnsi="仿宋" w:eastAsia="仿宋" w:cs="仿宋"/>
          <w:color w:val="000000"/>
          <w:sz w:val="24"/>
          <w:szCs w:val="24"/>
          <w:highlight w:val="none"/>
        </w:rPr>
        <w:t>相关审计工作</w:t>
      </w:r>
      <w:r>
        <w:rPr>
          <w:rFonts w:hint="eastAsia" w:ascii="仿宋" w:hAnsi="仿宋" w:eastAsia="仿宋" w:cs="仿宋"/>
          <w:color w:val="000000"/>
          <w:sz w:val="24"/>
          <w:szCs w:val="24"/>
          <w:highlight w:val="none"/>
          <w:lang w:val="zh-CN"/>
        </w:rPr>
        <w:t>对象有利害关系，应主动向甲方反映并申请回避；</w:t>
      </w:r>
    </w:p>
    <w:p w14:paraId="00BFBEBE">
      <w:pPr>
        <w:widowControl/>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rPr>
        <w:t>4</w:t>
      </w:r>
      <w:r>
        <w:rPr>
          <w:rFonts w:hint="eastAsia" w:ascii="仿宋" w:hAnsi="仿宋" w:eastAsia="仿宋" w:cs="仿宋"/>
          <w:color w:val="000000"/>
          <w:sz w:val="24"/>
          <w:szCs w:val="24"/>
          <w:highlight w:val="none"/>
          <w:lang w:val="zh-CN"/>
        </w:rPr>
        <w:t>.乙方及乙方派出人员应当按照规定的时间</w:t>
      </w:r>
      <w:r>
        <w:rPr>
          <w:rFonts w:hint="eastAsia" w:ascii="仿宋" w:hAnsi="仿宋" w:eastAsia="仿宋" w:cs="仿宋"/>
          <w:color w:val="000000"/>
          <w:sz w:val="24"/>
          <w:szCs w:val="24"/>
          <w:highlight w:val="none"/>
        </w:rPr>
        <w:t>和程序</w:t>
      </w:r>
      <w:r>
        <w:rPr>
          <w:rFonts w:hint="eastAsia" w:ascii="仿宋" w:hAnsi="仿宋" w:eastAsia="仿宋" w:cs="仿宋"/>
          <w:color w:val="000000"/>
          <w:sz w:val="24"/>
          <w:szCs w:val="24"/>
          <w:highlight w:val="none"/>
          <w:lang w:val="zh-CN"/>
        </w:rPr>
        <w:t>完成</w:t>
      </w:r>
      <w:r>
        <w:rPr>
          <w:rFonts w:hint="eastAsia" w:ascii="仿宋" w:hAnsi="仿宋" w:eastAsia="仿宋" w:cs="仿宋"/>
          <w:color w:val="000000"/>
          <w:sz w:val="24"/>
          <w:szCs w:val="24"/>
          <w:highlight w:val="none"/>
        </w:rPr>
        <w:t>相关</w:t>
      </w:r>
      <w:r>
        <w:rPr>
          <w:rFonts w:hint="eastAsia" w:ascii="仿宋" w:hAnsi="仿宋" w:eastAsia="仿宋" w:cs="仿宋"/>
          <w:color w:val="000000"/>
          <w:sz w:val="24"/>
          <w:szCs w:val="24"/>
          <w:highlight w:val="none"/>
          <w:lang w:val="zh-CN"/>
        </w:rPr>
        <w:t>任务，</w:t>
      </w:r>
      <w:r>
        <w:rPr>
          <w:rFonts w:hint="eastAsia" w:ascii="仿宋" w:hAnsi="仿宋" w:eastAsia="仿宋" w:cs="仿宋"/>
          <w:color w:val="000000"/>
          <w:sz w:val="24"/>
          <w:szCs w:val="24"/>
          <w:highlight w:val="none"/>
        </w:rPr>
        <w:t>形成相应</w:t>
      </w:r>
      <w:r>
        <w:rPr>
          <w:rFonts w:hint="eastAsia" w:ascii="仿宋" w:hAnsi="仿宋" w:eastAsia="仿宋" w:cs="仿宋"/>
          <w:color w:val="000000"/>
          <w:sz w:val="24"/>
          <w:szCs w:val="24"/>
          <w:highlight w:val="none"/>
          <w:lang w:val="zh-CN"/>
        </w:rPr>
        <w:t>工作底稿</w:t>
      </w:r>
      <w:r>
        <w:rPr>
          <w:rFonts w:hint="eastAsia" w:ascii="仿宋" w:hAnsi="仿宋" w:eastAsia="仿宋" w:cs="仿宋"/>
          <w:color w:val="000000"/>
          <w:sz w:val="24"/>
          <w:szCs w:val="24"/>
          <w:highlight w:val="none"/>
        </w:rPr>
        <w:t>并提交工作成果，妥善保管</w:t>
      </w:r>
      <w:r>
        <w:rPr>
          <w:rFonts w:hint="eastAsia" w:ascii="仿宋" w:hAnsi="仿宋" w:eastAsia="仿宋" w:cs="仿宋"/>
          <w:color w:val="000000"/>
          <w:sz w:val="24"/>
          <w:szCs w:val="24"/>
          <w:highlight w:val="none"/>
          <w:lang w:val="zh-CN"/>
        </w:rPr>
        <w:t>实施过程中所形成的全部纸质资料和电子资料；</w:t>
      </w:r>
    </w:p>
    <w:p w14:paraId="00BFBEBF">
      <w:pPr>
        <w:widowControl/>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rPr>
        <w:t>5</w:t>
      </w:r>
      <w:r>
        <w:rPr>
          <w:rFonts w:hint="eastAsia" w:ascii="仿宋" w:hAnsi="仿宋" w:eastAsia="仿宋" w:cs="仿宋"/>
          <w:color w:val="000000"/>
          <w:sz w:val="24"/>
          <w:szCs w:val="24"/>
          <w:highlight w:val="none"/>
          <w:lang w:val="zh-CN"/>
        </w:rPr>
        <w:t>.乙方及其派出人员必须遵守保密协议和保密承诺书要求,履行保密义务；</w:t>
      </w:r>
    </w:p>
    <w:p w14:paraId="00BFBEC0">
      <w:pPr>
        <w:widowControl/>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rPr>
        <w:t>6.乙方发生违法违规行为造成被检查单位或其他相关单位合法权益受到损害的，需承担相应赔偿责任。</w:t>
      </w:r>
      <w:r>
        <w:rPr>
          <w:rFonts w:hint="eastAsia" w:ascii="仿宋" w:hAnsi="仿宋" w:eastAsia="仿宋" w:cs="仿宋"/>
          <w:color w:val="000000"/>
          <w:sz w:val="24"/>
          <w:szCs w:val="24"/>
          <w:highlight w:val="none"/>
          <w:lang w:val="zh-CN"/>
        </w:rPr>
        <w:t xml:space="preserve"> </w:t>
      </w:r>
    </w:p>
    <w:p w14:paraId="00BFBEC1">
      <w:pPr>
        <w:widowControl/>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第四条  服务时间</w:t>
      </w:r>
    </w:p>
    <w:p w14:paraId="00BFBEC2">
      <w:pPr>
        <w:widowControl/>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甲方有权根据</w:t>
      </w:r>
      <w:r>
        <w:rPr>
          <w:rFonts w:hint="eastAsia" w:ascii="仿宋" w:hAnsi="仿宋" w:eastAsia="仿宋" w:cs="仿宋"/>
          <w:color w:val="000000"/>
          <w:sz w:val="24"/>
          <w:szCs w:val="24"/>
          <w:highlight w:val="none"/>
        </w:rPr>
        <w:t>相关</w:t>
      </w:r>
      <w:r>
        <w:rPr>
          <w:rFonts w:hint="eastAsia" w:ascii="仿宋" w:hAnsi="仿宋" w:eastAsia="仿宋" w:cs="仿宋"/>
          <w:color w:val="000000"/>
          <w:sz w:val="24"/>
          <w:szCs w:val="24"/>
          <w:highlight w:val="none"/>
          <w:lang w:val="zh-CN"/>
        </w:rPr>
        <w:t>工作需要对服务时间进行调整。</w:t>
      </w:r>
    </w:p>
    <w:p w14:paraId="00BFBEC3">
      <w:pPr>
        <w:widowControl/>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第五条  工作服务费用及支付方式</w:t>
      </w:r>
    </w:p>
    <w:p w14:paraId="00BFBEC4">
      <w:pPr>
        <w:widowControl/>
        <w:spacing w:line="288" w:lineRule="auto"/>
        <w:ind w:firstLine="482"/>
        <w:rPr>
          <w:rFonts w:hint="eastAsia" w:ascii="仿宋" w:hAnsi="仿宋" w:eastAsia="仿宋" w:cs="仿宋"/>
          <w:b/>
          <w:bCs/>
          <w:color w:val="000000"/>
          <w:sz w:val="24"/>
          <w:szCs w:val="24"/>
          <w:highlight w:val="none"/>
          <w:lang w:val="zh-CN"/>
        </w:rPr>
      </w:pPr>
      <w:r>
        <w:rPr>
          <w:rFonts w:hint="eastAsia" w:ascii="仿宋" w:hAnsi="仿宋" w:eastAsia="仿宋" w:cs="仿宋"/>
          <w:b/>
          <w:bCs/>
          <w:color w:val="000000"/>
          <w:sz w:val="24"/>
          <w:szCs w:val="24"/>
          <w:highlight w:val="none"/>
          <w:lang w:val="zh-CN"/>
        </w:rPr>
        <w:t>本合同金额：</w:t>
      </w:r>
      <w:r>
        <w:rPr>
          <w:rFonts w:hint="eastAsia" w:ascii="仿宋" w:hAnsi="仿宋" w:eastAsia="仿宋" w:cs="仿宋"/>
          <w:b/>
          <w:bCs/>
          <w:color w:val="000000"/>
          <w:sz w:val="24"/>
          <w:szCs w:val="24"/>
          <w:highlight w:val="none"/>
          <w:u w:val="single"/>
          <w:lang w:val="zh-CN"/>
        </w:rPr>
        <w:t xml:space="preserve">                 </w:t>
      </w:r>
      <w:r>
        <w:rPr>
          <w:rFonts w:hint="eastAsia" w:ascii="仿宋" w:hAnsi="仿宋" w:eastAsia="仿宋" w:cs="仿宋"/>
          <w:b/>
          <w:bCs/>
          <w:color w:val="000000"/>
          <w:sz w:val="24"/>
          <w:szCs w:val="24"/>
          <w:highlight w:val="none"/>
          <w:lang w:val="zh-CN"/>
        </w:rPr>
        <w:t>。</w:t>
      </w:r>
    </w:p>
    <w:p w14:paraId="00BFBEC5">
      <w:pPr>
        <w:widowControl/>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除此之外甲方不再承担其他任何费用和补助。</w:t>
      </w:r>
    </w:p>
    <w:p w14:paraId="00BFBEC6">
      <w:pPr>
        <w:widowControl/>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第</w:t>
      </w:r>
      <w:r>
        <w:rPr>
          <w:rFonts w:hint="eastAsia" w:ascii="仿宋" w:hAnsi="仿宋" w:eastAsia="仿宋" w:cs="仿宋"/>
          <w:color w:val="000000"/>
          <w:sz w:val="24"/>
          <w:szCs w:val="24"/>
          <w:highlight w:val="none"/>
        </w:rPr>
        <w:t>七</w:t>
      </w:r>
      <w:r>
        <w:rPr>
          <w:rFonts w:hint="eastAsia" w:ascii="仿宋" w:hAnsi="仿宋" w:eastAsia="仿宋" w:cs="仿宋"/>
          <w:color w:val="000000"/>
          <w:sz w:val="24"/>
          <w:szCs w:val="24"/>
          <w:highlight w:val="none"/>
          <w:lang w:val="zh-CN"/>
        </w:rPr>
        <w:t>条  乙方或乙方派出人员有下列情形之一的，甲方可以解除本合同：</w:t>
      </w:r>
    </w:p>
    <w:p w14:paraId="00BFBEC7">
      <w:pPr>
        <w:widowControl/>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（一）隐瞒</w:t>
      </w:r>
      <w:r>
        <w:rPr>
          <w:rFonts w:hint="eastAsia" w:ascii="仿宋" w:hAnsi="仿宋" w:eastAsia="仿宋" w:cs="仿宋"/>
          <w:color w:val="000000"/>
          <w:sz w:val="24"/>
          <w:szCs w:val="24"/>
          <w:highlight w:val="none"/>
        </w:rPr>
        <w:t>相关工作中</w:t>
      </w:r>
      <w:r>
        <w:rPr>
          <w:rFonts w:hint="eastAsia" w:ascii="仿宋" w:hAnsi="仿宋" w:eastAsia="仿宋" w:cs="仿宋"/>
          <w:color w:val="000000"/>
          <w:sz w:val="24"/>
          <w:szCs w:val="24"/>
          <w:highlight w:val="none"/>
          <w:lang w:val="zh-CN"/>
        </w:rPr>
        <w:t>发现的问题或者与</w:t>
      </w:r>
      <w:r>
        <w:rPr>
          <w:rFonts w:hint="eastAsia" w:ascii="仿宋" w:hAnsi="仿宋" w:eastAsia="仿宋" w:cs="仿宋"/>
          <w:color w:val="000000"/>
          <w:sz w:val="24"/>
          <w:szCs w:val="24"/>
          <w:highlight w:val="none"/>
        </w:rPr>
        <w:t>工作</w:t>
      </w:r>
      <w:r>
        <w:rPr>
          <w:rFonts w:hint="eastAsia" w:ascii="仿宋" w:hAnsi="仿宋" w:eastAsia="仿宋" w:cs="仿宋"/>
          <w:color w:val="000000"/>
          <w:sz w:val="24"/>
          <w:szCs w:val="24"/>
          <w:highlight w:val="none"/>
          <w:lang w:val="zh-CN"/>
        </w:rPr>
        <w:t>对象串通舞弊，导致严重质量问题的；</w:t>
      </w:r>
    </w:p>
    <w:p w14:paraId="00BFBEC8">
      <w:pPr>
        <w:widowControl/>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（二）利用受聘工作拉业务或从</w:t>
      </w:r>
      <w:r>
        <w:rPr>
          <w:rFonts w:hint="eastAsia" w:ascii="仿宋" w:hAnsi="仿宋" w:eastAsia="仿宋" w:cs="仿宋"/>
          <w:color w:val="000000"/>
          <w:sz w:val="24"/>
          <w:szCs w:val="24"/>
          <w:highlight w:val="none"/>
        </w:rPr>
        <w:t>工作</w:t>
      </w:r>
      <w:r>
        <w:rPr>
          <w:rFonts w:hint="eastAsia" w:ascii="仿宋" w:hAnsi="仿宋" w:eastAsia="仿宋" w:cs="仿宋"/>
          <w:color w:val="000000"/>
          <w:sz w:val="24"/>
          <w:szCs w:val="24"/>
          <w:highlight w:val="none"/>
          <w:lang w:val="zh-CN"/>
        </w:rPr>
        <w:t>对象获取不正当利益的；</w:t>
      </w:r>
    </w:p>
    <w:p w14:paraId="00BFBEC9">
      <w:pPr>
        <w:widowControl/>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（三）违反保密纪律或回避规定的；</w:t>
      </w:r>
    </w:p>
    <w:p w14:paraId="00BFBECA">
      <w:pPr>
        <w:widowControl/>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（四）拒绝接受</w:t>
      </w:r>
      <w:r>
        <w:rPr>
          <w:rFonts w:hint="eastAsia" w:ascii="仿宋" w:hAnsi="仿宋" w:eastAsia="仿宋" w:cs="仿宋"/>
          <w:color w:val="000000"/>
          <w:sz w:val="24"/>
          <w:szCs w:val="24"/>
          <w:highlight w:val="none"/>
        </w:rPr>
        <w:t>甲方</w:t>
      </w:r>
      <w:r>
        <w:rPr>
          <w:rFonts w:hint="eastAsia" w:ascii="仿宋" w:hAnsi="仿宋" w:eastAsia="仿宋" w:cs="仿宋"/>
          <w:color w:val="000000"/>
          <w:sz w:val="24"/>
          <w:szCs w:val="24"/>
          <w:highlight w:val="none"/>
          <w:lang w:val="zh-CN"/>
        </w:rPr>
        <w:t>指导和监督的；</w:t>
      </w:r>
    </w:p>
    <w:p w14:paraId="00BFBECB">
      <w:pPr>
        <w:widowControl/>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（五）故意拖延，或者拒不履行本合同的。</w:t>
      </w:r>
    </w:p>
    <w:p w14:paraId="00BFBECC">
      <w:pPr>
        <w:pStyle w:val="121"/>
        <w:spacing w:line="288" w:lineRule="auto"/>
        <w:ind w:firstLine="48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第八条  违约责任</w:t>
      </w:r>
    </w:p>
    <w:p w14:paraId="00BFBECD">
      <w:pPr>
        <w:spacing w:line="288" w:lineRule="auto"/>
        <w:ind w:firstLine="4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（一）甲方未按本协议规定执行的，乙方有权终止评价工作。</w:t>
      </w:r>
    </w:p>
    <w:p w14:paraId="00BFBECE">
      <w:pPr>
        <w:spacing w:line="288" w:lineRule="auto"/>
        <w:ind w:firstLine="4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（二）乙方未按协议规定进行评价的，甲方可视具体情况拒付部分或全部评价费用。</w:t>
      </w:r>
    </w:p>
    <w:p w14:paraId="00BFBECF">
      <w:pPr>
        <w:widowControl/>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第</w:t>
      </w:r>
      <w:r>
        <w:rPr>
          <w:rFonts w:hint="eastAsia" w:ascii="仿宋" w:hAnsi="仿宋" w:eastAsia="仿宋" w:cs="仿宋"/>
          <w:color w:val="000000"/>
          <w:sz w:val="24"/>
          <w:szCs w:val="24"/>
          <w:highlight w:val="none"/>
        </w:rPr>
        <w:t>九</w:t>
      </w:r>
      <w:r>
        <w:rPr>
          <w:rFonts w:hint="eastAsia" w:ascii="仿宋" w:hAnsi="仿宋" w:eastAsia="仿宋" w:cs="仿宋"/>
          <w:color w:val="000000"/>
          <w:sz w:val="24"/>
          <w:szCs w:val="24"/>
          <w:highlight w:val="none"/>
          <w:lang w:val="zh-CN"/>
        </w:rPr>
        <w:t>条  组成本合同的有关文件</w:t>
      </w:r>
    </w:p>
    <w:p w14:paraId="00BFBED0">
      <w:pPr>
        <w:widowControl/>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下列甲方采购文件、乙方响应文件，或与本次采购活动方式相适应的文件，以及有关附件是本合同不可分割的组成部分，与本合同具有同等法律效力，这些文件包括但不限于：</w:t>
      </w:r>
    </w:p>
    <w:p w14:paraId="00BFBED1">
      <w:pPr>
        <w:widowControl/>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w:t>
      </w:r>
      <w:r>
        <w:rPr>
          <w:rFonts w:hint="eastAsia" w:ascii="仿宋" w:hAnsi="仿宋" w:eastAsia="仿宋" w:cs="仿宋"/>
          <w:color w:val="000000"/>
          <w:sz w:val="24"/>
          <w:szCs w:val="24"/>
          <w:highlight w:val="none"/>
        </w:rPr>
        <w:t>一</w:t>
      </w:r>
      <w:r>
        <w:rPr>
          <w:rFonts w:hint="eastAsia" w:ascii="仿宋" w:hAnsi="仿宋" w:eastAsia="仿宋" w:cs="仿宋"/>
          <w:color w:val="000000"/>
          <w:sz w:val="24"/>
          <w:szCs w:val="24"/>
          <w:highlight w:val="none"/>
          <w:lang w:val="zh-CN"/>
        </w:rPr>
        <w:t>）封闭式框架协议采购征集文件；</w:t>
      </w:r>
    </w:p>
    <w:p w14:paraId="00BFBED2">
      <w:pPr>
        <w:widowControl/>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w:t>
      </w: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lang w:val="zh-CN"/>
        </w:rPr>
        <w:t>）乙方的响应文件；</w:t>
      </w:r>
    </w:p>
    <w:p w14:paraId="00BFBED3">
      <w:pPr>
        <w:widowControl/>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w:t>
      </w:r>
      <w:r>
        <w:rPr>
          <w:rFonts w:hint="eastAsia" w:ascii="仿宋" w:hAnsi="仿宋" w:eastAsia="仿宋" w:cs="仿宋"/>
          <w:color w:val="000000"/>
          <w:sz w:val="24"/>
          <w:szCs w:val="24"/>
          <w:highlight w:val="none"/>
        </w:rPr>
        <w:t>三</w:t>
      </w:r>
      <w:r>
        <w:rPr>
          <w:rFonts w:hint="eastAsia" w:ascii="仿宋" w:hAnsi="仿宋" w:eastAsia="仿宋" w:cs="仿宋"/>
          <w:color w:val="000000"/>
          <w:sz w:val="24"/>
          <w:szCs w:val="24"/>
          <w:highlight w:val="none"/>
          <w:lang w:val="zh-CN"/>
        </w:rPr>
        <w:t>）乙方的服务承诺；</w:t>
      </w:r>
    </w:p>
    <w:p w14:paraId="00BFBED4">
      <w:pPr>
        <w:widowControl/>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w:t>
      </w:r>
      <w:r>
        <w:rPr>
          <w:rFonts w:hint="eastAsia" w:ascii="仿宋" w:hAnsi="仿宋" w:eastAsia="仿宋" w:cs="仿宋"/>
          <w:color w:val="000000"/>
          <w:sz w:val="24"/>
          <w:szCs w:val="24"/>
          <w:highlight w:val="none"/>
        </w:rPr>
        <w:t>四</w:t>
      </w:r>
      <w:r>
        <w:rPr>
          <w:rFonts w:hint="eastAsia" w:ascii="仿宋" w:hAnsi="仿宋" w:eastAsia="仿宋" w:cs="仿宋"/>
          <w:color w:val="000000"/>
          <w:sz w:val="24"/>
          <w:szCs w:val="24"/>
          <w:highlight w:val="none"/>
          <w:lang w:val="zh-CN"/>
        </w:rPr>
        <w:t>）中标通知书；</w:t>
      </w:r>
    </w:p>
    <w:p w14:paraId="00BFBED5">
      <w:pPr>
        <w:widowControl/>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w:t>
      </w:r>
      <w:r>
        <w:rPr>
          <w:rFonts w:hint="eastAsia" w:ascii="仿宋" w:hAnsi="仿宋" w:eastAsia="仿宋" w:cs="仿宋"/>
          <w:color w:val="000000"/>
          <w:sz w:val="24"/>
          <w:szCs w:val="24"/>
          <w:highlight w:val="none"/>
        </w:rPr>
        <w:t>五</w:t>
      </w:r>
      <w:r>
        <w:rPr>
          <w:rFonts w:hint="eastAsia" w:ascii="仿宋" w:hAnsi="仿宋" w:eastAsia="仿宋" w:cs="仿宋"/>
          <w:color w:val="000000"/>
          <w:sz w:val="24"/>
          <w:szCs w:val="24"/>
          <w:highlight w:val="none"/>
          <w:lang w:val="zh-CN"/>
        </w:rPr>
        <w:t>）甲乙双方商定的其他文件等。</w:t>
      </w:r>
    </w:p>
    <w:p w14:paraId="00BFBED6">
      <w:pPr>
        <w:widowControl/>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第</w:t>
      </w:r>
      <w:r>
        <w:rPr>
          <w:rFonts w:hint="eastAsia" w:ascii="仿宋" w:hAnsi="仿宋" w:eastAsia="仿宋" w:cs="仿宋"/>
          <w:color w:val="000000"/>
          <w:sz w:val="24"/>
          <w:szCs w:val="24"/>
          <w:highlight w:val="none"/>
        </w:rPr>
        <w:t>十</w:t>
      </w:r>
      <w:r>
        <w:rPr>
          <w:rFonts w:hint="eastAsia" w:ascii="仿宋" w:hAnsi="仿宋" w:eastAsia="仿宋" w:cs="仿宋"/>
          <w:color w:val="000000"/>
          <w:sz w:val="24"/>
          <w:szCs w:val="24"/>
          <w:highlight w:val="none"/>
          <w:lang w:val="zh-CN"/>
        </w:rPr>
        <w:t>条  如有未尽事宜，参照《民法典》《政府采购法》有关条文，甲乙双方经协商后可签订书面补充协议，补充协议与本协议具有同等法律效力。</w:t>
      </w:r>
    </w:p>
    <w:p w14:paraId="00BFBED7">
      <w:pPr>
        <w:widowControl/>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第十</w:t>
      </w:r>
      <w:r>
        <w:rPr>
          <w:rFonts w:hint="eastAsia" w:ascii="仿宋" w:hAnsi="仿宋" w:eastAsia="仿宋" w:cs="仿宋"/>
          <w:color w:val="000000"/>
          <w:sz w:val="24"/>
          <w:szCs w:val="24"/>
          <w:highlight w:val="none"/>
        </w:rPr>
        <w:t>一</w:t>
      </w:r>
      <w:r>
        <w:rPr>
          <w:rFonts w:hint="eastAsia" w:ascii="仿宋" w:hAnsi="仿宋" w:eastAsia="仿宋" w:cs="仿宋"/>
          <w:color w:val="000000"/>
          <w:sz w:val="24"/>
          <w:szCs w:val="24"/>
          <w:highlight w:val="none"/>
          <w:lang w:val="zh-CN"/>
        </w:rPr>
        <w:t>条  双方在执行合同中所发生的一切争议，应通过协商解决。如协商不成，可向甲方实际所在地法院起诉。</w:t>
      </w:r>
    </w:p>
    <w:p w14:paraId="00BFBED8">
      <w:pPr>
        <w:widowControl/>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第十</w:t>
      </w: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lang w:val="zh-CN"/>
        </w:rPr>
        <w:t>条  本合同正本一式</w:t>
      </w:r>
      <w:r>
        <w:rPr>
          <w:rFonts w:hint="eastAsia" w:ascii="仿宋" w:hAnsi="仿宋" w:eastAsia="仿宋" w:cs="仿宋"/>
          <w:color w:val="000000"/>
          <w:sz w:val="24"/>
          <w:szCs w:val="24"/>
          <w:highlight w:val="none"/>
        </w:rPr>
        <w:t>四</w:t>
      </w:r>
      <w:r>
        <w:rPr>
          <w:rFonts w:hint="eastAsia" w:ascii="仿宋" w:hAnsi="仿宋" w:eastAsia="仿宋" w:cs="仿宋"/>
          <w:color w:val="000000"/>
          <w:sz w:val="24"/>
          <w:szCs w:val="24"/>
          <w:highlight w:val="none"/>
          <w:lang w:val="zh-CN"/>
        </w:rPr>
        <w:t>份，具有同等法律效力，甲方</w:t>
      </w:r>
      <w:r>
        <w:rPr>
          <w:rFonts w:hint="eastAsia" w:ascii="仿宋" w:hAnsi="仿宋" w:eastAsia="仿宋" w:cs="仿宋"/>
          <w:color w:val="000000"/>
          <w:sz w:val="24"/>
          <w:szCs w:val="24"/>
          <w:highlight w:val="none"/>
        </w:rPr>
        <w:t>执三份</w:t>
      </w:r>
      <w:r>
        <w:rPr>
          <w:rFonts w:hint="eastAsia" w:ascii="仿宋" w:hAnsi="仿宋" w:eastAsia="仿宋" w:cs="仿宋"/>
          <w:color w:val="000000"/>
          <w:sz w:val="24"/>
          <w:szCs w:val="24"/>
          <w:highlight w:val="none"/>
          <w:lang w:val="zh-CN"/>
        </w:rPr>
        <w:t>、乙方执一份。</w:t>
      </w:r>
    </w:p>
    <w:p w14:paraId="00BFBED9">
      <w:pPr>
        <w:widowControl/>
        <w:spacing w:line="288" w:lineRule="auto"/>
        <w:ind w:firstLine="560"/>
        <w:jc w:val="left"/>
        <w:rPr>
          <w:rFonts w:hint="eastAsia" w:ascii="仿宋" w:hAnsi="仿宋" w:eastAsia="仿宋" w:cs="仿宋"/>
          <w:color w:val="000000"/>
          <w:sz w:val="24"/>
          <w:szCs w:val="24"/>
          <w:highlight w:val="none"/>
          <w:lang w:val="zh-CN"/>
        </w:rPr>
      </w:pPr>
    </w:p>
    <w:p w14:paraId="00BFBEDA">
      <w:pPr>
        <w:widowControl/>
        <w:spacing w:line="288" w:lineRule="auto"/>
        <w:ind w:firstLine="560"/>
        <w:jc w:val="left"/>
        <w:rPr>
          <w:rFonts w:hint="eastAsia" w:ascii="仿宋" w:hAnsi="仿宋" w:eastAsia="仿宋" w:cs="仿宋"/>
          <w:color w:val="000000"/>
          <w:sz w:val="24"/>
          <w:szCs w:val="24"/>
          <w:highlight w:val="none"/>
          <w:lang w:val="zh-CN"/>
        </w:rPr>
      </w:pPr>
    </w:p>
    <w:p w14:paraId="00BFBEDB">
      <w:pPr>
        <w:widowControl/>
        <w:spacing w:line="288" w:lineRule="auto"/>
        <w:ind w:firstLine="560"/>
        <w:jc w:val="left"/>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甲方（盖章）                            乙方（盖章）</w:t>
      </w:r>
    </w:p>
    <w:p w14:paraId="00BFBEDC">
      <w:pPr>
        <w:widowControl/>
        <w:spacing w:line="288" w:lineRule="auto"/>
        <w:ind w:firstLine="560"/>
        <w:jc w:val="left"/>
        <w:rPr>
          <w:rFonts w:hint="eastAsia" w:ascii="仿宋" w:hAnsi="仿宋" w:eastAsia="仿宋" w:cs="仿宋"/>
          <w:color w:val="000000"/>
          <w:sz w:val="24"/>
          <w:szCs w:val="24"/>
          <w:highlight w:val="none"/>
          <w:lang w:val="zh-CN"/>
        </w:rPr>
      </w:pPr>
    </w:p>
    <w:p w14:paraId="00BFBEDD">
      <w:pPr>
        <w:widowControl/>
        <w:spacing w:line="288" w:lineRule="auto"/>
        <w:ind w:firstLine="560"/>
        <w:jc w:val="left"/>
        <w:rPr>
          <w:rFonts w:hint="eastAsia" w:ascii="仿宋" w:hAnsi="仿宋" w:eastAsia="仿宋" w:cs="仿宋"/>
          <w:color w:val="000000"/>
          <w:sz w:val="24"/>
          <w:szCs w:val="24"/>
          <w:highlight w:val="none"/>
          <w:lang w:val="zh-CN"/>
        </w:rPr>
      </w:pPr>
    </w:p>
    <w:p w14:paraId="00BFBEDE">
      <w:pPr>
        <w:widowControl/>
        <w:spacing w:line="288" w:lineRule="auto"/>
        <w:ind w:firstLine="560"/>
        <w:jc w:val="left"/>
        <w:rPr>
          <w:rFonts w:hint="eastAsia" w:ascii="仿宋" w:hAnsi="仿宋" w:eastAsia="仿宋" w:cs="仿宋"/>
          <w:color w:val="000000"/>
          <w:sz w:val="24"/>
          <w:szCs w:val="24"/>
          <w:highlight w:val="none"/>
          <w:lang w:val="zh-CN"/>
        </w:rPr>
      </w:pPr>
    </w:p>
    <w:p w14:paraId="00BFBEDF">
      <w:pPr>
        <w:widowControl/>
        <w:spacing w:line="288" w:lineRule="auto"/>
        <w:ind w:firstLine="560"/>
        <w:jc w:val="left"/>
        <w:rPr>
          <w:rFonts w:hint="eastAsia" w:ascii="仿宋" w:hAnsi="仿宋" w:eastAsia="仿宋" w:cs="仿宋"/>
          <w:color w:val="000000"/>
          <w:sz w:val="24"/>
          <w:szCs w:val="24"/>
          <w:highlight w:val="none"/>
          <w:lang w:val="zh-CN"/>
        </w:rPr>
      </w:pPr>
    </w:p>
    <w:p w14:paraId="00BFBEE0">
      <w:pPr>
        <w:widowControl/>
        <w:spacing w:line="288" w:lineRule="auto"/>
        <w:ind w:firstLine="560"/>
        <w:jc w:val="left"/>
        <w:rPr>
          <w:rFonts w:hint="eastAsia" w:ascii="仿宋" w:hAnsi="仿宋" w:eastAsia="仿宋" w:cs="仿宋"/>
          <w:highlight w:val="none"/>
        </w:rPr>
      </w:pPr>
      <w:r>
        <w:rPr>
          <w:rFonts w:hint="eastAsia" w:ascii="仿宋" w:hAnsi="仿宋" w:eastAsia="仿宋" w:cs="仿宋"/>
          <w:color w:val="000000"/>
          <w:sz w:val="24"/>
          <w:szCs w:val="24"/>
          <w:highlight w:val="none"/>
          <w:lang w:val="zh-CN"/>
        </w:rPr>
        <w:t>法定代表人：                            法定代表人：</w:t>
      </w:r>
    </w:p>
    <w:p w14:paraId="00BFBEE1">
      <w:pPr>
        <w:widowControl/>
        <w:spacing w:line="288" w:lineRule="auto"/>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zh-CN"/>
        </w:rPr>
        <w:t>或</w:t>
      </w:r>
      <w:r>
        <w:rPr>
          <w:rFonts w:hint="eastAsia" w:ascii="仿宋" w:hAnsi="仿宋" w:eastAsia="仿宋" w:cs="仿宋"/>
          <w:color w:val="000000"/>
          <w:sz w:val="24"/>
          <w:szCs w:val="24"/>
          <w:highlight w:val="none"/>
        </w:rPr>
        <w:t>）                                 （</w:t>
      </w:r>
      <w:r>
        <w:rPr>
          <w:rFonts w:hint="eastAsia" w:ascii="仿宋" w:hAnsi="仿宋" w:eastAsia="仿宋" w:cs="仿宋"/>
          <w:color w:val="000000"/>
          <w:sz w:val="24"/>
          <w:szCs w:val="24"/>
          <w:highlight w:val="none"/>
          <w:lang w:val="zh-CN"/>
        </w:rPr>
        <w:t>或</w:t>
      </w:r>
      <w:r>
        <w:rPr>
          <w:rFonts w:hint="eastAsia" w:ascii="仿宋" w:hAnsi="仿宋" w:eastAsia="仿宋" w:cs="仿宋"/>
          <w:color w:val="000000"/>
          <w:sz w:val="24"/>
          <w:szCs w:val="24"/>
          <w:highlight w:val="none"/>
        </w:rPr>
        <w:t xml:space="preserve">） </w:t>
      </w:r>
    </w:p>
    <w:p w14:paraId="00BFBEE2">
      <w:pPr>
        <w:widowControl/>
        <w:spacing w:line="288" w:lineRule="auto"/>
        <w:ind w:firstLine="560"/>
        <w:jc w:val="left"/>
        <w:rPr>
          <w:rFonts w:hint="eastAsia" w:ascii="仿宋" w:hAnsi="仿宋" w:eastAsia="仿宋" w:cs="仿宋"/>
          <w:color w:val="000000"/>
          <w:highlight w:val="none"/>
        </w:rPr>
      </w:pPr>
      <w:r>
        <w:rPr>
          <w:rFonts w:hint="eastAsia" w:ascii="仿宋" w:hAnsi="仿宋" w:eastAsia="仿宋" w:cs="仿宋"/>
          <w:color w:val="000000"/>
          <w:sz w:val="24"/>
          <w:szCs w:val="24"/>
          <w:highlight w:val="none"/>
          <w:lang w:val="zh-CN"/>
        </w:rPr>
        <w:t>委托代理人</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val="zh-CN"/>
        </w:rPr>
        <w:t>委托代理人</w:t>
      </w:r>
      <w:r>
        <w:rPr>
          <w:rFonts w:hint="eastAsia" w:ascii="仿宋" w:hAnsi="仿宋" w:eastAsia="仿宋" w:cs="仿宋"/>
          <w:color w:val="000000"/>
          <w:sz w:val="24"/>
          <w:szCs w:val="24"/>
          <w:highlight w:val="none"/>
        </w:rPr>
        <w:t>：</w:t>
      </w:r>
    </w:p>
    <w:p w14:paraId="00BFBEE3">
      <w:pPr>
        <w:widowControl/>
        <w:spacing w:line="288" w:lineRule="auto"/>
        <w:ind w:firstLine="560"/>
        <w:jc w:val="left"/>
        <w:rPr>
          <w:rFonts w:hint="eastAsia" w:ascii="仿宋" w:hAnsi="仿宋" w:eastAsia="仿宋" w:cs="仿宋"/>
          <w:color w:val="000000"/>
          <w:sz w:val="24"/>
          <w:szCs w:val="24"/>
          <w:highlight w:val="none"/>
        </w:rPr>
      </w:pPr>
    </w:p>
    <w:p w14:paraId="00BFBEE4">
      <w:pPr>
        <w:pStyle w:val="273"/>
        <w:spacing w:before="120" w:after="120" w:line="288"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highlight w:val="none"/>
        </w:rPr>
        <w:t xml:space="preserve">                 </w:t>
      </w:r>
      <w:r>
        <w:rPr>
          <w:rFonts w:hint="eastAsia" w:ascii="仿宋" w:hAnsi="仿宋" w:eastAsia="仿宋" w:cs="仿宋"/>
          <w:color w:val="000000"/>
          <w:sz w:val="24"/>
          <w:szCs w:val="24"/>
          <w:highlight w:val="none"/>
        </w:rPr>
        <w:t xml:space="preserve">   </w:t>
      </w:r>
    </w:p>
    <w:p w14:paraId="00BFBEE5">
      <w:pPr>
        <w:pStyle w:val="273"/>
        <w:spacing w:before="120" w:after="120" w:line="288" w:lineRule="auto"/>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eastAsia="zh-CN"/>
        </w:rPr>
        <w:t>签订日期：      年    月   日</w:t>
      </w:r>
    </w:p>
    <w:p w14:paraId="00BFBEE6">
      <w:pPr>
        <w:spacing w:line="276" w:lineRule="auto"/>
        <w:ind w:left="560"/>
        <w:jc w:val="center"/>
        <w:rPr>
          <w:rFonts w:hint="eastAsia" w:ascii="仿宋" w:hAnsi="仿宋" w:eastAsia="仿宋" w:cs="仿宋"/>
          <w:color w:val="000000"/>
          <w:sz w:val="24"/>
          <w:szCs w:val="24"/>
          <w:highlight w:val="none"/>
          <w:lang w:val="zh-CN"/>
        </w:rPr>
      </w:pPr>
    </w:p>
    <w:p w14:paraId="00BFBEE7">
      <w:pPr>
        <w:pStyle w:val="273"/>
        <w:spacing w:before="120" w:after="120" w:line="0" w:lineRule="atLeast"/>
        <w:ind w:firstLine="480"/>
        <w:rPr>
          <w:rFonts w:hint="eastAsia" w:ascii="仿宋" w:hAnsi="仿宋" w:eastAsia="仿宋" w:cs="仿宋"/>
          <w:color w:val="000000"/>
          <w:sz w:val="24"/>
          <w:szCs w:val="24"/>
          <w:highlight w:val="none"/>
          <w:lang w:eastAsia="zh-CN"/>
        </w:rPr>
      </w:pPr>
    </w:p>
    <w:p w14:paraId="00BFBEE8">
      <w:pPr>
        <w:jc w:val="center"/>
        <w:outlineLvl w:val="0"/>
        <w:rPr>
          <w:rFonts w:hint="eastAsia" w:ascii="仿宋" w:hAnsi="仿宋" w:eastAsia="仿宋" w:cs="仿宋"/>
          <w:color w:val="000000"/>
          <w:sz w:val="24"/>
          <w:szCs w:val="24"/>
          <w:highlight w:val="none"/>
        </w:rPr>
      </w:pPr>
      <w:r>
        <w:rPr>
          <w:rFonts w:hint="eastAsia" w:ascii="仿宋" w:hAnsi="仿宋" w:eastAsia="仿宋" w:cs="仿宋"/>
          <w:color w:val="000000"/>
          <w:sz w:val="44"/>
          <w:highlight w:val="none"/>
        </w:rPr>
        <w:br w:type="page" w:clear="all"/>
      </w:r>
      <w:bookmarkStart w:id="171" w:name="_Toc23665"/>
      <w:r>
        <w:rPr>
          <w:rFonts w:hint="eastAsia" w:ascii="黑体" w:hAnsi="黑体" w:eastAsia="黑体" w:cs="黑体"/>
          <w:color w:val="000000"/>
          <w:sz w:val="44"/>
          <w:szCs w:val="44"/>
          <w:highlight w:val="none"/>
        </w:rPr>
        <w:t>第</w:t>
      </w:r>
      <w:bookmarkEnd w:id="161"/>
      <w:r>
        <w:rPr>
          <w:rFonts w:hint="eastAsia" w:ascii="黑体" w:hAnsi="黑体" w:eastAsia="黑体" w:cs="黑体"/>
          <w:color w:val="000000"/>
          <w:sz w:val="44"/>
          <w:szCs w:val="44"/>
          <w:highlight w:val="none"/>
        </w:rPr>
        <w:t>四章 采购需求</w:t>
      </w:r>
      <w:bookmarkEnd w:id="162"/>
      <w:bookmarkEnd w:id="163"/>
      <w:bookmarkEnd w:id="164"/>
      <w:bookmarkEnd w:id="171"/>
    </w:p>
    <w:p w14:paraId="00BFBEE9">
      <w:pPr>
        <w:spacing w:line="288" w:lineRule="auto"/>
        <w:ind w:firstLine="480"/>
        <w:rPr>
          <w:rFonts w:hint="eastAsia" w:ascii="仿宋" w:hAnsi="仿宋" w:eastAsia="仿宋" w:cs="仿宋"/>
          <w:b/>
          <w:bCs/>
          <w:color w:val="000000"/>
          <w:sz w:val="24"/>
          <w:szCs w:val="24"/>
          <w:highlight w:val="none"/>
          <w:lang w:val="zh-CN"/>
        </w:rPr>
      </w:pPr>
      <w:bookmarkStart w:id="172" w:name="_Toc401304075"/>
      <w:bookmarkStart w:id="173" w:name="_Toc493858499"/>
      <w:bookmarkStart w:id="174" w:name="_Hlk34396698"/>
      <w:bookmarkStart w:id="175" w:name="_Toc26554093"/>
      <w:bookmarkStart w:id="176" w:name="_Toc49090575"/>
      <w:r>
        <w:rPr>
          <w:rFonts w:hint="eastAsia" w:ascii="仿宋" w:hAnsi="仿宋" w:eastAsia="仿宋" w:cs="仿宋"/>
          <w:b/>
          <w:bCs/>
          <w:color w:val="000000"/>
          <w:sz w:val="24"/>
          <w:szCs w:val="24"/>
          <w:highlight w:val="none"/>
          <w:lang w:val="zh-CN"/>
        </w:rPr>
        <w:t>一、项目</w:t>
      </w:r>
      <w:bookmarkEnd w:id="172"/>
      <w:bookmarkEnd w:id="173"/>
      <w:r>
        <w:rPr>
          <w:rFonts w:hint="eastAsia" w:ascii="仿宋" w:hAnsi="仿宋" w:eastAsia="仿宋" w:cs="仿宋"/>
          <w:b/>
          <w:bCs/>
          <w:color w:val="000000"/>
          <w:sz w:val="24"/>
          <w:szCs w:val="24"/>
          <w:highlight w:val="none"/>
          <w:lang w:val="zh-CN"/>
        </w:rPr>
        <w:t>背景</w:t>
      </w:r>
    </w:p>
    <w:bookmarkEnd w:id="174"/>
    <w:p w14:paraId="00BFBEEA">
      <w:pPr>
        <w:spacing w:line="288" w:lineRule="auto"/>
        <w:ind w:firstLine="48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zh-CN"/>
        </w:rPr>
        <w:t>2026年，为推进文化高质量发展，充分发挥周末公益性小剧场文化阵地作用，进一步丰富基层群众文化生活，按照文化活动进商圈、进景区的决策要求，拟开展周末公益性小剧场演出活动。全年活动定于每周六、周日及节假日在商圈、景区预计举办公共文化演出 180 场 (每场演出时长 0.5-1 小时)。</w:t>
      </w:r>
    </w:p>
    <w:p w14:paraId="00BFBEEB">
      <w:pPr>
        <w:numPr>
          <w:ilvl w:val="0"/>
          <w:numId w:val="5"/>
        </w:numPr>
        <w:spacing w:line="288" w:lineRule="auto"/>
        <w:ind w:left="-60" w:leftChars="0" w:firstLine="480" w:firstLineChars="0"/>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zh-CN"/>
        </w:rPr>
        <w:t>项目服务内容</w:t>
      </w:r>
    </w:p>
    <w:p w14:paraId="170F43B3">
      <w:pPr>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val="zh-CN"/>
        </w:rPr>
        <w:t>活动主题</w:t>
      </w:r>
    </w:p>
    <w:p w14:paraId="32582178">
      <w:pPr>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eastAsia="zh-CN"/>
        </w:rPr>
        <w:t>“周末艺润江宁・惠民乐享四季”以“文化惠民、服务基层、赋能发展”为核心，依托江宁区商圈、景区及文化地标，打造“家门口”的高品质文化盛宴，推动公共文化服务与文旅深度融合，助力江宁建设 “24 小时全时段休闲生活之城”。</w:t>
      </w:r>
    </w:p>
    <w:p w14:paraId="3C24FE6D">
      <w:pPr>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val="zh-CN"/>
        </w:rPr>
        <w:t>活动目标</w:t>
      </w:r>
    </w:p>
    <w:p w14:paraId="1FD0DA5D">
      <w:pPr>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丰富群众文化生活：全年开展 180 场演出，覆盖百家湖、方山、汤山等商圈及景区，惠及群众超 15 万人次。</w:t>
      </w:r>
    </w:p>
    <w:p w14:paraId="43BA3560">
      <w:pPr>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擦亮文旅融合品牌：结合佘村、黄龙岘等特色景区，推出“村游 + 演出” 模式，提升江宁文旅吸引力。</w:t>
      </w:r>
    </w:p>
    <w:p w14:paraId="7307AD0B">
      <w:pPr>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培育本土文艺力量：建立公益性演出团队库（30 家），孵化非遗、戏曲等特色团队，形成 “群众演、群众看” 的文化生态。</w:t>
      </w:r>
    </w:p>
    <w:p w14:paraId="14708627">
      <w:pPr>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val="zh-CN"/>
        </w:rPr>
        <w:t>活动安排</w:t>
      </w:r>
    </w:p>
    <w:p w14:paraId="3F189E9E">
      <w:pPr>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（一）时间与场次</w:t>
      </w:r>
    </w:p>
    <w:p w14:paraId="01374CBE">
      <w:pPr>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时间：2026 年全年（每周六、周日及法定节假日）</w:t>
      </w:r>
    </w:p>
    <w:p w14:paraId="54F33165">
      <w:pPr>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场次：全年 180 场，每场时长 0.5-1 小时，重点节假日加密至每日 1-2 场。</w:t>
      </w:r>
    </w:p>
    <w:p w14:paraId="1F85B46F">
      <w:pPr>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（二）演出内容</w:t>
      </w:r>
    </w:p>
    <w:p w14:paraId="151317BC">
      <w:pPr>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val="zh-CN"/>
        </w:rPr>
        <w:t>非遗文化展演：戏曲、方山大鼓、南京白局等非遗项目展演。</w:t>
      </w:r>
    </w:p>
    <w:p w14:paraId="50F52BAE">
      <w:pPr>
        <w:spacing w:line="288" w:lineRule="auto"/>
        <w:ind w:firstLine="480"/>
        <w:rPr>
          <w:rFonts w:hint="eastAsia" w:ascii="仿宋" w:hAnsi="仿宋" w:eastAsia="仿宋" w:cs="仿宋"/>
          <w:color w:val="000000"/>
          <w:sz w:val="24"/>
          <w:szCs w:val="24"/>
          <w:highlight w:val="none"/>
          <w:lang w:val="zh-CN"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val="zh-CN"/>
        </w:rPr>
        <w:t>主题特色演出：</w:t>
      </w:r>
      <w:r>
        <w:rPr>
          <w:rFonts w:hint="eastAsia" w:ascii="仿宋" w:hAnsi="仿宋" w:eastAsia="仿宋" w:cs="仿宋"/>
          <w:color w:val="000000"/>
          <w:sz w:val="24"/>
          <w:szCs w:val="24"/>
          <w:highlight w:val="none"/>
          <w:lang w:val="zh-CN" w:eastAsia="zh-CN"/>
        </w:rPr>
        <w:t>百家湖商圈：周末音乐会、脱口秀、相声展演。</w:t>
      </w:r>
    </w:p>
    <w:p w14:paraId="0FD4A808">
      <w:pPr>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val="zh-CN" w:eastAsia="zh-CN"/>
        </w:rPr>
        <w:t>）惠民公益演出：高校艺术社团、群众文艺团队展演。</w:t>
      </w:r>
    </w:p>
    <w:p w14:paraId="2755D58B">
      <w:pPr>
        <w:spacing w:line="288" w:lineRule="auto"/>
        <w:ind w:firstLine="480"/>
        <w:rPr>
          <w:rFonts w:hint="eastAsia" w:ascii="仿宋" w:hAnsi="仿宋" w:eastAsia="仿宋" w:cs="仿宋"/>
          <w:color w:val="000000"/>
          <w:sz w:val="24"/>
          <w:szCs w:val="24"/>
          <w:highlight w:val="none"/>
          <w:lang w:val="zh-CN" w:eastAsia="zh-CN"/>
        </w:rPr>
      </w:pPr>
      <w:r>
        <w:rPr>
          <w:rFonts w:hint="eastAsia" w:ascii="仿宋" w:hAnsi="仿宋" w:eastAsia="仿宋" w:cs="仿宋"/>
          <w:color w:val="000000"/>
          <w:sz w:val="24"/>
          <w:szCs w:val="24"/>
          <w:highlight w:val="none"/>
          <w:lang w:val="zh-CN" w:eastAsia="zh-CN"/>
        </w:rPr>
        <w:t>（三）场地布局</w:t>
      </w:r>
    </w:p>
    <w:p w14:paraId="2316D720">
      <w:pPr>
        <w:spacing w:line="288" w:lineRule="auto"/>
        <w:ind w:firstLine="480"/>
        <w:rPr>
          <w:rFonts w:hint="eastAsia" w:ascii="仿宋" w:hAnsi="仿宋" w:eastAsia="仿宋" w:cs="仿宋"/>
          <w:color w:val="000000"/>
          <w:sz w:val="24"/>
          <w:szCs w:val="24"/>
          <w:highlight w:val="none"/>
          <w:lang w:val="zh-CN" w:eastAsia="zh-CN"/>
        </w:rPr>
      </w:pPr>
      <w:r>
        <w:rPr>
          <w:rFonts w:hint="eastAsia" w:ascii="仿宋" w:hAnsi="仿宋" w:eastAsia="仿宋" w:cs="仿宋"/>
          <w:color w:val="000000"/>
          <w:sz w:val="24"/>
          <w:szCs w:val="24"/>
          <w:highlight w:val="none"/>
          <w:lang w:val="zh-CN" w:eastAsia="zh-CN"/>
        </w:rPr>
        <w:t>商圈：百家湖 1912 街区、江宁万达中庭、人流密集，配套成熟，适合时尚文化演出。</w:t>
      </w:r>
    </w:p>
    <w:p w14:paraId="362EBE63">
      <w:pPr>
        <w:spacing w:line="288" w:lineRule="auto"/>
        <w:ind w:firstLine="480"/>
        <w:rPr>
          <w:rFonts w:hint="eastAsia" w:ascii="仿宋" w:hAnsi="仿宋" w:eastAsia="仿宋" w:cs="仿宋"/>
          <w:color w:val="000000"/>
          <w:sz w:val="24"/>
          <w:szCs w:val="24"/>
          <w:highlight w:val="none"/>
          <w:lang w:val="zh-CN" w:eastAsia="zh-CN"/>
        </w:rPr>
      </w:pPr>
      <w:r>
        <w:rPr>
          <w:rFonts w:hint="eastAsia" w:ascii="仿宋" w:hAnsi="仿宋" w:eastAsia="仿宋" w:cs="仿宋"/>
          <w:color w:val="000000"/>
          <w:sz w:val="24"/>
          <w:szCs w:val="24"/>
          <w:highlight w:val="none"/>
          <w:lang w:val="zh-CN" w:eastAsia="zh-CN"/>
        </w:rPr>
        <w:t>景区：方山、佘村、黄龙岘</w:t>
      </w:r>
      <w:r>
        <w:rPr>
          <w:rFonts w:hint="eastAsia" w:ascii="仿宋" w:hAnsi="仿宋" w:eastAsia="仿宋" w:cs="仿宋"/>
          <w:color w:val="000000"/>
          <w:sz w:val="24"/>
          <w:szCs w:val="24"/>
          <w:highlight w:val="none"/>
          <w:lang w:val="en-US" w:eastAsia="zh-CN"/>
        </w:rPr>
        <w:t>等</w:t>
      </w:r>
      <w:r>
        <w:rPr>
          <w:rFonts w:hint="eastAsia" w:ascii="仿宋" w:hAnsi="仿宋" w:eastAsia="仿宋" w:cs="仿宋"/>
          <w:color w:val="000000"/>
          <w:sz w:val="24"/>
          <w:szCs w:val="24"/>
          <w:highlight w:val="none"/>
          <w:lang w:val="zh-CN" w:eastAsia="zh-CN"/>
        </w:rPr>
        <w:t>结合景区文化 IP，打造沉浸式旅游体验。</w:t>
      </w:r>
    </w:p>
    <w:p w14:paraId="571F6620">
      <w:pPr>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eastAsia="zh-CN"/>
        </w:rPr>
        <w:t>文化地标：百家湖文化中心下沉式广场、江宁美术馆专业场地，可承接高质量演出。</w:t>
      </w:r>
    </w:p>
    <w:p w14:paraId="00BFBEED">
      <w:pPr>
        <w:spacing w:line="288" w:lineRule="auto"/>
        <w:ind w:firstLine="480"/>
        <w:rPr>
          <w:rFonts w:hint="eastAsia" w:ascii="仿宋" w:hAnsi="仿宋" w:eastAsia="仿宋" w:cs="仿宋"/>
          <w:b/>
          <w:bCs/>
          <w:color w:val="000000"/>
          <w:sz w:val="24"/>
          <w:szCs w:val="24"/>
          <w:highlight w:val="none"/>
          <w:lang w:val="zh-CN"/>
        </w:rPr>
      </w:pPr>
      <w:r>
        <w:rPr>
          <w:rFonts w:hint="eastAsia" w:ascii="仿宋" w:hAnsi="仿宋" w:eastAsia="仿宋" w:cs="仿宋"/>
          <w:b/>
          <w:bCs/>
          <w:color w:val="000000"/>
          <w:sz w:val="24"/>
          <w:szCs w:val="24"/>
          <w:highlight w:val="none"/>
          <w:lang w:val="en-US" w:eastAsia="zh-CN"/>
        </w:rPr>
        <w:t>三、</w:t>
      </w:r>
      <w:r>
        <w:rPr>
          <w:rFonts w:hint="eastAsia" w:ascii="仿宋" w:hAnsi="仿宋" w:eastAsia="仿宋" w:cs="仿宋"/>
          <w:b/>
          <w:bCs/>
          <w:color w:val="000000"/>
          <w:sz w:val="24"/>
          <w:szCs w:val="24"/>
          <w:highlight w:val="none"/>
          <w:lang w:val="zh-CN"/>
        </w:rPr>
        <w:t>服务时间和地点</w:t>
      </w:r>
    </w:p>
    <w:p w14:paraId="00BFBEEE">
      <w:pPr>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本次征集有效期为一年。</w:t>
      </w:r>
    </w:p>
    <w:p w14:paraId="00BFBEEF">
      <w:pPr>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演出地点为南京市</w:t>
      </w:r>
      <w:r>
        <w:rPr>
          <w:rFonts w:hint="eastAsia" w:ascii="仿宋" w:hAnsi="仿宋" w:eastAsia="仿宋" w:cs="仿宋"/>
          <w:color w:val="000000"/>
          <w:sz w:val="24"/>
          <w:szCs w:val="24"/>
          <w:highlight w:val="none"/>
          <w:lang w:val="en-US" w:eastAsia="zh-CN"/>
        </w:rPr>
        <w:t>江宁区</w:t>
      </w:r>
      <w:r>
        <w:rPr>
          <w:rFonts w:hint="eastAsia" w:ascii="仿宋" w:hAnsi="仿宋" w:eastAsia="仿宋" w:cs="仿宋"/>
          <w:color w:val="000000"/>
          <w:sz w:val="24"/>
          <w:szCs w:val="24"/>
          <w:highlight w:val="none"/>
          <w:lang w:val="zh-CN"/>
        </w:rPr>
        <w:t>。</w:t>
      </w:r>
    </w:p>
    <w:p w14:paraId="00BFBEF0">
      <w:pPr>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采购人在</w:t>
      </w:r>
      <w:r>
        <w:rPr>
          <w:rFonts w:hint="eastAsia" w:ascii="仿宋" w:hAnsi="仿宋" w:eastAsia="仿宋" w:cs="仿宋"/>
          <w:color w:val="000000"/>
          <w:sz w:val="24"/>
          <w:szCs w:val="24"/>
          <w:highlight w:val="none"/>
        </w:rPr>
        <w:t>15天</w:t>
      </w:r>
      <w:r>
        <w:rPr>
          <w:rFonts w:hint="eastAsia" w:ascii="仿宋" w:hAnsi="仿宋" w:eastAsia="仿宋" w:cs="仿宋"/>
          <w:color w:val="000000"/>
          <w:sz w:val="24"/>
          <w:szCs w:val="24"/>
          <w:highlight w:val="none"/>
          <w:lang w:val="zh-CN"/>
        </w:rPr>
        <w:t>前将需要演出的时间和地点告知供应商，供应商必须在指定时间和地点进行演出，不得拒绝</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zh-CN"/>
        </w:rPr>
        <w:t>具体演出场次地点以采购人发出通知为准，采购人保留提前终止合同的权利。</w:t>
      </w:r>
    </w:p>
    <w:p w14:paraId="00BFBEF1">
      <w:pPr>
        <w:numPr>
          <w:ilvl w:val="0"/>
          <w:numId w:val="0"/>
        </w:numPr>
        <w:spacing w:line="288" w:lineRule="auto"/>
        <w:ind w:left="420" w:leftChars="0"/>
        <w:rPr>
          <w:rFonts w:hint="eastAsia" w:ascii="仿宋" w:hAnsi="仿宋" w:eastAsia="仿宋" w:cs="仿宋"/>
          <w:b/>
          <w:bCs/>
          <w:color w:val="000000"/>
          <w:sz w:val="24"/>
          <w:szCs w:val="24"/>
          <w:highlight w:val="none"/>
          <w:lang w:val="zh-CN"/>
        </w:rPr>
      </w:pPr>
      <w:bookmarkStart w:id="177" w:name="_Toc21561"/>
      <w:bookmarkStart w:id="178" w:name="_Toc24177"/>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lang w:val="zh-CN"/>
        </w:rPr>
        <w:t>演出内容和要求</w:t>
      </w:r>
      <w:bookmarkEnd w:id="177"/>
      <w:bookmarkEnd w:id="178"/>
    </w:p>
    <w:p w14:paraId="00BFBEF3">
      <w:pPr>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val="zh-CN"/>
        </w:rPr>
        <w:t>、演出内容必须主题鲜明，内容健康向上、符合社会主义核心价值观，具有一定艺术水准，适合广场演出。</w:t>
      </w:r>
    </w:p>
    <w:p w14:paraId="00BFBEF4">
      <w:pPr>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zh-CN"/>
        </w:rPr>
        <w:t>供应商必须积极配合现场保障单位做好宣传、安全等各项工作，确保演出安全、现场有序。</w:t>
      </w:r>
    </w:p>
    <w:p w14:paraId="00BFBEF5">
      <w:pPr>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zh-CN"/>
        </w:rPr>
        <w:t>单场演出演职人员不少于10人。</w:t>
      </w:r>
    </w:p>
    <w:p w14:paraId="00BFBEF6">
      <w:pPr>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val="zh-CN"/>
        </w:rPr>
        <w:t>、每场演出时长</w:t>
      </w:r>
      <w:r>
        <w:rPr>
          <w:rFonts w:hint="eastAsia" w:ascii="仿宋" w:hAnsi="仿宋" w:eastAsia="仿宋" w:cs="仿宋"/>
          <w:color w:val="000000"/>
          <w:sz w:val="24"/>
          <w:szCs w:val="24"/>
          <w:highlight w:val="none"/>
          <w:lang w:val="en-US" w:eastAsia="zh-CN"/>
        </w:rPr>
        <w:t>30-</w:t>
      </w:r>
      <w:r>
        <w:rPr>
          <w:rFonts w:hint="eastAsia" w:ascii="仿宋" w:hAnsi="仿宋" w:eastAsia="仿宋" w:cs="仿宋"/>
          <w:color w:val="000000"/>
          <w:sz w:val="24"/>
          <w:szCs w:val="24"/>
          <w:highlight w:val="none"/>
          <w:lang w:val="zh-CN"/>
        </w:rPr>
        <w:t>60分钟。演出内容应当与申报内容一致。</w:t>
      </w:r>
    </w:p>
    <w:p w14:paraId="00BFBEF7">
      <w:pPr>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lang w:val="zh-CN"/>
        </w:rPr>
        <w:t>、供应商承担演出运作过程中的所有费用（包含演出所需的、表演服装、演员劳务费、演出道具、交通费、伙食费和住宿费、演出期间演职人员的意外保险、税金等所有费用）</w:t>
      </w:r>
    </w:p>
    <w:p w14:paraId="00BFBEF8">
      <w:pPr>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lang w:val="zh-CN"/>
        </w:rPr>
        <w:t>、成交供应商必须保证演出的质量，严格按照参加择优选购时采购人对演出剧目、演出阵容、演出设备等要求规范演出，并严格按照要求完成演出任务场次，严禁虚报场次。</w:t>
      </w:r>
    </w:p>
    <w:p w14:paraId="00BFBEF9">
      <w:pPr>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en-US" w:eastAsia="zh-CN"/>
        </w:rPr>
        <w:t>7</w:t>
      </w:r>
      <w:r>
        <w:rPr>
          <w:rFonts w:hint="eastAsia" w:ascii="仿宋" w:hAnsi="仿宋" w:eastAsia="仿宋" w:cs="仿宋"/>
          <w:color w:val="000000"/>
          <w:sz w:val="24"/>
          <w:szCs w:val="24"/>
          <w:highlight w:val="none"/>
          <w:lang w:val="zh-CN"/>
        </w:rPr>
        <w:t>、成交供应商在采购单位安排下实施演出任务，演出任务须在采购人规定的时间内完成。</w:t>
      </w:r>
    </w:p>
    <w:p w14:paraId="00BFBEFA">
      <w:pPr>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en-US" w:eastAsia="zh-CN"/>
        </w:rPr>
        <w:t>8</w:t>
      </w:r>
      <w:r>
        <w:rPr>
          <w:rFonts w:hint="eastAsia" w:ascii="仿宋" w:hAnsi="仿宋" w:eastAsia="仿宋" w:cs="仿宋"/>
          <w:color w:val="000000"/>
          <w:sz w:val="24"/>
          <w:szCs w:val="24"/>
          <w:highlight w:val="none"/>
          <w:lang w:val="zh-CN"/>
        </w:rPr>
        <w:t>、成交供应商不得转包演出任务。</w:t>
      </w:r>
    </w:p>
    <w:p w14:paraId="00BFBEFE">
      <w:pPr>
        <w:spacing w:line="288" w:lineRule="auto"/>
        <w:ind w:firstLine="480"/>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五</w:t>
      </w:r>
      <w:r>
        <w:rPr>
          <w:rFonts w:hint="eastAsia" w:ascii="仿宋" w:hAnsi="仿宋" w:eastAsia="仿宋" w:cs="仿宋"/>
          <w:b/>
          <w:bCs/>
          <w:color w:val="000000"/>
          <w:sz w:val="24"/>
          <w:szCs w:val="24"/>
          <w:highlight w:val="none"/>
        </w:rPr>
        <w:t>、框架协议期间的价格确定</w:t>
      </w:r>
    </w:p>
    <w:p w14:paraId="00BFBEFF">
      <w:pPr>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1.在框架协议期间，单个项目合同价格根据入围价格、实际工作情况和具体出勤情况计算。</w:t>
      </w:r>
    </w:p>
    <w:p w14:paraId="00BFBF00">
      <w:pPr>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2.在其他优惠条件方面，入围供应商不得对采购人实行差别待遇。</w:t>
      </w:r>
    </w:p>
    <w:p w14:paraId="00BFBF01">
      <w:pPr>
        <w:numPr>
          <w:ilvl w:val="0"/>
          <w:numId w:val="6"/>
        </w:numPr>
        <w:spacing w:line="288" w:lineRule="auto"/>
        <w:ind w:firstLine="480"/>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付款条件：</w:t>
      </w:r>
    </w:p>
    <w:p w14:paraId="00BFBF02">
      <w:pPr>
        <w:spacing w:line="288" w:lineRule="auto"/>
        <w:ind w:firstLine="48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全部演出结束，验收合格后一次性付清。</w:t>
      </w:r>
    </w:p>
    <w:p w14:paraId="00BFBF03">
      <w:pPr>
        <w:spacing w:line="288" w:lineRule="auto"/>
        <w:ind w:firstLine="482"/>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八、入围供应商的清退和补充规则</w:t>
      </w:r>
    </w:p>
    <w:p w14:paraId="00BFBF04">
      <w:pPr>
        <w:spacing w:line="288" w:lineRule="auto"/>
        <w:ind w:firstLine="48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详见“第三章 协议文本”</w:t>
      </w:r>
    </w:p>
    <w:p w14:paraId="00BFBF08">
      <w:pPr>
        <w:spacing w:line="288" w:lineRule="auto"/>
        <w:ind w:firstLine="482"/>
        <w:jc w:val="lef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特别说明：本章所有要求均为实质性要求，除文件中另有约定的，供应商应提供实质性要求完全响应承诺书（格式见第六章响应文件格式），不接受负偏离，否则视为无效响应文件。</w:t>
      </w:r>
    </w:p>
    <w:p w14:paraId="00BFBF09">
      <w:pPr>
        <w:jc w:val="center"/>
        <w:outlineLvl w:val="0"/>
        <w:rPr>
          <w:rFonts w:hint="eastAsia" w:ascii="仿宋" w:hAnsi="仿宋" w:eastAsia="仿宋" w:cs="仿宋"/>
          <w:color w:val="000000"/>
          <w:sz w:val="44"/>
          <w:szCs w:val="44"/>
          <w:highlight w:val="none"/>
        </w:rPr>
      </w:pPr>
      <w:r>
        <w:rPr>
          <w:rFonts w:hint="eastAsia" w:ascii="仿宋" w:hAnsi="仿宋" w:eastAsia="仿宋" w:cs="仿宋"/>
          <w:color w:val="000000"/>
          <w:sz w:val="32"/>
          <w:highlight w:val="none"/>
        </w:rPr>
        <w:br w:type="page" w:clear="all"/>
      </w:r>
      <w:bookmarkStart w:id="179" w:name="_Toc30785"/>
      <w:bookmarkStart w:id="180" w:name="_Toc120614281"/>
      <w:r>
        <w:rPr>
          <w:rFonts w:hint="eastAsia" w:ascii="黑体" w:hAnsi="黑体" w:eastAsia="黑体" w:cs="黑体"/>
          <w:color w:val="000000"/>
          <w:sz w:val="44"/>
          <w:szCs w:val="44"/>
          <w:highlight w:val="none"/>
        </w:rPr>
        <w:t>第五章  确定入围及成交供应商</w:t>
      </w:r>
      <w:bookmarkEnd w:id="179"/>
    </w:p>
    <w:p w14:paraId="00BFBF0A">
      <w:pPr>
        <w:pStyle w:val="311"/>
        <w:spacing w:line="240" w:lineRule="auto"/>
        <w:ind w:firstLine="417"/>
        <w:rPr>
          <w:rFonts w:hint="eastAsia" w:ascii="仿宋" w:hAnsi="仿宋" w:eastAsia="仿宋" w:cs="仿宋"/>
          <w:b/>
          <w:bCs/>
          <w:color w:val="000000"/>
          <w:sz w:val="28"/>
          <w:szCs w:val="28"/>
          <w:highlight w:val="none"/>
          <w:lang w:eastAsia="zh-CN"/>
        </w:rPr>
      </w:pPr>
      <w:r>
        <w:rPr>
          <w:rFonts w:hint="eastAsia" w:ascii="仿宋" w:hAnsi="仿宋" w:eastAsia="仿宋" w:cs="仿宋"/>
          <w:b/>
          <w:bCs/>
          <w:color w:val="000000"/>
          <w:sz w:val="28"/>
          <w:szCs w:val="28"/>
          <w:highlight w:val="none"/>
          <w:lang w:eastAsia="zh-CN"/>
        </w:rPr>
        <w:t>一、确定第一阶段入围供应商的评审方法</w:t>
      </w:r>
    </w:p>
    <w:p w14:paraId="00BFBF0B">
      <w:pPr>
        <w:spacing w:line="360" w:lineRule="auto"/>
        <w:ind w:firstLine="42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确定第一阶段入围供应商的评审方法为综合评分法。综合评分法是指对满足采购需求且响应报价不超过最高限制单价的服务进行综合评分，按照评分从高到低排序，根据征集文件规定的淘汰率，确定入围供应商的评审方法。</w:t>
      </w:r>
    </w:p>
    <w:p w14:paraId="59716A0C">
      <w:pPr>
        <w:spacing w:line="360" w:lineRule="auto"/>
        <w:ind w:firstLine="42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2.入围供应商的数量：最多</w:t>
      </w:r>
      <w:r>
        <w:rPr>
          <w:rFonts w:hint="eastAsia" w:ascii="仿宋" w:hAnsi="仿宋" w:eastAsia="仿宋" w:cs="仿宋"/>
          <w:color w:val="000000"/>
          <w:sz w:val="24"/>
          <w:szCs w:val="24"/>
          <w:highlight w:val="none"/>
          <w:lang w:val="en-US" w:eastAsia="zh-CN"/>
        </w:rPr>
        <w:t>30</w:t>
      </w:r>
      <w:r>
        <w:rPr>
          <w:rFonts w:hint="eastAsia" w:ascii="仿宋" w:hAnsi="仿宋" w:eastAsia="仿宋" w:cs="仿宋"/>
          <w:color w:val="000000"/>
          <w:sz w:val="24"/>
          <w:szCs w:val="24"/>
          <w:highlight w:val="none"/>
        </w:rPr>
        <w:t>家；淘汰比例不低于40%，且至少淘汰1家供应商。（通过资格性审查、符合性审查的供应商不足3家的，本次采购活动终止）</w:t>
      </w:r>
    </w:p>
    <w:p w14:paraId="6B4220EE">
      <w:pPr>
        <w:spacing w:line="360" w:lineRule="auto"/>
        <w:ind w:firstLine="42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3.质量评分因素包括：服务水平、服务能力、履约能力等。如遇到并列分值相同，按照评分办法中</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.4的顺序确定。</w:t>
      </w:r>
    </w:p>
    <w:p w14:paraId="00BFBF0D">
      <w:pPr>
        <w:spacing w:line="360" w:lineRule="auto"/>
        <w:ind w:firstLine="42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.评审办法</w:t>
      </w:r>
    </w:p>
    <w:tbl>
      <w:tblPr>
        <w:tblStyle w:val="35"/>
        <w:tblW w:w="9637" w:type="dxa"/>
        <w:jc w:val="cente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437"/>
        <w:gridCol w:w="1888"/>
        <w:gridCol w:w="6404"/>
        <w:gridCol w:w="908"/>
      </w:tblGrid>
      <w:tr w14:paraId="00BFBF1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95" w:hRule="atLeast"/>
          <w:jc w:val="center"/>
        </w:trPr>
        <w:tc>
          <w:tcPr>
            <w:tcW w:w="437"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bottom"/>
          </w:tcPr>
          <w:p w14:paraId="00BFBF0E">
            <w:pPr>
              <w:pBdr>
                <w:top w:val="none" w:color="000000" w:sz="0" w:space="0"/>
                <w:left w:val="none" w:color="000000" w:sz="0" w:space="0"/>
                <w:bottom w:val="none" w:color="000000" w:sz="0" w:space="0"/>
                <w:right w:val="none" w:color="000000" w:sz="0" w:space="0"/>
              </w:pBdr>
              <w:spacing w:line="85" w:lineRule="atLeast"/>
              <w:ind w:right="-24"/>
              <w:jc w:val="center"/>
              <w:rPr>
                <w:rFonts w:hint="eastAsia" w:ascii="仿宋" w:hAnsi="仿宋" w:eastAsia="仿宋" w:cs="仿宋"/>
                <w:b/>
                <w:color w:val="000000"/>
                <w:sz w:val="22"/>
                <w:highlight w:val="none"/>
              </w:rPr>
            </w:pPr>
            <w:r>
              <w:rPr>
                <w:rFonts w:hint="eastAsia" w:ascii="仿宋" w:hAnsi="仿宋" w:eastAsia="仿宋" w:cs="仿宋"/>
                <w:b/>
                <w:color w:val="000000"/>
                <w:sz w:val="22"/>
                <w:highlight w:val="none"/>
              </w:rPr>
              <w:t>序号</w:t>
            </w:r>
          </w:p>
        </w:tc>
        <w:tc>
          <w:tcPr>
            <w:tcW w:w="188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bottom"/>
          </w:tcPr>
          <w:p w14:paraId="00BFBF0F">
            <w:pPr>
              <w:pBdr>
                <w:top w:val="none" w:color="000000" w:sz="0" w:space="0"/>
                <w:left w:val="none" w:color="000000" w:sz="0" w:space="0"/>
                <w:bottom w:val="none" w:color="000000" w:sz="0" w:space="0"/>
                <w:right w:val="none" w:color="000000" w:sz="0" w:space="0"/>
              </w:pBdr>
              <w:jc w:val="center"/>
              <w:rPr>
                <w:rFonts w:hint="eastAsia" w:ascii="仿宋" w:hAnsi="仿宋" w:eastAsia="仿宋" w:cs="仿宋"/>
                <w:highlight w:val="none"/>
              </w:rPr>
            </w:pPr>
            <w:r>
              <w:rPr>
                <w:rFonts w:hint="eastAsia" w:ascii="仿宋" w:hAnsi="仿宋" w:eastAsia="仿宋" w:cs="仿宋"/>
                <w:b/>
                <w:color w:val="000000"/>
                <w:sz w:val="22"/>
                <w:highlight w:val="none"/>
              </w:rPr>
              <w:t>评分因素</w:t>
            </w:r>
          </w:p>
        </w:tc>
        <w:tc>
          <w:tcPr>
            <w:tcW w:w="640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bottom"/>
          </w:tcPr>
          <w:p w14:paraId="00BFBF10">
            <w:pPr>
              <w:pBdr>
                <w:top w:val="none" w:color="000000" w:sz="0" w:space="0"/>
                <w:left w:val="none" w:color="000000" w:sz="0" w:space="0"/>
                <w:bottom w:val="none" w:color="000000" w:sz="0" w:space="0"/>
                <w:right w:val="none" w:color="000000" w:sz="0" w:space="0"/>
              </w:pBdr>
              <w:jc w:val="center"/>
              <w:rPr>
                <w:rFonts w:hint="eastAsia" w:ascii="仿宋" w:hAnsi="仿宋" w:eastAsia="仿宋" w:cs="仿宋"/>
                <w:highlight w:val="none"/>
              </w:rPr>
            </w:pPr>
            <w:r>
              <w:rPr>
                <w:rFonts w:hint="eastAsia" w:ascii="仿宋" w:hAnsi="仿宋" w:eastAsia="仿宋" w:cs="仿宋"/>
                <w:b/>
                <w:color w:val="000000"/>
                <w:sz w:val="22"/>
                <w:highlight w:val="none"/>
              </w:rPr>
              <w:t>评审标准</w:t>
            </w:r>
          </w:p>
        </w:tc>
        <w:tc>
          <w:tcPr>
            <w:tcW w:w="90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bottom"/>
          </w:tcPr>
          <w:p w14:paraId="00BFBF11">
            <w:pPr>
              <w:pBdr>
                <w:top w:val="none" w:color="000000" w:sz="0" w:space="0"/>
                <w:left w:val="none" w:color="000000" w:sz="0" w:space="0"/>
                <w:bottom w:val="none" w:color="000000" w:sz="0" w:space="0"/>
                <w:right w:val="none" w:color="000000" w:sz="0" w:space="0"/>
              </w:pBdr>
              <w:jc w:val="center"/>
              <w:rPr>
                <w:rFonts w:hint="eastAsia" w:ascii="仿宋" w:hAnsi="仿宋" w:eastAsia="仿宋" w:cs="仿宋"/>
                <w:highlight w:val="none"/>
              </w:rPr>
            </w:pPr>
            <w:r>
              <w:rPr>
                <w:rFonts w:hint="eastAsia" w:ascii="仿宋" w:hAnsi="仿宋" w:eastAsia="仿宋" w:cs="仿宋"/>
                <w:b/>
                <w:color w:val="000000"/>
                <w:sz w:val="22"/>
                <w:highlight w:val="none"/>
              </w:rPr>
              <w:t>分值</w:t>
            </w:r>
          </w:p>
        </w:tc>
      </w:tr>
      <w:tr w14:paraId="00BFBF1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132" w:hRule="atLeast"/>
          <w:jc w:val="center"/>
        </w:trPr>
        <w:tc>
          <w:tcPr>
            <w:tcW w:w="437" w:type="dxa"/>
            <w:vMerge w:val="restart"/>
            <w:tcBorders>
              <w:top w:val="nil"/>
              <w:left w:val="single" w:color="000000" w:sz="8" w:space="0"/>
              <w:right w:val="single" w:color="000000" w:sz="8" w:space="0"/>
            </w:tcBorders>
            <w:tcMar>
              <w:top w:w="0" w:type="dxa"/>
              <w:left w:w="108" w:type="dxa"/>
              <w:bottom w:w="0" w:type="dxa"/>
              <w:right w:w="108" w:type="dxa"/>
            </w:tcMar>
            <w:vAlign w:val="center"/>
          </w:tcPr>
          <w:p w14:paraId="00BFBF13">
            <w:pPr>
              <w:pBdr>
                <w:top w:val="none" w:color="000000" w:sz="0" w:space="0"/>
                <w:left w:val="none" w:color="000000" w:sz="0" w:space="0"/>
                <w:bottom w:val="none" w:color="000000" w:sz="0" w:space="0"/>
                <w:right w:val="none" w:color="000000" w:sz="0" w:space="0"/>
              </w:pBdr>
              <w:spacing w:line="85" w:lineRule="atLeast"/>
              <w:ind w:right="-24"/>
              <w:jc w:val="center"/>
              <w:rPr>
                <w:rFonts w:hint="eastAsia" w:ascii="仿宋" w:hAnsi="仿宋" w:eastAsia="仿宋" w:cs="仿宋"/>
                <w:highlight w:val="none"/>
              </w:rPr>
            </w:pPr>
            <w:r>
              <w:rPr>
                <w:rFonts w:hint="eastAsia" w:ascii="仿宋" w:hAnsi="仿宋" w:eastAsia="仿宋" w:cs="仿宋"/>
                <w:b/>
                <w:color w:val="000000"/>
                <w:sz w:val="22"/>
                <w:highlight w:val="none"/>
              </w:rPr>
              <w:t>1</w:t>
            </w:r>
          </w:p>
        </w:tc>
        <w:tc>
          <w:tcPr>
            <w:tcW w:w="1888" w:type="dxa"/>
            <w:tcBorders>
              <w:top w:val="nil"/>
              <w:left w:val="single" w:color="000000" w:sz="8" w:space="0"/>
              <w:bottom w:val="single" w:color="auto" w:sz="4" w:space="0"/>
              <w:right w:val="single" w:color="000000" w:sz="8" w:space="0"/>
            </w:tcBorders>
            <w:tcMar>
              <w:top w:w="0" w:type="dxa"/>
              <w:left w:w="108" w:type="dxa"/>
              <w:bottom w:w="0" w:type="dxa"/>
              <w:right w:w="108" w:type="dxa"/>
            </w:tcMar>
            <w:vAlign w:val="center"/>
          </w:tcPr>
          <w:p w14:paraId="00BFBF14">
            <w:pPr>
              <w:pBdr>
                <w:top w:val="none" w:color="000000" w:sz="0" w:space="0"/>
                <w:left w:val="none" w:color="000000" w:sz="0" w:space="0"/>
                <w:bottom w:val="none" w:color="000000" w:sz="0" w:space="0"/>
                <w:right w:val="none" w:color="000000" w:sz="0" w:space="0"/>
              </w:pBdr>
              <w:jc w:val="center"/>
              <w:rPr>
                <w:rFonts w:hint="eastAsia" w:ascii="仿宋" w:hAnsi="仿宋" w:eastAsia="仿宋" w:cs="仿宋"/>
                <w:b/>
                <w:bCs/>
                <w:highlight w:val="none"/>
              </w:rPr>
            </w:pPr>
            <w:r>
              <w:rPr>
                <w:rFonts w:hint="eastAsia" w:ascii="仿宋" w:hAnsi="仿宋" w:eastAsia="仿宋" w:cs="仿宋"/>
                <w:b/>
                <w:color w:val="000000"/>
                <w:sz w:val="22"/>
                <w:highlight w:val="none"/>
              </w:rPr>
              <w:t>价格分</w:t>
            </w:r>
          </w:p>
        </w:tc>
        <w:tc>
          <w:tcPr>
            <w:tcW w:w="6404" w:type="dxa"/>
            <w:tcBorders>
              <w:top w:val="nil"/>
              <w:left w:val="single" w:color="000000" w:sz="8" w:space="0"/>
              <w:bottom w:val="single" w:color="auto" w:sz="4" w:space="0"/>
              <w:right w:val="single" w:color="000000" w:sz="8" w:space="0"/>
            </w:tcBorders>
            <w:tcMar>
              <w:top w:w="0" w:type="dxa"/>
              <w:left w:w="108" w:type="dxa"/>
              <w:bottom w:w="0" w:type="dxa"/>
              <w:right w:w="108" w:type="dxa"/>
            </w:tcMar>
            <w:vAlign w:val="center"/>
          </w:tcPr>
          <w:p w14:paraId="00BFBF15">
            <w:pPr>
              <w:pBdr>
                <w:top w:val="none" w:color="000000" w:sz="0" w:space="0"/>
                <w:left w:val="none" w:color="000000" w:sz="0" w:space="0"/>
                <w:bottom w:val="none" w:color="000000" w:sz="0" w:space="0"/>
                <w:right w:val="none" w:color="000000" w:sz="0" w:space="0"/>
              </w:pBdr>
              <w:spacing w:line="85" w:lineRule="atLeast"/>
              <w:ind w:right="-24"/>
              <w:jc w:val="left"/>
              <w:rPr>
                <w:rFonts w:hint="eastAsia" w:ascii="仿宋" w:hAnsi="仿宋" w:eastAsia="仿宋" w:cs="仿宋"/>
                <w:sz w:val="22"/>
                <w:szCs w:val="22"/>
                <w:highlight w:val="none"/>
              </w:rPr>
            </w:pPr>
            <w:r>
              <w:rPr>
                <w:rFonts w:hint="eastAsia" w:ascii="仿宋" w:hAnsi="仿宋" w:eastAsia="仿宋" w:cs="仿宋"/>
                <w:bCs/>
                <w:color w:val="000000"/>
                <w:sz w:val="22"/>
                <w:highlight w:val="none"/>
              </w:rPr>
              <w:t>供应商有效投标价中的最低价为评标基准价，得满分15分。报价评分计算公式为：投标报价得分=(评标基准价／投标报价)×15%×100。</w:t>
            </w:r>
          </w:p>
        </w:tc>
        <w:tc>
          <w:tcPr>
            <w:tcW w:w="908" w:type="dxa"/>
            <w:tcBorders>
              <w:top w:val="nil"/>
              <w:left w:val="single" w:color="000000" w:sz="8" w:space="0"/>
              <w:bottom w:val="single" w:color="auto" w:sz="4" w:space="0"/>
              <w:right w:val="single" w:color="000000" w:sz="8" w:space="0"/>
            </w:tcBorders>
            <w:tcMar>
              <w:top w:w="0" w:type="dxa"/>
              <w:left w:w="108" w:type="dxa"/>
              <w:bottom w:w="0" w:type="dxa"/>
              <w:right w:w="108" w:type="dxa"/>
            </w:tcMar>
            <w:vAlign w:val="center"/>
          </w:tcPr>
          <w:p w14:paraId="00BFBF16">
            <w:pPr>
              <w:pBdr>
                <w:top w:val="none" w:color="000000" w:sz="0" w:space="0"/>
                <w:left w:val="none" w:color="000000" w:sz="0" w:space="0"/>
                <w:bottom w:val="none" w:color="000000" w:sz="0" w:space="0"/>
                <w:right w:val="none" w:color="000000" w:sz="0" w:space="0"/>
              </w:pBdr>
              <w:spacing w:before="100" w:after="100"/>
              <w:jc w:val="center"/>
              <w:rPr>
                <w:rFonts w:hint="eastAsia" w:ascii="仿宋" w:hAnsi="仿宋" w:eastAsia="仿宋" w:cs="仿宋"/>
                <w:bCs/>
                <w:highlight w:val="none"/>
              </w:rPr>
            </w:pPr>
            <w:r>
              <w:rPr>
                <w:rFonts w:hint="eastAsia" w:ascii="仿宋" w:hAnsi="仿宋" w:eastAsia="仿宋" w:cs="仿宋"/>
                <w:bCs/>
                <w:color w:val="000000"/>
                <w:sz w:val="22"/>
                <w:highlight w:val="none"/>
              </w:rPr>
              <w:t>15分</w:t>
            </w:r>
          </w:p>
        </w:tc>
      </w:tr>
      <w:tr w14:paraId="00BFBF2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273" w:hRule="atLeast"/>
          <w:jc w:val="center"/>
        </w:trPr>
        <w:tc>
          <w:tcPr>
            <w:tcW w:w="437" w:type="dxa"/>
            <w:vMerge w:val="restart"/>
            <w:tcBorders>
              <w:top w:val="single" w:color="auto" w:sz="4" w:space="0"/>
              <w:left w:val="single" w:color="000000" w:sz="8" w:space="0"/>
              <w:right w:val="single" w:color="000000" w:sz="8" w:space="0"/>
            </w:tcBorders>
            <w:tcMar>
              <w:top w:w="0" w:type="dxa"/>
              <w:left w:w="108" w:type="dxa"/>
              <w:bottom w:w="0" w:type="dxa"/>
              <w:right w:w="108" w:type="dxa"/>
            </w:tcMar>
            <w:vAlign w:val="center"/>
          </w:tcPr>
          <w:p w14:paraId="00BFBF1D">
            <w:pPr>
              <w:pBdr>
                <w:top w:val="none" w:color="000000" w:sz="0" w:space="0"/>
                <w:left w:val="none" w:color="000000" w:sz="0" w:space="0"/>
                <w:bottom w:val="none" w:color="000000" w:sz="0" w:space="0"/>
                <w:right w:val="none" w:color="000000" w:sz="0" w:space="0"/>
              </w:pBdr>
              <w:spacing w:line="85" w:lineRule="atLeast"/>
              <w:ind w:right="-24"/>
              <w:jc w:val="center"/>
              <w:rPr>
                <w:rFonts w:hint="eastAsia" w:ascii="仿宋" w:hAnsi="仿宋" w:eastAsia="仿宋" w:cs="仿宋"/>
                <w:b/>
                <w:color w:val="000000"/>
                <w:sz w:val="22"/>
                <w:highlight w:val="none"/>
              </w:rPr>
            </w:pPr>
            <w:r>
              <w:rPr>
                <w:rFonts w:hint="eastAsia" w:ascii="仿宋" w:hAnsi="仿宋" w:eastAsia="仿宋" w:cs="仿宋"/>
                <w:b/>
                <w:color w:val="000000"/>
                <w:sz w:val="22"/>
                <w:highlight w:val="none"/>
              </w:rPr>
              <w:t>2</w:t>
            </w:r>
          </w:p>
          <w:p w14:paraId="00BFBF1E">
            <w:pPr>
              <w:pBdr>
                <w:top w:val="none" w:color="000000" w:sz="0" w:space="0"/>
                <w:left w:val="none" w:color="000000" w:sz="0" w:space="0"/>
                <w:bottom w:val="none" w:color="000000" w:sz="0" w:space="0"/>
                <w:right w:val="none" w:color="000000" w:sz="0" w:space="0"/>
              </w:pBdr>
              <w:spacing w:line="85" w:lineRule="atLeast"/>
              <w:ind w:right="-24"/>
              <w:jc w:val="center"/>
              <w:rPr>
                <w:rFonts w:hint="eastAsia" w:ascii="仿宋" w:hAnsi="仿宋" w:eastAsia="仿宋" w:cs="仿宋"/>
                <w:highlight w:val="none"/>
              </w:rPr>
            </w:pPr>
          </w:p>
          <w:p w14:paraId="00BFBF1F">
            <w:pPr>
              <w:pBdr>
                <w:top w:val="none" w:color="000000" w:sz="0" w:space="0"/>
                <w:left w:val="none" w:color="000000" w:sz="0" w:space="0"/>
                <w:bottom w:val="none" w:color="000000" w:sz="0" w:space="0"/>
                <w:right w:val="none" w:color="000000" w:sz="0" w:space="0"/>
              </w:pBdr>
              <w:spacing w:line="85" w:lineRule="atLeast"/>
              <w:ind w:right="-24"/>
              <w:jc w:val="center"/>
              <w:rPr>
                <w:rFonts w:hint="eastAsia" w:ascii="仿宋" w:hAnsi="仿宋" w:eastAsia="仿宋" w:cs="仿宋"/>
                <w:highlight w:val="none"/>
              </w:rPr>
            </w:pPr>
          </w:p>
        </w:tc>
        <w:tc>
          <w:tcPr>
            <w:tcW w:w="1888" w:type="dxa"/>
            <w:tcBorders>
              <w:top w:val="single" w:color="auto" w:sz="4"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00BFBF20">
            <w:pPr>
              <w:pBdr>
                <w:top w:val="none" w:color="000000" w:sz="0" w:space="0"/>
                <w:left w:val="none" w:color="000000" w:sz="0" w:space="0"/>
                <w:bottom w:val="none" w:color="000000" w:sz="0" w:space="0"/>
                <w:right w:val="none" w:color="000000" w:sz="0" w:space="0"/>
              </w:pBdr>
              <w:jc w:val="center"/>
              <w:rPr>
                <w:rFonts w:hint="eastAsia" w:ascii="仿宋" w:hAnsi="仿宋" w:eastAsia="仿宋" w:cs="仿宋"/>
                <w:highlight w:val="none"/>
              </w:rPr>
            </w:pPr>
            <w:r>
              <w:rPr>
                <w:rFonts w:hint="eastAsia" w:ascii="仿宋" w:hAnsi="仿宋" w:eastAsia="仿宋" w:cs="仿宋"/>
                <w:b/>
                <w:bCs/>
                <w:highlight w:val="none"/>
              </w:rPr>
              <w:t>演出方案</w:t>
            </w:r>
          </w:p>
        </w:tc>
        <w:tc>
          <w:tcPr>
            <w:tcW w:w="6404" w:type="dxa"/>
            <w:tcBorders>
              <w:top w:val="single" w:color="auto" w:sz="4" w:space="0"/>
              <w:left w:val="single" w:color="000000" w:sz="8" w:space="0"/>
              <w:bottom w:val="single" w:color="000000" w:sz="8" w:space="0"/>
              <w:right w:val="single" w:color="000000" w:sz="8" w:space="0"/>
            </w:tcBorders>
            <w:tcMar>
              <w:top w:w="0" w:type="dxa"/>
              <w:left w:w="108" w:type="dxa"/>
              <w:bottom w:w="0" w:type="dxa"/>
              <w:right w:w="108" w:type="dxa"/>
            </w:tcMar>
          </w:tcPr>
          <w:p w14:paraId="00BFBF21">
            <w:pPr>
              <w:pBdr>
                <w:top w:val="none" w:color="000000" w:sz="0" w:space="0"/>
                <w:left w:val="none" w:color="000000" w:sz="0" w:space="0"/>
                <w:bottom w:val="none" w:color="000000" w:sz="0" w:space="0"/>
                <w:right w:val="none" w:color="000000" w:sz="0" w:space="0"/>
              </w:pBdr>
              <w:spacing w:line="85" w:lineRule="atLeast"/>
              <w:ind w:right="-24"/>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根据投标人提供针对本项目节目单，演出类型，人员安排，演出时长等详细内容，由评委根据演出方案合理性、内容质量、可操作性、可充分保障项目实施等方面进行评分。</w:t>
            </w:r>
          </w:p>
          <w:p w14:paraId="00BFBF22">
            <w:pPr>
              <w:pBdr>
                <w:top w:val="none" w:color="000000" w:sz="0" w:space="0"/>
                <w:left w:val="none" w:color="000000" w:sz="0" w:space="0"/>
                <w:bottom w:val="none" w:color="000000" w:sz="0" w:space="0"/>
                <w:right w:val="none" w:color="000000" w:sz="0" w:space="0"/>
              </w:pBdr>
              <w:spacing w:line="85" w:lineRule="atLeast"/>
              <w:ind w:right="-24"/>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（1）项目方案中节目单设计新颖独特，演出类型丰富多元，人员安排科学合理，演出时长把控精准，方案合理性、内容质量、可操作性都极为出色，能充分保障项目顺利实施得</w:t>
            </w:r>
            <w:r>
              <w:rPr>
                <w:rFonts w:hint="eastAsia" w:ascii="仿宋" w:hAnsi="仿宋" w:eastAsia="仿宋" w:cs="仿宋"/>
                <w:sz w:val="22"/>
                <w:szCs w:val="22"/>
                <w:highlight w:val="none"/>
                <w:lang w:val="en-US" w:eastAsia="zh-CN"/>
              </w:rPr>
              <w:t>12</w:t>
            </w:r>
            <w:r>
              <w:rPr>
                <w:rFonts w:hint="eastAsia" w:ascii="仿宋" w:hAnsi="仿宋" w:eastAsia="仿宋" w:cs="仿宋"/>
                <w:sz w:val="22"/>
                <w:szCs w:val="22"/>
                <w:highlight w:val="none"/>
              </w:rPr>
              <w:t>分；</w:t>
            </w:r>
          </w:p>
          <w:p w14:paraId="00BFBF23">
            <w:pPr>
              <w:pBdr>
                <w:top w:val="none" w:color="000000" w:sz="0" w:space="0"/>
                <w:left w:val="none" w:color="000000" w:sz="0" w:space="0"/>
                <w:bottom w:val="none" w:color="000000" w:sz="0" w:space="0"/>
                <w:right w:val="none" w:color="000000" w:sz="0" w:space="0"/>
              </w:pBdr>
              <w:spacing w:line="85" w:lineRule="atLeast"/>
              <w:ind w:right="-24"/>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（2）节目单内容丰富，演出类型多样，人员安排较为妥当，演出时长设置合理，方案具备较高的合理性、内容质量与可操作性，能有力保障项目推进得</w:t>
            </w:r>
            <w:r>
              <w:rPr>
                <w:rFonts w:hint="eastAsia" w:ascii="仿宋" w:hAnsi="仿宋" w:eastAsia="仿宋" w:cs="仿宋"/>
                <w:sz w:val="22"/>
                <w:szCs w:val="22"/>
                <w:highlight w:val="none"/>
                <w:lang w:val="en-US" w:eastAsia="zh-CN"/>
              </w:rPr>
              <w:t>9</w:t>
            </w:r>
            <w:r>
              <w:rPr>
                <w:rFonts w:hint="eastAsia" w:ascii="仿宋" w:hAnsi="仿宋" w:eastAsia="仿宋" w:cs="仿宋"/>
                <w:sz w:val="22"/>
                <w:szCs w:val="22"/>
                <w:highlight w:val="none"/>
              </w:rPr>
              <w:t>分；</w:t>
            </w:r>
          </w:p>
          <w:p w14:paraId="00BFBF24">
            <w:pPr>
              <w:pBdr>
                <w:top w:val="none" w:color="000000" w:sz="0" w:space="0"/>
                <w:left w:val="none" w:color="000000" w:sz="0" w:space="0"/>
                <w:bottom w:val="none" w:color="000000" w:sz="0" w:space="0"/>
                <w:right w:val="none" w:color="000000" w:sz="0" w:space="0"/>
              </w:pBdr>
              <w:spacing w:line="85" w:lineRule="atLeast"/>
              <w:ind w:right="-24"/>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（3）节目单设计基本满足需求，演出类型搭配合理，人员安排无明显漏洞，演出时长符合预期，方案具有一定合理性、内容质量与可操作性，能保障项目基本实施得</w:t>
            </w:r>
            <w:r>
              <w:rPr>
                <w:rFonts w:hint="eastAsia" w:ascii="仿宋" w:hAnsi="仿宋" w:eastAsia="仿宋" w:cs="仿宋"/>
                <w:sz w:val="22"/>
                <w:szCs w:val="22"/>
                <w:highlight w:val="none"/>
                <w:lang w:val="en-US" w:eastAsia="zh-CN"/>
              </w:rPr>
              <w:t>6</w:t>
            </w:r>
            <w:r>
              <w:rPr>
                <w:rFonts w:hint="eastAsia" w:ascii="仿宋" w:hAnsi="仿宋" w:eastAsia="仿宋" w:cs="仿宋"/>
                <w:sz w:val="22"/>
                <w:szCs w:val="22"/>
                <w:highlight w:val="none"/>
              </w:rPr>
              <w:t>分；</w:t>
            </w:r>
          </w:p>
          <w:p w14:paraId="00BFBF25">
            <w:pPr>
              <w:pBdr>
                <w:top w:val="none" w:color="000000" w:sz="0" w:space="0"/>
                <w:left w:val="none" w:color="000000" w:sz="0" w:space="0"/>
                <w:bottom w:val="none" w:color="000000" w:sz="0" w:space="0"/>
                <w:right w:val="none" w:color="000000" w:sz="0" w:space="0"/>
              </w:pBdr>
              <w:spacing w:line="85" w:lineRule="atLeast"/>
              <w:ind w:right="-24"/>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（4）节目单内容较简单，演出类型较为单一，人员安排存在小瑕疵，演出时长稍有偏差，方案合理性、内容质量、可操作性一般，勉强能保障项目实施得</w:t>
            </w:r>
            <w:r>
              <w:rPr>
                <w:rFonts w:hint="eastAsia" w:ascii="仿宋" w:hAnsi="仿宋" w:eastAsia="仿宋" w:cs="仿宋"/>
                <w:sz w:val="22"/>
                <w:szCs w:val="22"/>
                <w:highlight w:val="none"/>
                <w:lang w:val="en-US" w:eastAsia="zh-CN"/>
              </w:rPr>
              <w:t>3</w:t>
            </w:r>
            <w:r>
              <w:rPr>
                <w:rFonts w:hint="eastAsia" w:ascii="仿宋" w:hAnsi="仿宋" w:eastAsia="仿宋" w:cs="仿宋"/>
                <w:sz w:val="22"/>
                <w:szCs w:val="22"/>
                <w:highlight w:val="none"/>
              </w:rPr>
              <w:t>分；</w:t>
            </w:r>
          </w:p>
          <w:p w14:paraId="00BFBF29">
            <w:pPr>
              <w:pBdr>
                <w:top w:val="none" w:color="000000" w:sz="0" w:space="0"/>
                <w:left w:val="none" w:color="000000" w:sz="0" w:space="0"/>
                <w:bottom w:val="none" w:color="000000" w:sz="0" w:space="0"/>
                <w:right w:val="none" w:color="000000" w:sz="0" w:space="0"/>
              </w:pBdr>
              <w:spacing w:line="85" w:lineRule="atLeast"/>
              <w:ind w:right="-24"/>
              <w:jc w:val="left"/>
              <w:rPr>
                <w:rFonts w:hint="eastAsia" w:ascii="仿宋" w:hAnsi="仿宋" w:eastAsia="仿宋" w:cs="仿宋"/>
                <w:highlight w:val="none"/>
              </w:rPr>
            </w:pPr>
            <w:r>
              <w:rPr>
                <w:rFonts w:hint="eastAsia" w:ascii="仿宋" w:hAnsi="仿宋" w:eastAsia="仿宋" w:cs="仿宋"/>
                <w:sz w:val="22"/>
                <w:szCs w:val="22"/>
                <w:highlight w:val="none"/>
              </w:rPr>
              <w:t>未提供不得分。</w:t>
            </w:r>
          </w:p>
        </w:tc>
        <w:tc>
          <w:tcPr>
            <w:tcW w:w="908" w:type="dxa"/>
            <w:tcBorders>
              <w:top w:val="single" w:color="auto" w:sz="4"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00BFBF2A">
            <w:pPr>
              <w:pBdr>
                <w:top w:val="none" w:color="000000" w:sz="0" w:space="0"/>
                <w:left w:val="none" w:color="000000" w:sz="0" w:space="0"/>
                <w:bottom w:val="none" w:color="000000" w:sz="0" w:space="0"/>
                <w:right w:val="none" w:color="000000" w:sz="0" w:space="0"/>
              </w:pBdr>
              <w:spacing w:line="85" w:lineRule="atLeast"/>
              <w:jc w:val="center"/>
              <w:rPr>
                <w:rFonts w:hint="eastAsia" w:ascii="仿宋" w:hAnsi="仿宋" w:eastAsia="仿宋" w:cs="仿宋"/>
                <w:bCs/>
                <w:highlight w:val="none"/>
              </w:rPr>
            </w:pPr>
            <w:r>
              <w:rPr>
                <w:rFonts w:hint="eastAsia" w:ascii="仿宋" w:hAnsi="仿宋" w:eastAsia="仿宋" w:cs="仿宋"/>
                <w:bCs/>
                <w:highlight w:val="none"/>
                <w:lang w:val="en-US" w:eastAsia="zh-CN"/>
              </w:rPr>
              <w:t>12</w:t>
            </w:r>
            <w:r>
              <w:rPr>
                <w:rFonts w:hint="eastAsia" w:ascii="仿宋" w:hAnsi="仿宋" w:eastAsia="仿宋" w:cs="仿宋"/>
                <w:bCs/>
                <w:color w:val="000000"/>
                <w:sz w:val="22"/>
                <w:highlight w:val="none"/>
              </w:rPr>
              <w:t>分</w:t>
            </w:r>
          </w:p>
        </w:tc>
      </w:tr>
      <w:tr w14:paraId="00BFBF3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90" w:hRule="atLeast"/>
          <w:jc w:val="center"/>
        </w:trPr>
        <w:tc>
          <w:tcPr>
            <w:tcW w:w="437" w:type="dxa"/>
            <w:vMerge w:val="continue"/>
            <w:tcBorders>
              <w:left w:val="single" w:color="000000" w:sz="8" w:space="0"/>
              <w:right w:val="single" w:color="000000" w:sz="8" w:space="0"/>
            </w:tcBorders>
            <w:tcMar>
              <w:top w:w="0" w:type="dxa"/>
              <w:left w:w="108" w:type="dxa"/>
              <w:bottom w:w="0" w:type="dxa"/>
              <w:right w:w="108" w:type="dxa"/>
            </w:tcMar>
            <w:vAlign w:val="center"/>
          </w:tcPr>
          <w:p w14:paraId="00BFBF2C">
            <w:pPr>
              <w:pBdr>
                <w:top w:val="none" w:color="000000" w:sz="0" w:space="0"/>
                <w:left w:val="none" w:color="000000" w:sz="0" w:space="0"/>
                <w:bottom w:val="none" w:color="000000" w:sz="0" w:space="0"/>
                <w:right w:val="none" w:color="000000" w:sz="0" w:space="0"/>
              </w:pBdr>
              <w:spacing w:line="85" w:lineRule="atLeast"/>
              <w:ind w:right="-24"/>
              <w:jc w:val="center"/>
              <w:rPr>
                <w:rFonts w:hint="eastAsia" w:ascii="仿宋" w:hAnsi="仿宋" w:eastAsia="仿宋" w:cs="仿宋"/>
                <w:b/>
                <w:color w:val="000000"/>
                <w:sz w:val="22"/>
                <w:highlight w:val="none"/>
              </w:rPr>
            </w:pPr>
          </w:p>
        </w:tc>
        <w:tc>
          <w:tcPr>
            <w:tcW w:w="188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00BFBF2D">
            <w:pPr>
              <w:pBdr>
                <w:top w:val="none" w:color="000000" w:sz="0" w:space="0"/>
                <w:left w:val="none" w:color="000000" w:sz="0" w:space="0"/>
                <w:bottom w:val="none" w:color="000000" w:sz="0" w:space="0"/>
                <w:right w:val="none" w:color="000000" w:sz="0" w:space="0"/>
              </w:pBdr>
              <w:jc w:val="center"/>
              <w:rPr>
                <w:rFonts w:hint="eastAsia" w:ascii="仿宋" w:hAnsi="仿宋" w:eastAsia="仿宋" w:cs="仿宋"/>
                <w:b/>
                <w:color w:val="000000"/>
                <w:sz w:val="22"/>
                <w:highlight w:val="none"/>
              </w:rPr>
            </w:pPr>
            <w:r>
              <w:rPr>
                <w:rFonts w:hint="eastAsia" w:ascii="仿宋" w:hAnsi="仿宋" w:eastAsia="仿宋" w:cs="仿宋"/>
                <w:b/>
                <w:bCs/>
                <w:highlight w:val="none"/>
              </w:rPr>
              <w:t>服务方案</w:t>
            </w:r>
          </w:p>
        </w:tc>
        <w:tc>
          <w:tcPr>
            <w:tcW w:w="6404"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00BFBF2E">
            <w:pPr>
              <w:pBdr>
                <w:top w:val="none" w:color="000000" w:sz="0" w:space="0"/>
                <w:left w:val="none" w:color="000000" w:sz="0" w:space="0"/>
                <w:bottom w:val="none" w:color="000000" w:sz="0" w:space="0"/>
                <w:right w:val="none" w:color="000000" w:sz="0" w:space="0"/>
              </w:pBdr>
              <w:spacing w:line="85" w:lineRule="atLeast"/>
              <w:ind w:right="-24"/>
              <w:jc w:val="left"/>
              <w:rPr>
                <w:rFonts w:hint="eastAsia" w:ascii="仿宋" w:hAnsi="仿宋" w:eastAsia="仿宋" w:cs="仿宋"/>
                <w:kern w:val="2"/>
                <w:sz w:val="22"/>
                <w:szCs w:val="22"/>
                <w:highlight w:val="none"/>
              </w:rPr>
            </w:pPr>
            <w:r>
              <w:rPr>
                <w:rFonts w:hint="eastAsia" w:ascii="仿宋" w:hAnsi="仿宋" w:eastAsia="仿宋" w:cs="仿宋"/>
                <w:kern w:val="2"/>
                <w:sz w:val="22"/>
                <w:szCs w:val="22"/>
                <w:highlight w:val="none"/>
              </w:rPr>
              <w:t>投标人提供详细的项目整体实施方案，包括：服装道具方案、安全保障方案、交通等解决方案，由评委根据方案的完整性、科学性、合理性进行评分。</w:t>
            </w:r>
          </w:p>
          <w:p w14:paraId="00BFBF2F">
            <w:pPr>
              <w:pBdr>
                <w:top w:val="none" w:color="000000" w:sz="0" w:space="0"/>
                <w:left w:val="none" w:color="000000" w:sz="0" w:space="0"/>
                <w:bottom w:val="none" w:color="000000" w:sz="0" w:space="0"/>
                <w:right w:val="none" w:color="000000" w:sz="0" w:space="0"/>
              </w:pBdr>
              <w:spacing w:line="85" w:lineRule="atLeast"/>
              <w:ind w:right="-24"/>
              <w:jc w:val="left"/>
              <w:rPr>
                <w:rFonts w:hint="eastAsia" w:ascii="仿宋" w:hAnsi="仿宋" w:eastAsia="仿宋" w:cs="仿宋"/>
                <w:kern w:val="2"/>
                <w:sz w:val="22"/>
                <w:szCs w:val="22"/>
                <w:highlight w:val="none"/>
              </w:rPr>
            </w:pPr>
            <w:r>
              <w:rPr>
                <w:rFonts w:hint="eastAsia" w:ascii="仿宋" w:hAnsi="仿宋" w:eastAsia="仿宋" w:cs="仿宋"/>
                <w:kern w:val="2"/>
                <w:sz w:val="22"/>
                <w:szCs w:val="22"/>
                <w:highlight w:val="none"/>
              </w:rPr>
              <w:t>（1）方案内容完整详实，从细节到整体规划周全，制定依据科学合理，充分考虑实际情况，切实可行得</w:t>
            </w:r>
            <w:r>
              <w:rPr>
                <w:rFonts w:hint="eastAsia" w:ascii="仿宋" w:hAnsi="仿宋" w:eastAsia="仿宋" w:cs="仿宋"/>
                <w:kern w:val="2"/>
                <w:sz w:val="22"/>
                <w:szCs w:val="22"/>
                <w:highlight w:val="none"/>
                <w:lang w:val="en-US" w:eastAsia="zh-CN"/>
              </w:rPr>
              <w:t>11</w:t>
            </w:r>
            <w:r>
              <w:rPr>
                <w:rFonts w:hint="eastAsia" w:ascii="仿宋" w:hAnsi="仿宋" w:eastAsia="仿宋" w:cs="仿宋"/>
                <w:kern w:val="2"/>
                <w:sz w:val="22"/>
                <w:szCs w:val="22"/>
                <w:highlight w:val="none"/>
              </w:rPr>
              <w:t>分；</w:t>
            </w:r>
          </w:p>
          <w:p w14:paraId="00BFBF30">
            <w:pPr>
              <w:pBdr>
                <w:top w:val="none" w:color="000000" w:sz="0" w:space="0"/>
                <w:left w:val="none" w:color="000000" w:sz="0" w:space="0"/>
                <w:bottom w:val="none" w:color="000000" w:sz="0" w:space="0"/>
                <w:right w:val="none" w:color="000000" w:sz="0" w:space="0"/>
              </w:pBdr>
              <w:spacing w:line="85" w:lineRule="atLeast"/>
              <w:ind w:right="-24"/>
              <w:jc w:val="left"/>
              <w:rPr>
                <w:rFonts w:hint="eastAsia" w:ascii="仿宋" w:hAnsi="仿宋" w:eastAsia="仿宋" w:cs="仿宋"/>
                <w:kern w:val="2"/>
                <w:sz w:val="22"/>
                <w:szCs w:val="22"/>
                <w:highlight w:val="none"/>
              </w:rPr>
            </w:pPr>
            <w:r>
              <w:rPr>
                <w:rFonts w:hint="eastAsia" w:ascii="仿宋" w:hAnsi="仿宋" w:eastAsia="仿宋" w:cs="仿宋"/>
                <w:kern w:val="2"/>
                <w:sz w:val="22"/>
                <w:szCs w:val="22"/>
                <w:highlight w:val="none"/>
              </w:rPr>
              <w:t>（2）方案完整性较好，关键部分无缺失，制定思路科学，虽有小细节可优化，但整体合理性、可行性较高得</w:t>
            </w:r>
            <w:r>
              <w:rPr>
                <w:rFonts w:hint="eastAsia" w:ascii="仿宋" w:hAnsi="仿宋" w:eastAsia="仿宋" w:cs="仿宋"/>
                <w:kern w:val="2"/>
                <w:sz w:val="22"/>
                <w:szCs w:val="22"/>
                <w:highlight w:val="none"/>
                <w:lang w:val="en-US" w:eastAsia="zh-CN"/>
              </w:rPr>
              <w:t>8</w:t>
            </w:r>
            <w:r>
              <w:rPr>
                <w:rFonts w:hint="eastAsia" w:ascii="仿宋" w:hAnsi="仿宋" w:eastAsia="仿宋" w:cs="仿宋"/>
                <w:kern w:val="2"/>
                <w:sz w:val="22"/>
                <w:szCs w:val="22"/>
                <w:highlight w:val="none"/>
              </w:rPr>
              <w:t>分；</w:t>
            </w:r>
          </w:p>
          <w:p w14:paraId="00BFBF31">
            <w:pPr>
              <w:pBdr>
                <w:top w:val="none" w:color="000000" w:sz="0" w:space="0"/>
                <w:left w:val="none" w:color="000000" w:sz="0" w:space="0"/>
                <w:bottom w:val="none" w:color="000000" w:sz="0" w:space="0"/>
                <w:right w:val="none" w:color="000000" w:sz="0" w:space="0"/>
              </w:pBdr>
              <w:spacing w:line="85" w:lineRule="atLeast"/>
              <w:ind w:right="-24"/>
              <w:jc w:val="left"/>
              <w:rPr>
                <w:rFonts w:hint="eastAsia" w:ascii="仿宋" w:hAnsi="仿宋" w:eastAsia="仿宋" w:cs="仿宋"/>
                <w:kern w:val="2"/>
                <w:sz w:val="22"/>
                <w:szCs w:val="22"/>
                <w:highlight w:val="none"/>
              </w:rPr>
            </w:pPr>
            <w:r>
              <w:rPr>
                <w:rFonts w:hint="eastAsia" w:ascii="仿宋" w:hAnsi="仿宋" w:eastAsia="仿宋" w:cs="仿宋"/>
                <w:kern w:val="2"/>
                <w:sz w:val="22"/>
                <w:szCs w:val="22"/>
                <w:highlight w:val="none"/>
              </w:rPr>
              <w:t>（3）方案基本完整，涵盖主要内容，有一定科学依据，不过部分环节合理性欠佳，操作时需适当调整得</w:t>
            </w:r>
            <w:r>
              <w:rPr>
                <w:rFonts w:hint="eastAsia" w:ascii="仿宋" w:hAnsi="仿宋" w:eastAsia="仿宋" w:cs="仿宋"/>
                <w:kern w:val="2"/>
                <w:sz w:val="22"/>
                <w:szCs w:val="22"/>
                <w:highlight w:val="none"/>
                <w:lang w:val="en-US" w:eastAsia="zh-CN"/>
              </w:rPr>
              <w:t>5</w:t>
            </w:r>
            <w:r>
              <w:rPr>
                <w:rFonts w:hint="eastAsia" w:ascii="仿宋" w:hAnsi="仿宋" w:eastAsia="仿宋" w:cs="仿宋"/>
                <w:kern w:val="2"/>
                <w:sz w:val="22"/>
                <w:szCs w:val="22"/>
                <w:highlight w:val="none"/>
              </w:rPr>
              <w:t>分；</w:t>
            </w:r>
          </w:p>
          <w:p w14:paraId="00BFBF32">
            <w:pPr>
              <w:pBdr>
                <w:top w:val="none" w:color="000000" w:sz="0" w:space="0"/>
                <w:left w:val="none" w:color="000000" w:sz="0" w:space="0"/>
                <w:bottom w:val="none" w:color="000000" w:sz="0" w:space="0"/>
                <w:right w:val="none" w:color="000000" w:sz="0" w:space="0"/>
              </w:pBdr>
              <w:spacing w:line="85" w:lineRule="atLeast"/>
              <w:ind w:right="-24"/>
              <w:jc w:val="left"/>
              <w:rPr>
                <w:rFonts w:hint="eastAsia" w:ascii="仿宋" w:hAnsi="仿宋" w:eastAsia="仿宋" w:cs="仿宋"/>
                <w:kern w:val="2"/>
                <w:sz w:val="22"/>
                <w:szCs w:val="22"/>
                <w:highlight w:val="none"/>
              </w:rPr>
            </w:pPr>
            <w:r>
              <w:rPr>
                <w:rFonts w:hint="eastAsia" w:ascii="仿宋" w:hAnsi="仿宋" w:eastAsia="仿宋" w:cs="仿宋"/>
                <w:kern w:val="2"/>
                <w:sz w:val="22"/>
                <w:szCs w:val="22"/>
                <w:highlight w:val="none"/>
              </w:rPr>
              <w:t>（4）方案内容有缺失，关键内容阐述不充分，科学性存疑，合理性不足，实施过程中问题较多得</w:t>
            </w:r>
            <w:r>
              <w:rPr>
                <w:rFonts w:hint="eastAsia" w:ascii="仿宋" w:hAnsi="仿宋" w:eastAsia="仿宋" w:cs="仿宋"/>
                <w:kern w:val="2"/>
                <w:sz w:val="22"/>
                <w:szCs w:val="22"/>
                <w:highlight w:val="none"/>
                <w:lang w:val="en-US" w:eastAsia="zh-CN"/>
              </w:rPr>
              <w:t>2</w:t>
            </w:r>
            <w:r>
              <w:rPr>
                <w:rFonts w:hint="eastAsia" w:ascii="仿宋" w:hAnsi="仿宋" w:eastAsia="仿宋" w:cs="仿宋"/>
                <w:kern w:val="2"/>
                <w:sz w:val="22"/>
                <w:szCs w:val="22"/>
                <w:highlight w:val="none"/>
              </w:rPr>
              <w:t>分；</w:t>
            </w:r>
          </w:p>
          <w:p w14:paraId="00BFBF34">
            <w:pPr>
              <w:pBdr>
                <w:top w:val="none" w:color="000000" w:sz="0" w:space="0"/>
                <w:left w:val="none" w:color="000000" w:sz="0" w:space="0"/>
                <w:bottom w:val="none" w:color="000000" w:sz="0" w:space="0"/>
                <w:right w:val="none" w:color="000000" w:sz="0" w:space="0"/>
              </w:pBdr>
              <w:spacing w:line="85" w:lineRule="atLeast"/>
              <w:ind w:right="-24"/>
              <w:jc w:val="left"/>
              <w:rPr>
                <w:rFonts w:hint="eastAsia" w:ascii="仿宋" w:hAnsi="仿宋" w:eastAsia="仿宋" w:cs="仿宋"/>
                <w:kern w:val="2"/>
                <w:sz w:val="22"/>
                <w:szCs w:val="22"/>
                <w:highlight w:val="none"/>
              </w:rPr>
            </w:pPr>
            <w:r>
              <w:rPr>
                <w:rFonts w:hint="eastAsia" w:ascii="仿宋" w:hAnsi="仿宋" w:eastAsia="仿宋" w:cs="仿宋"/>
                <w:sz w:val="22"/>
                <w:szCs w:val="22"/>
                <w:highlight w:val="none"/>
              </w:rPr>
              <w:t>未提供不得分。</w:t>
            </w:r>
          </w:p>
        </w:tc>
        <w:tc>
          <w:tcPr>
            <w:tcW w:w="90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00BFBF35">
            <w:pPr>
              <w:pBdr>
                <w:top w:val="none" w:color="000000" w:sz="0" w:space="0"/>
                <w:left w:val="none" w:color="000000" w:sz="0" w:space="0"/>
                <w:bottom w:val="none" w:color="000000" w:sz="0" w:space="0"/>
                <w:right w:val="none" w:color="000000" w:sz="0" w:space="0"/>
              </w:pBdr>
              <w:spacing w:line="85" w:lineRule="atLeast"/>
              <w:jc w:val="center"/>
              <w:rPr>
                <w:rFonts w:hint="eastAsia" w:ascii="仿宋" w:hAnsi="仿宋" w:eastAsia="仿宋" w:cs="仿宋"/>
                <w:bCs/>
                <w:color w:val="000000"/>
                <w:sz w:val="22"/>
                <w:highlight w:val="none"/>
              </w:rPr>
            </w:pPr>
            <w:r>
              <w:rPr>
                <w:rFonts w:hint="eastAsia" w:ascii="仿宋" w:hAnsi="仿宋" w:eastAsia="仿宋" w:cs="仿宋"/>
                <w:bCs/>
                <w:color w:val="000000"/>
                <w:sz w:val="22"/>
                <w:highlight w:val="none"/>
                <w:lang w:val="en-US" w:eastAsia="zh-CN"/>
              </w:rPr>
              <w:t>11</w:t>
            </w:r>
            <w:r>
              <w:rPr>
                <w:rFonts w:hint="eastAsia" w:ascii="仿宋" w:hAnsi="仿宋" w:eastAsia="仿宋" w:cs="仿宋"/>
                <w:bCs/>
                <w:color w:val="000000"/>
                <w:sz w:val="22"/>
                <w:highlight w:val="none"/>
              </w:rPr>
              <w:t>分</w:t>
            </w:r>
          </w:p>
        </w:tc>
      </w:tr>
      <w:tr w14:paraId="02C78F8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63" w:hRule="atLeast"/>
          <w:jc w:val="center"/>
        </w:trPr>
        <w:tc>
          <w:tcPr>
            <w:tcW w:w="437" w:type="dxa"/>
            <w:vMerge w:val="continue"/>
            <w:tcBorders>
              <w:left w:val="single" w:color="000000" w:sz="8" w:space="0"/>
              <w:right w:val="single" w:color="000000" w:sz="8" w:space="0"/>
            </w:tcBorders>
            <w:tcMar>
              <w:top w:w="0" w:type="dxa"/>
              <w:left w:w="108" w:type="dxa"/>
              <w:bottom w:w="0" w:type="dxa"/>
              <w:right w:w="108" w:type="dxa"/>
            </w:tcMar>
            <w:vAlign w:val="center"/>
          </w:tcPr>
          <w:p w14:paraId="40794543">
            <w:pPr>
              <w:pBdr>
                <w:top w:val="none" w:color="000000" w:sz="0" w:space="0"/>
                <w:left w:val="none" w:color="000000" w:sz="0" w:space="0"/>
                <w:bottom w:val="none" w:color="000000" w:sz="0" w:space="0"/>
                <w:right w:val="none" w:color="000000" w:sz="0" w:space="0"/>
              </w:pBdr>
              <w:spacing w:line="85" w:lineRule="atLeast"/>
              <w:ind w:right="-24"/>
              <w:jc w:val="center"/>
              <w:rPr>
                <w:rFonts w:hint="eastAsia" w:ascii="仿宋" w:hAnsi="仿宋" w:eastAsia="仿宋" w:cs="仿宋"/>
                <w:b/>
                <w:color w:val="000000"/>
                <w:sz w:val="22"/>
                <w:highlight w:val="none"/>
              </w:rPr>
            </w:pPr>
          </w:p>
        </w:tc>
        <w:tc>
          <w:tcPr>
            <w:tcW w:w="188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17C18592">
            <w:pPr>
              <w:pBdr>
                <w:top w:val="none" w:color="000000" w:sz="0" w:space="0"/>
                <w:left w:val="none" w:color="000000" w:sz="0" w:space="0"/>
                <w:bottom w:val="none" w:color="000000" w:sz="0" w:space="0"/>
                <w:right w:val="none" w:color="000000" w:sz="0" w:space="0"/>
              </w:pBdr>
              <w:spacing w:line="85" w:lineRule="atLeast"/>
              <w:ind w:right="-24"/>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风险预案</w:t>
            </w:r>
          </w:p>
        </w:tc>
        <w:tc>
          <w:tcPr>
            <w:tcW w:w="6404"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767557F5">
            <w:pPr>
              <w:pBdr>
                <w:top w:val="none" w:color="000000" w:sz="0" w:space="0"/>
                <w:left w:val="none" w:color="000000" w:sz="0" w:space="0"/>
                <w:bottom w:val="none" w:color="000000" w:sz="0" w:space="0"/>
                <w:right w:val="none" w:color="000000" w:sz="0" w:space="0"/>
              </w:pBdr>
              <w:spacing w:line="85" w:lineRule="atLeast"/>
              <w:ind w:right="-24"/>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根据供应商提供的风险预案进行评分：</w:t>
            </w:r>
          </w:p>
          <w:p w14:paraId="4F2E687C">
            <w:pPr>
              <w:pBdr>
                <w:top w:val="none" w:color="000000" w:sz="0" w:space="0"/>
                <w:left w:val="none" w:color="000000" w:sz="0" w:space="0"/>
                <w:bottom w:val="none" w:color="000000" w:sz="0" w:space="0"/>
                <w:right w:val="none" w:color="000000" w:sz="0" w:space="0"/>
              </w:pBdr>
              <w:spacing w:line="85" w:lineRule="atLeast"/>
              <w:ind w:right="-24"/>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针对项目执行中可能遇到的风险有预测，并有合理可行的风险应对方案，完整详细得</w:t>
            </w:r>
            <w:r>
              <w:rPr>
                <w:rFonts w:hint="eastAsia" w:ascii="仿宋" w:hAnsi="仿宋" w:eastAsia="仿宋" w:cs="仿宋"/>
                <w:sz w:val="22"/>
                <w:szCs w:val="22"/>
                <w:highlight w:val="none"/>
                <w:lang w:val="en-US" w:eastAsia="zh-CN"/>
              </w:rPr>
              <w:t>11</w:t>
            </w:r>
            <w:r>
              <w:rPr>
                <w:rFonts w:hint="eastAsia" w:ascii="仿宋" w:hAnsi="仿宋" w:eastAsia="仿宋" w:cs="仿宋"/>
                <w:sz w:val="22"/>
                <w:szCs w:val="22"/>
                <w:highlight w:val="none"/>
              </w:rPr>
              <w:t>分；</w:t>
            </w:r>
          </w:p>
          <w:p w14:paraId="236B65B4">
            <w:pPr>
              <w:pBdr>
                <w:top w:val="none" w:color="000000" w:sz="0" w:space="0"/>
                <w:left w:val="none" w:color="000000" w:sz="0" w:space="0"/>
                <w:bottom w:val="none" w:color="000000" w:sz="0" w:space="0"/>
                <w:right w:val="none" w:color="000000" w:sz="0" w:space="0"/>
              </w:pBdr>
              <w:spacing w:line="85" w:lineRule="atLeast"/>
              <w:ind w:right="-24"/>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对项目实施过程中可能遇到的风险有合理预测，且提供</w:t>
            </w:r>
            <w:r>
              <w:rPr>
                <w:rFonts w:hint="eastAsia" w:ascii="仿宋" w:hAnsi="仿宋" w:eastAsia="仿宋" w:cs="仿宋"/>
                <w:sz w:val="22"/>
                <w:szCs w:val="22"/>
                <w:highlight w:val="none"/>
                <w:lang w:val="en-US" w:eastAsia="zh-CN"/>
              </w:rPr>
              <w:t>较好</w:t>
            </w:r>
            <w:r>
              <w:rPr>
                <w:rFonts w:hint="eastAsia" w:ascii="仿宋" w:hAnsi="仿宋" w:eastAsia="仿宋" w:cs="仿宋"/>
                <w:sz w:val="22"/>
                <w:szCs w:val="22"/>
                <w:highlight w:val="none"/>
              </w:rPr>
              <w:t>风险应对解决方案得</w:t>
            </w:r>
            <w:r>
              <w:rPr>
                <w:rFonts w:hint="eastAsia" w:ascii="仿宋" w:hAnsi="仿宋" w:eastAsia="仿宋" w:cs="仿宋"/>
                <w:sz w:val="22"/>
                <w:szCs w:val="22"/>
                <w:highlight w:val="none"/>
                <w:lang w:val="en-US" w:eastAsia="zh-CN"/>
              </w:rPr>
              <w:t>8</w:t>
            </w:r>
            <w:r>
              <w:rPr>
                <w:rFonts w:hint="eastAsia" w:ascii="仿宋" w:hAnsi="仿宋" w:eastAsia="仿宋" w:cs="仿宋"/>
                <w:sz w:val="22"/>
                <w:szCs w:val="22"/>
                <w:highlight w:val="none"/>
              </w:rPr>
              <w:t>分；</w:t>
            </w:r>
          </w:p>
          <w:p w14:paraId="7D2A780A">
            <w:pPr>
              <w:pBdr>
                <w:top w:val="none" w:color="000000" w:sz="0" w:space="0"/>
                <w:left w:val="none" w:color="000000" w:sz="0" w:space="0"/>
                <w:bottom w:val="none" w:color="000000" w:sz="0" w:space="0"/>
                <w:right w:val="none" w:color="000000" w:sz="0" w:space="0"/>
              </w:pBdr>
              <w:spacing w:line="85" w:lineRule="atLeast"/>
              <w:ind w:right="-24"/>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对项目实施过程中可能遇到的风险有</w:t>
            </w:r>
            <w:r>
              <w:rPr>
                <w:rFonts w:hint="eastAsia" w:ascii="仿宋" w:hAnsi="仿宋" w:eastAsia="仿宋" w:cs="仿宋"/>
                <w:sz w:val="22"/>
                <w:szCs w:val="22"/>
                <w:highlight w:val="none"/>
                <w:lang w:val="en-US" w:eastAsia="zh-CN"/>
              </w:rPr>
              <w:t>基本</w:t>
            </w:r>
            <w:r>
              <w:rPr>
                <w:rFonts w:hint="eastAsia" w:ascii="仿宋" w:hAnsi="仿宋" w:eastAsia="仿宋" w:cs="仿宋"/>
                <w:sz w:val="22"/>
                <w:szCs w:val="22"/>
                <w:highlight w:val="none"/>
              </w:rPr>
              <w:t>预测，提供风险应对基本解决方案得</w:t>
            </w:r>
            <w:r>
              <w:rPr>
                <w:rFonts w:hint="eastAsia" w:ascii="仿宋" w:hAnsi="仿宋" w:eastAsia="仿宋" w:cs="仿宋"/>
                <w:sz w:val="22"/>
                <w:szCs w:val="22"/>
                <w:highlight w:val="none"/>
                <w:lang w:val="en-US" w:eastAsia="zh-CN"/>
              </w:rPr>
              <w:t>5</w:t>
            </w:r>
            <w:r>
              <w:rPr>
                <w:rFonts w:hint="eastAsia" w:ascii="仿宋" w:hAnsi="仿宋" w:eastAsia="仿宋" w:cs="仿宋"/>
                <w:sz w:val="22"/>
                <w:szCs w:val="22"/>
                <w:highlight w:val="none"/>
              </w:rPr>
              <w:t>分；</w:t>
            </w:r>
          </w:p>
          <w:p w14:paraId="4D781005">
            <w:pPr>
              <w:pBdr>
                <w:top w:val="none" w:color="000000" w:sz="0" w:space="0"/>
                <w:left w:val="none" w:color="000000" w:sz="0" w:space="0"/>
                <w:bottom w:val="none" w:color="000000" w:sz="0" w:space="0"/>
                <w:right w:val="none" w:color="000000" w:sz="0" w:space="0"/>
              </w:pBdr>
              <w:spacing w:line="85" w:lineRule="atLeast"/>
              <w:ind w:right="-24"/>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对项目实施过程中可能遇到的风险有一定程度了解得2分；</w:t>
            </w:r>
          </w:p>
          <w:p w14:paraId="563D7420">
            <w:pPr>
              <w:pBdr>
                <w:top w:val="none" w:color="000000" w:sz="0" w:space="0"/>
                <w:left w:val="none" w:color="000000" w:sz="0" w:space="0"/>
                <w:bottom w:val="none" w:color="000000" w:sz="0" w:space="0"/>
                <w:right w:val="none" w:color="000000" w:sz="0" w:space="0"/>
              </w:pBdr>
              <w:spacing w:line="85" w:lineRule="atLeast"/>
              <w:ind w:right="-24"/>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未提供不得分。</w:t>
            </w:r>
          </w:p>
        </w:tc>
        <w:tc>
          <w:tcPr>
            <w:tcW w:w="90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3A53FCD7">
            <w:pPr>
              <w:pBdr>
                <w:top w:val="none" w:color="000000" w:sz="0" w:space="0"/>
                <w:left w:val="none" w:color="000000" w:sz="0" w:space="0"/>
                <w:bottom w:val="none" w:color="000000" w:sz="0" w:space="0"/>
                <w:right w:val="none" w:color="000000" w:sz="0" w:space="0"/>
              </w:pBdr>
              <w:spacing w:line="85" w:lineRule="atLeast"/>
              <w:jc w:val="center"/>
              <w:rPr>
                <w:rFonts w:hint="default" w:ascii="仿宋" w:hAnsi="仿宋" w:eastAsia="仿宋" w:cs="仿宋"/>
                <w:bCs/>
                <w:color w:val="000000"/>
                <w:sz w:val="22"/>
                <w:highlight w:val="none"/>
                <w:lang w:val="en-US" w:eastAsia="zh-CN"/>
              </w:rPr>
            </w:pPr>
            <w:r>
              <w:rPr>
                <w:rFonts w:hint="eastAsia" w:ascii="仿宋" w:hAnsi="仿宋" w:eastAsia="仿宋" w:cs="仿宋"/>
                <w:bCs/>
                <w:color w:val="000000"/>
                <w:sz w:val="22"/>
                <w:highlight w:val="none"/>
                <w:lang w:val="en-US" w:eastAsia="zh-CN"/>
              </w:rPr>
              <w:t>11</w:t>
            </w:r>
          </w:p>
        </w:tc>
      </w:tr>
      <w:tr w14:paraId="13F991E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63" w:hRule="atLeast"/>
          <w:jc w:val="center"/>
        </w:trPr>
        <w:tc>
          <w:tcPr>
            <w:tcW w:w="437" w:type="dxa"/>
            <w:vMerge w:val="continue"/>
            <w:tcBorders>
              <w:left w:val="single" w:color="000000" w:sz="8" w:space="0"/>
              <w:right w:val="single" w:color="000000" w:sz="8" w:space="0"/>
            </w:tcBorders>
            <w:tcMar>
              <w:top w:w="0" w:type="dxa"/>
              <w:left w:w="108" w:type="dxa"/>
              <w:bottom w:w="0" w:type="dxa"/>
              <w:right w:w="108" w:type="dxa"/>
            </w:tcMar>
            <w:vAlign w:val="center"/>
          </w:tcPr>
          <w:p w14:paraId="7FF92D37">
            <w:pPr>
              <w:pBdr>
                <w:top w:val="none" w:color="000000" w:sz="0" w:space="0"/>
                <w:left w:val="none" w:color="000000" w:sz="0" w:space="0"/>
                <w:bottom w:val="none" w:color="000000" w:sz="0" w:space="0"/>
                <w:right w:val="none" w:color="000000" w:sz="0" w:space="0"/>
              </w:pBdr>
              <w:spacing w:line="85" w:lineRule="atLeast"/>
              <w:ind w:right="-24"/>
              <w:jc w:val="center"/>
              <w:rPr>
                <w:rFonts w:hint="eastAsia" w:ascii="仿宋" w:hAnsi="仿宋" w:eastAsia="仿宋" w:cs="仿宋"/>
                <w:b/>
                <w:color w:val="000000"/>
                <w:sz w:val="22"/>
                <w:highlight w:val="none"/>
              </w:rPr>
            </w:pPr>
          </w:p>
        </w:tc>
        <w:tc>
          <w:tcPr>
            <w:tcW w:w="188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3373DB15">
            <w:pPr>
              <w:pBdr>
                <w:top w:val="none" w:color="000000" w:sz="0" w:space="0"/>
                <w:left w:val="none" w:color="000000" w:sz="0" w:space="0"/>
                <w:bottom w:val="none" w:color="000000" w:sz="0" w:space="0"/>
                <w:right w:val="none" w:color="000000" w:sz="0" w:space="0"/>
              </w:pBdr>
              <w:spacing w:line="85" w:lineRule="atLeast"/>
              <w:ind w:right="-24"/>
              <w:jc w:val="left"/>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rPr>
              <w:t>安全管理</w:t>
            </w:r>
            <w:r>
              <w:rPr>
                <w:rFonts w:hint="eastAsia" w:ascii="仿宋" w:hAnsi="仿宋" w:eastAsia="仿宋" w:cs="仿宋"/>
                <w:sz w:val="22"/>
                <w:szCs w:val="22"/>
                <w:highlight w:val="none"/>
                <w:lang w:val="en-US" w:eastAsia="zh-CN"/>
              </w:rPr>
              <w:t>预案</w:t>
            </w:r>
          </w:p>
        </w:tc>
        <w:tc>
          <w:tcPr>
            <w:tcW w:w="6404"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0592DC22">
            <w:pPr>
              <w:pBdr>
                <w:top w:val="none" w:color="000000" w:sz="0" w:space="0"/>
                <w:left w:val="none" w:color="000000" w:sz="0" w:space="0"/>
                <w:bottom w:val="none" w:color="000000" w:sz="0" w:space="0"/>
                <w:right w:val="none" w:color="000000" w:sz="0" w:space="0"/>
              </w:pBdr>
              <w:spacing w:line="85" w:lineRule="atLeast"/>
              <w:ind w:right="-24"/>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安全管理：演出现场管理并承担演出期间的安全生产责任，同时具有完善的安全保卫工作方案和灭火、应急疏散预案，方案内容完整明确得</w:t>
            </w:r>
            <w:r>
              <w:rPr>
                <w:rFonts w:hint="eastAsia" w:ascii="仿宋" w:hAnsi="仿宋" w:eastAsia="仿宋" w:cs="仿宋"/>
                <w:sz w:val="22"/>
                <w:szCs w:val="22"/>
                <w:highlight w:val="none"/>
                <w:lang w:val="en-US" w:eastAsia="zh-CN"/>
              </w:rPr>
              <w:t>11</w:t>
            </w:r>
            <w:r>
              <w:rPr>
                <w:rFonts w:hint="eastAsia" w:ascii="仿宋" w:hAnsi="仿宋" w:eastAsia="仿宋" w:cs="仿宋"/>
                <w:sz w:val="22"/>
                <w:szCs w:val="22"/>
                <w:highlight w:val="none"/>
              </w:rPr>
              <w:t>分；</w:t>
            </w:r>
          </w:p>
          <w:p w14:paraId="2717465F">
            <w:pPr>
              <w:pBdr>
                <w:top w:val="none" w:color="000000" w:sz="0" w:space="0"/>
                <w:left w:val="none" w:color="000000" w:sz="0" w:space="0"/>
                <w:bottom w:val="none" w:color="000000" w:sz="0" w:space="0"/>
                <w:right w:val="none" w:color="000000" w:sz="0" w:space="0"/>
              </w:pBdr>
              <w:spacing w:line="85" w:lineRule="atLeast"/>
              <w:ind w:right="-24"/>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方案内容较完整明确得</w:t>
            </w:r>
            <w:r>
              <w:rPr>
                <w:rFonts w:hint="eastAsia" w:ascii="仿宋" w:hAnsi="仿宋" w:eastAsia="仿宋" w:cs="仿宋"/>
                <w:sz w:val="22"/>
                <w:szCs w:val="22"/>
                <w:highlight w:val="none"/>
                <w:lang w:val="en-US" w:eastAsia="zh-CN"/>
              </w:rPr>
              <w:t>8</w:t>
            </w:r>
            <w:r>
              <w:rPr>
                <w:rFonts w:hint="eastAsia" w:ascii="仿宋" w:hAnsi="仿宋" w:eastAsia="仿宋" w:cs="仿宋"/>
                <w:sz w:val="22"/>
                <w:szCs w:val="22"/>
                <w:highlight w:val="none"/>
              </w:rPr>
              <w:t>分；</w:t>
            </w:r>
          </w:p>
          <w:p w14:paraId="45F5B554">
            <w:pPr>
              <w:pBdr>
                <w:top w:val="none" w:color="000000" w:sz="0" w:space="0"/>
                <w:left w:val="none" w:color="000000" w:sz="0" w:space="0"/>
                <w:bottom w:val="none" w:color="000000" w:sz="0" w:space="0"/>
                <w:right w:val="none" w:color="000000" w:sz="0" w:space="0"/>
              </w:pBdr>
              <w:spacing w:line="85" w:lineRule="atLeast"/>
              <w:ind w:right="-24"/>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方案内容较</w:t>
            </w:r>
            <w:r>
              <w:rPr>
                <w:rFonts w:hint="eastAsia" w:ascii="仿宋" w:hAnsi="仿宋" w:eastAsia="仿宋" w:cs="仿宋"/>
                <w:sz w:val="22"/>
                <w:szCs w:val="22"/>
                <w:highlight w:val="none"/>
                <w:lang w:val="en-US" w:eastAsia="zh-CN"/>
              </w:rPr>
              <w:t>简单</w:t>
            </w:r>
            <w:r>
              <w:rPr>
                <w:rFonts w:hint="eastAsia" w:ascii="仿宋" w:hAnsi="仿宋" w:eastAsia="仿宋" w:cs="仿宋"/>
                <w:sz w:val="22"/>
                <w:szCs w:val="22"/>
                <w:highlight w:val="none"/>
              </w:rPr>
              <w:t>得</w:t>
            </w:r>
            <w:r>
              <w:rPr>
                <w:rFonts w:hint="eastAsia" w:ascii="仿宋" w:hAnsi="仿宋" w:eastAsia="仿宋" w:cs="仿宋"/>
                <w:sz w:val="22"/>
                <w:szCs w:val="22"/>
                <w:highlight w:val="none"/>
                <w:lang w:val="en-US" w:eastAsia="zh-CN"/>
              </w:rPr>
              <w:t>5</w:t>
            </w:r>
            <w:r>
              <w:rPr>
                <w:rFonts w:hint="eastAsia" w:ascii="仿宋" w:hAnsi="仿宋" w:eastAsia="仿宋" w:cs="仿宋"/>
                <w:sz w:val="22"/>
                <w:szCs w:val="22"/>
                <w:highlight w:val="none"/>
              </w:rPr>
              <w:t>分；</w:t>
            </w:r>
          </w:p>
          <w:p w14:paraId="37B4C7B3">
            <w:pPr>
              <w:pBdr>
                <w:top w:val="none" w:color="000000" w:sz="0" w:space="0"/>
                <w:left w:val="none" w:color="000000" w:sz="0" w:space="0"/>
                <w:bottom w:val="none" w:color="000000" w:sz="0" w:space="0"/>
                <w:right w:val="none" w:color="000000" w:sz="0" w:space="0"/>
              </w:pBdr>
              <w:spacing w:line="85" w:lineRule="atLeast"/>
              <w:ind w:right="-24"/>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方案内容不够完整明确得2分；</w:t>
            </w:r>
          </w:p>
          <w:p w14:paraId="36EE3BE6">
            <w:pPr>
              <w:pBdr>
                <w:top w:val="none" w:color="000000" w:sz="0" w:space="0"/>
                <w:left w:val="none" w:color="000000" w:sz="0" w:space="0"/>
                <w:bottom w:val="none" w:color="000000" w:sz="0" w:space="0"/>
                <w:right w:val="none" w:color="000000" w:sz="0" w:space="0"/>
              </w:pBdr>
              <w:spacing w:line="85" w:lineRule="atLeast"/>
              <w:ind w:right="-24"/>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未提供不得分。</w:t>
            </w:r>
          </w:p>
        </w:tc>
        <w:tc>
          <w:tcPr>
            <w:tcW w:w="90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3D8F7A60">
            <w:pPr>
              <w:pBdr>
                <w:top w:val="none" w:color="000000" w:sz="0" w:space="0"/>
                <w:left w:val="none" w:color="000000" w:sz="0" w:space="0"/>
                <w:bottom w:val="none" w:color="000000" w:sz="0" w:space="0"/>
                <w:right w:val="none" w:color="000000" w:sz="0" w:space="0"/>
              </w:pBdr>
              <w:spacing w:line="85" w:lineRule="atLeast"/>
              <w:jc w:val="center"/>
              <w:rPr>
                <w:rFonts w:hint="default" w:ascii="仿宋" w:hAnsi="仿宋" w:eastAsia="仿宋" w:cs="仿宋"/>
                <w:bCs/>
                <w:color w:val="000000"/>
                <w:sz w:val="22"/>
                <w:highlight w:val="none"/>
                <w:lang w:val="en-US" w:eastAsia="zh-CN"/>
              </w:rPr>
            </w:pPr>
            <w:r>
              <w:rPr>
                <w:rFonts w:hint="eastAsia" w:ascii="仿宋" w:hAnsi="仿宋" w:eastAsia="仿宋" w:cs="仿宋"/>
                <w:bCs/>
                <w:color w:val="000000"/>
                <w:sz w:val="22"/>
                <w:highlight w:val="none"/>
                <w:lang w:val="en-US" w:eastAsia="zh-CN"/>
              </w:rPr>
              <w:t>11</w:t>
            </w:r>
          </w:p>
        </w:tc>
      </w:tr>
      <w:tr w14:paraId="00BFBF4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77" w:hRule="atLeast"/>
          <w:jc w:val="center"/>
        </w:trPr>
        <w:tc>
          <w:tcPr>
            <w:tcW w:w="437"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00BFBF37">
            <w:pPr>
              <w:pBdr>
                <w:top w:val="none" w:color="000000" w:sz="0" w:space="0"/>
                <w:left w:val="none" w:color="000000" w:sz="0" w:space="0"/>
                <w:bottom w:val="none" w:color="000000" w:sz="0" w:space="0"/>
                <w:right w:val="none" w:color="000000" w:sz="0" w:space="0"/>
              </w:pBdr>
              <w:spacing w:line="85" w:lineRule="atLeast"/>
              <w:ind w:right="-24"/>
              <w:jc w:val="center"/>
              <w:rPr>
                <w:rFonts w:hint="eastAsia" w:ascii="仿宋" w:hAnsi="仿宋" w:eastAsia="仿宋" w:cs="仿宋"/>
                <w:b/>
                <w:color w:val="000000"/>
                <w:sz w:val="22"/>
                <w:highlight w:val="none"/>
              </w:rPr>
            </w:pPr>
            <w:r>
              <w:rPr>
                <w:rFonts w:hint="eastAsia" w:ascii="仿宋" w:hAnsi="仿宋" w:eastAsia="仿宋" w:cs="仿宋"/>
                <w:b/>
                <w:color w:val="000000"/>
                <w:sz w:val="22"/>
                <w:highlight w:val="none"/>
              </w:rPr>
              <w:t>3</w:t>
            </w:r>
          </w:p>
        </w:tc>
        <w:tc>
          <w:tcPr>
            <w:tcW w:w="188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00BFBF38">
            <w:pPr>
              <w:pBdr>
                <w:top w:val="none" w:color="000000" w:sz="0" w:space="0"/>
                <w:left w:val="none" w:color="000000" w:sz="0" w:space="0"/>
                <w:bottom w:val="none" w:color="000000" w:sz="0" w:space="0"/>
                <w:right w:val="none" w:color="000000" w:sz="0" w:space="0"/>
              </w:pBdr>
              <w:jc w:val="center"/>
              <w:rPr>
                <w:rFonts w:hint="eastAsia" w:ascii="仿宋" w:hAnsi="仿宋" w:eastAsia="仿宋" w:cs="仿宋"/>
                <w:b/>
                <w:color w:val="000000"/>
                <w:sz w:val="22"/>
                <w:highlight w:val="none"/>
              </w:rPr>
            </w:pPr>
            <w:r>
              <w:rPr>
                <w:rFonts w:hint="eastAsia" w:ascii="仿宋" w:hAnsi="仿宋" w:eastAsia="仿宋" w:cs="仿宋"/>
                <w:b/>
                <w:color w:val="000000"/>
                <w:sz w:val="22"/>
                <w:highlight w:val="none"/>
              </w:rPr>
              <w:t>荣誉证书</w:t>
            </w:r>
          </w:p>
        </w:tc>
        <w:tc>
          <w:tcPr>
            <w:tcW w:w="6404"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00BFBF39">
            <w:pPr>
              <w:pBdr>
                <w:top w:val="none" w:color="000000" w:sz="0" w:space="0"/>
                <w:left w:val="none" w:color="000000" w:sz="0" w:space="0"/>
                <w:bottom w:val="none" w:color="000000" w:sz="0" w:space="0"/>
                <w:right w:val="none" w:color="000000" w:sz="0" w:space="0"/>
              </w:pBdr>
              <w:spacing w:line="85" w:lineRule="atLeast"/>
              <w:ind w:right="-24"/>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根据投标人202</w:t>
            </w:r>
            <w:r>
              <w:rPr>
                <w:rFonts w:hint="eastAsia" w:ascii="仿宋" w:hAnsi="仿宋" w:eastAsia="仿宋" w:cs="仿宋"/>
                <w:sz w:val="22"/>
                <w:szCs w:val="22"/>
                <w:highlight w:val="none"/>
                <w:lang w:val="en-US" w:eastAsia="zh-CN"/>
              </w:rPr>
              <w:t>1</w:t>
            </w:r>
            <w:r>
              <w:rPr>
                <w:rFonts w:hint="eastAsia" w:ascii="仿宋" w:hAnsi="仿宋" w:eastAsia="仿宋" w:cs="仿宋"/>
                <w:sz w:val="22"/>
                <w:szCs w:val="22"/>
                <w:highlight w:val="none"/>
              </w:rPr>
              <w:t>年以来参加比赛获得荣誉证书的情况按以下标准评分：</w:t>
            </w:r>
          </w:p>
          <w:p w14:paraId="00BFBF3A">
            <w:pPr>
              <w:pBdr>
                <w:top w:val="none" w:color="000000" w:sz="0" w:space="0"/>
                <w:left w:val="none" w:color="000000" w:sz="0" w:space="0"/>
                <w:bottom w:val="none" w:color="000000" w:sz="0" w:space="0"/>
                <w:right w:val="none" w:color="000000" w:sz="0" w:space="0"/>
              </w:pBdr>
              <w:spacing w:line="85" w:lineRule="atLeast"/>
              <w:ind w:right="-24"/>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（1）文艺作品获得省级以上政府奖的（群星奖、文华奖，江苏省五星工程奖等），得</w:t>
            </w:r>
            <w:r>
              <w:rPr>
                <w:rFonts w:hint="eastAsia" w:ascii="仿宋" w:hAnsi="仿宋" w:eastAsia="仿宋" w:cs="仿宋"/>
                <w:sz w:val="22"/>
                <w:szCs w:val="22"/>
                <w:highlight w:val="none"/>
                <w:lang w:val="en-US" w:eastAsia="zh-CN"/>
              </w:rPr>
              <w:t>5</w:t>
            </w:r>
            <w:r>
              <w:rPr>
                <w:rFonts w:hint="eastAsia" w:ascii="仿宋" w:hAnsi="仿宋" w:eastAsia="仿宋" w:cs="仿宋"/>
                <w:sz w:val="22"/>
                <w:szCs w:val="22"/>
                <w:highlight w:val="none"/>
              </w:rPr>
              <w:t>分。</w:t>
            </w:r>
          </w:p>
          <w:p w14:paraId="00BFBF3B">
            <w:pPr>
              <w:pBdr>
                <w:top w:val="none" w:color="000000" w:sz="0" w:space="0"/>
                <w:left w:val="none" w:color="000000" w:sz="0" w:space="0"/>
                <w:bottom w:val="none" w:color="000000" w:sz="0" w:space="0"/>
                <w:right w:val="none" w:color="000000" w:sz="0" w:space="0"/>
              </w:pBdr>
              <w:spacing w:line="85" w:lineRule="atLeast"/>
              <w:ind w:right="-24"/>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（2）团队获得市级以上党委政府（含部委办局）综合性表彰或评估定级的（南京市五星群众文艺团队、江苏省优秀群文团队等）得</w:t>
            </w:r>
            <w:r>
              <w:rPr>
                <w:rFonts w:hint="eastAsia" w:ascii="仿宋" w:hAnsi="仿宋" w:eastAsia="仿宋" w:cs="仿宋"/>
                <w:sz w:val="22"/>
                <w:szCs w:val="22"/>
                <w:highlight w:val="none"/>
                <w:lang w:val="en-US" w:eastAsia="zh-CN"/>
              </w:rPr>
              <w:t>3</w:t>
            </w:r>
            <w:r>
              <w:rPr>
                <w:rFonts w:hint="eastAsia" w:ascii="仿宋" w:hAnsi="仿宋" w:eastAsia="仿宋" w:cs="仿宋"/>
                <w:sz w:val="22"/>
                <w:szCs w:val="22"/>
                <w:highlight w:val="none"/>
              </w:rPr>
              <w:t>分。</w:t>
            </w:r>
          </w:p>
          <w:p w14:paraId="00BFBF3C">
            <w:pPr>
              <w:pBdr>
                <w:top w:val="none" w:color="000000" w:sz="0" w:space="0"/>
                <w:left w:val="none" w:color="000000" w:sz="0" w:space="0"/>
                <w:bottom w:val="none" w:color="000000" w:sz="0" w:space="0"/>
                <w:right w:val="none" w:color="000000" w:sz="0" w:space="0"/>
              </w:pBdr>
              <w:spacing w:line="85" w:lineRule="atLeast"/>
              <w:ind w:right="-24"/>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（3）文艺作品获得市级以上党委政府（含部委办局）、群团组织奖项的，一等奖（金奖）得3分，二等奖（银奖）得2分，三等奖（铜奖）得1分。</w:t>
            </w:r>
          </w:p>
          <w:p w14:paraId="00BFBF3D">
            <w:pPr>
              <w:pBdr>
                <w:top w:val="none" w:color="000000" w:sz="0" w:space="0"/>
                <w:left w:val="none" w:color="000000" w:sz="0" w:space="0"/>
                <w:bottom w:val="none" w:color="000000" w:sz="0" w:space="0"/>
                <w:right w:val="none" w:color="000000" w:sz="0" w:space="0"/>
              </w:pBdr>
              <w:spacing w:line="85" w:lineRule="atLeast"/>
              <w:ind w:right="-24"/>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（4）主要演职人员获得市级以上党委政府（含部委办局）综合性表彰的，1人得1分，不超过2分。</w:t>
            </w:r>
          </w:p>
          <w:p w14:paraId="00BFBF3E">
            <w:pPr>
              <w:pBdr>
                <w:top w:val="none" w:color="000000" w:sz="0" w:space="0"/>
                <w:left w:val="none" w:color="000000" w:sz="0" w:space="0"/>
                <w:bottom w:val="none" w:color="000000" w:sz="0" w:space="0"/>
                <w:right w:val="none" w:color="000000" w:sz="0" w:space="0"/>
              </w:pBdr>
              <w:spacing w:line="85" w:lineRule="atLeast"/>
              <w:ind w:right="-24"/>
              <w:jc w:val="left"/>
              <w:rPr>
                <w:highlight w:val="none"/>
              </w:rPr>
            </w:pPr>
            <w:r>
              <w:rPr>
                <w:rFonts w:hint="eastAsia" w:ascii="仿宋" w:hAnsi="仿宋" w:eastAsia="仿宋" w:cs="仿宋"/>
                <w:sz w:val="22"/>
                <w:szCs w:val="22"/>
                <w:highlight w:val="none"/>
              </w:rPr>
              <w:t>（以上四项任意提供，满</w:t>
            </w:r>
            <w:r>
              <w:rPr>
                <w:rFonts w:hint="eastAsia" w:ascii="仿宋" w:hAnsi="仿宋" w:eastAsia="仿宋" w:cs="仿宋"/>
                <w:sz w:val="22"/>
                <w:szCs w:val="22"/>
                <w:highlight w:val="none"/>
                <w:lang w:val="en-US" w:eastAsia="zh-CN"/>
              </w:rPr>
              <w:t>20</w:t>
            </w:r>
            <w:r>
              <w:rPr>
                <w:rFonts w:hint="eastAsia" w:ascii="仿宋" w:hAnsi="仿宋" w:eastAsia="仿宋" w:cs="仿宋"/>
                <w:sz w:val="22"/>
                <w:szCs w:val="22"/>
                <w:highlight w:val="none"/>
              </w:rPr>
              <w:t>分，未提供不得分。）</w:t>
            </w:r>
          </w:p>
        </w:tc>
        <w:tc>
          <w:tcPr>
            <w:tcW w:w="90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00BFBF3F">
            <w:pPr>
              <w:pBdr>
                <w:top w:val="none" w:color="000000" w:sz="0" w:space="0"/>
                <w:left w:val="none" w:color="000000" w:sz="0" w:space="0"/>
                <w:bottom w:val="none" w:color="000000" w:sz="0" w:space="0"/>
                <w:right w:val="none" w:color="000000" w:sz="0" w:space="0"/>
              </w:pBdr>
              <w:spacing w:before="100" w:after="100"/>
              <w:jc w:val="center"/>
              <w:rPr>
                <w:rFonts w:hint="eastAsia" w:ascii="仿宋" w:hAnsi="仿宋" w:eastAsia="仿宋" w:cs="仿宋"/>
                <w:bCs/>
                <w:color w:val="000000"/>
                <w:sz w:val="22"/>
                <w:highlight w:val="none"/>
              </w:rPr>
            </w:pPr>
            <w:r>
              <w:rPr>
                <w:rFonts w:hint="eastAsia" w:ascii="仿宋" w:hAnsi="仿宋" w:eastAsia="仿宋" w:cs="仿宋"/>
                <w:bCs/>
                <w:color w:val="000000"/>
                <w:sz w:val="22"/>
                <w:highlight w:val="none"/>
                <w:lang w:val="en-US" w:eastAsia="zh-CN"/>
              </w:rPr>
              <w:t>20</w:t>
            </w:r>
            <w:r>
              <w:rPr>
                <w:rFonts w:hint="eastAsia" w:ascii="仿宋" w:hAnsi="仿宋" w:eastAsia="仿宋" w:cs="仿宋"/>
                <w:bCs/>
                <w:color w:val="000000"/>
                <w:sz w:val="22"/>
                <w:highlight w:val="none"/>
              </w:rPr>
              <w:t>分</w:t>
            </w:r>
          </w:p>
        </w:tc>
      </w:tr>
      <w:tr w14:paraId="00BFBF4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263" w:hRule="atLeast"/>
          <w:jc w:val="center"/>
        </w:trPr>
        <w:tc>
          <w:tcPr>
            <w:tcW w:w="437"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00BFBF41">
            <w:pPr>
              <w:pBdr>
                <w:top w:val="none" w:color="000000" w:sz="0" w:space="0"/>
                <w:left w:val="none" w:color="000000" w:sz="0" w:space="0"/>
                <w:bottom w:val="none" w:color="000000" w:sz="0" w:space="0"/>
                <w:right w:val="none" w:color="000000" w:sz="0" w:space="0"/>
              </w:pBdr>
              <w:spacing w:line="85" w:lineRule="atLeast"/>
              <w:ind w:right="-24"/>
              <w:jc w:val="center"/>
              <w:rPr>
                <w:rFonts w:hint="eastAsia" w:ascii="仿宋" w:hAnsi="仿宋" w:eastAsia="仿宋" w:cs="仿宋"/>
                <w:highlight w:val="none"/>
              </w:rPr>
            </w:pPr>
            <w:r>
              <w:rPr>
                <w:rFonts w:hint="eastAsia" w:ascii="仿宋" w:hAnsi="仿宋" w:eastAsia="仿宋" w:cs="仿宋"/>
                <w:b/>
                <w:color w:val="000000"/>
                <w:sz w:val="22"/>
                <w:highlight w:val="none"/>
              </w:rPr>
              <w:t>4</w:t>
            </w:r>
          </w:p>
        </w:tc>
        <w:tc>
          <w:tcPr>
            <w:tcW w:w="188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00BFBF42">
            <w:pPr>
              <w:pBdr>
                <w:top w:val="none" w:color="000000" w:sz="0" w:space="0"/>
                <w:left w:val="none" w:color="000000" w:sz="0" w:space="0"/>
                <w:bottom w:val="none" w:color="000000" w:sz="0" w:space="0"/>
                <w:right w:val="none" w:color="000000" w:sz="0" w:space="0"/>
              </w:pBdr>
              <w:jc w:val="center"/>
              <w:rPr>
                <w:rFonts w:hint="eastAsia" w:ascii="仿宋" w:hAnsi="仿宋" w:eastAsia="仿宋" w:cs="仿宋"/>
                <w:highlight w:val="none"/>
              </w:rPr>
            </w:pPr>
            <w:r>
              <w:rPr>
                <w:rFonts w:hint="eastAsia" w:ascii="仿宋" w:hAnsi="仿宋" w:eastAsia="仿宋" w:cs="仿宋"/>
                <w:b/>
                <w:color w:val="000000"/>
                <w:sz w:val="22"/>
                <w:highlight w:val="none"/>
              </w:rPr>
              <w:t>同类演出经验</w:t>
            </w:r>
          </w:p>
        </w:tc>
        <w:tc>
          <w:tcPr>
            <w:tcW w:w="6404"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00BFBF43">
            <w:pPr>
              <w:pBdr>
                <w:top w:val="none" w:color="000000" w:sz="0" w:space="0"/>
                <w:left w:val="none" w:color="000000" w:sz="0" w:space="0"/>
                <w:bottom w:val="none" w:color="000000" w:sz="0" w:space="0"/>
                <w:right w:val="none" w:color="000000" w:sz="0" w:space="0"/>
              </w:pBdr>
              <w:spacing w:line="85" w:lineRule="atLeast"/>
              <w:ind w:right="-24"/>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自2020年以来，承担过整场公益演出有1个得5分，承担过单个节目公益演出有1个得3分，承担经文旅部门审批的商业性整场演出有1个得5分。</w:t>
            </w:r>
            <w:r>
              <w:rPr>
                <w:rFonts w:hint="eastAsia" w:ascii="仿宋" w:hAnsi="仿宋" w:eastAsia="仿宋" w:cs="仿宋"/>
                <w:sz w:val="22"/>
                <w:szCs w:val="22"/>
                <w:highlight w:val="none"/>
                <w:lang w:val="en-US" w:eastAsia="zh-CN"/>
              </w:rPr>
              <w:t>满分</w:t>
            </w:r>
            <w:r>
              <w:rPr>
                <w:rFonts w:hint="eastAsia" w:ascii="仿宋" w:hAnsi="仿宋" w:eastAsia="仿宋" w:cs="仿宋"/>
                <w:sz w:val="22"/>
                <w:szCs w:val="22"/>
                <w:highlight w:val="none"/>
              </w:rPr>
              <w:t>20分。</w:t>
            </w:r>
          </w:p>
          <w:p w14:paraId="00BFBF44">
            <w:pPr>
              <w:pBdr>
                <w:top w:val="none" w:color="000000" w:sz="0" w:space="0"/>
                <w:left w:val="none" w:color="000000" w:sz="0" w:space="0"/>
                <w:bottom w:val="none" w:color="000000" w:sz="0" w:space="0"/>
                <w:right w:val="none" w:color="000000" w:sz="0" w:space="0"/>
              </w:pBdr>
              <w:spacing w:line="85" w:lineRule="atLeast"/>
              <w:ind w:right="-24"/>
              <w:jc w:val="left"/>
              <w:rPr>
                <w:rFonts w:hint="eastAsia" w:ascii="仿宋" w:hAnsi="仿宋" w:eastAsia="仿宋" w:cs="仿宋"/>
                <w:highlight w:val="none"/>
              </w:rPr>
            </w:pPr>
            <w:r>
              <w:rPr>
                <w:rFonts w:hint="eastAsia" w:ascii="仿宋" w:hAnsi="仿宋" w:eastAsia="仿宋" w:cs="仿宋"/>
                <w:sz w:val="22"/>
                <w:szCs w:val="22"/>
                <w:highlight w:val="none"/>
              </w:rPr>
              <w:t>（以上应提供合同或收款记录等佐证材料）</w:t>
            </w:r>
          </w:p>
        </w:tc>
        <w:tc>
          <w:tcPr>
            <w:tcW w:w="90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00BFBF45">
            <w:pPr>
              <w:pBdr>
                <w:top w:val="none" w:color="000000" w:sz="0" w:space="0"/>
                <w:left w:val="none" w:color="000000" w:sz="0" w:space="0"/>
                <w:bottom w:val="none" w:color="000000" w:sz="0" w:space="0"/>
                <w:right w:val="none" w:color="000000" w:sz="0" w:space="0"/>
              </w:pBdr>
              <w:spacing w:before="100" w:after="100"/>
              <w:jc w:val="center"/>
              <w:rPr>
                <w:rFonts w:hint="eastAsia" w:ascii="仿宋" w:hAnsi="仿宋" w:eastAsia="仿宋" w:cs="仿宋"/>
                <w:bCs/>
                <w:highlight w:val="none"/>
              </w:rPr>
            </w:pPr>
            <w:r>
              <w:rPr>
                <w:rFonts w:hint="eastAsia" w:ascii="仿宋" w:hAnsi="仿宋" w:eastAsia="仿宋" w:cs="仿宋"/>
                <w:bCs/>
                <w:color w:val="000000"/>
                <w:sz w:val="22"/>
                <w:highlight w:val="none"/>
              </w:rPr>
              <w:t>20分</w:t>
            </w:r>
          </w:p>
        </w:tc>
      </w:tr>
    </w:tbl>
    <w:p w14:paraId="00BFBF47">
      <w:pPr>
        <w:pStyle w:val="311"/>
        <w:spacing w:line="240" w:lineRule="auto"/>
        <w:ind w:firstLine="0"/>
        <w:rPr>
          <w:rFonts w:hint="eastAsia" w:ascii="仿宋" w:hAnsi="仿宋" w:eastAsia="仿宋" w:cs="仿宋"/>
          <w:b/>
          <w:bCs/>
          <w:color w:val="000000"/>
          <w:sz w:val="28"/>
          <w:szCs w:val="28"/>
          <w:highlight w:val="none"/>
          <w:lang w:eastAsia="zh-CN"/>
        </w:rPr>
      </w:pPr>
      <w:r>
        <w:rPr>
          <w:rFonts w:hint="eastAsia" w:ascii="仿宋" w:hAnsi="仿宋" w:eastAsia="仿宋" w:cs="仿宋"/>
          <w:b/>
          <w:bCs/>
          <w:color w:val="000000"/>
          <w:sz w:val="28"/>
          <w:szCs w:val="28"/>
          <w:highlight w:val="none"/>
          <w:lang w:eastAsia="zh-CN"/>
        </w:rPr>
        <w:t>二、确定第二阶段成交供应商的方式</w:t>
      </w:r>
    </w:p>
    <w:p w14:paraId="00BFBF48">
      <w:pPr>
        <w:spacing w:line="360" w:lineRule="auto"/>
        <w:ind w:firstLine="42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1.参照中华人民共和国财政部令第110号《政府采购框架协议采购方式管理暂行办法》，确定第二阶段成交供应商的方式为</w:t>
      </w:r>
      <w:r>
        <w:rPr>
          <w:rFonts w:hint="eastAsia" w:ascii="仿宋" w:hAnsi="仿宋" w:eastAsia="仿宋" w:cs="仿宋"/>
          <w:b/>
          <w:bCs/>
          <w:color w:val="000000"/>
          <w:sz w:val="24"/>
          <w:szCs w:val="24"/>
          <w:highlight w:val="none"/>
        </w:rPr>
        <w:t>直接选定</w:t>
      </w:r>
      <w:r>
        <w:rPr>
          <w:rFonts w:hint="eastAsia" w:ascii="仿宋" w:hAnsi="仿宋" w:eastAsia="仿宋" w:cs="仿宋"/>
          <w:color w:val="000000"/>
          <w:sz w:val="24"/>
          <w:szCs w:val="24"/>
          <w:highlight w:val="none"/>
        </w:rPr>
        <w:t>。由采购人依据品目种类、入围服务价格以及服务便利性、用户评价等情况等因素，从第一阶段入围供应商中直接选定。第一阶段入围供应商的协议价格是采购人确定第二阶段成交供应商的最高限价。</w:t>
      </w:r>
    </w:p>
    <w:p w14:paraId="00BFBF49">
      <w:pPr>
        <w:spacing w:line="360" w:lineRule="auto"/>
        <w:ind w:firstLine="42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2.采购人在确定成交供应商后，双方应当按照协议中规定的“采购合同文本”格式签订采购合同，不得擅自改变协议约定的合同实质性条款。</w:t>
      </w:r>
    </w:p>
    <w:p w14:paraId="00BFBF4A">
      <w:pPr>
        <w:spacing w:line="360" w:lineRule="auto"/>
        <w:ind w:firstLine="420"/>
        <w:rPr>
          <w:rFonts w:hint="eastAsia" w:ascii="仿宋" w:hAnsi="仿宋" w:eastAsia="仿宋" w:cs="仿宋"/>
          <w:color w:val="000000"/>
          <w:sz w:val="24"/>
          <w:szCs w:val="24"/>
          <w:highlight w:val="none"/>
        </w:rPr>
      </w:pPr>
    </w:p>
    <w:p w14:paraId="00BFBF4B">
      <w:pPr>
        <w:ind w:firstLine="420"/>
        <w:rPr>
          <w:rFonts w:hint="eastAsia" w:ascii="仿宋" w:hAnsi="仿宋" w:eastAsia="仿宋" w:cs="仿宋"/>
          <w:color w:val="000000"/>
          <w:sz w:val="24"/>
          <w:szCs w:val="24"/>
          <w:highlight w:val="none"/>
        </w:rPr>
      </w:pPr>
    </w:p>
    <w:p w14:paraId="00BFBF4C">
      <w:pPr>
        <w:rPr>
          <w:rFonts w:hint="eastAsia" w:ascii="仿宋" w:hAnsi="仿宋" w:eastAsia="仿宋" w:cs="仿宋"/>
          <w:color w:val="000000"/>
          <w:highlight w:val="none"/>
        </w:rPr>
      </w:pPr>
    </w:p>
    <w:p w14:paraId="00BFBF4D">
      <w:pPr>
        <w:pStyle w:val="311"/>
        <w:ind w:firstLine="0"/>
        <w:rPr>
          <w:rFonts w:hint="eastAsia" w:ascii="仿宋" w:hAnsi="仿宋" w:eastAsia="仿宋" w:cs="仿宋"/>
          <w:color w:val="000000"/>
          <w:highlight w:val="none"/>
          <w:lang w:eastAsia="zh-CN"/>
        </w:rPr>
      </w:pPr>
    </w:p>
    <w:p w14:paraId="00BFBF4E">
      <w:pPr>
        <w:rPr>
          <w:rFonts w:hint="eastAsia" w:ascii="仿宋" w:hAnsi="仿宋" w:eastAsia="仿宋" w:cs="仿宋"/>
          <w:color w:val="000000"/>
          <w:sz w:val="44"/>
          <w:szCs w:val="44"/>
          <w:highlight w:val="none"/>
        </w:rPr>
      </w:pPr>
    </w:p>
    <w:p w14:paraId="00BFBF4F">
      <w:pPr>
        <w:jc w:val="center"/>
        <w:outlineLvl w:val="0"/>
        <w:rPr>
          <w:rFonts w:hint="eastAsia" w:ascii="黑体" w:hAnsi="黑体" w:eastAsia="黑体" w:cs="黑体"/>
          <w:color w:val="000000"/>
          <w:sz w:val="44"/>
          <w:szCs w:val="44"/>
          <w:highlight w:val="none"/>
        </w:rPr>
      </w:pPr>
      <w:bookmarkStart w:id="181" w:name="_Toc4470"/>
      <w:r>
        <w:rPr>
          <w:rFonts w:hint="eastAsia" w:ascii="黑体" w:hAnsi="黑体" w:eastAsia="黑体" w:cs="黑体"/>
          <w:color w:val="000000"/>
          <w:sz w:val="44"/>
          <w:szCs w:val="44"/>
          <w:highlight w:val="none"/>
        </w:rPr>
        <w:t xml:space="preserve">第六章  </w:t>
      </w:r>
      <w:bookmarkEnd w:id="175"/>
      <w:bookmarkEnd w:id="176"/>
      <w:bookmarkEnd w:id="180"/>
      <w:r>
        <w:rPr>
          <w:rFonts w:hint="eastAsia" w:ascii="黑体" w:hAnsi="黑体" w:eastAsia="黑体" w:cs="黑体"/>
          <w:color w:val="000000"/>
          <w:sz w:val="44"/>
          <w:szCs w:val="44"/>
          <w:highlight w:val="none"/>
        </w:rPr>
        <w:t>响应文件格式</w:t>
      </w:r>
      <w:bookmarkEnd w:id="181"/>
      <w:r>
        <w:rPr>
          <w:rFonts w:hint="eastAsia" w:ascii="黑体" w:hAnsi="黑体" w:eastAsia="黑体" w:cs="黑体"/>
          <w:color w:val="000000"/>
          <w:sz w:val="44"/>
          <w:szCs w:val="44"/>
          <w:highlight w:val="none"/>
        </w:rPr>
        <w:t xml:space="preserve"> </w:t>
      </w:r>
    </w:p>
    <w:p w14:paraId="00BFBF50">
      <w:pPr>
        <w:jc w:val="center"/>
        <w:rPr>
          <w:rFonts w:hint="eastAsia" w:ascii="仿宋" w:hAnsi="仿宋" w:eastAsia="仿宋" w:cs="仿宋"/>
          <w:color w:val="000000"/>
          <w:sz w:val="72"/>
          <w:highlight w:val="none"/>
        </w:rPr>
      </w:pPr>
      <w:bookmarkStart w:id="182" w:name="_Hlt26671244"/>
      <w:bookmarkEnd w:id="182"/>
      <w:bookmarkStart w:id="183" w:name="_Hlt26955039"/>
      <w:bookmarkEnd w:id="183"/>
      <w:bookmarkStart w:id="184" w:name="_Toc26554094"/>
      <w:bookmarkStart w:id="185" w:name="_Toc49090576"/>
      <w:bookmarkStart w:id="186" w:name="_Toc120614282"/>
    </w:p>
    <w:p w14:paraId="00BFBF51">
      <w:pPr>
        <w:jc w:val="center"/>
        <w:rPr>
          <w:rFonts w:hint="eastAsia" w:ascii="仿宋" w:hAnsi="仿宋" w:eastAsia="仿宋" w:cs="仿宋"/>
          <w:color w:val="000000"/>
          <w:sz w:val="72"/>
          <w:highlight w:val="none"/>
        </w:rPr>
      </w:pPr>
      <w:r>
        <w:rPr>
          <w:rFonts w:hint="eastAsia" w:ascii="仿宋" w:hAnsi="仿宋" w:eastAsia="仿宋" w:cs="仿宋"/>
          <w:color w:val="000000"/>
          <w:sz w:val="72"/>
          <w:highlight w:val="none"/>
        </w:rPr>
        <w:t>响  应  文  件</w:t>
      </w:r>
    </w:p>
    <w:p w14:paraId="00BFBF52">
      <w:pPr>
        <w:jc w:val="center"/>
        <w:rPr>
          <w:rFonts w:hint="eastAsia" w:ascii="仿宋" w:hAnsi="仿宋" w:eastAsia="仿宋" w:cs="仿宋"/>
          <w:color w:val="000000"/>
          <w:sz w:val="72"/>
          <w:highlight w:val="none"/>
        </w:rPr>
      </w:pPr>
    </w:p>
    <w:p w14:paraId="00BFBF53">
      <w:pPr>
        <w:jc w:val="center"/>
        <w:rPr>
          <w:rFonts w:hint="eastAsia" w:ascii="仿宋" w:hAnsi="仿宋" w:eastAsia="仿宋" w:cs="仿宋"/>
          <w:color w:val="000000"/>
          <w:sz w:val="72"/>
          <w:highlight w:val="none"/>
        </w:rPr>
      </w:pPr>
    </w:p>
    <w:p w14:paraId="00BFBF54">
      <w:pPr>
        <w:jc w:val="center"/>
        <w:rPr>
          <w:rFonts w:hint="eastAsia" w:ascii="仿宋" w:hAnsi="仿宋" w:eastAsia="仿宋" w:cs="仿宋"/>
          <w:color w:val="000000"/>
          <w:sz w:val="36"/>
          <w:highlight w:val="none"/>
        </w:rPr>
      </w:pPr>
    </w:p>
    <w:p w14:paraId="00BFBF55">
      <w:pPr>
        <w:jc w:val="center"/>
        <w:rPr>
          <w:rFonts w:hint="eastAsia" w:ascii="仿宋" w:hAnsi="仿宋" w:eastAsia="仿宋" w:cs="仿宋"/>
          <w:color w:val="000000"/>
          <w:sz w:val="36"/>
          <w:highlight w:val="none"/>
        </w:rPr>
      </w:pPr>
    </w:p>
    <w:p w14:paraId="00BFBF56">
      <w:pPr>
        <w:jc w:val="center"/>
        <w:rPr>
          <w:rFonts w:hint="eastAsia" w:ascii="仿宋" w:hAnsi="仿宋" w:eastAsia="仿宋" w:cs="仿宋"/>
          <w:color w:val="000000"/>
          <w:sz w:val="36"/>
          <w:highlight w:val="none"/>
        </w:rPr>
      </w:pPr>
    </w:p>
    <w:p w14:paraId="00BFBF57">
      <w:pPr>
        <w:ind w:firstLine="1080"/>
        <w:rPr>
          <w:rFonts w:hint="eastAsia" w:ascii="仿宋" w:hAnsi="仿宋" w:eastAsia="仿宋" w:cs="仿宋"/>
          <w:color w:val="000000"/>
          <w:sz w:val="36"/>
          <w:highlight w:val="none"/>
        </w:rPr>
      </w:pPr>
      <w:r>
        <w:rPr>
          <w:rFonts w:hint="eastAsia" w:ascii="仿宋" w:hAnsi="仿宋" w:eastAsia="仿宋" w:cs="仿宋"/>
          <w:color w:val="000000"/>
          <w:sz w:val="36"/>
          <w:highlight w:val="none"/>
        </w:rPr>
        <w:t>项 目 名 称：</w:t>
      </w:r>
      <w:r>
        <w:rPr>
          <w:rFonts w:hint="eastAsia" w:ascii="仿宋" w:hAnsi="仿宋" w:eastAsia="仿宋" w:cs="仿宋"/>
          <w:color w:val="000000"/>
          <w:sz w:val="36"/>
          <w:highlight w:val="none"/>
          <w:u w:val="single"/>
        </w:rPr>
        <w:t xml:space="preserve"> </w:t>
      </w:r>
      <w:r>
        <w:rPr>
          <w:rFonts w:hint="eastAsia" w:ascii="仿宋" w:hAnsi="仿宋" w:eastAsia="仿宋" w:cs="仿宋"/>
          <w:color w:val="000000"/>
          <w:sz w:val="36"/>
          <w:highlight w:val="none"/>
          <w:u w:val="single"/>
          <w:lang w:eastAsia="zh-CN"/>
        </w:rPr>
        <w:t>2026年周末公益小剧场演出活动</w:t>
      </w:r>
      <w:r>
        <w:rPr>
          <w:rFonts w:hint="eastAsia" w:ascii="仿宋" w:hAnsi="仿宋" w:eastAsia="仿宋" w:cs="仿宋"/>
          <w:color w:val="000000"/>
          <w:sz w:val="36"/>
          <w:highlight w:val="none"/>
          <w:u w:val="single"/>
        </w:rPr>
        <w:t xml:space="preserve"> </w:t>
      </w:r>
    </w:p>
    <w:p w14:paraId="00BFBF58">
      <w:pPr>
        <w:ind w:firstLine="1080"/>
        <w:rPr>
          <w:rFonts w:hint="eastAsia" w:ascii="仿宋" w:hAnsi="仿宋" w:eastAsia="仿宋" w:cs="仿宋"/>
          <w:color w:val="000000"/>
          <w:sz w:val="36"/>
          <w:highlight w:val="none"/>
          <w:u w:val="single"/>
        </w:rPr>
      </w:pPr>
      <w:r>
        <w:rPr>
          <w:rFonts w:hint="eastAsia" w:ascii="仿宋" w:hAnsi="仿宋" w:eastAsia="仿宋" w:cs="仿宋"/>
          <w:color w:val="000000"/>
          <w:sz w:val="36"/>
          <w:highlight w:val="none"/>
        </w:rPr>
        <w:t>项 目 编 号：</w:t>
      </w:r>
      <w:r>
        <w:rPr>
          <w:rFonts w:hint="eastAsia" w:ascii="仿宋" w:hAnsi="仿宋" w:eastAsia="仿宋" w:cs="仿宋"/>
          <w:color w:val="000000"/>
          <w:sz w:val="36"/>
          <w:highlight w:val="none"/>
          <w:u w:val="single"/>
        </w:rPr>
        <w:t xml:space="preserve"> </w:t>
      </w:r>
      <w:r>
        <w:rPr>
          <w:rFonts w:hint="eastAsia" w:ascii="仿宋" w:hAnsi="仿宋" w:eastAsia="仿宋" w:cs="仿宋"/>
          <w:color w:val="000000"/>
          <w:sz w:val="36"/>
          <w:highlight w:val="none"/>
          <w:u w:val="single"/>
          <w:lang w:eastAsia="zh-CN"/>
        </w:rPr>
        <w:t>NJDL-20260417001</w:t>
      </w:r>
      <w:r>
        <w:rPr>
          <w:rFonts w:hint="eastAsia" w:ascii="仿宋" w:hAnsi="仿宋" w:eastAsia="仿宋" w:cs="仿宋"/>
          <w:color w:val="000000"/>
          <w:sz w:val="36"/>
          <w:highlight w:val="none"/>
          <w:u w:val="single"/>
        </w:rPr>
        <w:t xml:space="preserve"> </w:t>
      </w:r>
    </w:p>
    <w:p w14:paraId="00BFBF59">
      <w:pPr>
        <w:rPr>
          <w:rFonts w:hint="eastAsia" w:ascii="仿宋" w:hAnsi="仿宋" w:eastAsia="仿宋" w:cs="仿宋"/>
          <w:color w:val="000000"/>
          <w:sz w:val="36"/>
          <w:highlight w:val="none"/>
          <w:u w:val="single"/>
        </w:rPr>
      </w:pPr>
      <w:r>
        <w:rPr>
          <w:rFonts w:hint="eastAsia" w:ascii="仿宋" w:hAnsi="仿宋" w:eastAsia="仿宋" w:cs="仿宋"/>
          <w:color w:val="000000"/>
          <w:sz w:val="36"/>
          <w:highlight w:val="none"/>
        </w:rPr>
        <w:t xml:space="preserve">      供应商名称 ：</w:t>
      </w:r>
      <w:r>
        <w:rPr>
          <w:rFonts w:hint="eastAsia" w:ascii="仿宋" w:hAnsi="仿宋" w:eastAsia="仿宋" w:cs="仿宋"/>
          <w:color w:val="000000"/>
          <w:sz w:val="36"/>
          <w:highlight w:val="none"/>
          <w:u w:val="single"/>
        </w:rPr>
        <w:t xml:space="preserve">          （加盖公章）</w:t>
      </w:r>
    </w:p>
    <w:p w14:paraId="00BFBF5A">
      <w:pPr>
        <w:rPr>
          <w:rFonts w:hint="eastAsia" w:ascii="仿宋" w:hAnsi="仿宋" w:eastAsia="仿宋" w:cs="仿宋"/>
          <w:color w:val="000000"/>
          <w:sz w:val="36"/>
          <w:highlight w:val="none"/>
          <w:u w:val="single"/>
        </w:rPr>
      </w:pPr>
      <w:r>
        <w:rPr>
          <w:rFonts w:hint="eastAsia" w:ascii="仿宋" w:hAnsi="仿宋" w:eastAsia="仿宋" w:cs="仿宋"/>
          <w:color w:val="000000"/>
          <w:sz w:val="36"/>
          <w:highlight w:val="none"/>
        </w:rPr>
        <w:t xml:space="preserve">      日      期 ：</w:t>
      </w:r>
      <w:r>
        <w:rPr>
          <w:rFonts w:hint="eastAsia" w:ascii="仿宋" w:hAnsi="仿宋" w:eastAsia="仿宋" w:cs="仿宋"/>
          <w:color w:val="000000"/>
          <w:sz w:val="36"/>
          <w:highlight w:val="none"/>
          <w:u w:val="single"/>
        </w:rPr>
        <w:t xml:space="preserve">                   </w:t>
      </w:r>
    </w:p>
    <w:p w14:paraId="00BFBF5B">
      <w:pPr>
        <w:spacing w:line="440" w:lineRule="exact"/>
        <w:jc w:val="center"/>
        <w:rPr>
          <w:rFonts w:hint="eastAsia" w:ascii="仿宋" w:hAnsi="仿宋" w:eastAsia="仿宋" w:cs="仿宋"/>
          <w:color w:val="000000"/>
          <w:sz w:val="32"/>
          <w:szCs w:val="32"/>
          <w:highlight w:val="none"/>
        </w:rPr>
      </w:pPr>
    </w:p>
    <w:p w14:paraId="00BFBF5C">
      <w:pPr>
        <w:spacing w:line="440" w:lineRule="exact"/>
        <w:rPr>
          <w:rFonts w:hint="eastAsia" w:ascii="仿宋" w:hAnsi="仿宋" w:eastAsia="仿宋" w:cs="仿宋"/>
          <w:color w:val="000000"/>
          <w:highlight w:val="none"/>
        </w:rPr>
      </w:pPr>
    </w:p>
    <w:p w14:paraId="00BFBF5D">
      <w:pPr>
        <w:jc w:val="center"/>
        <w:rPr>
          <w:rFonts w:hint="eastAsia" w:ascii="仿宋" w:hAnsi="仿宋" w:eastAsia="仿宋" w:cs="仿宋"/>
          <w:color w:val="000000"/>
          <w:sz w:val="32"/>
          <w:szCs w:val="32"/>
          <w:highlight w:val="none"/>
        </w:rPr>
      </w:pPr>
      <w:r>
        <w:rPr>
          <w:rFonts w:hint="eastAsia" w:ascii="仿宋" w:hAnsi="仿宋" w:eastAsia="仿宋" w:cs="仿宋"/>
          <w:color w:val="000000"/>
          <w:sz w:val="36"/>
          <w:highlight w:val="none"/>
          <w:u w:val="single"/>
        </w:rPr>
        <w:br w:type="page" w:clear="all"/>
      </w:r>
      <w:r>
        <w:rPr>
          <w:rFonts w:hint="eastAsia" w:ascii="仿宋" w:hAnsi="仿宋" w:eastAsia="仿宋" w:cs="仿宋"/>
          <w:b/>
          <w:bCs/>
          <w:color w:val="000000"/>
          <w:sz w:val="36"/>
          <w:szCs w:val="36"/>
          <w:highlight w:val="none"/>
        </w:rPr>
        <w:t>响应文件目录</w:t>
      </w:r>
    </w:p>
    <w:p w14:paraId="00BFBF5E">
      <w:pPr>
        <w:spacing w:line="440" w:lineRule="exact"/>
        <w:jc w:val="center"/>
        <w:rPr>
          <w:rFonts w:hint="eastAsia" w:ascii="仿宋" w:hAnsi="仿宋" w:eastAsia="仿宋" w:cs="仿宋"/>
          <w:color w:val="000000"/>
          <w:sz w:val="32"/>
          <w:szCs w:val="32"/>
          <w:highlight w:val="none"/>
        </w:rPr>
      </w:pPr>
    </w:p>
    <w:p w14:paraId="00BFBF5F">
      <w:pPr>
        <w:spacing w:line="360" w:lineRule="auto"/>
        <w:ind w:firstLine="482"/>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一、供应商申请资格</w:t>
      </w:r>
    </w:p>
    <w:p w14:paraId="00BFBF60">
      <w:pPr>
        <w:spacing w:line="360" w:lineRule="auto"/>
        <w:ind w:firstLine="482"/>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二、授权书</w:t>
      </w:r>
    </w:p>
    <w:p w14:paraId="00BFBF61">
      <w:pPr>
        <w:spacing w:line="360" w:lineRule="auto"/>
        <w:ind w:firstLine="482"/>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三、响应函</w:t>
      </w:r>
    </w:p>
    <w:p w14:paraId="00BFBF62">
      <w:pPr>
        <w:spacing w:line="360" w:lineRule="auto"/>
        <w:ind w:firstLine="482"/>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四、报价一览表（演出方案）</w:t>
      </w:r>
    </w:p>
    <w:p w14:paraId="00BFBF63">
      <w:pPr>
        <w:spacing w:line="360" w:lineRule="auto"/>
        <w:ind w:firstLine="482"/>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五、实质性要求完全响应承诺书</w:t>
      </w:r>
    </w:p>
    <w:p w14:paraId="00BFBF64">
      <w:pPr>
        <w:spacing w:line="360" w:lineRule="auto"/>
        <w:ind w:firstLine="482"/>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六、演出资质（荣誉证书）</w:t>
      </w:r>
    </w:p>
    <w:p w14:paraId="00BFBF65">
      <w:pPr>
        <w:spacing w:line="360" w:lineRule="auto"/>
        <w:ind w:firstLine="482"/>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七、服务方案</w:t>
      </w:r>
    </w:p>
    <w:p w14:paraId="00BFBF67">
      <w:pPr>
        <w:spacing w:line="360" w:lineRule="auto"/>
        <w:ind w:firstLine="482"/>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八、同类演出经验</w:t>
      </w:r>
    </w:p>
    <w:p w14:paraId="00BFBF68">
      <w:pPr>
        <w:pStyle w:val="121"/>
        <w:rPr>
          <w:rFonts w:hint="eastAsia" w:ascii="仿宋" w:hAnsi="仿宋" w:eastAsia="仿宋" w:cs="仿宋"/>
          <w:color w:val="000000"/>
          <w:highlight w:val="none"/>
        </w:rPr>
      </w:pPr>
    </w:p>
    <w:p w14:paraId="00BFBF69">
      <w:pPr>
        <w:spacing w:line="440" w:lineRule="exact"/>
        <w:ind w:firstLine="480"/>
        <w:rPr>
          <w:rFonts w:hint="eastAsia" w:ascii="仿宋" w:hAnsi="仿宋" w:eastAsia="仿宋" w:cs="仿宋"/>
          <w:color w:val="000000"/>
          <w:sz w:val="24"/>
          <w:highlight w:val="none"/>
        </w:rPr>
      </w:pPr>
    </w:p>
    <w:p w14:paraId="00BFBF6A">
      <w:pPr>
        <w:spacing w:line="440" w:lineRule="exact"/>
        <w:ind w:firstLine="480"/>
        <w:rPr>
          <w:rFonts w:hint="eastAsia" w:ascii="仿宋" w:hAnsi="仿宋" w:eastAsia="仿宋" w:cs="仿宋"/>
          <w:color w:val="000000"/>
          <w:sz w:val="24"/>
          <w:highlight w:val="none"/>
        </w:rPr>
      </w:pPr>
    </w:p>
    <w:p w14:paraId="00BFBF6B">
      <w:pPr>
        <w:pStyle w:val="256"/>
        <w:spacing w:before="145" w:after="145" w:line="276" w:lineRule="auto"/>
        <w:ind w:firstLine="320"/>
        <w:rPr>
          <w:rFonts w:hint="eastAsia" w:ascii="仿宋" w:hAnsi="仿宋" w:eastAsia="仿宋" w:cs="仿宋"/>
          <w:color w:val="000000"/>
          <w:highlight w:val="none"/>
        </w:rPr>
      </w:pPr>
      <w:r>
        <w:rPr>
          <w:rFonts w:hint="eastAsia" w:ascii="仿宋" w:hAnsi="仿宋" w:eastAsia="仿宋" w:cs="仿宋"/>
          <w:color w:val="000000"/>
          <w:sz w:val="24"/>
          <w:highlight w:val="none"/>
        </w:rPr>
        <w:br w:type="page" w:clear="all"/>
      </w:r>
      <w:r>
        <w:rPr>
          <w:rFonts w:hint="eastAsia" w:ascii="仿宋" w:hAnsi="仿宋" w:eastAsia="仿宋" w:cs="仿宋"/>
          <w:color w:val="000000"/>
          <w:highlight w:val="none"/>
        </w:rPr>
        <w:t>一、供应商申请资格</w:t>
      </w:r>
    </w:p>
    <w:bookmarkEnd w:id="184"/>
    <w:bookmarkEnd w:id="185"/>
    <w:bookmarkEnd w:id="186"/>
    <w:p w14:paraId="31C92BD1">
      <w:pPr>
        <w:spacing w:line="300" w:lineRule="auto"/>
        <w:ind w:firstLine="480"/>
        <w:rPr>
          <w:rFonts w:hint="eastAsia" w:ascii="仿宋" w:hAnsi="仿宋" w:eastAsia="仿宋" w:cs="仿宋"/>
          <w:b w:val="0"/>
          <w:bCs w:val="0"/>
          <w:color w:val="000000"/>
          <w:sz w:val="24"/>
          <w:szCs w:val="24"/>
          <w:highlight w:val="none"/>
          <w:lang w:val="zh-CN" w:eastAsia="zh-CN" w:bidi="ar-SA"/>
        </w:rPr>
      </w:pPr>
      <w:bookmarkStart w:id="187" w:name="_Toc120614284"/>
      <w:r>
        <w:rPr>
          <w:rFonts w:hint="eastAsia" w:ascii="仿宋" w:hAnsi="仿宋" w:eastAsia="仿宋" w:cs="仿宋"/>
          <w:b w:val="0"/>
          <w:bCs w:val="0"/>
          <w:color w:val="000000"/>
          <w:sz w:val="24"/>
          <w:szCs w:val="24"/>
          <w:highlight w:val="none"/>
          <w:lang w:val="zh-CN" w:eastAsia="zh-CN" w:bidi="ar-SA"/>
        </w:rPr>
        <w:t>（1）具有独立承担民事责任的能力（提供法人或者其他组织的营业执照，供应商为自然人的提供自然人的身份证）；</w:t>
      </w:r>
    </w:p>
    <w:p w14:paraId="6E3A764E">
      <w:pPr>
        <w:spacing w:line="300" w:lineRule="auto"/>
        <w:ind w:firstLine="480"/>
        <w:rPr>
          <w:rFonts w:hint="eastAsia" w:ascii="仿宋" w:hAnsi="仿宋" w:eastAsia="仿宋" w:cs="仿宋"/>
          <w:b w:val="0"/>
          <w:bCs w:val="0"/>
          <w:color w:val="000000"/>
          <w:sz w:val="24"/>
          <w:szCs w:val="24"/>
          <w:highlight w:val="none"/>
          <w:lang w:val="zh-CN" w:eastAsia="zh-CN" w:bidi="ar-SA"/>
        </w:rPr>
      </w:pPr>
      <w:r>
        <w:rPr>
          <w:rFonts w:hint="eastAsia" w:ascii="仿宋" w:hAnsi="仿宋" w:eastAsia="仿宋" w:cs="仿宋"/>
          <w:b w:val="0"/>
          <w:bCs w:val="0"/>
          <w:color w:val="000000"/>
          <w:sz w:val="24"/>
          <w:szCs w:val="24"/>
          <w:highlight w:val="none"/>
          <w:lang w:val="zh-CN" w:eastAsia="zh-CN" w:bidi="ar-SA"/>
        </w:rPr>
        <w:t>（2）具有良好的商业信誉和健全的财务会计制度（提供参加本次采购活动前的会计报表）；</w:t>
      </w:r>
    </w:p>
    <w:p w14:paraId="2482EFD7">
      <w:pPr>
        <w:spacing w:line="300" w:lineRule="auto"/>
        <w:ind w:firstLine="480"/>
        <w:rPr>
          <w:rFonts w:hint="eastAsia" w:ascii="仿宋" w:hAnsi="仿宋" w:eastAsia="仿宋" w:cs="仿宋"/>
          <w:b w:val="0"/>
          <w:bCs w:val="0"/>
          <w:color w:val="000000"/>
          <w:sz w:val="24"/>
          <w:szCs w:val="24"/>
          <w:highlight w:val="none"/>
          <w:lang w:val="zh-CN" w:eastAsia="zh-CN" w:bidi="ar-SA"/>
        </w:rPr>
      </w:pPr>
      <w:r>
        <w:rPr>
          <w:rFonts w:hint="eastAsia" w:ascii="仿宋" w:hAnsi="仿宋" w:eastAsia="仿宋" w:cs="仿宋"/>
          <w:b w:val="0"/>
          <w:bCs w:val="0"/>
          <w:color w:val="000000"/>
          <w:sz w:val="24"/>
          <w:szCs w:val="24"/>
          <w:highlight w:val="none"/>
          <w:lang w:val="zh-CN" w:eastAsia="zh-CN" w:bidi="ar-SA"/>
        </w:rPr>
        <w:t>（3）具有履行合同所必需的设备和专业技术能力（根据项目需求提供履行合同所必需的设备和专业技术能力的声明）</w:t>
      </w:r>
      <w:r>
        <w:rPr>
          <w:rFonts w:hint="eastAsia" w:ascii="仿宋" w:hAnsi="仿宋" w:eastAsia="仿宋" w:cs="仿宋"/>
          <w:b w:val="0"/>
          <w:bCs w:val="0"/>
          <w:color w:val="000000"/>
          <w:sz w:val="24"/>
          <w:szCs w:val="24"/>
          <w:highlight w:val="none"/>
          <w:lang w:val="en-US" w:eastAsia="zh-CN" w:bidi="ar-SA"/>
        </w:rPr>
        <w:t>格式详见附件</w:t>
      </w:r>
      <w:r>
        <w:rPr>
          <w:rFonts w:hint="eastAsia" w:ascii="仿宋" w:hAnsi="仿宋" w:eastAsia="仿宋" w:cs="仿宋"/>
          <w:b w:val="0"/>
          <w:bCs w:val="0"/>
          <w:color w:val="000000"/>
          <w:sz w:val="24"/>
          <w:szCs w:val="24"/>
          <w:highlight w:val="none"/>
          <w:lang w:val="zh-CN" w:eastAsia="zh-CN" w:bidi="ar-SA"/>
        </w:rPr>
        <w:t>；</w:t>
      </w:r>
    </w:p>
    <w:p w14:paraId="0D95DB07">
      <w:pPr>
        <w:spacing w:line="300" w:lineRule="auto"/>
        <w:ind w:firstLine="480"/>
        <w:rPr>
          <w:rFonts w:hint="eastAsia" w:ascii="仿宋" w:hAnsi="仿宋" w:eastAsia="仿宋" w:cs="仿宋"/>
          <w:b w:val="0"/>
          <w:bCs w:val="0"/>
          <w:color w:val="000000"/>
          <w:sz w:val="24"/>
          <w:szCs w:val="24"/>
          <w:highlight w:val="none"/>
          <w:lang w:val="zh-CN" w:eastAsia="zh-CN" w:bidi="ar-SA"/>
        </w:rPr>
      </w:pPr>
      <w:r>
        <w:rPr>
          <w:rFonts w:hint="eastAsia" w:ascii="仿宋" w:hAnsi="仿宋" w:eastAsia="仿宋" w:cs="仿宋"/>
          <w:b w:val="0"/>
          <w:bCs w:val="0"/>
          <w:color w:val="000000"/>
          <w:sz w:val="24"/>
          <w:szCs w:val="24"/>
          <w:highlight w:val="none"/>
          <w:lang w:val="zh-CN" w:eastAsia="zh-CN" w:bidi="ar-SA"/>
        </w:rPr>
        <w:t>（4）有依法缴纳税收和社会保障资金的良好记录（提供参加本次政府采购活动前半年内（至少一个月）依法缴纳税收和社会保障资金的相关材料）；</w:t>
      </w:r>
    </w:p>
    <w:p w14:paraId="4F107836">
      <w:pPr>
        <w:spacing w:line="300" w:lineRule="auto"/>
        <w:ind w:firstLine="480"/>
        <w:rPr>
          <w:rFonts w:hint="eastAsia" w:ascii="仿宋" w:hAnsi="仿宋" w:eastAsia="仿宋" w:cs="仿宋"/>
          <w:b w:val="0"/>
          <w:bCs w:val="0"/>
          <w:color w:val="000000"/>
          <w:sz w:val="24"/>
          <w:szCs w:val="24"/>
          <w:highlight w:val="none"/>
          <w:lang w:val="zh-CN" w:eastAsia="zh-CN" w:bidi="ar-SA"/>
        </w:rPr>
      </w:pPr>
      <w:r>
        <w:rPr>
          <w:rFonts w:hint="eastAsia" w:ascii="仿宋" w:hAnsi="仿宋" w:eastAsia="仿宋" w:cs="仿宋"/>
          <w:b w:val="0"/>
          <w:bCs w:val="0"/>
          <w:color w:val="000000"/>
          <w:sz w:val="24"/>
          <w:szCs w:val="24"/>
          <w:highlight w:val="none"/>
          <w:lang w:val="zh-CN" w:eastAsia="zh-CN" w:bidi="ar-SA"/>
        </w:rPr>
        <w:t>（5）参加政府采购活动前三年内，在经营活动中没有重大违法记录（提供参加本次政府采购活动前3年内在经营活动中没有重大违法记录的书面声明）</w:t>
      </w:r>
      <w:r>
        <w:rPr>
          <w:rFonts w:hint="eastAsia" w:ascii="仿宋" w:hAnsi="仿宋" w:eastAsia="仿宋" w:cs="仿宋"/>
          <w:b w:val="0"/>
          <w:bCs w:val="0"/>
          <w:color w:val="000000"/>
          <w:sz w:val="24"/>
          <w:szCs w:val="24"/>
          <w:highlight w:val="none"/>
          <w:lang w:val="en-US" w:eastAsia="zh-CN" w:bidi="ar-SA"/>
        </w:rPr>
        <w:t>格式详见附件</w:t>
      </w:r>
      <w:r>
        <w:rPr>
          <w:rFonts w:hint="eastAsia" w:ascii="仿宋" w:hAnsi="仿宋" w:eastAsia="仿宋" w:cs="仿宋"/>
          <w:b w:val="0"/>
          <w:bCs w:val="0"/>
          <w:color w:val="000000"/>
          <w:sz w:val="24"/>
          <w:szCs w:val="24"/>
          <w:highlight w:val="none"/>
          <w:lang w:val="zh-CN" w:eastAsia="zh-CN" w:bidi="ar-SA"/>
        </w:rPr>
        <w:t>；</w:t>
      </w:r>
    </w:p>
    <w:p w14:paraId="57760E9B">
      <w:pPr>
        <w:spacing w:line="300" w:lineRule="auto"/>
        <w:ind w:firstLine="480"/>
        <w:rPr>
          <w:rFonts w:hint="eastAsia" w:ascii="仿宋" w:hAnsi="仿宋" w:eastAsia="仿宋" w:cs="仿宋"/>
          <w:b w:val="0"/>
          <w:bCs w:val="0"/>
          <w:color w:val="000000"/>
          <w:sz w:val="24"/>
          <w:szCs w:val="24"/>
          <w:highlight w:val="none"/>
          <w:lang w:val="zh-CN" w:eastAsia="zh-CN" w:bidi="ar-SA"/>
        </w:rPr>
      </w:pPr>
      <w:r>
        <w:rPr>
          <w:rFonts w:hint="eastAsia" w:ascii="仿宋" w:hAnsi="仿宋" w:eastAsia="仿宋" w:cs="仿宋"/>
          <w:b w:val="0"/>
          <w:bCs w:val="0"/>
          <w:color w:val="000000"/>
          <w:sz w:val="24"/>
          <w:szCs w:val="24"/>
          <w:highlight w:val="none"/>
          <w:lang w:val="zh-CN" w:eastAsia="zh-CN" w:bidi="ar-SA"/>
        </w:rPr>
        <w:t>2.落实政府采购政策需满足的资格要求：本项目专门面向中小微企业采购，供应商应为中小微企业。提供《中小企业声明函》</w:t>
      </w:r>
    </w:p>
    <w:p w14:paraId="2FF2662B">
      <w:pPr>
        <w:spacing w:line="300" w:lineRule="auto"/>
        <w:ind w:firstLine="480"/>
        <w:rPr>
          <w:rFonts w:hint="eastAsia" w:ascii="仿宋" w:hAnsi="仿宋" w:eastAsia="仿宋" w:cs="仿宋"/>
          <w:b w:val="0"/>
          <w:bCs w:val="0"/>
          <w:color w:val="000000"/>
          <w:sz w:val="24"/>
          <w:szCs w:val="24"/>
          <w:highlight w:val="none"/>
          <w:lang w:val="zh-CN" w:eastAsia="zh-CN" w:bidi="ar-SA"/>
        </w:rPr>
      </w:pPr>
      <w:r>
        <w:rPr>
          <w:rFonts w:hint="eastAsia" w:ascii="仿宋" w:hAnsi="仿宋" w:eastAsia="仿宋" w:cs="仿宋"/>
          <w:b w:val="0"/>
          <w:bCs w:val="0"/>
          <w:color w:val="000000"/>
          <w:sz w:val="24"/>
          <w:szCs w:val="24"/>
          <w:highlight w:val="none"/>
          <w:lang w:val="zh-CN" w:eastAsia="zh-CN" w:bidi="ar-SA"/>
        </w:rPr>
        <w:t>本项目采购标的对应的中小企业划分标准所属行业为：其他未列明行业。</w:t>
      </w:r>
    </w:p>
    <w:p w14:paraId="37608432">
      <w:pPr>
        <w:rPr>
          <w:rFonts w:hint="eastAsia" w:ascii="仿宋" w:hAnsi="仿宋" w:eastAsia="仿宋" w:cs="仿宋"/>
          <w:color w:val="000000"/>
          <w:highlight w:val="none"/>
        </w:rPr>
      </w:pPr>
      <w:r>
        <w:rPr>
          <w:rFonts w:hint="eastAsia" w:ascii="仿宋" w:hAnsi="仿宋" w:eastAsia="仿宋" w:cs="仿宋"/>
          <w:color w:val="000000"/>
          <w:highlight w:val="none"/>
        </w:rPr>
        <w:br w:type="page"/>
      </w:r>
    </w:p>
    <w:p w14:paraId="00BFBF77">
      <w:pPr>
        <w:pStyle w:val="256"/>
        <w:spacing w:before="145" w:after="145" w:line="276" w:lineRule="auto"/>
        <w:ind w:firstLine="320"/>
        <w:rPr>
          <w:rFonts w:hint="eastAsia" w:ascii="仿宋" w:hAnsi="仿宋" w:eastAsia="仿宋" w:cs="仿宋"/>
          <w:color w:val="000000"/>
          <w:highlight w:val="none"/>
        </w:rPr>
      </w:pPr>
      <w:r>
        <w:rPr>
          <w:rFonts w:hint="eastAsia" w:ascii="仿宋" w:hAnsi="仿宋" w:eastAsia="仿宋" w:cs="仿宋"/>
          <w:color w:val="000000"/>
          <w:highlight w:val="none"/>
        </w:rPr>
        <w:t>二、授权书</w:t>
      </w:r>
    </w:p>
    <w:p w14:paraId="00BFBF78">
      <w:pPr>
        <w:spacing w:line="360" w:lineRule="auto"/>
        <w:jc w:val="center"/>
        <w:rPr>
          <w:rFonts w:hint="eastAsia" w:ascii="仿宋" w:hAnsi="仿宋" w:eastAsia="仿宋" w:cs="仿宋"/>
          <w:color w:val="000000"/>
          <w:sz w:val="32"/>
          <w:szCs w:val="32"/>
          <w:highlight w:val="none"/>
          <w:lang w:val="zh-CN"/>
        </w:rPr>
      </w:pPr>
      <w:r>
        <w:rPr>
          <w:rFonts w:hint="eastAsia" w:ascii="仿宋" w:hAnsi="仿宋" w:eastAsia="仿宋" w:cs="仿宋"/>
          <w:color w:val="000000"/>
          <w:sz w:val="32"/>
          <w:szCs w:val="32"/>
          <w:highlight w:val="none"/>
          <w:lang w:val="zh-CN"/>
        </w:rPr>
        <w:t>授权书</w:t>
      </w:r>
    </w:p>
    <w:p w14:paraId="00BFBF79">
      <w:pPr>
        <w:pStyle w:val="309"/>
        <w:spacing w:line="480" w:lineRule="auto"/>
        <w:ind w:firstLine="48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本授权书声明：____________（供应商名称）授权________（被授权人的姓名）为我方就</w:t>
      </w:r>
      <w:r>
        <w:rPr>
          <w:rFonts w:hint="eastAsia" w:ascii="仿宋" w:hAnsi="仿宋" w:eastAsia="仿宋" w:cs="仿宋"/>
          <w:color w:val="000000"/>
          <w:sz w:val="24"/>
          <w:szCs w:val="24"/>
          <w:highlight w:val="none"/>
          <w:u w:val="single"/>
          <w:lang w:eastAsia="zh-CN"/>
        </w:rPr>
        <w:t>2026年周末公益小剧场演出活动</w:t>
      </w:r>
      <w:r>
        <w:rPr>
          <w:rFonts w:hint="eastAsia" w:ascii="仿宋" w:hAnsi="仿宋" w:eastAsia="仿宋" w:cs="仿宋"/>
          <w:color w:val="000000"/>
          <w:sz w:val="24"/>
          <w:szCs w:val="24"/>
          <w:highlight w:val="none"/>
          <w:u w:val="single"/>
        </w:rPr>
        <w:t>(项目编号：</w:t>
      </w:r>
      <w:r>
        <w:rPr>
          <w:rFonts w:hint="eastAsia" w:ascii="仿宋" w:hAnsi="仿宋" w:eastAsia="仿宋" w:cs="仿宋"/>
          <w:color w:val="000000"/>
          <w:sz w:val="24"/>
          <w:szCs w:val="24"/>
          <w:highlight w:val="none"/>
          <w:u w:val="single"/>
          <w:lang w:eastAsia="zh-CN"/>
        </w:rPr>
        <w:t>NJDL-20260417001</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框架协议采购活动的合法代理人，以本单位名义全权处理一切与该项目采购有关的事务。</w:t>
      </w:r>
    </w:p>
    <w:p w14:paraId="00BFBF7A">
      <w:pPr>
        <w:pStyle w:val="309"/>
        <w:spacing w:line="480" w:lineRule="auto"/>
        <w:ind w:firstLine="48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本授权书于__202</w:t>
      </w: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_年____月____日起生效，特此声明。</w:t>
      </w:r>
    </w:p>
    <w:p w14:paraId="00BFBF7B">
      <w:pPr>
        <w:pStyle w:val="309"/>
        <w:spacing w:line="480" w:lineRule="auto"/>
        <w:ind w:firstLine="0"/>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 xml:space="preserve">          被授权人身份证号码：</w:t>
      </w:r>
      <w:r>
        <w:rPr>
          <w:rFonts w:hint="eastAsia" w:ascii="仿宋" w:hAnsi="仿宋" w:eastAsia="仿宋" w:cs="仿宋"/>
          <w:color w:val="000000"/>
          <w:sz w:val="24"/>
          <w:szCs w:val="24"/>
          <w:highlight w:val="none"/>
          <w:u w:val="single"/>
        </w:rPr>
        <w:t xml:space="preserve">                               </w:t>
      </w:r>
    </w:p>
    <w:p w14:paraId="00BFBF7C">
      <w:pPr>
        <w:pStyle w:val="309"/>
        <w:spacing w:line="480" w:lineRule="auto"/>
        <w:ind w:firstLine="0"/>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 xml:space="preserve">          被授权人联系电话：（手机）</w:t>
      </w:r>
      <w:r>
        <w:rPr>
          <w:rFonts w:hint="eastAsia" w:ascii="仿宋" w:hAnsi="仿宋" w:eastAsia="仿宋" w:cs="仿宋"/>
          <w:color w:val="000000"/>
          <w:sz w:val="24"/>
          <w:szCs w:val="24"/>
          <w:highlight w:val="none"/>
          <w:u w:val="single"/>
        </w:rPr>
        <w:t xml:space="preserve">                         </w:t>
      </w:r>
    </w:p>
    <w:p w14:paraId="00BFBF7D">
      <w:pPr>
        <w:pStyle w:val="309"/>
        <w:spacing w:line="480" w:lineRule="auto"/>
        <w:ind w:firstLine="1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授权单位名称</w:t>
      </w:r>
      <w:r>
        <w:rPr>
          <w:rFonts w:hint="eastAsia" w:ascii="仿宋" w:hAnsi="仿宋" w:eastAsia="仿宋" w:cs="仿宋"/>
          <w:color w:val="000000"/>
          <w:sz w:val="24"/>
          <w:szCs w:val="24"/>
          <w:highlight w:val="none"/>
          <w:u w:val="single"/>
        </w:rPr>
        <w:t>：      （加盖公章）</w:t>
      </w:r>
    </w:p>
    <w:p w14:paraId="00BFBF7E">
      <w:pPr>
        <w:pStyle w:val="309"/>
        <w:spacing w:line="480" w:lineRule="auto"/>
        <w:ind w:firstLine="480"/>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 xml:space="preserve">      单位地址：</w:t>
      </w:r>
      <w:r>
        <w:rPr>
          <w:rFonts w:hint="eastAsia" w:ascii="仿宋" w:hAnsi="仿宋" w:eastAsia="仿宋" w:cs="仿宋"/>
          <w:color w:val="000000"/>
          <w:sz w:val="24"/>
          <w:szCs w:val="24"/>
          <w:highlight w:val="none"/>
          <w:u w:val="single"/>
        </w:rPr>
        <w:t xml:space="preserve">                                         </w:t>
      </w:r>
    </w:p>
    <w:p w14:paraId="00BFBF7F">
      <w:pPr>
        <w:pStyle w:val="309"/>
        <w:spacing w:line="480" w:lineRule="auto"/>
        <w:ind w:firstLine="48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日    期：</w:t>
      </w:r>
      <w:bookmarkStart w:id="188" w:name="_Hlt26671380"/>
      <w:bookmarkEnd w:id="188"/>
      <w:bookmarkStart w:id="189" w:name="_Hlt26955070"/>
      <w:bookmarkEnd w:id="189"/>
      <w:bookmarkStart w:id="190" w:name="_格式3__银行出具的资信证明"/>
      <w:bookmarkEnd w:id="190"/>
      <w:r>
        <w:rPr>
          <w:rFonts w:hint="eastAsia" w:ascii="仿宋" w:hAnsi="仿宋" w:eastAsia="仿宋" w:cs="仿宋"/>
          <w:color w:val="000000"/>
          <w:sz w:val="24"/>
          <w:szCs w:val="24"/>
          <w:highlight w:val="none"/>
          <w:u w:val="single"/>
        </w:rPr>
        <w:t xml:space="preserve">                          </w:t>
      </w:r>
    </w:p>
    <w:p w14:paraId="00BFBF80">
      <w:pPr>
        <w:pStyle w:val="254"/>
        <w:ind w:firstLine="0"/>
        <w:rPr>
          <w:rFonts w:hint="eastAsia" w:ascii="仿宋" w:hAnsi="仿宋" w:eastAsia="仿宋" w:cs="仿宋"/>
          <w:i/>
          <w:color w:val="000000"/>
          <w:sz w:val="24"/>
          <w:szCs w:val="24"/>
          <w:highlight w:val="none"/>
          <w:u w:val="single"/>
          <w:lang w:eastAsia="zh-CN"/>
        </w:rPr>
      </w:pPr>
    </w:p>
    <w:p w14:paraId="00BFBF81">
      <w:pPr>
        <w:rPr>
          <w:rFonts w:hint="eastAsia" w:ascii="仿宋" w:hAnsi="仿宋" w:eastAsia="仿宋" w:cs="仿宋"/>
          <w:color w:val="000000"/>
          <w:highlight w:val="none"/>
        </w:rPr>
      </w:pPr>
      <w:r>
        <w:rPr>
          <w:rFonts w:hint="eastAsia" w:ascii="仿宋" w:hAnsi="仿宋" w:eastAsia="仿宋" w:cs="仿宋"/>
          <w:color w:val="000000"/>
          <w:highlight w:val="none"/>
        </w:rPr>
        <w:br w:type="page"/>
      </w:r>
    </w:p>
    <w:p w14:paraId="00BFBF82">
      <w:pPr>
        <w:pStyle w:val="256"/>
        <w:spacing w:before="145" w:after="145" w:line="276" w:lineRule="auto"/>
        <w:ind w:firstLine="320"/>
        <w:rPr>
          <w:rFonts w:hint="eastAsia" w:ascii="仿宋" w:hAnsi="仿宋" w:eastAsia="仿宋" w:cs="仿宋"/>
          <w:color w:val="000000"/>
          <w:highlight w:val="none"/>
          <w:lang w:val="zh-CN"/>
        </w:rPr>
      </w:pPr>
      <w:r>
        <w:rPr>
          <w:rFonts w:hint="eastAsia" w:ascii="仿宋" w:hAnsi="仿宋" w:eastAsia="仿宋" w:cs="仿宋"/>
          <w:color w:val="000000"/>
          <w:highlight w:val="none"/>
        </w:rPr>
        <w:t xml:space="preserve">三、响应函                          </w:t>
      </w:r>
    </w:p>
    <w:p w14:paraId="00BFBF83">
      <w:pPr>
        <w:spacing w:line="460" w:lineRule="exact"/>
        <w:jc w:val="center"/>
        <w:rPr>
          <w:rFonts w:hint="eastAsia" w:ascii="仿宋" w:hAnsi="仿宋" w:eastAsia="仿宋" w:cs="仿宋"/>
          <w:color w:val="000000"/>
          <w:sz w:val="32"/>
          <w:szCs w:val="32"/>
          <w:highlight w:val="none"/>
          <w:lang w:val="zh-CN"/>
        </w:rPr>
      </w:pPr>
      <w:r>
        <w:rPr>
          <w:rFonts w:hint="eastAsia" w:ascii="仿宋" w:hAnsi="仿宋" w:eastAsia="仿宋" w:cs="仿宋"/>
          <w:color w:val="000000"/>
          <w:sz w:val="32"/>
          <w:szCs w:val="32"/>
          <w:highlight w:val="none"/>
          <w:lang w:val="zh-CN"/>
        </w:rPr>
        <w:t>响应函</w:t>
      </w:r>
    </w:p>
    <w:p w14:paraId="00BFBF84">
      <w:pPr>
        <w:pStyle w:val="311"/>
        <w:spacing w:before="0" w:after="0" w:line="420" w:lineRule="exact"/>
        <w:ind w:firstLine="0"/>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lang w:eastAsia="zh-CN"/>
        </w:rPr>
        <w:t>致：南京东来工程咨询有限公司</w:t>
      </w:r>
    </w:p>
    <w:p w14:paraId="00BFBF85">
      <w:pPr>
        <w:pStyle w:val="311"/>
        <w:spacing w:before="0" w:after="0" w:line="420" w:lineRule="exact"/>
        <w:rPr>
          <w:rFonts w:hint="eastAsia" w:ascii="仿宋" w:hAnsi="仿宋" w:eastAsia="仿宋" w:cs="仿宋"/>
          <w:color w:val="000000"/>
          <w:highlight w:val="none"/>
          <w:u w:val="single"/>
          <w:lang w:eastAsia="zh-CN"/>
        </w:rPr>
      </w:pPr>
      <w:r>
        <w:rPr>
          <w:rFonts w:hint="eastAsia" w:ascii="仿宋" w:hAnsi="仿宋" w:eastAsia="仿宋" w:cs="仿宋"/>
          <w:color w:val="000000"/>
          <w:szCs w:val="21"/>
          <w:highlight w:val="none"/>
          <w:lang w:eastAsia="zh-CN"/>
        </w:rPr>
        <w:t>根据贵方的</w:t>
      </w:r>
      <w:r>
        <w:rPr>
          <w:rFonts w:hint="eastAsia" w:ascii="仿宋" w:hAnsi="仿宋" w:eastAsia="仿宋" w:cs="仿宋"/>
          <w:color w:val="000000"/>
          <w:highlight w:val="none"/>
          <w:u w:val="single"/>
          <w:lang w:eastAsia="zh-CN"/>
        </w:rPr>
        <w:t xml:space="preserve"> 2026年周末公益小剧场演出活动(项目编号：NJDL-20260417001) </w:t>
      </w:r>
      <w:r>
        <w:rPr>
          <w:rFonts w:hint="eastAsia" w:ascii="仿宋" w:hAnsi="仿宋" w:eastAsia="仿宋" w:cs="仿宋"/>
          <w:color w:val="000000"/>
          <w:szCs w:val="21"/>
          <w:highlight w:val="none"/>
          <w:lang w:eastAsia="zh-CN"/>
        </w:rPr>
        <w:t>框架协议采购征集文件，正式授权下述签字人_________________(姓名)代表我方______________（供应商的名称），全权处理本次项目的有关事宜。</w:t>
      </w:r>
    </w:p>
    <w:p w14:paraId="00BFBF86">
      <w:pPr>
        <w:pStyle w:val="311"/>
        <w:spacing w:before="0" w:after="0" w:line="420" w:lineRule="exact"/>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lang w:eastAsia="zh-CN"/>
        </w:rPr>
        <w:t>据此函，__________签字人兹宣布同意如下：</w:t>
      </w:r>
    </w:p>
    <w:p w14:paraId="00BFBF87">
      <w:pPr>
        <w:pStyle w:val="311"/>
        <w:spacing w:before="0" w:after="0" w:line="420" w:lineRule="exact"/>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lang w:eastAsia="zh-CN"/>
        </w:rPr>
        <w:t>1.按征集文件规定的各项要求，向采购人提供所需货物与服务。</w:t>
      </w:r>
    </w:p>
    <w:p w14:paraId="00BFBF88">
      <w:pPr>
        <w:pStyle w:val="311"/>
        <w:spacing w:before="0" w:after="0" w:line="420" w:lineRule="exact"/>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lang w:eastAsia="zh-CN"/>
        </w:rPr>
        <w:t>2.我们完全理解采购人不一定将采购合同授予协议价格最低的供应商。</w:t>
      </w:r>
    </w:p>
    <w:p w14:paraId="00BFBF89">
      <w:pPr>
        <w:pStyle w:val="311"/>
        <w:spacing w:before="0" w:after="0" w:line="420" w:lineRule="exact"/>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lang w:eastAsia="zh-CN"/>
        </w:rPr>
        <w:t>3.我们已详细审核全部征集文件及其有效补充文件，我们知道必须放弃提出含糊不清或误解问题的权利。</w:t>
      </w:r>
    </w:p>
    <w:p w14:paraId="00BFBF8A">
      <w:pPr>
        <w:pStyle w:val="311"/>
        <w:spacing w:before="0" w:after="0" w:line="420" w:lineRule="exact"/>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lang w:eastAsia="zh-CN"/>
        </w:rPr>
        <w:t>4.我们同意从规定的响应文件开启日期起遵循本响应文件，并在规定的响应文件有效期期满之前均具有约束力。</w:t>
      </w:r>
    </w:p>
    <w:p w14:paraId="00BFBF8B">
      <w:pPr>
        <w:pStyle w:val="311"/>
        <w:spacing w:before="0" w:after="0" w:line="420" w:lineRule="exact"/>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lang w:eastAsia="zh-CN"/>
        </w:rPr>
        <w:t>5.同意向贵方提供贵方可能另外要求的与本次采购活动有关的任何证据或资料，并保证我方已提供和将要提供的文件是真实的、准确的。</w:t>
      </w:r>
    </w:p>
    <w:p w14:paraId="00BFBF8C">
      <w:pPr>
        <w:pStyle w:val="311"/>
        <w:spacing w:before="0" w:after="0" w:line="420" w:lineRule="exact"/>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lang w:eastAsia="zh-CN"/>
        </w:rPr>
        <w:t>6.一旦我方成为入围供应商,我方将根据征集文件的规定，严格履行合同的责任和义务,并保证在征集文件规定的时间完成项目，交付采购人验收、使用。</w:t>
      </w:r>
    </w:p>
    <w:p w14:paraId="00BFBF8D">
      <w:pPr>
        <w:pStyle w:val="311"/>
        <w:spacing w:before="0" w:after="0" w:line="420" w:lineRule="exact"/>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lang w:eastAsia="zh-CN"/>
        </w:rPr>
        <w:t>7.与本次采购活动有关的正式通讯地址为：</w:t>
      </w:r>
    </w:p>
    <w:p w14:paraId="00BFBF8E">
      <w:pPr>
        <w:pStyle w:val="311"/>
        <w:spacing w:before="0" w:after="0" w:line="420" w:lineRule="exact"/>
        <w:ind w:left="420"/>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lang w:eastAsia="zh-CN"/>
        </w:rPr>
        <w:t>地        址：</w:t>
      </w:r>
    </w:p>
    <w:p w14:paraId="00BFBF8F">
      <w:pPr>
        <w:pStyle w:val="311"/>
        <w:spacing w:before="0" w:after="0" w:line="420" w:lineRule="exact"/>
        <w:ind w:left="420"/>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lang w:eastAsia="zh-CN"/>
        </w:rPr>
        <w:t>邮        编：</w:t>
      </w:r>
    </w:p>
    <w:p w14:paraId="00BFBF90">
      <w:pPr>
        <w:pStyle w:val="311"/>
        <w:spacing w:before="0" w:after="0" w:line="420" w:lineRule="exact"/>
        <w:ind w:left="420"/>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lang w:eastAsia="zh-CN"/>
        </w:rPr>
        <w:t>电        话：</w:t>
      </w:r>
    </w:p>
    <w:p w14:paraId="00BFBF91">
      <w:pPr>
        <w:pStyle w:val="311"/>
        <w:spacing w:before="0" w:after="0" w:line="420" w:lineRule="exact"/>
        <w:ind w:left="420"/>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lang w:eastAsia="zh-CN"/>
        </w:rPr>
        <w:t>传        真：</w:t>
      </w:r>
    </w:p>
    <w:p w14:paraId="00BFBF92">
      <w:pPr>
        <w:pStyle w:val="311"/>
        <w:spacing w:before="0" w:after="0" w:line="420" w:lineRule="exact"/>
        <w:ind w:left="420"/>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lang w:eastAsia="zh-CN"/>
        </w:rPr>
        <w:t>供应商开户行：</w:t>
      </w:r>
    </w:p>
    <w:p w14:paraId="00BFBF93">
      <w:pPr>
        <w:pStyle w:val="311"/>
        <w:spacing w:before="0" w:after="0" w:line="420" w:lineRule="exact"/>
        <w:ind w:left="420"/>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lang w:eastAsia="zh-CN"/>
        </w:rPr>
        <w:t xml:space="preserve">账        户： </w:t>
      </w:r>
    </w:p>
    <w:p w14:paraId="00BFBF94">
      <w:pPr>
        <w:pStyle w:val="311"/>
        <w:spacing w:before="0" w:after="0" w:line="420" w:lineRule="exact"/>
        <w:ind w:left="420"/>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lang w:eastAsia="zh-CN"/>
        </w:rPr>
        <w:t>企业名称（加盖公章）：</w:t>
      </w:r>
    </w:p>
    <w:p w14:paraId="00BFBF95">
      <w:pPr>
        <w:pStyle w:val="311"/>
        <w:spacing w:before="0" w:after="0" w:line="420" w:lineRule="exact"/>
        <w:ind w:left="420"/>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lang w:eastAsia="zh-CN"/>
        </w:rPr>
        <w:t>日        期：________年____月____日</w:t>
      </w:r>
    </w:p>
    <w:bookmarkEnd w:id="165"/>
    <w:bookmarkEnd w:id="166"/>
    <w:bookmarkEnd w:id="187"/>
    <w:p w14:paraId="00BFBF96">
      <w:pPr>
        <w:rPr>
          <w:rFonts w:hint="eastAsia" w:ascii="仿宋" w:hAnsi="仿宋" w:eastAsia="仿宋" w:cs="仿宋"/>
          <w:color w:val="000000"/>
          <w:highlight w:val="none"/>
        </w:rPr>
      </w:pPr>
      <w:r>
        <w:rPr>
          <w:rFonts w:hint="eastAsia" w:ascii="仿宋" w:hAnsi="仿宋" w:eastAsia="仿宋" w:cs="仿宋"/>
          <w:color w:val="000000"/>
          <w:highlight w:val="none"/>
        </w:rPr>
        <w:br w:type="page"/>
      </w:r>
    </w:p>
    <w:p w14:paraId="00BFBF97">
      <w:pPr>
        <w:pStyle w:val="256"/>
        <w:spacing w:before="145" w:after="145" w:line="276" w:lineRule="auto"/>
        <w:ind w:firstLine="320"/>
        <w:rPr>
          <w:rFonts w:hint="eastAsia" w:ascii="仿宋" w:hAnsi="仿宋" w:eastAsia="仿宋" w:cs="仿宋"/>
          <w:color w:val="000000"/>
          <w:highlight w:val="none"/>
        </w:rPr>
      </w:pPr>
      <w:r>
        <w:rPr>
          <w:rFonts w:hint="eastAsia" w:ascii="仿宋" w:hAnsi="仿宋" w:eastAsia="仿宋" w:cs="仿宋"/>
          <w:color w:val="000000"/>
          <w:highlight w:val="none"/>
        </w:rPr>
        <w:t>四、报价一览表</w:t>
      </w:r>
    </w:p>
    <w:p w14:paraId="00BFBF98">
      <w:pPr>
        <w:jc w:val="center"/>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报价一览表</w:t>
      </w:r>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609"/>
        <w:gridCol w:w="5451"/>
      </w:tblGrid>
      <w:tr w14:paraId="00BFB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52" w:type="dxa"/>
          </w:tcPr>
          <w:p w14:paraId="00BFBF99">
            <w:pP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供应单位全称（加盖公章）</w:t>
            </w:r>
          </w:p>
        </w:tc>
        <w:tc>
          <w:tcPr>
            <w:tcW w:w="5517" w:type="dxa"/>
          </w:tcPr>
          <w:p w14:paraId="00BFBF9A">
            <w:pPr>
              <w:jc w:val="right"/>
              <w:rPr>
                <w:rFonts w:hint="eastAsia" w:ascii="仿宋" w:hAnsi="仿宋" w:eastAsia="仿宋" w:cs="仿宋"/>
                <w:color w:val="000000"/>
                <w:sz w:val="24"/>
                <w:szCs w:val="24"/>
                <w:highlight w:val="none"/>
              </w:rPr>
            </w:pPr>
          </w:p>
        </w:tc>
      </w:tr>
      <w:tr w14:paraId="00BFB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52" w:type="dxa"/>
          </w:tcPr>
          <w:p w14:paraId="00BFBF9C">
            <w:pP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演出具体联系人及联系方式</w:t>
            </w:r>
          </w:p>
        </w:tc>
        <w:tc>
          <w:tcPr>
            <w:tcW w:w="5517" w:type="dxa"/>
          </w:tcPr>
          <w:p w14:paraId="00BFBF9D">
            <w:pPr>
              <w:rPr>
                <w:rFonts w:hint="eastAsia" w:ascii="仿宋" w:hAnsi="仿宋" w:eastAsia="仿宋" w:cs="仿宋"/>
                <w:color w:val="000000"/>
                <w:sz w:val="24"/>
                <w:szCs w:val="24"/>
                <w:highlight w:val="none"/>
              </w:rPr>
            </w:pPr>
          </w:p>
        </w:tc>
      </w:tr>
      <w:tr w14:paraId="00BFB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52" w:type="dxa"/>
          </w:tcPr>
          <w:p w14:paraId="00BFBFAB">
            <w:pP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报价（</w:t>
            </w:r>
            <w:r>
              <w:rPr>
                <w:rFonts w:hint="eastAsia" w:ascii="仿宋" w:hAnsi="仿宋" w:eastAsia="仿宋" w:cs="仿宋"/>
                <w:color w:val="000000"/>
                <w:sz w:val="24"/>
                <w:szCs w:val="24"/>
                <w:highlight w:val="none"/>
                <w:lang w:val="en-US" w:eastAsia="zh-CN"/>
              </w:rPr>
              <w:t>单价</w:t>
            </w:r>
            <w:r>
              <w:rPr>
                <w:rFonts w:hint="eastAsia" w:ascii="仿宋" w:hAnsi="仿宋" w:eastAsia="仿宋" w:cs="仿宋"/>
                <w:color w:val="000000"/>
                <w:sz w:val="24"/>
                <w:szCs w:val="24"/>
                <w:highlight w:val="none"/>
              </w:rPr>
              <w:t>，单位：人民币）</w:t>
            </w:r>
          </w:p>
        </w:tc>
        <w:tc>
          <w:tcPr>
            <w:tcW w:w="5517" w:type="dxa"/>
          </w:tcPr>
          <w:p w14:paraId="00BFBFAC">
            <w:pPr>
              <w:rPr>
                <w:rFonts w:hint="default" w:ascii="仿宋" w:hAnsi="仿宋" w:eastAsia="仿宋" w:cs="仿宋"/>
                <w:color w:val="000000"/>
                <w:sz w:val="24"/>
                <w:szCs w:val="24"/>
                <w:highlight w:val="none"/>
                <w:lang w:val="en-US" w:eastAsia="zh-CN"/>
              </w:rPr>
            </w:pPr>
            <w:r>
              <w:rPr>
                <w:rFonts w:hint="eastAsia" w:ascii="Calibri" w:hAnsi="Calibri" w:eastAsia="仿宋" w:cs="Calibri"/>
                <w:color w:val="000000"/>
                <w:sz w:val="24"/>
                <w:szCs w:val="24"/>
                <w:highlight w:val="none"/>
              </w:rPr>
              <w:t>¥</w:t>
            </w:r>
            <w:r>
              <w:rPr>
                <w:rFonts w:hint="eastAsia" w:ascii="Calibri" w:hAnsi="Calibri" w:eastAsia="仿宋" w:cs="Calibri"/>
                <w:color w:val="000000"/>
                <w:sz w:val="24"/>
                <w:szCs w:val="24"/>
                <w:highlight w:val="none"/>
                <w:lang w:val="en-US" w:eastAsia="zh-CN"/>
              </w:rPr>
              <w:t xml:space="preserve">     /场</w:t>
            </w:r>
          </w:p>
        </w:tc>
      </w:tr>
      <w:tr w14:paraId="00BFB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52" w:type="dxa"/>
          </w:tcPr>
          <w:p w14:paraId="00BFBFAE">
            <w:pP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报价大写（单位：人民币）</w:t>
            </w:r>
          </w:p>
        </w:tc>
        <w:tc>
          <w:tcPr>
            <w:tcW w:w="5517" w:type="dxa"/>
          </w:tcPr>
          <w:p w14:paraId="00BFBFAF">
            <w:pP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 xml:space="preserve">                </w:t>
            </w:r>
          </w:p>
        </w:tc>
      </w:tr>
    </w:tbl>
    <w:p w14:paraId="33BDDB13">
      <w:pPr>
        <w:spacing w:line="560" w:lineRule="exact"/>
        <w:ind w:right="18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供应商名称（加盖公章）：</w:t>
      </w:r>
    </w:p>
    <w:p w14:paraId="23C1EA0A">
      <w:pPr>
        <w:rPr>
          <w:rFonts w:hint="eastAsia" w:ascii="仿宋" w:hAnsi="仿宋" w:eastAsia="仿宋" w:cs="仿宋"/>
          <w:color w:val="000000"/>
          <w:sz w:val="24"/>
          <w:szCs w:val="24"/>
          <w:highlight w:val="none"/>
        </w:rPr>
      </w:pPr>
    </w:p>
    <w:p w14:paraId="00BFBFB7">
      <w:pPr>
        <w:ind w:firstLine="48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日期：  </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日</w:t>
      </w:r>
    </w:p>
    <w:p w14:paraId="4C3D498B">
      <w:pPr>
        <w:pStyle w:val="256"/>
        <w:spacing w:before="145" w:after="145" w:line="276" w:lineRule="auto"/>
        <w:ind w:firstLine="320"/>
        <w:rPr>
          <w:rFonts w:hint="eastAsia" w:ascii="仿宋" w:hAnsi="仿宋" w:eastAsia="仿宋" w:cs="仿宋"/>
          <w:color w:val="000000"/>
          <w:highlight w:val="none"/>
        </w:rPr>
      </w:pPr>
    </w:p>
    <w:p w14:paraId="473ACD08">
      <w:pPr>
        <w:pStyle w:val="256"/>
        <w:spacing w:before="145" w:after="145" w:line="276" w:lineRule="auto"/>
        <w:ind w:firstLine="320"/>
        <w:rPr>
          <w:rFonts w:hint="eastAsia" w:ascii="仿宋" w:hAnsi="仿宋" w:eastAsia="仿宋" w:cs="仿宋"/>
          <w:color w:val="000000"/>
          <w:highlight w:val="none"/>
        </w:rPr>
      </w:pPr>
    </w:p>
    <w:p w14:paraId="6F4419DD">
      <w:pPr>
        <w:pStyle w:val="256"/>
        <w:spacing w:before="145" w:after="145" w:line="276" w:lineRule="auto"/>
        <w:ind w:firstLine="320"/>
        <w:rPr>
          <w:rFonts w:hint="eastAsia" w:ascii="仿宋" w:hAnsi="仿宋" w:eastAsia="仿宋" w:cs="仿宋"/>
          <w:color w:val="000000"/>
          <w:highlight w:val="none"/>
        </w:rPr>
      </w:pPr>
    </w:p>
    <w:p w14:paraId="7B116A29">
      <w:pPr>
        <w:pStyle w:val="256"/>
        <w:spacing w:before="145" w:after="145" w:line="276" w:lineRule="auto"/>
        <w:ind w:firstLine="320"/>
        <w:rPr>
          <w:rFonts w:hint="eastAsia" w:ascii="仿宋" w:hAnsi="仿宋" w:eastAsia="仿宋" w:cs="仿宋"/>
          <w:color w:val="000000"/>
          <w:highlight w:val="none"/>
        </w:rPr>
      </w:pPr>
    </w:p>
    <w:p w14:paraId="00BFBFB8">
      <w:pPr>
        <w:pStyle w:val="256"/>
        <w:spacing w:before="145" w:after="145" w:line="276" w:lineRule="auto"/>
        <w:ind w:firstLine="320"/>
        <w:rPr>
          <w:rFonts w:hint="eastAsia" w:ascii="仿宋" w:hAnsi="仿宋" w:eastAsia="仿宋" w:cs="仿宋"/>
          <w:color w:val="000000"/>
          <w:highlight w:val="none"/>
        </w:rPr>
      </w:pPr>
      <w:r>
        <w:rPr>
          <w:rFonts w:hint="eastAsia" w:ascii="仿宋" w:hAnsi="仿宋" w:eastAsia="仿宋" w:cs="仿宋"/>
          <w:color w:val="000000"/>
          <w:highlight w:val="none"/>
        </w:rPr>
        <w:t>五、实质性要求完全响应承诺书</w:t>
      </w:r>
    </w:p>
    <w:p w14:paraId="00BFBFB9">
      <w:pPr>
        <w:jc w:val="center"/>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实质性要求完全响应承诺书</w:t>
      </w:r>
    </w:p>
    <w:p w14:paraId="00BFBFBA">
      <w:pPr>
        <w:spacing w:line="56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南京东来工程咨询有限公司</w:t>
      </w:r>
      <w:r>
        <w:rPr>
          <w:rFonts w:hint="eastAsia" w:ascii="仿宋" w:hAnsi="仿宋" w:eastAsia="仿宋" w:cs="仿宋"/>
          <w:color w:val="000000"/>
          <w:sz w:val="24"/>
          <w:szCs w:val="24"/>
          <w:highlight w:val="none"/>
        </w:rPr>
        <w:t>：</w:t>
      </w:r>
    </w:p>
    <w:p w14:paraId="00BFBFBB">
      <w:pPr>
        <w:spacing w:line="560" w:lineRule="exact"/>
        <w:ind w:firstLine="48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（供应商名称）承诺：</w:t>
      </w:r>
    </w:p>
    <w:p w14:paraId="00BFBFBC">
      <w:pPr>
        <w:spacing w:line="560" w:lineRule="exact"/>
        <w:ind w:firstLine="48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我公司完全响应</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eastAsia="zh-CN"/>
        </w:rPr>
        <w:t>2026年周末公益小剧场演出活动</w:t>
      </w:r>
      <w:r>
        <w:rPr>
          <w:rFonts w:hint="eastAsia" w:ascii="仿宋" w:hAnsi="仿宋" w:eastAsia="仿宋" w:cs="仿宋"/>
          <w:color w:val="000000"/>
          <w:sz w:val="24"/>
          <w:szCs w:val="24"/>
          <w:highlight w:val="none"/>
          <w:u w:val="single"/>
        </w:rPr>
        <w:t>(项目编号：</w:t>
      </w:r>
      <w:r>
        <w:rPr>
          <w:rFonts w:hint="eastAsia" w:ascii="仿宋" w:hAnsi="仿宋" w:eastAsia="仿宋" w:cs="仿宋"/>
          <w:color w:val="000000"/>
          <w:sz w:val="24"/>
          <w:szCs w:val="24"/>
          <w:highlight w:val="none"/>
          <w:u w:val="single"/>
          <w:lang w:eastAsia="zh-CN"/>
        </w:rPr>
        <w:t>NJDL-20260417001</w:t>
      </w:r>
      <w:r>
        <w:rPr>
          <w:rFonts w:hint="eastAsia" w:ascii="仿宋" w:hAnsi="仿宋" w:eastAsia="仿宋" w:cs="仿宋"/>
          <w:color w:val="000000"/>
          <w:sz w:val="24"/>
          <w:szCs w:val="24"/>
          <w:highlight w:val="none"/>
          <w:u w:val="single"/>
        </w:rPr>
        <w:t>)</w:t>
      </w:r>
      <w:r>
        <w:rPr>
          <w:rFonts w:hint="eastAsia" w:ascii="仿宋" w:hAnsi="仿宋" w:eastAsia="仿宋" w:cs="仿宋"/>
          <w:color w:val="000000"/>
          <w:sz w:val="24"/>
          <w:szCs w:val="24"/>
          <w:highlight w:val="none"/>
        </w:rPr>
        <w:t>采购文件“第四章 采购需求”中所有“实质性要求”（另有约定的除外）。</w:t>
      </w:r>
    </w:p>
    <w:p w14:paraId="00BFBFBD">
      <w:pPr>
        <w:spacing w:line="560" w:lineRule="exact"/>
        <w:ind w:firstLine="48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我公司对上述承诺的真实性负责，如有虚假，将依法承担相应责任。</w:t>
      </w:r>
    </w:p>
    <w:p w14:paraId="00BFBFBE">
      <w:pPr>
        <w:spacing w:line="560" w:lineRule="exact"/>
        <w:ind w:right="180"/>
        <w:jc w:val="righ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供应商名称（加盖公章）：</w:t>
      </w:r>
    </w:p>
    <w:p w14:paraId="00BFBFBF">
      <w:pPr>
        <w:spacing w:line="560" w:lineRule="exact"/>
        <w:ind w:right="480" w:firstLine="6410" w:firstLineChars="2671"/>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日  期：</w:t>
      </w:r>
    </w:p>
    <w:p w14:paraId="00BFBFC0">
      <w:pP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br w:type="page"/>
      </w:r>
    </w:p>
    <w:p w14:paraId="00BFBFC1">
      <w:pPr>
        <w:pStyle w:val="256"/>
        <w:spacing w:before="145" w:after="145" w:line="276" w:lineRule="auto"/>
        <w:ind w:firstLine="320"/>
        <w:rPr>
          <w:rFonts w:hint="eastAsia" w:ascii="仿宋" w:hAnsi="仿宋" w:eastAsia="仿宋" w:cs="仿宋"/>
          <w:color w:val="000000"/>
          <w:highlight w:val="none"/>
        </w:rPr>
      </w:pPr>
      <w:r>
        <w:rPr>
          <w:rFonts w:hint="eastAsia" w:ascii="仿宋" w:hAnsi="仿宋" w:eastAsia="仿宋" w:cs="仿宋"/>
          <w:color w:val="000000"/>
          <w:highlight w:val="none"/>
        </w:rPr>
        <w:t>六、演出资质（荣誉证书）</w:t>
      </w:r>
    </w:p>
    <w:p w14:paraId="78FD4AD6">
      <w:pPr>
        <w:spacing w:line="560" w:lineRule="exact"/>
        <w:ind w:firstLine="48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6.1.供应商简介（不超过500字）：</w:t>
      </w:r>
    </w:p>
    <w:p w14:paraId="31C4BFCC">
      <w:pPr>
        <w:spacing w:line="560" w:lineRule="exact"/>
        <w:ind w:firstLine="480"/>
        <w:rPr>
          <w:rFonts w:hint="eastAsia" w:ascii="仿宋" w:hAnsi="仿宋" w:eastAsia="仿宋" w:cs="仿宋"/>
          <w:color w:val="000000"/>
          <w:sz w:val="24"/>
          <w:szCs w:val="24"/>
          <w:highlight w:val="none"/>
        </w:rPr>
      </w:pPr>
    </w:p>
    <w:p w14:paraId="00BFBFC2">
      <w:pPr>
        <w:spacing w:line="560" w:lineRule="exact"/>
        <w:ind w:firstLine="480"/>
        <w:rPr>
          <w:rFonts w:hint="eastAsia" w:ascii="仿宋" w:hAnsi="仿宋" w:eastAsia="仿宋" w:cs="仿宋"/>
          <w:b/>
          <w:bCs/>
          <w:color w:val="000000"/>
          <w:sz w:val="24"/>
          <w:szCs w:val="24"/>
          <w:highlight w:val="none"/>
        </w:rPr>
      </w:pPr>
      <w:r>
        <w:rPr>
          <w:rFonts w:hint="eastAsia" w:ascii="仿宋" w:hAnsi="仿宋" w:eastAsia="仿宋" w:cs="仿宋"/>
          <w:color w:val="000000"/>
          <w:sz w:val="24"/>
          <w:szCs w:val="24"/>
          <w:highlight w:val="none"/>
        </w:rPr>
        <w:t>6.2.202</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年以来的荣誉证书材料清单，</w:t>
      </w:r>
      <w:r>
        <w:rPr>
          <w:rFonts w:hint="eastAsia" w:ascii="仿宋" w:hAnsi="仿宋" w:eastAsia="仿宋" w:cs="仿宋"/>
          <w:b/>
          <w:bCs/>
          <w:color w:val="000000"/>
          <w:sz w:val="24"/>
          <w:szCs w:val="24"/>
          <w:highlight w:val="none"/>
        </w:rPr>
        <w:t>请提供获奖证书复印件或公告文件截图等证明材料附后。</w:t>
      </w:r>
    </w:p>
    <w:p w14:paraId="00BFBFC4">
      <w:pPr>
        <w:spacing w:line="560" w:lineRule="exact"/>
        <w:ind w:firstLine="48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（1）文艺作品获得省级以上政府奖的（群星奖、文华奖，江苏省五星工程奖等）：</w:t>
      </w:r>
    </w:p>
    <w:p w14:paraId="4C7A22A8">
      <w:pPr>
        <w:spacing w:line="560" w:lineRule="exact"/>
        <w:ind w:firstLine="480"/>
        <w:rPr>
          <w:rFonts w:hint="eastAsia" w:ascii="仿宋" w:hAnsi="仿宋" w:eastAsia="仿宋" w:cs="仿宋"/>
          <w:color w:val="000000"/>
          <w:sz w:val="24"/>
          <w:szCs w:val="24"/>
          <w:highlight w:val="none"/>
        </w:rPr>
      </w:pPr>
    </w:p>
    <w:p w14:paraId="00BFBFC7">
      <w:pPr>
        <w:spacing w:line="560" w:lineRule="exact"/>
        <w:ind w:firstLine="48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（2）团队获得市级以上党委政府（含部委办局）综合性表彰或评估定级的（南京市五星群众文艺团队、江苏省优秀群文团队等）：</w:t>
      </w:r>
    </w:p>
    <w:p w14:paraId="051124DB">
      <w:pPr>
        <w:spacing w:line="560" w:lineRule="exact"/>
        <w:ind w:firstLine="480"/>
        <w:rPr>
          <w:rFonts w:hint="eastAsia" w:ascii="仿宋" w:hAnsi="仿宋" w:eastAsia="仿宋" w:cs="仿宋"/>
          <w:color w:val="000000"/>
          <w:sz w:val="24"/>
          <w:szCs w:val="24"/>
          <w:highlight w:val="none"/>
        </w:rPr>
      </w:pPr>
    </w:p>
    <w:p w14:paraId="00BFBFCA">
      <w:pPr>
        <w:spacing w:line="560" w:lineRule="exact"/>
        <w:ind w:firstLine="48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（3）文艺作品获得市级以上党委政府（含部委办局）、群团组织奖项：</w:t>
      </w:r>
    </w:p>
    <w:p w14:paraId="0C5FA984">
      <w:pPr>
        <w:spacing w:line="560" w:lineRule="exact"/>
        <w:ind w:firstLine="480"/>
        <w:rPr>
          <w:rFonts w:hint="eastAsia" w:ascii="仿宋" w:hAnsi="仿宋" w:eastAsia="仿宋" w:cs="仿宋"/>
          <w:color w:val="000000"/>
          <w:sz w:val="24"/>
          <w:szCs w:val="24"/>
          <w:highlight w:val="none"/>
        </w:rPr>
      </w:pPr>
    </w:p>
    <w:p w14:paraId="00BFBFCB">
      <w:pPr>
        <w:spacing w:line="560" w:lineRule="exact"/>
        <w:ind w:firstLine="48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（4）主要演职人员获得市级以上党委政府（含部委办局）综合性表彰的，最多计两项：</w:t>
      </w:r>
    </w:p>
    <w:p w14:paraId="00BFBFCC">
      <w:pPr>
        <w:spacing w:line="560" w:lineRule="exact"/>
        <w:ind w:firstLine="480"/>
        <w:rPr>
          <w:rFonts w:hint="eastAsia" w:ascii="仿宋" w:hAnsi="仿宋" w:eastAsia="仿宋" w:cs="仿宋"/>
          <w:color w:val="000000"/>
          <w:sz w:val="24"/>
          <w:szCs w:val="24"/>
          <w:highlight w:val="none"/>
        </w:rPr>
      </w:pPr>
    </w:p>
    <w:p w14:paraId="00BFBFCD">
      <w:pPr>
        <w:spacing w:line="560" w:lineRule="exact"/>
        <w:ind w:firstLine="480"/>
        <w:rPr>
          <w:rFonts w:hint="eastAsia" w:ascii="仿宋" w:hAnsi="仿宋" w:eastAsia="仿宋" w:cs="仿宋"/>
          <w:color w:val="000000"/>
          <w:sz w:val="24"/>
          <w:szCs w:val="24"/>
          <w:highlight w:val="none"/>
        </w:rPr>
      </w:pPr>
    </w:p>
    <w:p w14:paraId="00BFBFCE">
      <w:pPr>
        <w:spacing w:line="560" w:lineRule="exact"/>
        <w:ind w:firstLine="480"/>
        <w:rPr>
          <w:rFonts w:hint="eastAsia" w:ascii="仿宋" w:hAnsi="仿宋" w:eastAsia="仿宋" w:cs="仿宋"/>
          <w:color w:val="000000"/>
          <w:sz w:val="24"/>
          <w:szCs w:val="24"/>
          <w:highlight w:val="none"/>
        </w:rPr>
      </w:pPr>
    </w:p>
    <w:p w14:paraId="00BFBFCF">
      <w:pPr>
        <w:pStyle w:val="254"/>
        <w:rPr>
          <w:highlight w:val="none"/>
          <w:lang w:eastAsia="zh-CN"/>
        </w:rPr>
      </w:pPr>
    </w:p>
    <w:p w14:paraId="00BFBFDD">
      <w:pPr>
        <w:pStyle w:val="254"/>
        <w:ind w:firstLine="0"/>
        <w:rPr>
          <w:highlight w:val="none"/>
          <w:lang w:eastAsia="zh-CN"/>
        </w:rPr>
      </w:pPr>
    </w:p>
    <w:p w14:paraId="00BFBFDE">
      <w:pPr>
        <w:pStyle w:val="256"/>
        <w:spacing w:before="145" w:after="145" w:line="276" w:lineRule="auto"/>
        <w:ind w:firstLine="320"/>
        <w:rPr>
          <w:rFonts w:hint="eastAsia" w:ascii="仿宋" w:hAnsi="仿宋" w:eastAsia="仿宋" w:cs="仿宋"/>
          <w:color w:val="000000"/>
          <w:highlight w:val="none"/>
        </w:rPr>
      </w:pPr>
      <w:r>
        <w:rPr>
          <w:rFonts w:hint="eastAsia" w:ascii="仿宋" w:hAnsi="仿宋" w:eastAsia="仿宋" w:cs="仿宋"/>
          <w:color w:val="000000"/>
          <w:highlight w:val="none"/>
        </w:rPr>
        <w:t>七、服务方案</w:t>
      </w:r>
    </w:p>
    <w:p w14:paraId="00BFBFDF">
      <w:pPr>
        <w:pStyle w:val="75"/>
        <w:ind w:left="0" w:firstLine="640" w:firstLineChars="200"/>
        <w:rPr>
          <w:rFonts w:hint="default" w:ascii="仿宋" w:hAnsi="仿宋" w:eastAsia="仿宋" w:cs="仿宋"/>
          <w:sz w:val="32"/>
          <w:szCs w:val="32"/>
          <w:highlight w:val="none"/>
          <w:lang w:val="en-US" w:eastAsia="zh-CN"/>
        </w:rPr>
      </w:pPr>
      <w:bookmarkStart w:id="191" w:name="OLE_LINK3"/>
      <w:r>
        <w:rPr>
          <w:rFonts w:hint="eastAsia" w:ascii="仿宋" w:hAnsi="仿宋" w:eastAsia="仿宋" w:cs="仿宋"/>
          <w:sz w:val="32"/>
          <w:szCs w:val="32"/>
          <w:highlight w:val="none"/>
        </w:rPr>
        <w:t>7.1</w:t>
      </w:r>
      <w:r>
        <w:rPr>
          <w:rFonts w:hint="eastAsia" w:ascii="仿宋" w:hAnsi="仿宋" w:eastAsia="仿宋" w:cs="仿宋"/>
          <w:sz w:val="32"/>
          <w:szCs w:val="32"/>
          <w:highlight w:val="none"/>
          <w:lang w:val="en-US" w:eastAsia="zh-CN"/>
        </w:rPr>
        <w:t>演出方案</w:t>
      </w:r>
    </w:p>
    <w:p w14:paraId="00BFBFE0">
      <w:pPr>
        <w:pStyle w:val="75"/>
        <w:ind w:left="0" w:firstLine="640" w:firstLineChars="200"/>
        <w:rPr>
          <w:rFonts w:hint="eastAsia" w:ascii="仿宋" w:hAnsi="仿宋" w:eastAsia="仿宋" w:cs="仿宋"/>
          <w:sz w:val="32"/>
          <w:szCs w:val="32"/>
          <w:highlight w:val="none"/>
        </w:rPr>
      </w:pPr>
    </w:p>
    <w:p w14:paraId="00BFBFE2">
      <w:pPr>
        <w:pStyle w:val="75"/>
        <w:ind w:left="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7.2</w:t>
      </w:r>
      <w:r>
        <w:rPr>
          <w:rFonts w:hint="eastAsia" w:ascii="仿宋" w:hAnsi="仿宋" w:eastAsia="仿宋" w:cs="仿宋"/>
          <w:sz w:val="32"/>
          <w:szCs w:val="32"/>
          <w:highlight w:val="none"/>
          <w:lang w:val="en-US" w:eastAsia="zh-CN"/>
        </w:rPr>
        <w:t>服务方案</w:t>
      </w:r>
    </w:p>
    <w:p w14:paraId="68B2831A">
      <w:pPr>
        <w:pStyle w:val="75"/>
        <w:ind w:left="0" w:firstLine="640" w:firstLineChars="200"/>
        <w:rPr>
          <w:rFonts w:hint="default" w:ascii="仿宋" w:hAnsi="仿宋" w:eastAsia="仿宋" w:cs="仿宋"/>
          <w:sz w:val="32"/>
          <w:szCs w:val="32"/>
          <w:highlight w:val="none"/>
          <w:lang w:val="en-US" w:eastAsia="zh-CN"/>
        </w:rPr>
      </w:pPr>
    </w:p>
    <w:p w14:paraId="00BFBFE4">
      <w:pPr>
        <w:pStyle w:val="75"/>
        <w:ind w:left="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7.3</w:t>
      </w:r>
      <w:r>
        <w:rPr>
          <w:rFonts w:hint="eastAsia" w:ascii="仿宋" w:hAnsi="仿宋" w:eastAsia="仿宋" w:cs="仿宋"/>
          <w:sz w:val="32"/>
          <w:szCs w:val="32"/>
          <w:highlight w:val="none"/>
          <w:lang w:val="en-US" w:eastAsia="zh-CN"/>
        </w:rPr>
        <w:t>风险预案</w:t>
      </w:r>
    </w:p>
    <w:p w14:paraId="6AB543FB">
      <w:pPr>
        <w:pStyle w:val="75"/>
        <w:ind w:left="0" w:firstLine="640" w:firstLineChars="200"/>
        <w:rPr>
          <w:rFonts w:hint="default" w:ascii="仿宋" w:hAnsi="仿宋" w:eastAsia="仿宋" w:cs="仿宋"/>
          <w:sz w:val="32"/>
          <w:szCs w:val="32"/>
          <w:highlight w:val="none"/>
          <w:lang w:val="en-US" w:eastAsia="zh-CN"/>
        </w:rPr>
      </w:pPr>
    </w:p>
    <w:p w14:paraId="00BFBFE5">
      <w:pPr>
        <w:pStyle w:val="75"/>
        <w:ind w:left="0"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7.4</w:t>
      </w:r>
      <w:r>
        <w:rPr>
          <w:rFonts w:hint="eastAsia" w:ascii="仿宋" w:hAnsi="仿宋" w:eastAsia="仿宋" w:cs="仿宋"/>
          <w:sz w:val="32"/>
          <w:szCs w:val="32"/>
          <w:highlight w:val="none"/>
          <w:lang w:val="en-US" w:eastAsia="zh-CN"/>
        </w:rPr>
        <w:t>安全管理预案</w:t>
      </w:r>
    </w:p>
    <w:p w14:paraId="00BFBFE6">
      <w:pPr>
        <w:pStyle w:val="75"/>
        <w:ind w:left="0" w:firstLine="321" w:firstLineChars="100"/>
        <w:rPr>
          <w:rFonts w:hint="eastAsia" w:ascii="仿宋" w:hAnsi="仿宋" w:eastAsia="仿宋" w:cs="仿宋"/>
          <w:b/>
          <w:bCs/>
          <w:sz w:val="32"/>
          <w:szCs w:val="32"/>
          <w:highlight w:val="none"/>
        </w:rPr>
      </w:pPr>
    </w:p>
    <w:p w14:paraId="00BFC006">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bookmarkEnd w:id="191"/>
    <w:p w14:paraId="00BFC007">
      <w:pPr>
        <w:pStyle w:val="256"/>
        <w:spacing w:before="145" w:after="145" w:line="276" w:lineRule="auto"/>
        <w:rPr>
          <w:rFonts w:hint="eastAsia" w:ascii="仿宋" w:hAnsi="仿宋" w:eastAsia="仿宋" w:cs="仿宋"/>
          <w:color w:val="000000"/>
          <w:highlight w:val="none"/>
        </w:rPr>
      </w:pPr>
      <w:r>
        <w:rPr>
          <w:rFonts w:hint="eastAsia" w:ascii="仿宋" w:hAnsi="仿宋" w:eastAsia="仿宋" w:cs="仿宋"/>
          <w:color w:val="000000"/>
          <w:highlight w:val="none"/>
        </w:rPr>
        <w:t>八、同类演出经验</w:t>
      </w:r>
    </w:p>
    <w:p w14:paraId="00BFC008">
      <w:pPr>
        <w:pStyle w:val="254"/>
        <w:rPr>
          <w:highlight w:val="none"/>
          <w:lang w:eastAsia="zh-CN"/>
        </w:rPr>
      </w:pPr>
      <w:r>
        <w:rPr>
          <w:rFonts w:hint="eastAsia" w:ascii="仿宋" w:hAnsi="仿宋" w:eastAsia="仿宋" w:cs="仿宋"/>
          <w:sz w:val="22"/>
          <w:szCs w:val="22"/>
          <w:highlight w:val="none"/>
          <w:lang w:eastAsia="zh-CN"/>
        </w:rPr>
        <w:t>填报：自202</w:t>
      </w:r>
      <w:r>
        <w:rPr>
          <w:rFonts w:hint="eastAsia" w:ascii="仿宋" w:hAnsi="仿宋" w:eastAsia="仿宋" w:cs="仿宋"/>
          <w:sz w:val="22"/>
          <w:szCs w:val="22"/>
          <w:highlight w:val="none"/>
          <w:lang w:val="en-US" w:eastAsia="zh-CN"/>
        </w:rPr>
        <w:t>1</w:t>
      </w:r>
      <w:r>
        <w:rPr>
          <w:rFonts w:hint="eastAsia" w:ascii="仿宋" w:hAnsi="仿宋" w:eastAsia="仿宋" w:cs="仿宋"/>
          <w:sz w:val="22"/>
          <w:szCs w:val="22"/>
          <w:highlight w:val="none"/>
          <w:lang w:eastAsia="zh-CN"/>
        </w:rPr>
        <w:t>年01月01日以来，承担过的整场公益演出、单个节目公益演出、经文旅部门审批的商业性整场演出。</w:t>
      </w:r>
    </w:p>
    <w:tbl>
      <w:tblPr>
        <w:tblStyle w:val="34"/>
        <w:tblW w:w="9412"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
        <w:gridCol w:w="1024"/>
        <w:gridCol w:w="2703"/>
        <w:gridCol w:w="1266"/>
        <w:gridCol w:w="1433"/>
        <w:gridCol w:w="2551"/>
      </w:tblGrid>
      <w:tr w14:paraId="00BFC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435" w:type="dxa"/>
            <w:shd w:val="clear" w:color="auto" w:fill="D9D9D9"/>
            <w:vAlign w:val="center"/>
          </w:tcPr>
          <w:p w14:paraId="00BFC009">
            <w:pPr>
              <w:spacing w:line="38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序号</w:t>
            </w:r>
          </w:p>
        </w:tc>
        <w:tc>
          <w:tcPr>
            <w:tcW w:w="1024" w:type="dxa"/>
            <w:shd w:val="clear" w:color="auto" w:fill="D9D9D9"/>
            <w:vAlign w:val="center"/>
          </w:tcPr>
          <w:p w14:paraId="00BFC00A">
            <w:pPr>
              <w:spacing w:line="38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演出主办单位</w:t>
            </w:r>
          </w:p>
        </w:tc>
        <w:tc>
          <w:tcPr>
            <w:tcW w:w="2703" w:type="dxa"/>
            <w:shd w:val="clear" w:color="auto" w:fill="D9D9D9"/>
          </w:tcPr>
          <w:p w14:paraId="00BFC00B">
            <w:pPr>
              <w:spacing w:line="38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演出类型</w:t>
            </w:r>
          </w:p>
          <w:p w14:paraId="00BFC00C">
            <w:pPr>
              <w:spacing w:line="380" w:lineRule="exact"/>
              <w:jc w:val="center"/>
              <w:rPr>
                <w:rFonts w:hint="eastAsia" w:ascii="仿宋" w:hAnsi="仿宋" w:eastAsia="仿宋" w:cs="仿宋"/>
                <w:b/>
                <w:bCs/>
                <w:sz w:val="24"/>
                <w:szCs w:val="24"/>
                <w:highlight w:val="none"/>
              </w:rPr>
            </w:pPr>
            <w:r>
              <w:rPr>
                <w:rFonts w:hint="eastAsia" w:ascii="仿宋" w:hAnsi="仿宋" w:eastAsia="仿宋" w:cs="仿宋"/>
                <w:b/>
                <w:bCs/>
                <w:sz w:val="20"/>
                <w:szCs w:val="20"/>
                <w:highlight w:val="none"/>
              </w:rPr>
              <w:t>（1.整场公益演出；2.单个节目公益演出；3.商业性整场演出）</w:t>
            </w:r>
          </w:p>
        </w:tc>
        <w:tc>
          <w:tcPr>
            <w:tcW w:w="1266" w:type="dxa"/>
            <w:shd w:val="clear" w:color="auto" w:fill="D9D9D9"/>
            <w:vAlign w:val="center"/>
          </w:tcPr>
          <w:p w14:paraId="00BFC00D">
            <w:pPr>
              <w:spacing w:line="38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演出内容</w:t>
            </w:r>
          </w:p>
        </w:tc>
        <w:tc>
          <w:tcPr>
            <w:tcW w:w="1433" w:type="dxa"/>
            <w:shd w:val="clear" w:color="auto" w:fill="D9D9D9"/>
            <w:vAlign w:val="center"/>
          </w:tcPr>
          <w:p w14:paraId="00BFC00E">
            <w:pPr>
              <w:spacing w:line="38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演出时间</w:t>
            </w:r>
          </w:p>
        </w:tc>
        <w:tc>
          <w:tcPr>
            <w:tcW w:w="2551" w:type="dxa"/>
            <w:shd w:val="clear" w:color="auto" w:fill="D9D9D9"/>
            <w:vAlign w:val="center"/>
          </w:tcPr>
          <w:p w14:paraId="00BFC00F">
            <w:pPr>
              <w:spacing w:line="38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佐证材料（请提供合同或收款记录等证明文件，可附后）</w:t>
            </w:r>
          </w:p>
        </w:tc>
      </w:tr>
      <w:tr w14:paraId="00BFC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435" w:type="dxa"/>
            <w:vAlign w:val="center"/>
          </w:tcPr>
          <w:p w14:paraId="00BFC011">
            <w:pPr>
              <w:spacing w:line="38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w:t>
            </w:r>
          </w:p>
        </w:tc>
        <w:tc>
          <w:tcPr>
            <w:tcW w:w="1024" w:type="dxa"/>
            <w:vAlign w:val="center"/>
          </w:tcPr>
          <w:p w14:paraId="00BFC012">
            <w:pPr>
              <w:spacing w:line="380" w:lineRule="exact"/>
              <w:jc w:val="center"/>
              <w:rPr>
                <w:rFonts w:hint="eastAsia" w:ascii="仿宋" w:hAnsi="仿宋" w:eastAsia="仿宋" w:cs="仿宋"/>
                <w:b/>
                <w:bCs/>
                <w:sz w:val="24"/>
                <w:szCs w:val="24"/>
                <w:highlight w:val="none"/>
              </w:rPr>
            </w:pPr>
          </w:p>
        </w:tc>
        <w:tc>
          <w:tcPr>
            <w:tcW w:w="2703" w:type="dxa"/>
          </w:tcPr>
          <w:p w14:paraId="00BFC013">
            <w:pPr>
              <w:spacing w:line="380" w:lineRule="exact"/>
              <w:jc w:val="center"/>
              <w:rPr>
                <w:rFonts w:hint="eastAsia" w:ascii="仿宋" w:hAnsi="仿宋" w:eastAsia="仿宋" w:cs="仿宋"/>
                <w:b/>
                <w:bCs/>
                <w:sz w:val="24"/>
                <w:szCs w:val="24"/>
                <w:highlight w:val="none"/>
              </w:rPr>
            </w:pPr>
          </w:p>
        </w:tc>
        <w:tc>
          <w:tcPr>
            <w:tcW w:w="1266" w:type="dxa"/>
            <w:vAlign w:val="center"/>
          </w:tcPr>
          <w:p w14:paraId="00BFC014">
            <w:pPr>
              <w:spacing w:line="380" w:lineRule="exact"/>
              <w:jc w:val="center"/>
              <w:rPr>
                <w:rFonts w:hint="eastAsia" w:ascii="仿宋" w:hAnsi="仿宋" w:eastAsia="仿宋" w:cs="仿宋"/>
                <w:b/>
                <w:bCs/>
                <w:sz w:val="24"/>
                <w:szCs w:val="24"/>
                <w:highlight w:val="none"/>
              </w:rPr>
            </w:pPr>
          </w:p>
        </w:tc>
        <w:tc>
          <w:tcPr>
            <w:tcW w:w="1433" w:type="dxa"/>
            <w:vAlign w:val="center"/>
          </w:tcPr>
          <w:p w14:paraId="00BFC015">
            <w:pPr>
              <w:spacing w:line="380" w:lineRule="exact"/>
              <w:jc w:val="center"/>
              <w:rPr>
                <w:rFonts w:hint="eastAsia" w:ascii="仿宋" w:hAnsi="仿宋" w:eastAsia="仿宋" w:cs="仿宋"/>
                <w:b/>
                <w:bCs/>
                <w:sz w:val="24"/>
                <w:szCs w:val="24"/>
                <w:highlight w:val="none"/>
              </w:rPr>
            </w:pPr>
          </w:p>
        </w:tc>
        <w:tc>
          <w:tcPr>
            <w:tcW w:w="2551" w:type="dxa"/>
            <w:vAlign w:val="center"/>
          </w:tcPr>
          <w:p w14:paraId="00BFC016">
            <w:pPr>
              <w:spacing w:line="380" w:lineRule="exact"/>
              <w:jc w:val="center"/>
              <w:rPr>
                <w:rFonts w:hint="eastAsia" w:ascii="仿宋" w:hAnsi="仿宋" w:eastAsia="仿宋" w:cs="仿宋"/>
                <w:b/>
                <w:bCs/>
                <w:sz w:val="24"/>
                <w:szCs w:val="24"/>
                <w:highlight w:val="none"/>
              </w:rPr>
            </w:pPr>
          </w:p>
        </w:tc>
      </w:tr>
      <w:tr w14:paraId="00BFC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435" w:type="dxa"/>
            <w:vAlign w:val="center"/>
          </w:tcPr>
          <w:p w14:paraId="00BFC018">
            <w:pPr>
              <w:spacing w:line="38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w:t>
            </w:r>
          </w:p>
        </w:tc>
        <w:tc>
          <w:tcPr>
            <w:tcW w:w="1024" w:type="dxa"/>
            <w:vAlign w:val="center"/>
          </w:tcPr>
          <w:p w14:paraId="00BFC019">
            <w:pPr>
              <w:spacing w:line="380" w:lineRule="exact"/>
              <w:jc w:val="center"/>
              <w:rPr>
                <w:rFonts w:hint="eastAsia" w:ascii="仿宋" w:hAnsi="仿宋" w:eastAsia="仿宋" w:cs="仿宋"/>
                <w:b/>
                <w:bCs/>
                <w:sz w:val="24"/>
                <w:szCs w:val="24"/>
                <w:highlight w:val="none"/>
              </w:rPr>
            </w:pPr>
          </w:p>
        </w:tc>
        <w:tc>
          <w:tcPr>
            <w:tcW w:w="2703" w:type="dxa"/>
          </w:tcPr>
          <w:p w14:paraId="00BFC01A">
            <w:pPr>
              <w:spacing w:line="380" w:lineRule="exact"/>
              <w:jc w:val="center"/>
              <w:rPr>
                <w:rFonts w:hint="eastAsia" w:ascii="仿宋" w:hAnsi="仿宋" w:eastAsia="仿宋" w:cs="仿宋"/>
                <w:b/>
                <w:bCs/>
                <w:sz w:val="24"/>
                <w:szCs w:val="24"/>
                <w:highlight w:val="none"/>
              </w:rPr>
            </w:pPr>
          </w:p>
        </w:tc>
        <w:tc>
          <w:tcPr>
            <w:tcW w:w="1266" w:type="dxa"/>
            <w:vAlign w:val="center"/>
          </w:tcPr>
          <w:p w14:paraId="00BFC01B">
            <w:pPr>
              <w:spacing w:line="380" w:lineRule="exact"/>
              <w:jc w:val="center"/>
              <w:rPr>
                <w:rFonts w:hint="eastAsia" w:ascii="仿宋" w:hAnsi="仿宋" w:eastAsia="仿宋" w:cs="仿宋"/>
                <w:b/>
                <w:bCs/>
                <w:sz w:val="24"/>
                <w:szCs w:val="24"/>
                <w:highlight w:val="none"/>
              </w:rPr>
            </w:pPr>
          </w:p>
        </w:tc>
        <w:tc>
          <w:tcPr>
            <w:tcW w:w="1433" w:type="dxa"/>
            <w:vAlign w:val="center"/>
          </w:tcPr>
          <w:p w14:paraId="00BFC01C">
            <w:pPr>
              <w:spacing w:line="380" w:lineRule="exact"/>
              <w:jc w:val="center"/>
              <w:rPr>
                <w:rFonts w:hint="eastAsia" w:ascii="仿宋" w:hAnsi="仿宋" w:eastAsia="仿宋" w:cs="仿宋"/>
                <w:b/>
                <w:bCs/>
                <w:sz w:val="24"/>
                <w:szCs w:val="24"/>
                <w:highlight w:val="none"/>
              </w:rPr>
            </w:pPr>
          </w:p>
        </w:tc>
        <w:tc>
          <w:tcPr>
            <w:tcW w:w="2551" w:type="dxa"/>
            <w:vAlign w:val="center"/>
          </w:tcPr>
          <w:p w14:paraId="00BFC01D">
            <w:pPr>
              <w:spacing w:line="380" w:lineRule="exact"/>
              <w:jc w:val="center"/>
              <w:rPr>
                <w:rFonts w:hint="eastAsia" w:ascii="仿宋" w:hAnsi="仿宋" w:eastAsia="仿宋" w:cs="仿宋"/>
                <w:b/>
                <w:bCs/>
                <w:sz w:val="24"/>
                <w:szCs w:val="24"/>
                <w:highlight w:val="none"/>
              </w:rPr>
            </w:pPr>
          </w:p>
        </w:tc>
      </w:tr>
      <w:tr w14:paraId="00BFC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435" w:type="dxa"/>
            <w:vAlign w:val="center"/>
          </w:tcPr>
          <w:p w14:paraId="00BFC01F">
            <w:pPr>
              <w:spacing w:line="38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w:t>
            </w:r>
          </w:p>
        </w:tc>
        <w:tc>
          <w:tcPr>
            <w:tcW w:w="1024" w:type="dxa"/>
            <w:vAlign w:val="center"/>
          </w:tcPr>
          <w:p w14:paraId="00BFC020">
            <w:pPr>
              <w:spacing w:line="380" w:lineRule="exact"/>
              <w:jc w:val="center"/>
              <w:rPr>
                <w:rFonts w:hint="eastAsia" w:ascii="仿宋" w:hAnsi="仿宋" w:eastAsia="仿宋" w:cs="仿宋"/>
                <w:b/>
                <w:bCs/>
                <w:sz w:val="24"/>
                <w:szCs w:val="24"/>
                <w:highlight w:val="none"/>
              </w:rPr>
            </w:pPr>
          </w:p>
        </w:tc>
        <w:tc>
          <w:tcPr>
            <w:tcW w:w="2703" w:type="dxa"/>
          </w:tcPr>
          <w:p w14:paraId="00BFC021">
            <w:pPr>
              <w:spacing w:line="380" w:lineRule="exact"/>
              <w:jc w:val="center"/>
              <w:rPr>
                <w:rFonts w:hint="eastAsia" w:ascii="仿宋" w:hAnsi="仿宋" w:eastAsia="仿宋" w:cs="仿宋"/>
                <w:b/>
                <w:bCs/>
                <w:sz w:val="24"/>
                <w:szCs w:val="24"/>
                <w:highlight w:val="none"/>
              </w:rPr>
            </w:pPr>
          </w:p>
        </w:tc>
        <w:tc>
          <w:tcPr>
            <w:tcW w:w="1266" w:type="dxa"/>
            <w:vAlign w:val="center"/>
          </w:tcPr>
          <w:p w14:paraId="00BFC022">
            <w:pPr>
              <w:spacing w:line="380" w:lineRule="exact"/>
              <w:jc w:val="center"/>
              <w:rPr>
                <w:rFonts w:hint="eastAsia" w:ascii="仿宋" w:hAnsi="仿宋" w:eastAsia="仿宋" w:cs="仿宋"/>
                <w:b/>
                <w:bCs/>
                <w:sz w:val="24"/>
                <w:szCs w:val="24"/>
                <w:highlight w:val="none"/>
              </w:rPr>
            </w:pPr>
          </w:p>
        </w:tc>
        <w:tc>
          <w:tcPr>
            <w:tcW w:w="1433" w:type="dxa"/>
            <w:vAlign w:val="center"/>
          </w:tcPr>
          <w:p w14:paraId="00BFC023">
            <w:pPr>
              <w:spacing w:line="380" w:lineRule="exact"/>
              <w:jc w:val="center"/>
              <w:rPr>
                <w:rFonts w:hint="eastAsia" w:ascii="仿宋" w:hAnsi="仿宋" w:eastAsia="仿宋" w:cs="仿宋"/>
                <w:b/>
                <w:bCs/>
                <w:sz w:val="24"/>
                <w:szCs w:val="24"/>
                <w:highlight w:val="none"/>
              </w:rPr>
            </w:pPr>
          </w:p>
        </w:tc>
        <w:tc>
          <w:tcPr>
            <w:tcW w:w="2551" w:type="dxa"/>
            <w:vAlign w:val="center"/>
          </w:tcPr>
          <w:p w14:paraId="00BFC024">
            <w:pPr>
              <w:spacing w:line="380" w:lineRule="exact"/>
              <w:jc w:val="center"/>
              <w:rPr>
                <w:rFonts w:hint="eastAsia" w:ascii="仿宋" w:hAnsi="仿宋" w:eastAsia="仿宋" w:cs="仿宋"/>
                <w:b/>
                <w:bCs/>
                <w:sz w:val="24"/>
                <w:szCs w:val="24"/>
                <w:highlight w:val="none"/>
              </w:rPr>
            </w:pPr>
          </w:p>
        </w:tc>
      </w:tr>
      <w:tr w14:paraId="00BF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435" w:type="dxa"/>
            <w:vAlign w:val="center"/>
          </w:tcPr>
          <w:p w14:paraId="00BFC026">
            <w:pPr>
              <w:spacing w:line="38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4</w:t>
            </w:r>
          </w:p>
        </w:tc>
        <w:tc>
          <w:tcPr>
            <w:tcW w:w="1024" w:type="dxa"/>
            <w:vAlign w:val="center"/>
          </w:tcPr>
          <w:p w14:paraId="00BFC027">
            <w:pPr>
              <w:spacing w:line="380" w:lineRule="exact"/>
              <w:jc w:val="center"/>
              <w:rPr>
                <w:rFonts w:hint="eastAsia" w:ascii="仿宋" w:hAnsi="仿宋" w:eastAsia="仿宋" w:cs="仿宋"/>
                <w:b/>
                <w:bCs/>
                <w:sz w:val="24"/>
                <w:szCs w:val="24"/>
                <w:highlight w:val="none"/>
              </w:rPr>
            </w:pPr>
          </w:p>
        </w:tc>
        <w:tc>
          <w:tcPr>
            <w:tcW w:w="2703" w:type="dxa"/>
          </w:tcPr>
          <w:p w14:paraId="00BFC028">
            <w:pPr>
              <w:spacing w:line="380" w:lineRule="exact"/>
              <w:jc w:val="center"/>
              <w:rPr>
                <w:rFonts w:hint="eastAsia" w:ascii="仿宋" w:hAnsi="仿宋" w:eastAsia="仿宋" w:cs="仿宋"/>
                <w:b/>
                <w:bCs/>
                <w:sz w:val="24"/>
                <w:szCs w:val="24"/>
                <w:highlight w:val="none"/>
              </w:rPr>
            </w:pPr>
          </w:p>
        </w:tc>
        <w:tc>
          <w:tcPr>
            <w:tcW w:w="1266" w:type="dxa"/>
            <w:vAlign w:val="center"/>
          </w:tcPr>
          <w:p w14:paraId="00BFC029">
            <w:pPr>
              <w:spacing w:line="380" w:lineRule="exact"/>
              <w:jc w:val="center"/>
              <w:rPr>
                <w:rFonts w:hint="eastAsia" w:ascii="仿宋" w:hAnsi="仿宋" w:eastAsia="仿宋" w:cs="仿宋"/>
                <w:b/>
                <w:bCs/>
                <w:sz w:val="24"/>
                <w:szCs w:val="24"/>
                <w:highlight w:val="none"/>
              </w:rPr>
            </w:pPr>
          </w:p>
        </w:tc>
        <w:tc>
          <w:tcPr>
            <w:tcW w:w="1433" w:type="dxa"/>
            <w:vAlign w:val="center"/>
          </w:tcPr>
          <w:p w14:paraId="00BFC02A">
            <w:pPr>
              <w:spacing w:line="380" w:lineRule="exact"/>
              <w:jc w:val="center"/>
              <w:rPr>
                <w:rFonts w:hint="eastAsia" w:ascii="仿宋" w:hAnsi="仿宋" w:eastAsia="仿宋" w:cs="仿宋"/>
                <w:b/>
                <w:bCs/>
                <w:sz w:val="24"/>
                <w:szCs w:val="24"/>
                <w:highlight w:val="none"/>
              </w:rPr>
            </w:pPr>
          </w:p>
        </w:tc>
        <w:tc>
          <w:tcPr>
            <w:tcW w:w="2551" w:type="dxa"/>
            <w:vAlign w:val="center"/>
          </w:tcPr>
          <w:p w14:paraId="00BFC02B">
            <w:pPr>
              <w:spacing w:line="380" w:lineRule="exact"/>
              <w:jc w:val="center"/>
              <w:rPr>
                <w:rFonts w:hint="eastAsia" w:ascii="仿宋" w:hAnsi="仿宋" w:eastAsia="仿宋" w:cs="仿宋"/>
                <w:b/>
                <w:bCs/>
                <w:sz w:val="24"/>
                <w:szCs w:val="24"/>
                <w:highlight w:val="none"/>
              </w:rPr>
            </w:pPr>
          </w:p>
        </w:tc>
      </w:tr>
      <w:tr w14:paraId="00BFC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435" w:type="dxa"/>
            <w:vAlign w:val="center"/>
          </w:tcPr>
          <w:p w14:paraId="00BFC02D">
            <w:pPr>
              <w:spacing w:line="38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5</w:t>
            </w:r>
          </w:p>
        </w:tc>
        <w:tc>
          <w:tcPr>
            <w:tcW w:w="1024" w:type="dxa"/>
            <w:vAlign w:val="center"/>
          </w:tcPr>
          <w:p w14:paraId="00BFC02E">
            <w:pPr>
              <w:spacing w:line="380" w:lineRule="exact"/>
              <w:jc w:val="center"/>
              <w:rPr>
                <w:rFonts w:hint="eastAsia" w:ascii="仿宋" w:hAnsi="仿宋" w:eastAsia="仿宋" w:cs="仿宋"/>
                <w:b/>
                <w:bCs/>
                <w:sz w:val="24"/>
                <w:szCs w:val="24"/>
                <w:highlight w:val="none"/>
              </w:rPr>
            </w:pPr>
          </w:p>
        </w:tc>
        <w:tc>
          <w:tcPr>
            <w:tcW w:w="2703" w:type="dxa"/>
          </w:tcPr>
          <w:p w14:paraId="00BFC02F">
            <w:pPr>
              <w:spacing w:line="380" w:lineRule="exact"/>
              <w:jc w:val="center"/>
              <w:rPr>
                <w:rFonts w:hint="eastAsia" w:ascii="仿宋" w:hAnsi="仿宋" w:eastAsia="仿宋" w:cs="仿宋"/>
                <w:b/>
                <w:bCs/>
                <w:sz w:val="24"/>
                <w:szCs w:val="24"/>
                <w:highlight w:val="none"/>
              </w:rPr>
            </w:pPr>
          </w:p>
        </w:tc>
        <w:tc>
          <w:tcPr>
            <w:tcW w:w="1266" w:type="dxa"/>
            <w:vAlign w:val="center"/>
          </w:tcPr>
          <w:p w14:paraId="00BFC030">
            <w:pPr>
              <w:spacing w:line="380" w:lineRule="exact"/>
              <w:jc w:val="center"/>
              <w:rPr>
                <w:rFonts w:hint="eastAsia" w:ascii="仿宋" w:hAnsi="仿宋" w:eastAsia="仿宋" w:cs="仿宋"/>
                <w:b/>
                <w:bCs/>
                <w:sz w:val="24"/>
                <w:szCs w:val="24"/>
                <w:highlight w:val="none"/>
              </w:rPr>
            </w:pPr>
          </w:p>
        </w:tc>
        <w:tc>
          <w:tcPr>
            <w:tcW w:w="1433" w:type="dxa"/>
            <w:vAlign w:val="center"/>
          </w:tcPr>
          <w:p w14:paraId="00BFC031">
            <w:pPr>
              <w:spacing w:line="380" w:lineRule="exact"/>
              <w:jc w:val="center"/>
              <w:rPr>
                <w:rFonts w:hint="eastAsia" w:ascii="仿宋" w:hAnsi="仿宋" w:eastAsia="仿宋" w:cs="仿宋"/>
                <w:b/>
                <w:bCs/>
                <w:sz w:val="24"/>
                <w:szCs w:val="24"/>
                <w:highlight w:val="none"/>
              </w:rPr>
            </w:pPr>
          </w:p>
        </w:tc>
        <w:tc>
          <w:tcPr>
            <w:tcW w:w="2551" w:type="dxa"/>
            <w:vAlign w:val="center"/>
          </w:tcPr>
          <w:p w14:paraId="00BFC032">
            <w:pPr>
              <w:spacing w:line="380" w:lineRule="exact"/>
              <w:jc w:val="center"/>
              <w:rPr>
                <w:rFonts w:hint="eastAsia" w:ascii="仿宋" w:hAnsi="仿宋" w:eastAsia="仿宋" w:cs="仿宋"/>
                <w:b/>
                <w:bCs/>
                <w:sz w:val="24"/>
                <w:szCs w:val="24"/>
                <w:highlight w:val="none"/>
              </w:rPr>
            </w:pPr>
          </w:p>
        </w:tc>
      </w:tr>
      <w:tr w14:paraId="69B5B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435" w:type="dxa"/>
            <w:vAlign w:val="center"/>
          </w:tcPr>
          <w:p w14:paraId="43E41D62">
            <w:pPr>
              <w:spacing w:line="380" w:lineRule="exact"/>
              <w:rPr>
                <w:rFonts w:hint="eastAsia" w:ascii="仿宋" w:hAnsi="仿宋" w:eastAsia="仿宋" w:cs="仿宋"/>
                <w:b/>
                <w:bCs/>
                <w:sz w:val="24"/>
                <w:szCs w:val="24"/>
                <w:highlight w:val="none"/>
              </w:rPr>
            </w:pPr>
          </w:p>
        </w:tc>
        <w:tc>
          <w:tcPr>
            <w:tcW w:w="1024" w:type="dxa"/>
            <w:vAlign w:val="center"/>
          </w:tcPr>
          <w:p w14:paraId="214808ED">
            <w:pPr>
              <w:spacing w:line="380" w:lineRule="exact"/>
              <w:jc w:val="center"/>
              <w:rPr>
                <w:rFonts w:hint="eastAsia" w:ascii="仿宋" w:hAnsi="仿宋" w:eastAsia="仿宋" w:cs="仿宋"/>
                <w:b/>
                <w:bCs/>
                <w:sz w:val="24"/>
                <w:szCs w:val="24"/>
                <w:highlight w:val="none"/>
              </w:rPr>
            </w:pPr>
          </w:p>
        </w:tc>
        <w:tc>
          <w:tcPr>
            <w:tcW w:w="2703" w:type="dxa"/>
          </w:tcPr>
          <w:p w14:paraId="638B3B25">
            <w:pPr>
              <w:spacing w:line="380" w:lineRule="exact"/>
              <w:jc w:val="center"/>
              <w:rPr>
                <w:rFonts w:hint="eastAsia" w:ascii="仿宋" w:hAnsi="仿宋" w:eastAsia="仿宋" w:cs="仿宋"/>
                <w:b/>
                <w:bCs/>
                <w:sz w:val="24"/>
                <w:szCs w:val="24"/>
                <w:highlight w:val="none"/>
              </w:rPr>
            </w:pPr>
          </w:p>
        </w:tc>
        <w:tc>
          <w:tcPr>
            <w:tcW w:w="1266" w:type="dxa"/>
            <w:vAlign w:val="center"/>
          </w:tcPr>
          <w:p w14:paraId="6F68EC7B">
            <w:pPr>
              <w:spacing w:line="380" w:lineRule="exact"/>
              <w:jc w:val="center"/>
              <w:rPr>
                <w:rFonts w:hint="eastAsia" w:ascii="仿宋" w:hAnsi="仿宋" w:eastAsia="仿宋" w:cs="仿宋"/>
                <w:b/>
                <w:bCs/>
                <w:sz w:val="24"/>
                <w:szCs w:val="24"/>
                <w:highlight w:val="none"/>
              </w:rPr>
            </w:pPr>
          </w:p>
        </w:tc>
        <w:tc>
          <w:tcPr>
            <w:tcW w:w="1433" w:type="dxa"/>
            <w:vAlign w:val="center"/>
          </w:tcPr>
          <w:p w14:paraId="2745160F">
            <w:pPr>
              <w:spacing w:line="380" w:lineRule="exact"/>
              <w:jc w:val="center"/>
              <w:rPr>
                <w:rFonts w:hint="eastAsia" w:ascii="仿宋" w:hAnsi="仿宋" w:eastAsia="仿宋" w:cs="仿宋"/>
                <w:b/>
                <w:bCs/>
                <w:sz w:val="24"/>
                <w:szCs w:val="24"/>
                <w:highlight w:val="none"/>
              </w:rPr>
            </w:pPr>
          </w:p>
        </w:tc>
        <w:tc>
          <w:tcPr>
            <w:tcW w:w="2551" w:type="dxa"/>
            <w:vAlign w:val="center"/>
          </w:tcPr>
          <w:p w14:paraId="206BFC2B">
            <w:pPr>
              <w:spacing w:line="380" w:lineRule="exact"/>
              <w:jc w:val="center"/>
              <w:rPr>
                <w:rFonts w:hint="eastAsia" w:ascii="仿宋" w:hAnsi="仿宋" w:eastAsia="仿宋" w:cs="仿宋"/>
                <w:b/>
                <w:bCs/>
                <w:sz w:val="24"/>
                <w:szCs w:val="24"/>
                <w:highlight w:val="none"/>
              </w:rPr>
            </w:pPr>
          </w:p>
        </w:tc>
      </w:tr>
      <w:tr w14:paraId="00CA9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435" w:type="dxa"/>
            <w:vAlign w:val="center"/>
          </w:tcPr>
          <w:p w14:paraId="6AA9DF5F">
            <w:pPr>
              <w:spacing w:line="380" w:lineRule="exact"/>
              <w:rPr>
                <w:rFonts w:hint="eastAsia" w:ascii="仿宋" w:hAnsi="仿宋" w:eastAsia="仿宋" w:cs="仿宋"/>
                <w:b/>
                <w:bCs/>
                <w:sz w:val="24"/>
                <w:szCs w:val="24"/>
                <w:highlight w:val="none"/>
              </w:rPr>
            </w:pPr>
          </w:p>
        </w:tc>
        <w:tc>
          <w:tcPr>
            <w:tcW w:w="1024" w:type="dxa"/>
            <w:vAlign w:val="center"/>
          </w:tcPr>
          <w:p w14:paraId="11EB360D">
            <w:pPr>
              <w:spacing w:line="380" w:lineRule="exact"/>
              <w:jc w:val="center"/>
              <w:rPr>
                <w:rFonts w:hint="eastAsia" w:ascii="仿宋" w:hAnsi="仿宋" w:eastAsia="仿宋" w:cs="仿宋"/>
                <w:b/>
                <w:bCs/>
                <w:sz w:val="24"/>
                <w:szCs w:val="24"/>
                <w:highlight w:val="none"/>
              </w:rPr>
            </w:pPr>
          </w:p>
        </w:tc>
        <w:tc>
          <w:tcPr>
            <w:tcW w:w="2703" w:type="dxa"/>
          </w:tcPr>
          <w:p w14:paraId="078551D7">
            <w:pPr>
              <w:spacing w:line="380" w:lineRule="exact"/>
              <w:jc w:val="center"/>
              <w:rPr>
                <w:rFonts w:hint="eastAsia" w:ascii="仿宋" w:hAnsi="仿宋" w:eastAsia="仿宋" w:cs="仿宋"/>
                <w:b/>
                <w:bCs/>
                <w:sz w:val="24"/>
                <w:szCs w:val="24"/>
                <w:highlight w:val="none"/>
              </w:rPr>
            </w:pPr>
          </w:p>
        </w:tc>
        <w:tc>
          <w:tcPr>
            <w:tcW w:w="1266" w:type="dxa"/>
            <w:vAlign w:val="center"/>
          </w:tcPr>
          <w:p w14:paraId="20A152AA">
            <w:pPr>
              <w:spacing w:line="380" w:lineRule="exact"/>
              <w:jc w:val="center"/>
              <w:rPr>
                <w:rFonts w:hint="eastAsia" w:ascii="仿宋" w:hAnsi="仿宋" w:eastAsia="仿宋" w:cs="仿宋"/>
                <w:b/>
                <w:bCs/>
                <w:sz w:val="24"/>
                <w:szCs w:val="24"/>
                <w:highlight w:val="none"/>
              </w:rPr>
            </w:pPr>
          </w:p>
        </w:tc>
        <w:tc>
          <w:tcPr>
            <w:tcW w:w="1433" w:type="dxa"/>
            <w:vAlign w:val="center"/>
          </w:tcPr>
          <w:p w14:paraId="67ED0804">
            <w:pPr>
              <w:spacing w:line="380" w:lineRule="exact"/>
              <w:jc w:val="center"/>
              <w:rPr>
                <w:rFonts w:hint="eastAsia" w:ascii="仿宋" w:hAnsi="仿宋" w:eastAsia="仿宋" w:cs="仿宋"/>
                <w:b/>
                <w:bCs/>
                <w:sz w:val="24"/>
                <w:szCs w:val="24"/>
                <w:highlight w:val="none"/>
              </w:rPr>
            </w:pPr>
          </w:p>
        </w:tc>
        <w:tc>
          <w:tcPr>
            <w:tcW w:w="2551" w:type="dxa"/>
            <w:vAlign w:val="center"/>
          </w:tcPr>
          <w:p w14:paraId="0B596D81">
            <w:pPr>
              <w:spacing w:line="380" w:lineRule="exact"/>
              <w:jc w:val="center"/>
              <w:rPr>
                <w:rFonts w:hint="eastAsia" w:ascii="仿宋" w:hAnsi="仿宋" w:eastAsia="仿宋" w:cs="仿宋"/>
                <w:b/>
                <w:bCs/>
                <w:sz w:val="24"/>
                <w:szCs w:val="24"/>
                <w:highlight w:val="none"/>
              </w:rPr>
            </w:pPr>
          </w:p>
        </w:tc>
      </w:tr>
    </w:tbl>
    <w:p w14:paraId="00BFC034">
      <w:pPr>
        <w:spacing w:line="560" w:lineRule="exact"/>
        <w:ind w:right="180"/>
        <w:jc w:val="righ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供应商名称（加盖公章）：</w:t>
      </w:r>
    </w:p>
    <w:p w14:paraId="4ADE08DA">
      <w:pPr>
        <w:spacing w:line="560" w:lineRule="exact"/>
        <w:ind w:right="480" w:firstLine="6410" w:firstLineChars="2671"/>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日  期：</w:t>
      </w:r>
    </w:p>
    <w:p w14:paraId="00BFC035">
      <w:pP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br w:type="page"/>
      </w:r>
    </w:p>
    <w:p w14:paraId="60B18720">
      <w:pPr>
        <w:spacing w:line="360" w:lineRule="auto"/>
        <w:outlineLvl w:val="0"/>
        <w:rPr>
          <w:rFonts w:ascii="黑体" w:eastAsia="黑体"/>
          <w:color w:val="000000"/>
          <w:sz w:val="32"/>
          <w:szCs w:val="32"/>
          <w:highlight w:val="none"/>
        </w:rPr>
      </w:pPr>
      <w:r>
        <w:rPr>
          <w:rFonts w:hint="eastAsia" w:ascii="黑体" w:eastAsia="黑体"/>
          <w:color w:val="000000"/>
          <w:sz w:val="32"/>
          <w:szCs w:val="32"/>
          <w:highlight w:val="none"/>
          <w:lang w:val="en-US" w:eastAsia="zh-CN"/>
        </w:rPr>
        <w:t>九</w:t>
      </w:r>
      <w:r>
        <w:rPr>
          <w:rFonts w:hint="eastAsia" w:ascii="黑体" w:eastAsia="黑体"/>
          <w:color w:val="000000"/>
          <w:sz w:val="32"/>
          <w:szCs w:val="32"/>
          <w:highlight w:val="none"/>
        </w:rPr>
        <w:t>、中小微企业声明函</w:t>
      </w:r>
    </w:p>
    <w:p w14:paraId="65669138">
      <w:pPr>
        <w:spacing w:line="360" w:lineRule="auto"/>
        <w:jc w:val="center"/>
        <w:outlineLvl w:val="0"/>
        <w:rPr>
          <w:rFonts w:ascii="黑体" w:eastAsia="黑体"/>
          <w:color w:val="000000"/>
          <w:sz w:val="32"/>
          <w:szCs w:val="32"/>
          <w:highlight w:val="none"/>
        </w:rPr>
      </w:pPr>
      <w:r>
        <w:rPr>
          <w:rFonts w:hint="eastAsia" w:ascii="黑体" w:eastAsia="黑体"/>
          <w:color w:val="000000"/>
          <w:sz w:val="32"/>
          <w:szCs w:val="32"/>
          <w:highlight w:val="none"/>
        </w:rPr>
        <w:t>中小微企业声明函（服务）</w:t>
      </w:r>
    </w:p>
    <w:p w14:paraId="15595CFE">
      <w:pPr>
        <w:spacing w:line="560" w:lineRule="exact"/>
        <w:ind w:firstLine="360"/>
        <w:rPr>
          <w:rFonts w:ascii="宋体" w:hAnsi="宋体"/>
          <w:sz w:val="24"/>
          <w:szCs w:val="24"/>
          <w:highlight w:val="none"/>
        </w:rPr>
      </w:pPr>
      <w:r>
        <w:rPr>
          <w:rFonts w:hint="eastAsia" w:ascii="宋体" w:hAnsi="宋体"/>
          <w:sz w:val="24"/>
          <w:szCs w:val="24"/>
          <w:highlight w:val="none"/>
        </w:rPr>
        <w:t>本公司（联合体）郑重声明，根据《政府采购促进中小企业发展管理办法》(财库[2020]46号)的规定，本公司（联合体）参加南京东来工程咨询有限公司组织的</w:t>
      </w:r>
      <w:r>
        <w:rPr>
          <w:rFonts w:hint="eastAsia" w:ascii="宋体" w:hAnsi="宋体"/>
          <w:sz w:val="24"/>
          <w:szCs w:val="24"/>
          <w:highlight w:val="none"/>
          <w:u w:val="single"/>
        </w:rPr>
        <w:t>（单位名称）</w:t>
      </w:r>
      <w:r>
        <w:rPr>
          <w:rFonts w:hint="eastAsia" w:ascii="宋体" w:hAnsi="宋体"/>
          <w:sz w:val="24"/>
          <w:szCs w:val="24"/>
          <w:highlight w:val="none"/>
        </w:rPr>
        <w:t>项目编号为</w:t>
      </w:r>
      <w:r>
        <w:rPr>
          <w:rFonts w:hint="eastAsia" w:ascii="宋体" w:hAnsi="宋体"/>
          <w:sz w:val="24"/>
          <w:szCs w:val="24"/>
          <w:highlight w:val="none"/>
          <w:u w:val="single"/>
        </w:rPr>
        <w:t>***</w:t>
      </w:r>
      <w:r>
        <w:rPr>
          <w:rFonts w:hint="eastAsia" w:ascii="宋体" w:hAnsi="宋体"/>
          <w:sz w:val="24"/>
          <w:szCs w:val="24"/>
          <w:highlight w:val="none"/>
        </w:rPr>
        <w:t>，</w:t>
      </w:r>
      <w:r>
        <w:rPr>
          <w:rFonts w:hint="eastAsia" w:ascii="宋体" w:hAnsi="宋体"/>
          <w:sz w:val="24"/>
          <w:szCs w:val="24"/>
          <w:highlight w:val="none"/>
          <w:u w:val="single"/>
        </w:rPr>
        <w:t>（项目名称）</w:t>
      </w:r>
      <w:r>
        <w:rPr>
          <w:rFonts w:hint="eastAsia" w:ascii="宋体" w:hAnsi="宋体"/>
          <w:sz w:val="24"/>
          <w:szCs w:val="24"/>
          <w:highlight w:val="none"/>
        </w:rPr>
        <w:t>的采购活动，服务全部由符合政策的中小微企业承接。根据《工业和信息化部、国家统计局、国家发展和改革委员会、财政部关于印发中小企业划型标准规定的通知》(工信部联企业[2011]300号)的规定，相关企业（含联合体中的小微企业、签订分包意向协议的小微企业）的具体情况如下：</w:t>
      </w:r>
    </w:p>
    <w:p w14:paraId="01D7C0C7">
      <w:pPr>
        <w:spacing w:line="560" w:lineRule="exact"/>
        <w:ind w:firstLine="360"/>
        <w:rPr>
          <w:rFonts w:ascii="宋体" w:hAnsi="宋体"/>
          <w:i/>
          <w:sz w:val="24"/>
          <w:szCs w:val="24"/>
          <w:highlight w:val="none"/>
          <w:u w:val="single"/>
        </w:rPr>
      </w:pPr>
      <w:r>
        <w:rPr>
          <w:rFonts w:hint="eastAsia" w:ascii="宋体" w:hAnsi="宋体"/>
          <w:sz w:val="24"/>
          <w:szCs w:val="24"/>
          <w:highlight w:val="none"/>
        </w:rPr>
        <w:t>1.</w:t>
      </w:r>
      <w:r>
        <w:rPr>
          <w:rFonts w:hint="eastAsia" w:ascii="宋体" w:hAnsi="宋体"/>
          <w:sz w:val="24"/>
          <w:szCs w:val="24"/>
          <w:highlight w:val="none"/>
          <w:u w:val="single"/>
        </w:rPr>
        <w:t>（标的名称）</w:t>
      </w:r>
      <w:r>
        <w:rPr>
          <w:rFonts w:hint="eastAsia" w:ascii="宋体" w:hAnsi="宋体"/>
          <w:i/>
          <w:sz w:val="24"/>
          <w:szCs w:val="24"/>
          <w:highlight w:val="none"/>
        </w:rPr>
        <w:t>，</w:t>
      </w:r>
      <w:r>
        <w:rPr>
          <w:rFonts w:hint="eastAsia" w:ascii="宋体" w:hAnsi="宋体"/>
          <w:sz w:val="24"/>
          <w:szCs w:val="24"/>
          <w:highlight w:val="none"/>
        </w:rPr>
        <w:t>属于</w:t>
      </w:r>
      <w:r>
        <w:rPr>
          <w:rFonts w:hint="eastAsia" w:ascii="宋体" w:hAnsi="宋体"/>
          <w:sz w:val="24"/>
          <w:szCs w:val="24"/>
          <w:highlight w:val="none"/>
          <w:u w:val="single"/>
        </w:rPr>
        <w:t xml:space="preserve">       </w:t>
      </w:r>
      <w:r>
        <w:rPr>
          <w:rFonts w:hint="eastAsia" w:ascii="宋体" w:hAnsi="宋体"/>
          <w:sz w:val="24"/>
          <w:szCs w:val="24"/>
          <w:highlight w:val="none"/>
        </w:rPr>
        <w:t>行业；承接企业为</w:t>
      </w:r>
      <w:r>
        <w:rPr>
          <w:rFonts w:hint="eastAsia" w:ascii="宋体" w:hAnsi="宋体"/>
          <w:sz w:val="24"/>
          <w:szCs w:val="24"/>
          <w:highlight w:val="none"/>
          <w:u w:val="single"/>
        </w:rPr>
        <w:t>（企业名称）</w:t>
      </w:r>
      <w:r>
        <w:rPr>
          <w:rFonts w:hint="eastAsia" w:ascii="宋体" w:hAnsi="宋体"/>
          <w:sz w:val="24"/>
          <w:szCs w:val="24"/>
          <w:highlight w:val="none"/>
        </w:rPr>
        <w:t>，从业人员</w:t>
      </w:r>
      <w:r>
        <w:rPr>
          <w:rFonts w:hint="eastAsia" w:ascii="宋体" w:hAnsi="宋体"/>
          <w:sz w:val="24"/>
          <w:szCs w:val="24"/>
          <w:highlight w:val="none"/>
          <w:u w:val="single"/>
        </w:rPr>
        <w:t xml:space="preserve">      </w:t>
      </w:r>
      <w:r>
        <w:rPr>
          <w:rFonts w:hint="eastAsia" w:ascii="宋体" w:hAnsi="宋体"/>
          <w:sz w:val="24"/>
          <w:szCs w:val="24"/>
          <w:highlight w:val="none"/>
        </w:rPr>
        <w:t>人，营业收入为</w:t>
      </w:r>
      <w:r>
        <w:rPr>
          <w:rFonts w:hint="eastAsia" w:ascii="宋体" w:hAnsi="宋体"/>
          <w:sz w:val="24"/>
          <w:szCs w:val="24"/>
          <w:highlight w:val="none"/>
          <w:u w:val="single"/>
        </w:rPr>
        <w:t xml:space="preserve">     </w:t>
      </w:r>
      <w:r>
        <w:rPr>
          <w:rFonts w:hint="eastAsia" w:ascii="宋体" w:hAnsi="宋体"/>
          <w:sz w:val="24"/>
          <w:szCs w:val="24"/>
          <w:highlight w:val="none"/>
        </w:rPr>
        <w:t>万元，资产总额为</w:t>
      </w:r>
      <w:r>
        <w:rPr>
          <w:rFonts w:hint="eastAsia" w:ascii="宋体" w:hAnsi="宋体"/>
          <w:sz w:val="24"/>
          <w:szCs w:val="24"/>
          <w:highlight w:val="none"/>
          <w:u w:val="single"/>
        </w:rPr>
        <w:t xml:space="preserve">      </w:t>
      </w:r>
      <w:r>
        <w:rPr>
          <w:rFonts w:hint="eastAsia" w:ascii="宋体" w:hAnsi="宋体"/>
          <w:sz w:val="24"/>
          <w:szCs w:val="24"/>
          <w:highlight w:val="none"/>
        </w:rPr>
        <w:t>万元</w:t>
      </w:r>
      <w:r>
        <w:rPr>
          <w:rFonts w:hint="eastAsia" w:ascii="宋体" w:hAnsi="宋体"/>
          <w:sz w:val="24"/>
          <w:szCs w:val="24"/>
          <w:highlight w:val="none"/>
          <w:vertAlign w:val="superscript"/>
        </w:rPr>
        <w:t>1</w:t>
      </w:r>
      <w:r>
        <w:rPr>
          <w:rFonts w:hint="eastAsia" w:ascii="宋体" w:hAnsi="宋体"/>
          <w:sz w:val="24"/>
          <w:szCs w:val="24"/>
          <w:highlight w:val="none"/>
        </w:rPr>
        <w:t>，属于</w:t>
      </w:r>
      <w:r>
        <w:rPr>
          <w:rFonts w:hint="eastAsia" w:ascii="宋体" w:hAnsi="宋体"/>
          <w:sz w:val="24"/>
          <w:szCs w:val="24"/>
          <w:highlight w:val="none"/>
          <w:u w:val="single"/>
        </w:rPr>
        <w:t xml:space="preserve">     （中型企业、小型企业、微型企业）；</w:t>
      </w:r>
    </w:p>
    <w:p w14:paraId="16923671">
      <w:pPr>
        <w:spacing w:line="560" w:lineRule="exact"/>
        <w:ind w:firstLine="360"/>
        <w:rPr>
          <w:rFonts w:ascii="宋体" w:hAnsi="宋体"/>
          <w:i/>
          <w:sz w:val="24"/>
          <w:szCs w:val="24"/>
          <w:highlight w:val="none"/>
          <w:u w:val="single"/>
        </w:rPr>
      </w:pPr>
      <w:r>
        <w:rPr>
          <w:rFonts w:hint="eastAsia" w:ascii="宋体" w:hAnsi="宋体"/>
          <w:sz w:val="24"/>
          <w:szCs w:val="24"/>
          <w:highlight w:val="none"/>
        </w:rPr>
        <w:t>2.</w:t>
      </w:r>
      <w:r>
        <w:rPr>
          <w:rFonts w:hint="eastAsia" w:ascii="宋体" w:hAnsi="宋体"/>
          <w:sz w:val="24"/>
          <w:szCs w:val="24"/>
          <w:highlight w:val="none"/>
          <w:u w:val="single"/>
        </w:rPr>
        <w:t>（标的名称）</w:t>
      </w:r>
      <w:r>
        <w:rPr>
          <w:rFonts w:hint="eastAsia" w:ascii="宋体" w:hAnsi="宋体"/>
          <w:i/>
          <w:sz w:val="24"/>
          <w:szCs w:val="24"/>
          <w:highlight w:val="none"/>
        </w:rPr>
        <w:t>，</w:t>
      </w:r>
      <w:r>
        <w:rPr>
          <w:rFonts w:hint="eastAsia" w:ascii="宋体" w:hAnsi="宋体"/>
          <w:sz w:val="24"/>
          <w:szCs w:val="24"/>
          <w:highlight w:val="none"/>
        </w:rPr>
        <w:t>属于</w:t>
      </w:r>
      <w:r>
        <w:rPr>
          <w:rFonts w:hint="eastAsia" w:ascii="宋体" w:hAnsi="宋体"/>
          <w:sz w:val="24"/>
          <w:szCs w:val="24"/>
          <w:highlight w:val="none"/>
          <w:u w:val="single"/>
        </w:rPr>
        <w:t xml:space="preserve">       </w:t>
      </w:r>
      <w:r>
        <w:rPr>
          <w:rFonts w:hint="eastAsia" w:ascii="宋体" w:hAnsi="宋体"/>
          <w:sz w:val="24"/>
          <w:szCs w:val="24"/>
          <w:highlight w:val="none"/>
        </w:rPr>
        <w:t>行业；承接企业为</w:t>
      </w:r>
      <w:r>
        <w:rPr>
          <w:rFonts w:hint="eastAsia" w:ascii="宋体" w:hAnsi="宋体"/>
          <w:sz w:val="24"/>
          <w:szCs w:val="24"/>
          <w:highlight w:val="none"/>
          <w:u w:val="single"/>
        </w:rPr>
        <w:t>（企业名称）</w:t>
      </w:r>
      <w:r>
        <w:rPr>
          <w:rFonts w:hint="eastAsia" w:ascii="宋体" w:hAnsi="宋体"/>
          <w:sz w:val="24"/>
          <w:szCs w:val="24"/>
          <w:highlight w:val="none"/>
        </w:rPr>
        <w:t>，从业人员</w:t>
      </w:r>
      <w:r>
        <w:rPr>
          <w:rFonts w:hint="eastAsia" w:ascii="宋体" w:hAnsi="宋体"/>
          <w:sz w:val="24"/>
          <w:szCs w:val="24"/>
          <w:highlight w:val="none"/>
          <w:u w:val="single"/>
        </w:rPr>
        <w:t xml:space="preserve">      </w:t>
      </w:r>
      <w:r>
        <w:rPr>
          <w:rFonts w:hint="eastAsia" w:ascii="宋体" w:hAnsi="宋体"/>
          <w:sz w:val="24"/>
          <w:szCs w:val="24"/>
          <w:highlight w:val="none"/>
        </w:rPr>
        <w:t>人，营业收入为</w:t>
      </w:r>
      <w:r>
        <w:rPr>
          <w:rFonts w:hint="eastAsia" w:ascii="宋体" w:hAnsi="宋体"/>
          <w:sz w:val="24"/>
          <w:szCs w:val="24"/>
          <w:highlight w:val="none"/>
          <w:u w:val="single"/>
        </w:rPr>
        <w:t xml:space="preserve">     </w:t>
      </w:r>
      <w:r>
        <w:rPr>
          <w:rFonts w:hint="eastAsia" w:ascii="宋体" w:hAnsi="宋体"/>
          <w:sz w:val="24"/>
          <w:szCs w:val="24"/>
          <w:highlight w:val="none"/>
        </w:rPr>
        <w:t>万元，资产总额为</w:t>
      </w:r>
      <w:r>
        <w:rPr>
          <w:rFonts w:hint="eastAsia" w:ascii="宋体" w:hAnsi="宋体"/>
          <w:sz w:val="24"/>
          <w:szCs w:val="24"/>
          <w:highlight w:val="none"/>
          <w:u w:val="single"/>
        </w:rPr>
        <w:t xml:space="preserve">      </w:t>
      </w:r>
      <w:r>
        <w:rPr>
          <w:rFonts w:hint="eastAsia" w:ascii="宋体" w:hAnsi="宋体"/>
          <w:sz w:val="24"/>
          <w:szCs w:val="24"/>
          <w:highlight w:val="none"/>
        </w:rPr>
        <w:t>万元</w:t>
      </w:r>
      <w:r>
        <w:rPr>
          <w:rFonts w:hint="eastAsia" w:ascii="宋体" w:hAnsi="宋体"/>
          <w:sz w:val="24"/>
          <w:szCs w:val="24"/>
          <w:highlight w:val="none"/>
          <w:vertAlign w:val="superscript"/>
        </w:rPr>
        <w:t>1</w:t>
      </w:r>
      <w:r>
        <w:rPr>
          <w:rFonts w:hint="eastAsia" w:ascii="宋体" w:hAnsi="宋体"/>
          <w:sz w:val="24"/>
          <w:szCs w:val="24"/>
          <w:highlight w:val="none"/>
        </w:rPr>
        <w:t>，属于</w:t>
      </w:r>
      <w:r>
        <w:rPr>
          <w:rFonts w:hint="eastAsia" w:ascii="宋体" w:hAnsi="宋体"/>
          <w:sz w:val="24"/>
          <w:szCs w:val="24"/>
          <w:highlight w:val="none"/>
          <w:u w:val="single"/>
        </w:rPr>
        <w:t xml:space="preserve">     （中型企业、小型企业、微型企业）；</w:t>
      </w:r>
    </w:p>
    <w:p w14:paraId="5DD03D3C">
      <w:pPr>
        <w:spacing w:line="560" w:lineRule="exact"/>
        <w:ind w:firstLine="360"/>
        <w:rPr>
          <w:rFonts w:ascii="宋体" w:hAnsi="宋体"/>
          <w:sz w:val="24"/>
          <w:szCs w:val="24"/>
          <w:highlight w:val="none"/>
        </w:rPr>
      </w:pPr>
      <w:r>
        <w:rPr>
          <w:rFonts w:hint="eastAsia" w:ascii="宋体" w:hAnsi="宋体"/>
          <w:sz w:val="24"/>
          <w:szCs w:val="24"/>
          <w:highlight w:val="none"/>
        </w:rPr>
        <w:t>……</w:t>
      </w:r>
    </w:p>
    <w:p w14:paraId="1AA69C0B">
      <w:pPr>
        <w:pStyle w:val="311"/>
        <w:spacing w:line="420" w:lineRule="exact"/>
        <w:rPr>
          <w:rFonts w:ascii="宋体" w:hAnsi="宋体"/>
          <w:szCs w:val="21"/>
          <w:highlight w:val="none"/>
        </w:rPr>
      </w:pPr>
      <w:r>
        <w:rPr>
          <w:rFonts w:hint="eastAsia" w:ascii="宋体" w:hAnsi="宋体"/>
          <w:szCs w:val="21"/>
          <w:highlight w:val="none"/>
        </w:rPr>
        <w:t>以上企业，不属于大企业的分支机构，不存在控股股东为大企业的情形，也不存在与大企业的负责人为同一人的情形。</w:t>
      </w:r>
    </w:p>
    <w:p w14:paraId="5EB54A6E">
      <w:pPr>
        <w:pStyle w:val="311"/>
        <w:spacing w:line="420" w:lineRule="exact"/>
        <w:rPr>
          <w:rFonts w:ascii="宋体" w:hAnsi="宋体"/>
          <w:szCs w:val="21"/>
          <w:highlight w:val="none"/>
        </w:rPr>
      </w:pPr>
      <w:r>
        <w:rPr>
          <w:rFonts w:hint="eastAsia" w:ascii="宋体" w:hAnsi="宋体"/>
          <w:szCs w:val="21"/>
          <w:highlight w:val="none"/>
        </w:rPr>
        <w:t>本企业对上述声明内容的真实性负责。如有虚假，将依法承担相应责任。</w:t>
      </w:r>
    </w:p>
    <w:p w14:paraId="68F229EF">
      <w:pPr>
        <w:spacing w:line="560" w:lineRule="exact"/>
        <w:ind w:right="180" w:firstLine="360"/>
        <w:jc w:val="right"/>
        <w:rPr>
          <w:rFonts w:ascii="宋体" w:hAnsi="宋体"/>
          <w:sz w:val="24"/>
          <w:szCs w:val="24"/>
          <w:highlight w:val="none"/>
        </w:rPr>
      </w:pPr>
      <w:r>
        <w:rPr>
          <w:rFonts w:hint="eastAsia" w:ascii="宋体" w:hAnsi="宋体"/>
          <w:sz w:val="24"/>
          <w:szCs w:val="24"/>
          <w:highlight w:val="none"/>
        </w:rPr>
        <w:t>企业名称（公章）：</w:t>
      </w:r>
    </w:p>
    <w:p w14:paraId="637E8582">
      <w:pPr>
        <w:spacing w:line="560" w:lineRule="exact"/>
        <w:ind w:right="480" w:firstLine="5400"/>
        <w:rPr>
          <w:rFonts w:ascii="宋体" w:hAnsi="宋体"/>
          <w:sz w:val="24"/>
          <w:szCs w:val="24"/>
          <w:highlight w:val="none"/>
        </w:rPr>
      </w:pPr>
      <w:r>
        <w:rPr>
          <w:rFonts w:hint="eastAsia" w:ascii="宋体" w:hAnsi="宋体"/>
          <w:sz w:val="24"/>
          <w:szCs w:val="24"/>
          <w:highlight w:val="none"/>
        </w:rPr>
        <w:t>日  期：</w:t>
      </w:r>
    </w:p>
    <w:p w14:paraId="4116F911">
      <w:pPr>
        <w:widowControl/>
        <w:spacing w:line="588" w:lineRule="exact"/>
        <w:ind w:firstLine="480"/>
        <w:rPr>
          <w:rFonts w:ascii="宋体" w:hAnsi="宋体"/>
          <w:sz w:val="24"/>
          <w:highlight w:val="none"/>
        </w:rPr>
      </w:pPr>
    </w:p>
    <w:p w14:paraId="42FA9F27">
      <w:pPr>
        <w:widowControl/>
        <w:spacing w:line="588" w:lineRule="exact"/>
        <w:ind w:firstLine="480"/>
        <w:rPr>
          <w:rFonts w:ascii="宋体" w:hAnsi="宋体"/>
          <w:sz w:val="24"/>
          <w:highlight w:val="none"/>
        </w:rPr>
      </w:pPr>
      <w:r>
        <w:rPr>
          <w:rFonts w:hint="eastAsia" w:ascii="宋体" w:hAnsi="宋体"/>
          <w:sz w:val="24"/>
          <w:highlight w:val="none"/>
        </w:rPr>
        <w:t>（备注1.本项目所属行业在此约定为：</w:t>
      </w:r>
      <w:r>
        <w:rPr>
          <w:rFonts w:hint="eastAsia" w:ascii="宋体" w:hAnsi="宋体"/>
          <w:sz w:val="24"/>
          <w:highlight w:val="none"/>
          <w:lang w:val="zh-CN" w:eastAsia="zh-CN"/>
        </w:rPr>
        <w:t>其他未列明行业</w:t>
      </w:r>
      <w:r>
        <w:rPr>
          <w:rFonts w:hint="eastAsia" w:ascii="宋体" w:hAnsi="宋体"/>
          <w:sz w:val="24"/>
          <w:highlight w:val="none"/>
        </w:rPr>
        <w:t>。2.从业人员、营业收入、资产总额填报上一年度数据，无上一年度数据的新成立企业可不填报。3.供应商如不提供此声明函，价格将不做相应扣除。）</w:t>
      </w:r>
    </w:p>
    <w:p w14:paraId="35E2CAD3">
      <w:pPr>
        <w:spacing w:line="560" w:lineRule="exact"/>
        <w:rPr>
          <w:rFonts w:ascii="黑体" w:eastAsia="黑体"/>
          <w:color w:val="000000"/>
          <w:sz w:val="32"/>
          <w:szCs w:val="32"/>
          <w:highlight w:val="none"/>
        </w:rPr>
      </w:pPr>
      <w:r>
        <w:rPr>
          <w:rFonts w:hint="eastAsia" w:ascii="黑体" w:eastAsia="黑体"/>
          <w:color w:val="000000"/>
          <w:sz w:val="32"/>
          <w:szCs w:val="32"/>
          <w:highlight w:val="none"/>
          <w:lang w:val="en-US" w:eastAsia="zh-CN"/>
        </w:rPr>
        <w:t>十</w:t>
      </w:r>
      <w:r>
        <w:rPr>
          <w:rFonts w:hint="eastAsia" w:ascii="黑体" w:eastAsia="黑体"/>
          <w:color w:val="000000"/>
          <w:sz w:val="32"/>
          <w:szCs w:val="32"/>
          <w:highlight w:val="none"/>
        </w:rPr>
        <w:t>、残疾人福利性单位声明函</w:t>
      </w:r>
    </w:p>
    <w:p w14:paraId="37E58A5D">
      <w:pPr>
        <w:spacing w:line="560" w:lineRule="exact"/>
        <w:ind w:firstLine="2240"/>
        <w:rPr>
          <w:highlight w:val="none"/>
        </w:rPr>
      </w:pPr>
      <w:r>
        <w:rPr>
          <w:rFonts w:hint="eastAsia" w:ascii="黑体" w:hAnsi="黑体" w:eastAsia="黑体"/>
          <w:sz w:val="32"/>
          <w:szCs w:val="32"/>
          <w:highlight w:val="none"/>
        </w:rPr>
        <w:t>残疾人福利性单位声明函</w:t>
      </w:r>
    </w:p>
    <w:p w14:paraId="7BCFA630">
      <w:pPr>
        <w:spacing w:line="588" w:lineRule="exact"/>
        <w:ind w:firstLine="480"/>
        <w:rPr>
          <w:rFonts w:ascii="宋体" w:hAnsi="宋体"/>
          <w:sz w:val="24"/>
          <w:highlight w:val="none"/>
        </w:rPr>
      </w:pPr>
      <w:r>
        <w:rPr>
          <w:rFonts w:hint="eastAsia" w:ascii="宋体" w:hAnsi="宋体"/>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 w:val="24"/>
          <w:szCs w:val="24"/>
          <w:highlight w:val="none"/>
        </w:rPr>
        <w:t>代理机构组织的项目编号为</w:t>
      </w:r>
      <w:r>
        <w:rPr>
          <w:rFonts w:hint="eastAsia" w:ascii="宋体" w:hAnsi="宋体"/>
          <w:sz w:val="24"/>
          <w:szCs w:val="24"/>
          <w:highlight w:val="none"/>
          <w:u w:val="single"/>
        </w:rPr>
        <w:t>***</w:t>
      </w:r>
      <w:r>
        <w:rPr>
          <w:rFonts w:hint="eastAsia" w:ascii="宋体" w:hAnsi="宋体"/>
          <w:sz w:val="24"/>
          <w:szCs w:val="24"/>
          <w:highlight w:val="none"/>
        </w:rPr>
        <w:t>，</w:t>
      </w:r>
      <w:r>
        <w:rPr>
          <w:rFonts w:hint="eastAsia" w:ascii="宋体" w:hAnsi="宋体"/>
          <w:sz w:val="24"/>
          <w:szCs w:val="24"/>
          <w:highlight w:val="none"/>
          <w:u w:val="single"/>
        </w:rPr>
        <w:t>（项目名称）</w:t>
      </w:r>
      <w:r>
        <w:rPr>
          <w:rFonts w:hint="eastAsia" w:ascii="宋体" w:hAnsi="宋体"/>
          <w:sz w:val="24"/>
          <w:szCs w:val="24"/>
          <w:highlight w:val="none"/>
        </w:rPr>
        <w:t>的框架</w:t>
      </w:r>
      <w:r>
        <w:rPr>
          <w:rFonts w:ascii="宋体" w:hAnsi="宋体"/>
          <w:sz w:val="24"/>
          <w:szCs w:val="24"/>
          <w:highlight w:val="none"/>
        </w:rPr>
        <w:t>协议</w:t>
      </w:r>
      <w:r>
        <w:rPr>
          <w:rFonts w:hint="eastAsia" w:ascii="宋体" w:hAnsi="宋体"/>
          <w:sz w:val="24"/>
          <w:szCs w:val="24"/>
          <w:highlight w:val="none"/>
        </w:rPr>
        <w:t>采购活动，</w:t>
      </w:r>
      <w:r>
        <w:rPr>
          <w:rFonts w:hint="eastAsia" w:ascii="宋体" w:hAnsi="宋体"/>
          <w:sz w:val="24"/>
          <w:highlight w:val="none"/>
        </w:rPr>
        <w:t>活动提供本单位制造的服务，或者提供其他残疾人福利性单位制造的服务（不包括使用非残疾人福利性单位注册商标的货物）。</w:t>
      </w:r>
    </w:p>
    <w:p w14:paraId="6E304E2E">
      <w:pPr>
        <w:spacing w:line="588" w:lineRule="exact"/>
        <w:ind w:firstLine="480"/>
        <w:rPr>
          <w:rFonts w:ascii="宋体" w:hAnsi="宋体"/>
          <w:sz w:val="24"/>
          <w:highlight w:val="none"/>
        </w:rPr>
      </w:pPr>
      <w:r>
        <w:rPr>
          <w:rFonts w:hint="eastAsia" w:ascii="宋体" w:hAnsi="宋体"/>
          <w:sz w:val="24"/>
          <w:highlight w:val="none"/>
        </w:rPr>
        <w:t>本单位对上述声明的真实性负责。如有虚假，将依法承担相应责任。</w:t>
      </w:r>
    </w:p>
    <w:p w14:paraId="7B669D40">
      <w:pPr>
        <w:spacing w:line="560" w:lineRule="exact"/>
        <w:ind w:right="180" w:firstLine="360"/>
        <w:jc w:val="right"/>
        <w:rPr>
          <w:rFonts w:ascii="宋体" w:hAnsi="宋体"/>
          <w:sz w:val="24"/>
          <w:szCs w:val="24"/>
          <w:highlight w:val="none"/>
        </w:rPr>
      </w:pPr>
      <w:r>
        <w:rPr>
          <w:rFonts w:hint="eastAsia" w:ascii="宋体" w:hAnsi="宋体"/>
          <w:sz w:val="24"/>
          <w:szCs w:val="24"/>
          <w:highlight w:val="none"/>
        </w:rPr>
        <w:t>企业名称（公章）：</w:t>
      </w:r>
    </w:p>
    <w:p w14:paraId="44C9B164">
      <w:pPr>
        <w:spacing w:line="560" w:lineRule="exact"/>
        <w:ind w:right="480" w:firstLine="5400"/>
        <w:rPr>
          <w:rFonts w:ascii="宋体" w:hAnsi="宋体"/>
          <w:sz w:val="24"/>
          <w:szCs w:val="24"/>
          <w:highlight w:val="none"/>
        </w:rPr>
      </w:pPr>
      <w:r>
        <w:rPr>
          <w:rFonts w:hint="eastAsia" w:ascii="宋体" w:hAnsi="宋体"/>
          <w:sz w:val="24"/>
          <w:szCs w:val="24"/>
          <w:highlight w:val="none"/>
        </w:rPr>
        <w:t>日  期：</w:t>
      </w:r>
    </w:p>
    <w:p w14:paraId="31AC63E6">
      <w:pPr>
        <w:spacing w:line="588" w:lineRule="exact"/>
        <w:ind w:firstLine="480"/>
        <w:rPr>
          <w:rFonts w:ascii="宋体" w:hAnsi="宋体"/>
          <w:sz w:val="24"/>
          <w:highlight w:val="none"/>
        </w:rPr>
      </w:pPr>
    </w:p>
    <w:p w14:paraId="7AEFA57D">
      <w:pPr>
        <w:spacing w:line="588" w:lineRule="exact"/>
        <w:ind w:firstLine="480"/>
        <w:rPr>
          <w:rFonts w:ascii="宋体" w:hAnsi="宋体"/>
          <w:sz w:val="24"/>
          <w:highlight w:val="none"/>
        </w:rPr>
      </w:pPr>
      <w:r>
        <w:rPr>
          <w:rFonts w:hint="eastAsia" w:ascii="宋体" w:hAnsi="宋体"/>
          <w:sz w:val="24"/>
          <w:highlight w:val="none"/>
        </w:rPr>
        <w:t>（备注：1、供应商如不提供此声明函，价格将不做相应扣除。2、入围供应商为残疾人福利单位的，此声明函将随入围</w:t>
      </w:r>
      <w:r>
        <w:rPr>
          <w:rFonts w:ascii="宋体" w:hAnsi="宋体"/>
          <w:sz w:val="24"/>
          <w:highlight w:val="none"/>
        </w:rPr>
        <w:t>结果</w:t>
      </w:r>
      <w:r>
        <w:rPr>
          <w:rFonts w:hint="eastAsia" w:ascii="宋体" w:hAnsi="宋体"/>
          <w:sz w:val="24"/>
          <w:highlight w:val="none"/>
        </w:rPr>
        <w:t>同时公告，接受社会监督）</w:t>
      </w:r>
    </w:p>
    <w:p w14:paraId="364136E2">
      <w:pPr>
        <w:spacing w:line="560" w:lineRule="exact"/>
        <w:jc w:val="center"/>
        <w:rPr>
          <w:rFonts w:ascii="黑体" w:hAnsi="黑体" w:eastAsia="黑体"/>
          <w:sz w:val="32"/>
          <w:szCs w:val="32"/>
          <w:highlight w:val="none"/>
        </w:rPr>
      </w:pPr>
    </w:p>
    <w:p w14:paraId="75072D92">
      <w:pPr>
        <w:spacing w:line="560" w:lineRule="exact"/>
        <w:jc w:val="center"/>
        <w:rPr>
          <w:rFonts w:ascii="黑体" w:hAnsi="黑体" w:eastAsia="黑体"/>
          <w:sz w:val="32"/>
          <w:szCs w:val="32"/>
          <w:highlight w:val="none"/>
        </w:rPr>
      </w:pPr>
    </w:p>
    <w:p w14:paraId="46E35F80">
      <w:pPr>
        <w:spacing w:line="560" w:lineRule="exact"/>
        <w:jc w:val="center"/>
        <w:rPr>
          <w:rFonts w:ascii="黑体" w:hAnsi="黑体" w:eastAsia="黑体"/>
          <w:sz w:val="32"/>
          <w:szCs w:val="32"/>
          <w:highlight w:val="none"/>
        </w:rPr>
      </w:pPr>
    </w:p>
    <w:p w14:paraId="7C8D5886">
      <w:pPr>
        <w:spacing w:line="560" w:lineRule="exact"/>
        <w:jc w:val="center"/>
        <w:rPr>
          <w:rFonts w:ascii="黑体" w:hAnsi="黑体" w:eastAsia="黑体"/>
          <w:sz w:val="32"/>
          <w:szCs w:val="32"/>
          <w:highlight w:val="none"/>
        </w:rPr>
      </w:pPr>
    </w:p>
    <w:p w14:paraId="4193F4F8">
      <w:pPr>
        <w:spacing w:line="560" w:lineRule="exact"/>
        <w:jc w:val="center"/>
        <w:rPr>
          <w:rFonts w:ascii="黑体" w:hAnsi="黑体" w:eastAsia="黑体"/>
          <w:sz w:val="32"/>
          <w:szCs w:val="32"/>
          <w:highlight w:val="none"/>
        </w:rPr>
      </w:pPr>
    </w:p>
    <w:p w14:paraId="66294144">
      <w:pPr>
        <w:spacing w:line="560" w:lineRule="exact"/>
        <w:jc w:val="center"/>
        <w:rPr>
          <w:rFonts w:ascii="黑体" w:hAnsi="黑体" w:eastAsia="黑体"/>
          <w:sz w:val="32"/>
          <w:szCs w:val="32"/>
          <w:highlight w:val="none"/>
        </w:rPr>
      </w:pPr>
    </w:p>
    <w:p w14:paraId="46C9BF1F">
      <w:pPr>
        <w:pStyle w:val="117"/>
        <w:rPr>
          <w:rFonts w:ascii="黑体" w:hAnsi="黑体" w:eastAsia="黑体"/>
          <w:sz w:val="32"/>
          <w:szCs w:val="32"/>
          <w:highlight w:val="none"/>
        </w:rPr>
      </w:pPr>
    </w:p>
    <w:p w14:paraId="002CD3F1">
      <w:pPr>
        <w:rPr>
          <w:rFonts w:hint="eastAsia" w:ascii="宋体" w:hAnsi="宋体"/>
          <w:iCs/>
          <w:sz w:val="32"/>
          <w:szCs w:val="32"/>
          <w:highlight w:val="none"/>
        </w:rPr>
      </w:pPr>
      <w:r>
        <w:rPr>
          <w:rFonts w:hint="eastAsia" w:ascii="宋体" w:hAnsi="宋体"/>
          <w:iCs/>
          <w:sz w:val="32"/>
          <w:szCs w:val="32"/>
          <w:highlight w:val="none"/>
        </w:rPr>
        <w:br w:type="page"/>
      </w:r>
    </w:p>
    <w:p w14:paraId="0728B008">
      <w:pPr>
        <w:widowControl/>
        <w:adjustRightInd w:val="0"/>
        <w:spacing w:line="240" w:lineRule="atLeast"/>
        <w:rPr>
          <w:rFonts w:hint="eastAsia" w:ascii="宋体" w:hAnsi="宋体"/>
          <w:b/>
          <w:highlight w:val="none"/>
        </w:rPr>
      </w:pPr>
      <w:r>
        <w:rPr>
          <w:rFonts w:hint="eastAsia" w:ascii="宋体" w:hAnsi="宋体"/>
          <w:iCs/>
          <w:sz w:val="32"/>
          <w:szCs w:val="32"/>
          <w:highlight w:val="none"/>
        </w:rPr>
        <w:t>附件一、无重大违法记录声明格式</w:t>
      </w:r>
    </w:p>
    <w:p w14:paraId="2291FC55">
      <w:pPr>
        <w:widowControl/>
        <w:adjustRightInd w:val="0"/>
        <w:spacing w:line="240" w:lineRule="atLeast"/>
        <w:rPr>
          <w:rFonts w:hint="eastAsia" w:ascii="宋体" w:hAnsi="宋体"/>
          <w:b/>
          <w:highlight w:val="none"/>
        </w:rPr>
      </w:pPr>
    </w:p>
    <w:p w14:paraId="686048E8">
      <w:pPr>
        <w:jc w:val="center"/>
        <w:rPr>
          <w:rFonts w:hint="eastAsia" w:ascii="宋体" w:hAnsi="宋体"/>
          <w:sz w:val="36"/>
          <w:szCs w:val="36"/>
          <w:highlight w:val="none"/>
        </w:rPr>
      </w:pPr>
      <w:r>
        <w:rPr>
          <w:rFonts w:hint="eastAsia" w:ascii="宋体" w:hAnsi="宋体"/>
          <w:sz w:val="36"/>
          <w:szCs w:val="36"/>
          <w:highlight w:val="none"/>
        </w:rPr>
        <w:t>无重大违法记录声明</w:t>
      </w:r>
    </w:p>
    <w:p w14:paraId="5C218FB9">
      <w:pPr>
        <w:spacing w:line="360" w:lineRule="auto"/>
        <w:rPr>
          <w:rFonts w:hint="eastAsia" w:ascii="宋体" w:hAnsi="宋体"/>
          <w:highlight w:val="none"/>
        </w:rPr>
      </w:pPr>
    </w:p>
    <w:p w14:paraId="1A25E067">
      <w:pPr>
        <w:spacing w:line="360" w:lineRule="auto"/>
        <w:rPr>
          <w:rFonts w:hint="eastAsia" w:ascii="宋体" w:hAnsi="宋体"/>
          <w:highlight w:val="none"/>
        </w:rPr>
      </w:pPr>
      <w:r>
        <w:rPr>
          <w:rFonts w:hint="eastAsia" w:ascii="宋体" w:hAnsi="宋体"/>
          <w:highlight w:val="none"/>
        </w:rPr>
        <w:t>南京东来工程咨询有限公司：</w:t>
      </w:r>
    </w:p>
    <w:p w14:paraId="66234854">
      <w:pPr>
        <w:spacing w:line="360" w:lineRule="auto"/>
        <w:rPr>
          <w:rFonts w:hint="eastAsia" w:ascii="宋体" w:hAnsi="宋体"/>
          <w:highlight w:val="none"/>
        </w:rPr>
      </w:pPr>
      <w:r>
        <w:rPr>
          <w:rFonts w:hint="eastAsia" w:ascii="宋体" w:hAnsi="宋体"/>
          <w:highlight w:val="none"/>
        </w:rPr>
        <w:t xml:space="preserve">    我单位</w:t>
      </w:r>
      <w:r>
        <w:rPr>
          <w:rFonts w:hint="eastAsia" w:ascii="宋体" w:hAnsi="宋体"/>
          <w:highlight w:val="none"/>
          <w:u w:val="single"/>
        </w:rPr>
        <w:t xml:space="preserve">                                       </w:t>
      </w:r>
      <w:r>
        <w:rPr>
          <w:rFonts w:hint="eastAsia" w:ascii="宋体" w:hAnsi="宋体"/>
          <w:highlight w:val="none"/>
        </w:rPr>
        <w:t>（供应商名称）郑重声明：</w:t>
      </w:r>
    </w:p>
    <w:p w14:paraId="694422FA">
      <w:pPr>
        <w:spacing w:line="360" w:lineRule="auto"/>
        <w:rPr>
          <w:rFonts w:hint="eastAsia" w:ascii="宋体" w:hAnsi="宋体"/>
          <w:highlight w:val="none"/>
        </w:rPr>
      </w:pPr>
      <w:r>
        <w:rPr>
          <w:rFonts w:hint="eastAsia" w:ascii="宋体" w:hAnsi="宋体"/>
          <w:highlight w:val="none"/>
        </w:rPr>
        <w:t xml:space="preserve">    参加政府采购活动前3年内在经营活动中</w:t>
      </w:r>
      <w:r>
        <w:rPr>
          <w:rFonts w:hint="eastAsia" w:ascii="宋体" w:hAnsi="宋体"/>
          <w:highlight w:val="none"/>
          <w:u w:val="single"/>
        </w:rPr>
        <w:t xml:space="preserve">       </w:t>
      </w:r>
      <w:r>
        <w:rPr>
          <w:rFonts w:hint="eastAsia" w:ascii="宋体" w:hAnsi="宋体"/>
          <w:highlight w:val="none"/>
        </w:rPr>
        <w:t xml:space="preserve"> （在下划线上如实填写：有或没有）重大违法记录。</w:t>
      </w:r>
    </w:p>
    <w:p w14:paraId="2DD92ACD">
      <w:pPr>
        <w:spacing w:line="360" w:lineRule="auto"/>
        <w:rPr>
          <w:rFonts w:hint="eastAsia" w:ascii="宋体" w:hAnsi="宋体"/>
          <w:highlight w:val="none"/>
        </w:rPr>
      </w:pPr>
      <w:r>
        <w:rPr>
          <w:rFonts w:hint="eastAsia" w:ascii="宋体" w:hAnsi="宋体"/>
          <w:highlight w:val="none"/>
        </w:rPr>
        <w:t xml:space="preserve">    （说明：政府采购法第二十二条第一款第五项所称重大违法记录，是指供应商因违法经营受到刑事处罚或者责令停产停业、吊销许可证或者执照、较大数额罚款等行政处罚。）</w:t>
      </w:r>
    </w:p>
    <w:p w14:paraId="43C3F8DE">
      <w:pPr>
        <w:spacing w:line="360" w:lineRule="auto"/>
        <w:rPr>
          <w:rFonts w:hint="eastAsia" w:ascii="宋体" w:hAnsi="宋体"/>
          <w:highlight w:val="none"/>
        </w:rPr>
      </w:pPr>
      <w:r>
        <w:rPr>
          <w:rFonts w:hint="eastAsia" w:ascii="宋体" w:hAnsi="宋体"/>
          <w:highlight w:val="none"/>
        </w:rPr>
        <w:t xml:space="preserve">                                    </w:t>
      </w:r>
    </w:p>
    <w:p w14:paraId="18B33F66">
      <w:pPr>
        <w:spacing w:line="360" w:lineRule="auto"/>
        <w:rPr>
          <w:rFonts w:hint="eastAsia" w:ascii="宋体" w:hAnsi="宋体"/>
          <w:sz w:val="30"/>
          <w:szCs w:val="30"/>
          <w:highlight w:val="none"/>
        </w:rPr>
      </w:pPr>
      <w:r>
        <w:rPr>
          <w:rFonts w:hint="eastAsia" w:ascii="宋体" w:hAnsi="宋体"/>
          <w:highlight w:val="none"/>
        </w:rPr>
        <w:t xml:space="preserve">                                                      声明人：</w:t>
      </w:r>
      <w:r>
        <w:rPr>
          <w:rFonts w:hint="eastAsia" w:ascii="宋体" w:hAnsi="宋体"/>
          <w:szCs w:val="21"/>
          <w:highlight w:val="none"/>
          <w:lang w:val="zh-CN"/>
        </w:rPr>
        <w:t>（加盖电子公章）</w:t>
      </w:r>
    </w:p>
    <w:p w14:paraId="2D470588">
      <w:pPr>
        <w:spacing w:line="360" w:lineRule="auto"/>
        <w:rPr>
          <w:rFonts w:hint="eastAsia" w:ascii="宋体" w:hAnsi="宋体"/>
          <w:highlight w:val="none"/>
        </w:rPr>
      </w:pPr>
      <w:r>
        <w:rPr>
          <w:rFonts w:hint="eastAsia" w:ascii="宋体" w:hAnsi="宋体"/>
          <w:sz w:val="30"/>
          <w:szCs w:val="30"/>
          <w:highlight w:val="none"/>
        </w:rPr>
        <w:t xml:space="preserve">                                      </w:t>
      </w:r>
      <w:r>
        <w:rPr>
          <w:rFonts w:hint="eastAsia" w:ascii="宋体" w:hAnsi="宋体"/>
          <w:highlight w:val="none"/>
        </w:rPr>
        <w:t>年     月    日</w:t>
      </w:r>
    </w:p>
    <w:p w14:paraId="390089A4">
      <w:pPr>
        <w:spacing w:line="360" w:lineRule="auto"/>
        <w:rPr>
          <w:rFonts w:hint="eastAsia" w:ascii="宋体" w:hAnsi="宋体"/>
          <w:highlight w:val="none"/>
        </w:rPr>
      </w:pPr>
    </w:p>
    <w:p w14:paraId="7C84C86C">
      <w:pPr>
        <w:spacing w:line="360" w:lineRule="auto"/>
        <w:rPr>
          <w:rFonts w:hint="eastAsia" w:ascii="宋体" w:hAnsi="宋体"/>
          <w:b/>
          <w:highlight w:val="none"/>
        </w:rPr>
      </w:pPr>
      <w:r>
        <w:rPr>
          <w:rFonts w:ascii="宋体" w:hAnsi="宋体"/>
          <w:b/>
          <w:highlight w:val="none"/>
        </w:rPr>
        <w:br w:type="page"/>
      </w:r>
      <w:r>
        <w:rPr>
          <w:rFonts w:hint="eastAsia" w:ascii="宋体" w:hAnsi="宋体"/>
          <w:iCs/>
          <w:sz w:val="32"/>
          <w:szCs w:val="32"/>
          <w:highlight w:val="none"/>
        </w:rPr>
        <w:t>附件二、具备履行合同所必需的设备和专业技术能力的声明格式及证明材料</w:t>
      </w:r>
    </w:p>
    <w:p w14:paraId="49694AB4">
      <w:pPr>
        <w:spacing w:line="360" w:lineRule="auto"/>
        <w:rPr>
          <w:rFonts w:hint="eastAsia" w:ascii="宋体" w:hAnsi="宋体"/>
          <w:sz w:val="36"/>
          <w:szCs w:val="36"/>
          <w:highlight w:val="none"/>
        </w:rPr>
      </w:pPr>
      <w:r>
        <w:rPr>
          <w:rFonts w:hint="eastAsia" w:ascii="宋体" w:hAnsi="宋体"/>
          <w:sz w:val="36"/>
          <w:szCs w:val="36"/>
          <w:highlight w:val="none"/>
        </w:rPr>
        <w:t xml:space="preserve">  具备履行合同所必需的设备和专业技术能力的声明格式</w:t>
      </w:r>
    </w:p>
    <w:p w14:paraId="78B7D0F9">
      <w:pPr>
        <w:spacing w:line="360" w:lineRule="auto"/>
        <w:rPr>
          <w:rFonts w:hint="eastAsia" w:ascii="宋体" w:hAnsi="宋体"/>
          <w:highlight w:val="none"/>
        </w:rPr>
      </w:pPr>
      <w:r>
        <w:rPr>
          <w:rFonts w:hint="eastAsia" w:ascii="宋体" w:hAnsi="宋体"/>
          <w:highlight w:val="none"/>
        </w:rPr>
        <w:t>南京东来工程咨询有限公司：</w:t>
      </w:r>
    </w:p>
    <w:p w14:paraId="1536CCA1">
      <w:pPr>
        <w:spacing w:line="460" w:lineRule="exact"/>
        <w:ind w:firstLine="492"/>
        <w:rPr>
          <w:rFonts w:hint="eastAsia" w:ascii="宋体" w:hAnsi="宋体"/>
          <w:highlight w:val="none"/>
        </w:rPr>
      </w:pPr>
      <w:r>
        <w:rPr>
          <w:rFonts w:hint="eastAsia" w:ascii="宋体" w:hAnsi="宋体"/>
          <w:highlight w:val="none"/>
        </w:rPr>
        <w:t>我单位</w:t>
      </w:r>
      <w:r>
        <w:rPr>
          <w:rFonts w:hint="eastAsia" w:ascii="宋体" w:hAnsi="宋体"/>
          <w:highlight w:val="none"/>
          <w:u w:val="single"/>
        </w:rPr>
        <w:t xml:space="preserve">                             </w:t>
      </w:r>
      <w:r>
        <w:rPr>
          <w:rFonts w:hint="eastAsia" w:ascii="宋体" w:hAnsi="宋体"/>
          <w:highlight w:val="none"/>
        </w:rPr>
        <w:t>（供应商名称）郑重声明：我公司具备履行本项采购合同所必需的设备和专业技术能力，为履行本项采购合同我单位具备如下主要设备和主要专业技术能力：</w:t>
      </w:r>
    </w:p>
    <w:p w14:paraId="537085CA">
      <w:pPr>
        <w:spacing w:line="460" w:lineRule="exact"/>
        <w:ind w:firstLine="492"/>
        <w:rPr>
          <w:rFonts w:hint="eastAsia" w:ascii="宋体" w:hAnsi="宋体"/>
          <w:highlight w:val="none"/>
        </w:rPr>
      </w:pPr>
      <w:r>
        <w:rPr>
          <w:rFonts w:hint="eastAsia" w:ascii="宋体" w:hAnsi="宋体"/>
          <w:highlight w:val="none"/>
        </w:rPr>
        <w:t>主要设备有：</w:t>
      </w:r>
      <w:r>
        <w:rPr>
          <w:rFonts w:hint="eastAsia" w:ascii="宋体" w:hAnsi="宋体"/>
          <w:highlight w:val="none"/>
          <w:u w:val="single"/>
        </w:rPr>
        <w:t xml:space="preserve">                          </w:t>
      </w:r>
      <w:r>
        <w:rPr>
          <w:rFonts w:hint="eastAsia" w:ascii="宋体" w:hAnsi="宋体"/>
          <w:highlight w:val="none"/>
        </w:rPr>
        <w:t>。( 若有 )</w:t>
      </w:r>
    </w:p>
    <w:p w14:paraId="4E96C704">
      <w:pPr>
        <w:spacing w:line="460" w:lineRule="exact"/>
        <w:ind w:firstLine="492"/>
        <w:rPr>
          <w:rFonts w:hint="eastAsia" w:ascii="宋体" w:hAnsi="宋体"/>
          <w:highlight w:val="none"/>
        </w:rPr>
      </w:pPr>
      <w:r>
        <w:rPr>
          <w:rFonts w:hint="eastAsia" w:ascii="宋体" w:hAnsi="宋体"/>
          <w:highlight w:val="none"/>
        </w:rPr>
        <w:t>主要专业技术能力有</w:t>
      </w:r>
      <w:r>
        <w:rPr>
          <w:rFonts w:hint="eastAsia" w:ascii="宋体" w:hAnsi="宋体"/>
          <w:highlight w:val="none"/>
          <w:u w:val="single"/>
        </w:rPr>
        <w:t xml:space="preserve">：                 </w:t>
      </w:r>
      <w:r>
        <w:rPr>
          <w:rFonts w:hint="eastAsia" w:ascii="宋体" w:hAnsi="宋体"/>
          <w:highlight w:val="none"/>
        </w:rPr>
        <w:t xml:space="preserve"> 。( 若有 )</w:t>
      </w:r>
    </w:p>
    <w:p w14:paraId="5F793234">
      <w:pPr>
        <w:spacing w:line="360" w:lineRule="auto"/>
        <w:rPr>
          <w:rFonts w:hint="eastAsia" w:ascii="宋体" w:hAnsi="宋体"/>
          <w:highlight w:val="none"/>
        </w:rPr>
      </w:pPr>
      <w:r>
        <w:rPr>
          <w:rFonts w:hint="eastAsia" w:ascii="宋体" w:hAnsi="宋体"/>
          <w:highlight w:val="none"/>
        </w:rPr>
        <w:t xml:space="preserve">                                      </w:t>
      </w:r>
    </w:p>
    <w:p w14:paraId="6B8FED53">
      <w:pPr>
        <w:spacing w:line="360" w:lineRule="auto"/>
        <w:rPr>
          <w:rFonts w:hint="eastAsia" w:ascii="宋体" w:hAnsi="宋体"/>
          <w:highlight w:val="none"/>
        </w:rPr>
      </w:pPr>
    </w:p>
    <w:p w14:paraId="2475021E">
      <w:pPr>
        <w:spacing w:line="360" w:lineRule="auto"/>
        <w:rPr>
          <w:rFonts w:hint="eastAsia" w:ascii="宋体" w:hAnsi="宋体"/>
          <w:highlight w:val="none"/>
        </w:rPr>
      </w:pPr>
      <w:r>
        <w:rPr>
          <w:rFonts w:hint="eastAsia" w:ascii="宋体" w:hAnsi="宋体"/>
          <w:highlight w:val="none"/>
        </w:rPr>
        <w:t xml:space="preserve">                                           声明人：</w:t>
      </w:r>
      <w:r>
        <w:rPr>
          <w:rFonts w:hint="eastAsia" w:ascii="宋体" w:hAnsi="宋体"/>
          <w:szCs w:val="21"/>
          <w:highlight w:val="none"/>
          <w:lang w:val="zh-CN"/>
        </w:rPr>
        <w:t>（加盖电子公章）</w:t>
      </w:r>
    </w:p>
    <w:p w14:paraId="1E53FE85">
      <w:pPr>
        <w:spacing w:line="460" w:lineRule="exact"/>
        <w:rPr>
          <w:rFonts w:hint="eastAsia" w:ascii="宋体" w:hAnsi="宋体"/>
          <w:highlight w:val="none"/>
        </w:rPr>
      </w:pPr>
      <w:r>
        <w:rPr>
          <w:rFonts w:hint="eastAsia" w:ascii="宋体" w:hAnsi="宋体"/>
          <w:bCs/>
          <w:sz w:val="24"/>
          <w:highlight w:val="none"/>
        </w:rPr>
        <w:t xml:space="preserve">                                     </w:t>
      </w:r>
      <w:r>
        <w:rPr>
          <w:rFonts w:hint="eastAsia" w:ascii="宋体" w:hAnsi="宋体"/>
          <w:highlight w:val="none"/>
        </w:rPr>
        <w:t>日期：______年    月    日</w:t>
      </w:r>
    </w:p>
    <w:p w14:paraId="6111AE19">
      <w:pPr>
        <w:spacing w:line="460" w:lineRule="exact"/>
        <w:rPr>
          <w:rFonts w:ascii="宋体" w:hAnsi="宋体"/>
          <w:highlight w:val="none"/>
        </w:rPr>
      </w:pPr>
      <w:r>
        <w:rPr>
          <w:rFonts w:hint="eastAsia" w:ascii="宋体" w:hAnsi="宋体"/>
          <w:highlight w:val="none"/>
        </w:rPr>
        <w:t>其他证明材料及文件：（如果投标人认为需要提供的话）</w:t>
      </w:r>
    </w:p>
    <w:p w14:paraId="3BF34C8E">
      <w:pPr>
        <w:rPr>
          <w:rFonts w:hint="eastAsia" w:ascii="宋体" w:hAnsi="宋体"/>
          <w:iCs/>
          <w:sz w:val="32"/>
          <w:szCs w:val="32"/>
          <w:highlight w:val="none"/>
        </w:rPr>
      </w:pPr>
      <w:r>
        <w:rPr>
          <w:rFonts w:hint="eastAsia" w:ascii="宋体" w:hAnsi="宋体"/>
          <w:iCs/>
          <w:sz w:val="32"/>
          <w:szCs w:val="32"/>
          <w:highlight w:val="none"/>
        </w:rPr>
        <w:br w:type="page"/>
      </w:r>
    </w:p>
    <w:p w14:paraId="341D6FBB">
      <w:pPr>
        <w:rPr>
          <w:rFonts w:ascii="宋体" w:hAnsi="宋体" w:cs="黑体"/>
          <w:b/>
          <w:bCs/>
          <w:szCs w:val="21"/>
          <w:highlight w:val="none"/>
        </w:rPr>
      </w:pPr>
      <w:r>
        <w:rPr>
          <w:rFonts w:hint="eastAsia" w:ascii="宋体" w:hAnsi="宋体"/>
          <w:iCs/>
          <w:sz w:val="32"/>
          <w:szCs w:val="32"/>
          <w:highlight w:val="none"/>
        </w:rPr>
        <w:t>附件三、南京市政府采购供应商信用记录表暨信用承诺书</w:t>
      </w:r>
    </w:p>
    <w:p w14:paraId="11AC426F">
      <w:pPr>
        <w:rPr>
          <w:rFonts w:ascii="宋体" w:hAnsi="宋体"/>
          <w:sz w:val="24"/>
          <w:highlight w:val="none"/>
        </w:rPr>
      </w:pPr>
    </w:p>
    <w:tbl>
      <w:tblPr>
        <w:tblStyle w:val="34"/>
        <w:tblW w:w="0" w:type="auto"/>
        <w:tblInd w:w="0" w:type="dxa"/>
        <w:tblLayout w:type="fixed"/>
        <w:tblCellMar>
          <w:top w:w="15" w:type="dxa"/>
          <w:left w:w="15" w:type="dxa"/>
          <w:bottom w:w="15" w:type="dxa"/>
          <w:right w:w="15" w:type="dxa"/>
        </w:tblCellMar>
      </w:tblPr>
      <w:tblGrid>
        <w:gridCol w:w="1871"/>
        <w:gridCol w:w="2275"/>
        <w:gridCol w:w="2610"/>
        <w:gridCol w:w="2473"/>
      </w:tblGrid>
      <w:tr w14:paraId="20AA0E26">
        <w:tblPrEx>
          <w:tblCellMar>
            <w:top w:w="15" w:type="dxa"/>
            <w:left w:w="15" w:type="dxa"/>
            <w:bottom w:w="15" w:type="dxa"/>
            <w:right w:w="15" w:type="dxa"/>
          </w:tblCellMar>
        </w:tblPrEx>
        <w:trPr>
          <w:trHeight w:val="600" w:hRule="atLeast"/>
        </w:trPr>
        <w:tc>
          <w:tcPr>
            <w:tcW w:w="9229" w:type="dxa"/>
            <w:gridSpan w:val="4"/>
            <w:noWrap w:val="0"/>
            <w:vAlign w:val="center"/>
          </w:tcPr>
          <w:p w14:paraId="6FC0E9B5">
            <w:pPr>
              <w:jc w:val="center"/>
              <w:textAlignment w:val="center"/>
              <w:rPr>
                <w:rFonts w:ascii="宋体" w:hAnsi="宋体" w:cs="黑体"/>
                <w:sz w:val="40"/>
                <w:szCs w:val="40"/>
                <w:highlight w:val="none"/>
              </w:rPr>
            </w:pPr>
            <w:r>
              <w:rPr>
                <w:rFonts w:hint="eastAsia" w:ascii="宋体" w:hAnsi="宋体" w:cs="黑体"/>
                <w:kern w:val="0"/>
                <w:sz w:val="40"/>
                <w:szCs w:val="40"/>
                <w:highlight w:val="none"/>
              </w:rPr>
              <w:t>南京市政府采购供应商信用记录表暨信用承诺书</w:t>
            </w:r>
          </w:p>
        </w:tc>
      </w:tr>
      <w:tr w14:paraId="10016A3F">
        <w:tblPrEx>
          <w:tblCellMar>
            <w:top w:w="15" w:type="dxa"/>
            <w:left w:w="15" w:type="dxa"/>
            <w:bottom w:w="15" w:type="dxa"/>
            <w:right w:w="15" w:type="dxa"/>
          </w:tblCellMar>
        </w:tblPrEx>
        <w:trPr>
          <w:trHeight w:val="570" w:hRule="atLeast"/>
        </w:trPr>
        <w:tc>
          <w:tcPr>
            <w:tcW w:w="9229" w:type="dxa"/>
            <w:gridSpan w:val="4"/>
            <w:noWrap w:val="0"/>
            <w:vAlign w:val="center"/>
          </w:tcPr>
          <w:p w14:paraId="0B824231">
            <w:pPr>
              <w:jc w:val="left"/>
              <w:rPr>
                <w:rFonts w:ascii="宋体" w:hAnsi="宋体" w:cs="宋体"/>
                <w:sz w:val="22"/>
                <w:highlight w:val="none"/>
              </w:rPr>
            </w:pPr>
            <w:r>
              <w:rPr>
                <w:rFonts w:hint="eastAsia" w:ascii="宋体" w:hAnsi="宋体" w:cs="宋体"/>
                <w:b/>
                <w:bCs/>
                <w:kern w:val="0"/>
                <w:sz w:val="22"/>
                <w:highlight w:val="none"/>
              </w:rPr>
              <w:t>（仅为示范格式，直接填写无效，需至“南京政府采购供应商诚信档案管理系统”在线打印并签字盖章）</w:t>
            </w:r>
          </w:p>
        </w:tc>
      </w:tr>
      <w:tr w14:paraId="70FDB9A5">
        <w:tblPrEx>
          <w:tblCellMar>
            <w:top w:w="15" w:type="dxa"/>
            <w:left w:w="15" w:type="dxa"/>
            <w:bottom w:w="15" w:type="dxa"/>
            <w:right w:w="15" w:type="dxa"/>
          </w:tblCellMar>
        </w:tblPrEx>
        <w:trPr>
          <w:trHeight w:val="720" w:hRule="atLeast"/>
        </w:trPr>
        <w:tc>
          <w:tcPr>
            <w:tcW w:w="1871" w:type="dxa"/>
            <w:tcBorders>
              <w:top w:val="single" w:color="000000" w:sz="18" w:space="0"/>
              <w:left w:val="single" w:color="000000" w:sz="18" w:space="0"/>
              <w:bottom w:val="single" w:color="000000" w:sz="4" w:space="0"/>
              <w:right w:val="single" w:color="000000" w:sz="4" w:space="0"/>
            </w:tcBorders>
            <w:noWrap w:val="0"/>
            <w:vAlign w:val="center"/>
          </w:tcPr>
          <w:p w14:paraId="7C7875C6">
            <w:pPr>
              <w:jc w:val="left"/>
              <w:textAlignment w:val="center"/>
              <w:rPr>
                <w:rFonts w:ascii="宋体" w:hAnsi="宋体" w:cs="宋体"/>
                <w:b/>
                <w:sz w:val="22"/>
                <w:highlight w:val="none"/>
              </w:rPr>
            </w:pPr>
            <w:r>
              <w:rPr>
                <w:rFonts w:hint="eastAsia" w:ascii="宋体" w:hAnsi="宋体" w:cs="宋体"/>
                <w:b/>
                <w:kern w:val="0"/>
                <w:sz w:val="22"/>
                <w:highlight w:val="none"/>
              </w:rPr>
              <w:t>单位名称</w:t>
            </w:r>
          </w:p>
        </w:tc>
        <w:tc>
          <w:tcPr>
            <w:tcW w:w="2275" w:type="dxa"/>
            <w:tcBorders>
              <w:top w:val="single" w:color="000000" w:sz="18" w:space="0"/>
              <w:left w:val="single" w:color="000000" w:sz="4" w:space="0"/>
              <w:bottom w:val="single" w:color="000000" w:sz="4" w:space="0"/>
              <w:right w:val="single" w:color="000000" w:sz="4" w:space="0"/>
            </w:tcBorders>
            <w:noWrap w:val="0"/>
            <w:vAlign w:val="center"/>
          </w:tcPr>
          <w:p w14:paraId="1AFFAF75">
            <w:pPr>
              <w:rPr>
                <w:rFonts w:ascii="宋体" w:hAnsi="宋体" w:cs="宋体"/>
                <w:sz w:val="22"/>
                <w:highlight w:val="none"/>
              </w:rPr>
            </w:pPr>
          </w:p>
        </w:tc>
        <w:tc>
          <w:tcPr>
            <w:tcW w:w="2610" w:type="dxa"/>
            <w:tcBorders>
              <w:top w:val="single" w:color="000000" w:sz="18" w:space="0"/>
              <w:left w:val="single" w:color="000000" w:sz="4" w:space="0"/>
              <w:bottom w:val="single" w:color="000000" w:sz="4" w:space="0"/>
              <w:right w:val="single" w:color="000000" w:sz="4" w:space="0"/>
            </w:tcBorders>
            <w:noWrap w:val="0"/>
            <w:vAlign w:val="center"/>
          </w:tcPr>
          <w:p w14:paraId="72502586">
            <w:pPr>
              <w:jc w:val="left"/>
              <w:textAlignment w:val="center"/>
              <w:rPr>
                <w:rFonts w:ascii="宋体" w:hAnsi="宋体" w:cs="宋体"/>
                <w:b/>
                <w:sz w:val="22"/>
                <w:highlight w:val="none"/>
              </w:rPr>
            </w:pPr>
            <w:r>
              <w:rPr>
                <w:rFonts w:hint="eastAsia" w:ascii="宋体" w:hAnsi="宋体" w:cs="宋体"/>
                <w:b/>
                <w:kern w:val="0"/>
                <w:sz w:val="22"/>
                <w:highlight w:val="none"/>
              </w:rPr>
              <w:t>统一社会信用代码</w:t>
            </w:r>
          </w:p>
        </w:tc>
        <w:tc>
          <w:tcPr>
            <w:tcW w:w="2473" w:type="dxa"/>
            <w:tcBorders>
              <w:top w:val="single" w:color="000000" w:sz="18" w:space="0"/>
              <w:left w:val="single" w:color="000000" w:sz="4" w:space="0"/>
              <w:bottom w:val="single" w:color="000000" w:sz="4" w:space="0"/>
              <w:right w:val="single" w:color="000000" w:sz="18" w:space="0"/>
            </w:tcBorders>
            <w:noWrap w:val="0"/>
            <w:vAlign w:val="center"/>
          </w:tcPr>
          <w:p w14:paraId="3437139E">
            <w:pPr>
              <w:rPr>
                <w:rFonts w:ascii="宋体" w:hAnsi="宋体" w:cs="宋体"/>
                <w:sz w:val="22"/>
                <w:highlight w:val="none"/>
              </w:rPr>
            </w:pPr>
          </w:p>
        </w:tc>
      </w:tr>
      <w:tr w14:paraId="146F7446">
        <w:tblPrEx>
          <w:tblCellMar>
            <w:top w:w="15" w:type="dxa"/>
            <w:left w:w="15" w:type="dxa"/>
            <w:bottom w:w="15" w:type="dxa"/>
            <w:right w:w="15" w:type="dxa"/>
          </w:tblCellMar>
        </w:tblPrEx>
        <w:trPr>
          <w:trHeight w:val="675" w:hRule="atLeast"/>
        </w:trPr>
        <w:tc>
          <w:tcPr>
            <w:tcW w:w="1871" w:type="dxa"/>
            <w:tcBorders>
              <w:top w:val="single" w:color="000000" w:sz="4" w:space="0"/>
              <w:left w:val="single" w:color="000000" w:sz="18" w:space="0"/>
              <w:bottom w:val="single" w:color="000000" w:sz="4" w:space="0"/>
              <w:right w:val="single" w:color="000000" w:sz="4" w:space="0"/>
            </w:tcBorders>
            <w:noWrap w:val="0"/>
            <w:vAlign w:val="center"/>
          </w:tcPr>
          <w:p w14:paraId="70F817F0">
            <w:pPr>
              <w:jc w:val="left"/>
              <w:textAlignment w:val="center"/>
              <w:rPr>
                <w:rFonts w:ascii="宋体" w:hAnsi="宋体" w:cs="宋体"/>
                <w:b/>
                <w:sz w:val="22"/>
                <w:highlight w:val="none"/>
              </w:rPr>
            </w:pPr>
            <w:r>
              <w:rPr>
                <w:rFonts w:hint="eastAsia" w:ascii="宋体" w:hAnsi="宋体" w:cs="宋体"/>
                <w:b/>
                <w:kern w:val="0"/>
                <w:sz w:val="22"/>
                <w:highlight w:val="none"/>
              </w:rPr>
              <w:t>法定代表人</w:t>
            </w:r>
          </w:p>
        </w:tc>
        <w:tc>
          <w:tcPr>
            <w:tcW w:w="2275" w:type="dxa"/>
            <w:tcBorders>
              <w:top w:val="single" w:color="000000" w:sz="4" w:space="0"/>
              <w:left w:val="single" w:color="000000" w:sz="4" w:space="0"/>
              <w:bottom w:val="single" w:color="000000" w:sz="4" w:space="0"/>
              <w:right w:val="single" w:color="000000" w:sz="4" w:space="0"/>
            </w:tcBorders>
            <w:noWrap w:val="0"/>
            <w:vAlign w:val="center"/>
          </w:tcPr>
          <w:p w14:paraId="6A7BBBEC">
            <w:pPr>
              <w:rPr>
                <w:rFonts w:ascii="宋体" w:hAnsi="宋体" w:cs="宋体"/>
                <w:sz w:val="22"/>
                <w:highlight w:val="none"/>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14:paraId="6E210A17">
            <w:pPr>
              <w:jc w:val="left"/>
              <w:textAlignment w:val="center"/>
              <w:rPr>
                <w:rFonts w:ascii="宋体" w:hAnsi="宋体" w:cs="宋体"/>
                <w:b/>
                <w:sz w:val="22"/>
                <w:highlight w:val="none"/>
              </w:rPr>
            </w:pPr>
            <w:r>
              <w:rPr>
                <w:rFonts w:hint="eastAsia" w:ascii="宋体" w:hAnsi="宋体" w:cs="宋体"/>
                <w:b/>
                <w:kern w:val="0"/>
                <w:sz w:val="22"/>
                <w:highlight w:val="none"/>
              </w:rPr>
              <w:t>联系人</w:t>
            </w:r>
          </w:p>
        </w:tc>
        <w:tc>
          <w:tcPr>
            <w:tcW w:w="2473" w:type="dxa"/>
            <w:tcBorders>
              <w:top w:val="single" w:color="000000" w:sz="4" w:space="0"/>
              <w:left w:val="single" w:color="000000" w:sz="4" w:space="0"/>
              <w:bottom w:val="single" w:color="000000" w:sz="4" w:space="0"/>
              <w:right w:val="single" w:color="000000" w:sz="18" w:space="0"/>
            </w:tcBorders>
            <w:noWrap w:val="0"/>
            <w:vAlign w:val="center"/>
          </w:tcPr>
          <w:p w14:paraId="7440C5F8">
            <w:pPr>
              <w:rPr>
                <w:rFonts w:ascii="宋体" w:hAnsi="宋体" w:cs="宋体"/>
                <w:sz w:val="22"/>
                <w:highlight w:val="none"/>
              </w:rPr>
            </w:pPr>
          </w:p>
        </w:tc>
      </w:tr>
      <w:tr w14:paraId="79D74ABB">
        <w:tblPrEx>
          <w:tblCellMar>
            <w:top w:w="15" w:type="dxa"/>
            <w:left w:w="15" w:type="dxa"/>
            <w:bottom w:w="15" w:type="dxa"/>
            <w:right w:w="15" w:type="dxa"/>
          </w:tblCellMar>
        </w:tblPrEx>
        <w:trPr>
          <w:trHeight w:val="720" w:hRule="atLeast"/>
        </w:trPr>
        <w:tc>
          <w:tcPr>
            <w:tcW w:w="1871" w:type="dxa"/>
            <w:tcBorders>
              <w:top w:val="single" w:color="000000" w:sz="4" w:space="0"/>
              <w:left w:val="single" w:color="000000" w:sz="18" w:space="0"/>
              <w:bottom w:val="single" w:color="000000" w:sz="4" w:space="0"/>
              <w:right w:val="single" w:color="000000" w:sz="4" w:space="0"/>
            </w:tcBorders>
            <w:noWrap w:val="0"/>
            <w:vAlign w:val="center"/>
          </w:tcPr>
          <w:p w14:paraId="0A40B8B2">
            <w:pPr>
              <w:jc w:val="left"/>
              <w:textAlignment w:val="center"/>
              <w:rPr>
                <w:rFonts w:ascii="宋体" w:hAnsi="宋体" w:cs="宋体"/>
                <w:b/>
                <w:sz w:val="22"/>
                <w:highlight w:val="none"/>
              </w:rPr>
            </w:pPr>
            <w:r>
              <w:rPr>
                <w:rFonts w:hint="eastAsia" w:ascii="宋体" w:hAnsi="宋体" w:cs="宋体"/>
                <w:b/>
                <w:kern w:val="0"/>
                <w:sz w:val="22"/>
                <w:highlight w:val="none"/>
              </w:rPr>
              <w:t>联系地址</w:t>
            </w:r>
          </w:p>
        </w:tc>
        <w:tc>
          <w:tcPr>
            <w:tcW w:w="2275" w:type="dxa"/>
            <w:tcBorders>
              <w:top w:val="single" w:color="000000" w:sz="4" w:space="0"/>
              <w:left w:val="single" w:color="000000" w:sz="4" w:space="0"/>
              <w:bottom w:val="single" w:color="000000" w:sz="4" w:space="0"/>
              <w:right w:val="single" w:color="000000" w:sz="4" w:space="0"/>
            </w:tcBorders>
            <w:noWrap w:val="0"/>
            <w:vAlign w:val="center"/>
          </w:tcPr>
          <w:p w14:paraId="0CBCB50A">
            <w:pPr>
              <w:rPr>
                <w:rFonts w:ascii="宋体" w:hAnsi="宋体" w:cs="宋体"/>
                <w:sz w:val="22"/>
                <w:highlight w:val="none"/>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14:paraId="5BE786EB">
            <w:pPr>
              <w:jc w:val="left"/>
              <w:textAlignment w:val="center"/>
              <w:rPr>
                <w:rFonts w:ascii="宋体" w:hAnsi="宋体" w:cs="宋体"/>
                <w:b/>
                <w:sz w:val="22"/>
                <w:highlight w:val="none"/>
              </w:rPr>
            </w:pPr>
            <w:r>
              <w:rPr>
                <w:rFonts w:hint="eastAsia" w:ascii="宋体" w:hAnsi="宋体" w:cs="宋体"/>
                <w:b/>
                <w:kern w:val="0"/>
                <w:sz w:val="22"/>
                <w:highlight w:val="none"/>
              </w:rPr>
              <w:t>联系电话</w:t>
            </w:r>
          </w:p>
        </w:tc>
        <w:tc>
          <w:tcPr>
            <w:tcW w:w="2473" w:type="dxa"/>
            <w:tcBorders>
              <w:top w:val="single" w:color="000000" w:sz="4" w:space="0"/>
              <w:left w:val="single" w:color="000000" w:sz="4" w:space="0"/>
              <w:bottom w:val="single" w:color="000000" w:sz="4" w:space="0"/>
              <w:right w:val="single" w:color="000000" w:sz="18" w:space="0"/>
            </w:tcBorders>
            <w:noWrap w:val="0"/>
            <w:vAlign w:val="center"/>
          </w:tcPr>
          <w:p w14:paraId="7D8EE9D2">
            <w:pPr>
              <w:rPr>
                <w:rFonts w:ascii="宋体" w:hAnsi="宋体" w:cs="宋体"/>
                <w:sz w:val="22"/>
                <w:highlight w:val="none"/>
              </w:rPr>
            </w:pPr>
          </w:p>
        </w:tc>
      </w:tr>
      <w:tr w14:paraId="446BE079">
        <w:tblPrEx>
          <w:tblCellMar>
            <w:top w:w="15" w:type="dxa"/>
            <w:left w:w="15" w:type="dxa"/>
            <w:bottom w:w="15" w:type="dxa"/>
            <w:right w:w="15" w:type="dxa"/>
          </w:tblCellMar>
        </w:tblPrEx>
        <w:trPr>
          <w:trHeight w:val="780" w:hRule="atLeast"/>
        </w:trPr>
        <w:tc>
          <w:tcPr>
            <w:tcW w:w="1871" w:type="dxa"/>
            <w:tcBorders>
              <w:top w:val="single" w:color="000000" w:sz="4" w:space="0"/>
              <w:left w:val="single" w:color="000000" w:sz="18" w:space="0"/>
              <w:bottom w:val="single" w:color="000000" w:sz="4" w:space="0"/>
              <w:right w:val="single" w:color="000000" w:sz="4" w:space="0"/>
            </w:tcBorders>
            <w:noWrap w:val="0"/>
            <w:vAlign w:val="center"/>
          </w:tcPr>
          <w:p w14:paraId="049BFD47">
            <w:pPr>
              <w:jc w:val="left"/>
              <w:textAlignment w:val="center"/>
              <w:rPr>
                <w:rFonts w:ascii="宋体" w:hAnsi="宋体" w:cs="宋体"/>
                <w:b/>
                <w:sz w:val="22"/>
                <w:highlight w:val="none"/>
              </w:rPr>
            </w:pPr>
            <w:r>
              <w:rPr>
                <w:rFonts w:hint="eastAsia" w:ascii="宋体" w:hAnsi="宋体" w:cs="宋体"/>
                <w:b/>
                <w:kern w:val="0"/>
                <w:sz w:val="22"/>
                <w:highlight w:val="none"/>
              </w:rPr>
              <w:t>信用得分</w:t>
            </w:r>
          </w:p>
        </w:tc>
        <w:tc>
          <w:tcPr>
            <w:tcW w:w="2275" w:type="dxa"/>
            <w:tcBorders>
              <w:top w:val="single" w:color="000000" w:sz="4" w:space="0"/>
              <w:left w:val="single" w:color="000000" w:sz="4" w:space="0"/>
              <w:bottom w:val="single" w:color="000000" w:sz="4" w:space="0"/>
              <w:right w:val="single" w:color="000000" w:sz="4" w:space="0"/>
            </w:tcBorders>
            <w:noWrap w:val="0"/>
            <w:vAlign w:val="center"/>
          </w:tcPr>
          <w:p w14:paraId="55BBA9A4">
            <w:pPr>
              <w:rPr>
                <w:rFonts w:ascii="宋体" w:hAnsi="宋体" w:cs="宋体"/>
                <w:sz w:val="22"/>
                <w:highlight w:val="none"/>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14:paraId="19ABA4ED">
            <w:pPr>
              <w:jc w:val="left"/>
              <w:textAlignment w:val="center"/>
              <w:rPr>
                <w:rFonts w:ascii="宋体" w:hAnsi="宋体" w:cs="宋体"/>
                <w:b/>
                <w:sz w:val="22"/>
                <w:highlight w:val="none"/>
              </w:rPr>
            </w:pPr>
          </w:p>
        </w:tc>
        <w:tc>
          <w:tcPr>
            <w:tcW w:w="2473" w:type="dxa"/>
            <w:tcBorders>
              <w:top w:val="single" w:color="000000" w:sz="4" w:space="0"/>
              <w:left w:val="single" w:color="000000" w:sz="4" w:space="0"/>
              <w:bottom w:val="single" w:color="000000" w:sz="4" w:space="0"/>
              <w:right w:val="single" w:color="000000" w:sz="18" w:space="0"/>
            </w:tcBorders>
            <w:noWrap w:val="0"/>
            <w:vAlign w:val="center"/>
          </w:tcPr>
          <w:p w14:paraId="48560D01">
            <w:pPr>
              <w:rPr>
                <w:rFonts w:ascii="宋体" w:hAnsi="宋体" w:cs="宋体"/>
                <w:sz w:val="22"/>
                <w:highlight w:val="none"/>
              </w:rPr>
            </w:pPr>
          </w:p>
        </w:tc>
      </w:tr>
      <w:tr w14:paraId="684274C0">
        <w:tblPrEx>
          <w:tblCellMar>
            <w:top w:w="15" w:type="dxa"/>
            <w:left w:w="15" w:type="dxa"/>
            <w:bottom w:w="15" w:type="dxa"/>
            <w:right w:w="15" w:type="dxa"/>
          </w:tblCellMar>
        </w:tblPrEx>
        <w:trPr>
          <w:trHeight w:val="2461" w:hRule="atLeast"/>
        </w:trPr>
        <w:tc>
          <w:tcPr>
            <w:tcW w:w="1871" w:type="dxa"/>
            <w:tcBorders>
              <w:top w:val="single" w:color="000000" w:sz="4" w:space="0"/>
              <w:left w:val="single" w:color="000000" w:sz="18" w:space="0"/>
              <w:bottom w:val="single" w:color="000000" w:sz="4" w:space="0"/>
              <w:right w:val="single" w:color="000000" w:sz="4" w:space="0"/>
            </w:tcBorders>
            <w:noWrap w:val="0"/>
            <w:vAlign w:val="center"/>
          </w:tcPr>
          <w:p w14:paraId="68924F39">
            <w:pPr>
              <w:jc w:val="left"/>
              <w:textAlignment w:val="center"/>
              <w:rPr>
                <w:rFonts w:ascii="宋体" w:hAnsi="宋体" w:cs="宋体"/>
                <w:b/>
                <w:sz w:val="22"/>
                <w:highlight w:val="none"/>
              </w:rPr>
            </w:pPr>
            <w:r>
              <w:rPr>
                <w:rFonts w:hint="eastAsia" w:ascii="宋体" w:hAnsi="宋体" w:cs="宋体"/>
                <w:b/>
                <w:kern w:val="0"/>
                <w:sz w:val="22"/>
                <w:highlight w:val="none"/>
              </w:rPr>
              <w:t>诚信档案记录情况</w:t>
            </w:r>
          </w:p>
        </w:tc>
        <w:tc>
          <w:tcPr>
            <w:tcW w:w="7358" w:type="dxa"/>
            <w:gridSpan w:val="3"/>
            <w:tcBorders>
              <w:top w:val="single" w:color="000000" w:sz="4" w:space="0"/>
              <w:left w:val="single" w:color="000000" w:sz="4" w:space="0"/>
              <w:bottom w:val="single" w:color="000000" w:sz="4" w:space="0"/>
              <w:right w:val="single" w:color="000000" w:sz="18" w:space="0"/>
            </w:tcBorders>
            <w:noWrap w:val="0"/>
            <w:vAlign w:val="center"/>
          </w:tcPr>
          <w:p w14:paraId="15ADF34E">
            <w:pPr>
              <w:rPr>
                <w:rFonts w:hint="eastAsia" w:ascii="宋体" w:hAnsi="宋体" w:cs="宋体"/>
                <w:sz w:val="22"/>
                <w:highlight w:val="none"/>
              </w:rPr>
            </w:pPr>
          </w:p>
        </w:tc>
      </w:tr>
      <w:tr w14:paraId="41DB44A4">
        <w:tblPrEx>
          <w:tblCellMar>
            <w:top w:w="15" w:type="dxa"/>
            <w:left w:w="15" w:type="dxa"/>
            <w:bottom w:w="15" w:type="dxa"/>
            <w:right w:w="15" w:type="dxa"/>
          </w:tblCellMar>
        </w:tblPrEx>
        <w:trPr>
          <w:trHeight w:val="4228" w:hRule="atLeast"/>
        </w:trPr>
        <w:tc>
          <w:tcPr>
            <w:tcW w:w="1871" w:type="dxa"/>
            <w:tcBorders>
              <w:top w:val="single" w:color="000000" w:sz="4" w:space="0"/>
              <w:left w:val="single" w:color="000000" w:sz="18" w:space="0"/>
              <w:bottom w:val="single" w:color="000000" w:sz="18" w:space="0"/>
              <w:right w:val="single" w:color="000000" w:sz="4" w:space="0"/>
            </w:tcBorders>
            <w:noWrap w:val="0"/>
            <w:vAlign w:val="center"/>
          </w:tcPr>
          <w:p w14:paraId="5852FB39">
            <w:pPr>
              <w:jc w:val="left"/>
              <w:textAlignment w:val="center"/>
              <w:rPr>
                <w:rFonts w:ascii="宋体" w:hAnsi="宋体" w:cs="宋体"/>
                <w:b/>
                <w:sz w:val="22"/>
                <w:highlight w:val="none"/>
              </w:rPr>
            </w:pPr>
            <w:r>
              <w:rPr>
                <w:rFonts w:hint="eastAsia" w:ascii="宋体" w:hAnsi="宋体" w:cs="宋体"/>
                <w:b/>
                <w:kern w:val="0"/>
                <w:sz w:val="22"/>
                <w:highlight w:val="none"/>
              </w:rPr>
              <w:t>信用承诺</w:t>
            </w:r>
          </w:p>
        </w:tc>
        <w:tc>
          <w:tcPr>
            <w:tcW w:w="7358" w:type="dxa"/>
            <w:gridSpan w:val="3"/>
            <w:tcBorders>
              <w:top w:val="single" w:color="000000" w:sz="4" w:space="0"/>
              <w:left w:val="single" w:color="000000" w:sz="4" w:space="0"/>
              <w:bottom w:val="single" w:color="000000" w:sz="18" w:space="0"/>
              <w:right w:val="single" w:color="000000" w:sz="18" w:space="0"/>
            </w:tcBorders>
            <w:noWrap w:val="0"/>
            <w:vAlign w:val="center"/>
          </w:tcPr>
          <w:p w14:paraId="40D1BFCF">
            <w:pPr>
              <w:jc w:val="left"/>
              <w:textAlignment w:val="center"/>
              <w:rPr>
                <w:rFonts w:ascii="宋体" w:hAnsi="宋体" w:cs="宋体"/>
                <w:sz w:val="24"/>
                <w:highlight w:val="none"/>
              </w:rPr>
            </w:pPr>
            <w:r>
              <w:rPr>
                <w:rFonts w:hint="eastAsia" w:ascii="宋体" w:hAnsi="宋体" w:cs="宋体"/>
                <w:kern w:val="0"/>
                <w:sz w:val="24"/>
                <w:highlight w:val="none"/>
              </w:rPr>
              <w:t xml:space="preserve">    我公司自愿参加本次政府采购活动，严格遵守《中华人民政府采购法》及相关法律法规，坚守公开、公平、公正和诚实信用的原则，依法诚信经营，无条件遵守本次政府采购活动的各项规定。我们郑重承诺，如有弄虚作假或其他违法违规行为，愿承担一切法律责任，并接受各级政府采购监管部门和有权机关的审查和处罚。</w:t>
            </w:r>
            <w:r>
              <w:rPr>
                <w:rFonts w:hint="eastAsia" w:ascii="宋体" w:hAnsi="宋体" w:cs="宋体"/>
                <w:kern w:val="0"/>
                <w:sz w:val="24"/>
                <w:highlight w:val="none"/>
              </w:rPr>
              <w:br w:type="textWrapping"/>
            </w:r>
            <w:r>
              <w:rPr>
                <w:rFonts w:hint="eastAsia" w:ascii="宋体" w:hAnsi="宋体" w:cs="宋体"/>
                <w:kern w:val="0"/>
                <w:sz w:val="24"/>
                <w:highlight w:val="none"/>
              </w:rPr>
              <w:t xml:space="preserve">               </w:t>
            </w:r>
            <w:r>
              <w:rPr>
                <w:rFonts w:hint="eastAsia" w:ascii="宋体" w:hAnsi="宋体" w:cs="宋体"/>
                <w:kern w:val="0"/>
                <w:sz w:val="24"/>
                <w:highlight w:val="none"/>
              </w:rPr>
              <w:br w:type="textWrapping"/>
            </w:r>
            <w:r>
              <w:rPr>
                <w:rFonts w:hint="eastAsia" w:ascii="宋体" w:hAnsi="宋体" w:cs="宋体"/>
                <w:kern w:val="0"/>
                <w:sz w:val="24"/>
                <w:highlight w:val="none"/>
              </w:rPr>
              <w:br w:type="textWrapping"/>
            </w:r>
            <w:r>
              <w:rPr>
                <w:rFonts w:hint="eastAsia" w:ascii="宋体" w:hAnsi="宋体" w:cs="宋体"/>
                <w:kern w:val="0"/>
                <w:sz w:val="24"/>
                <w:highlight w:val="none"/>
              </w:rPr>
              <w:t xml:space="preserve">                      供应商名称（盖章）：</w:t>
            </w:r>
            <w:r>
              <w:rPr>
                <w:rFonts w:hint="eastAsia" w:ascii="宋体" w:hAnsi="宋体" w:cs="宋体"/>
                <w:kern w:val="0"/>
                <w:sz w:val="24"/>
                <w:highlight w:val="none"/>
              </w:rPr>
              <w:br w:type="textWrapping"/>
            </w:r>
            <w:r>
              <w:rPr>
                <w:rFonts w:hint="eastAsia" w:ascii="宋体" w:hAnsi="宋体" w:cs="宋体"/>
                <w:kern w:val="0"/>
                <w:sz w:val="24"/>
                <w:highlight w:val="none"/>
              </w:rPr>
              <w:t xml:space="preserve">                      法定代表人（签字）：</w:t>
            </w:r>
            <w:r>
              <w:rPr>
                <w:rFonts w:hint="eastAsia" w:ascii="宋体" w:hAnsi="宋体" w:cs="宋体"/>
                <w:kern w:val="0"/>
                <w:sz w:val="24"/>
                <w:highlight w:val="none"/>
              </w:rPr>
              <w:br w:type="textWrapping"/>
            </w:r>
            <w:r>
              <w:rPr>
                <w:rFonts w:hint="eastAsia" w:ascii="宋体" w:hAnsi="宋体" w:cs="宋体"/>
                <w:kern w:val="0"/>
                <w:sz w:val="24"/>
                <w:highlight w:val="none"/>
              </w:rPr>
              <w:t xml:space="preserve">                      二〇    年  月    日</w:t>
            </w:r>
          </w:p>
        </w:tc>
      </w:tr>
    </w:tbl>
    <w:p w14:paraId="5D73FE0C">
      <w:pPr>
        <w:rPr>
          <w:rFonts w:hint="eastAsia" w:ascii="宋体" w:hAnsi="宋体"/>
          <w:iCs/>
          <w:sz w:val="32"/>
          <w:szCs w:val="32"/>
          <w:highlight w:val="none"/>
        </w:rPr>
      </w:pPr>
      <w:r>
        <w:rPr>
          <w:rFonts w:hint="eastAsia" w:ascii="宋体" w:hAnsi="宋体"/>
          <w:iCs/>
          <w:sz w:val="32"/>
          <w:szCs w:val="32"/>
          <w:highlight w:val="none"/>
        </w:rPr>
        <w:br w:type="page"/>
      </w:r>
    </w:p>
    <w:p w14:paraId="2DF6E33E">
      <w:pPr>
        <w:spacing w:line="360" w:lineRule="auto"/>
        <w:ind w:firstLine="640" w:firstLineChars="200"/>
        <w:jc w:val="center"/>
        <w:rPr>
          <w:rFonts w:ascii="宋体" w:hAnsi="宋体"/>
          <w:iCs/>
          <w:sz w:val="32"/>
          <w:szCs w:val="32"/>
          <w:highlight w:val="none"/>
        </w:rPr>
      </w:pPr>
      <w:r>
        <w:rPr>
          <w:rFonts w:hint="eastAsia" w:ascii="宋体" w:hAnsi="宋体"/>
          <w:iCs/>
          <w:sz w:val="32"/>
          <w:szCs w:val="32"/>
          <w:highlight w:val="none"/>
        </w:rPr>
        <w:t>附件</w:t>
      </w:r>
      <w:r>
        <w:rPr>
          <w:rFonts w:hint="eastAsia" w:ascii="宋体" w:hAnsi="宋体"/>
          <w:iCs/>
          <w:sz w:val="32"/>
          <w:szCs w:val="32"/>
          <w:highlight w:val="none"/>
          <w:lang w:val="en-US" w:eastAsia="zh-CN"/>
        </w:rPr>
        <w:t>四</w:t>
      </w:r>
      <w:r>
        <w:rPr>
          <w:rFonts w:hint="eastAsia" w:ascii="宋体" w:hAnsi="宋体"/>
          <w:iCs/>
          <w:sz w:val="32"/>
          <w:szCs w:val="32"/>
          <w:highlight w:val="none"/>
        </w:rPr>
        <w:t>、中小企业划型标准</w:t>
      </w:r>
    </w:p>
    <w:tbl>
      <w:tblPr>
        <w:tblStyle w:val="34"/>
        <w:tblW w:w="5190" w:type="pct"/>
        <w:jc w:val="center"/>
        <w:tblLayout w:type="autofit"/>
        <w:tblCellMar>
          <w:top w:w="0" w:type="dxa"/>
          <w:left w:w="108" w:type="dxa"/>
          <w:bottom w:w="0" w:type="dxa"/>
          <w:right w:w="108" w:type="dxa"/>
        </w:tblCellMar>
      </w:tblPr>
      <w:tblGrid>
        <w:gridCol w:w="478"/>
        <w:gridCol w:w="1381"/>
        <w:gridCol w:w="739"/>
        <w:gridCol w:w="568"/>
        <w:gridCol w:w="696"/>
        <w:gridCol w:w="683"/>
        <w:gridCol w:w="579"/>
        <w:gridCol w:w="622"/>
        <w:gridCol w:w="683"/>
        <w:gridCol w:w="590"/>
        <w:gridCol w:w="624"/>
        <w:gridCol w:w="683"/>
        <w:gridCol w:w="542"/>
        <w:gridCol w:w="536"/>
      </w:tblGrid>
      <w:tr w14:paraId="6B2E60B4">
        <w:tblPrEx>
          <w:tblCellMar>
            <w:top w:w="0" w:type="dxa"/>
            <w:left w:w="108" w:type="dxa"/>
            <w:bottom w:w="0" w:type="dxa"/>
            <w:right w:w="108" w:type="dxa"/>
          </w:tblCellMar>
        </w:tblPrEx>
        <w:trPr>
          <w:trHeight w:val="500" w:hRule="atLeast"/>
          <w:tblHeader/>
          <w:jc w:val="center"/>
        </w:trPr>
        <w:tc>
          <w:tcPr>
            <w:tcW w:w="259" w:type="pct"/>
            <w:vMerge w:val="restart"/>
            <w:tcBorders>
              <w:top w:val="single" w:color="auto" w:sz="4" w:space="0"/>
              <w:left w:val="single" w:color="auto" w:sz="4" w:space="0"/>
              <w:right w:val="single" w:color="auto" w:sz="4" w:space="0"/>
            </w:tcBorders>
            <w:noWrap w:val="0"/>
            <w:vAlign w:val="center"/>
          </w:tcPr>
          <w:p w14:paraId="36A5E1F2">
            <w:pPr>
              <w:spacing w:line="0" w:lineRule="atLeast"/>
              <w:jc w:val="center"/>
              <w:rPr>
                <w:rFonts w:ascii="宋体" w:hAnsi="宋体"/>
                <w:b/>
                <w:sz w:val="16"/>
                <w:szCs w:val="16"/>
                <w:highlight w:val="none"/>
              </w:rPr>
            </w:pPr>
            <w:r>
              <w:rPr>
                <w:rFonts w:hint="eastAsia" w:ascii="宋体" w:hAnsi="宋体"/>
                <w:b/>
                <w:sz w:val="16"/>
                <w:szCs w:val="16"/>
                <w:highlight w:val="none"/>
              </w:rPr>
              <w:t>序号</w:t>
            </w:r>
          </w:p>
        </w:tc>
        <w:tc>
          <w:tcPr>
            <w:tcW w:w="738" w:type="pct"/>
            <w:vMerge w:val="restart"/>
            <w:tcBorders>
              <w:top w:val="single" w:color="auto" w:sz="4" w:space="0"/>
              <w:left w:val="nil"/>
              <w:right w:val="single" w:color="auto" w:sz="4" w:space="0"/>
            </w:tcBorders>
            <w:noWrap w:val="0"/>
            <w:vAlign w:val="center"/>
          </w:tcPr>
          <w:p w14:paraId="78EFEC8F">
            <w:pPr>
              <w:spacing w:line="0" w:lineRule="atLeast"/>
              <w:jc w:val="center"/>
              <w:rPr>
                <w:rFonts w:ascii="宋体" w:hAnsi="宋体"/>
                <w:b/>
                <w:sz w:val="16"/>
                <w:szCs w:val="16"/>
                <w:highlight w:val="none"/>
              </w:rPr>
            </w:pPr>
            <w:r>
              <w:rPr>
                <w:rFonts w:hint="eastAsia" w:ascii="宋体" w:hAnsi="宋体"/>
                <w:b/>
                <w:sz w:val="16"/>
                <w:szCs w:val="16"/>
                <w:highlight w:val="none"/>
              </w:rPr>
              <w:t>行业</w:t>
            </w:r>
          </w:p>
        </w:tc>
        <w:tc>
          <w:tcPr>
            <w:tcW w:w="1019" w:type="pct"/>
            <w:gridSpan w:val="3"/>
            <w:tcBorders>
              <w:top w:val="single" w:color="auto" w:sz="4" w:space="0"/>
              <w:left w:val="nil"/>
              <w:bottom w:val="single" w:color="auto" w:sz="4" w:space="0"/>
              <w:right w:val="single" w:color="auto" w:sz="4" w:space="0"/>
            </w:tcBorders>
            <w:noWrap w:val="0"/>
            <w:vAlign w:val="center"/>
          </w:tcPr>
          <w:p w14:paraId="60534CC4">
            <w:pPr>
              <w:spacing w:line="0" w:lineRule="atLeast"/>
              <w:jc w:val="center"/>
              <w:rPr>
                <w:rFonts w:ascii="宋体" w:hAnsi="宋体"/>
                <w:b/>
                <w:sz w:val="16"/>
                <w:szCs w:val="16"/>
                <w:highlight w:val="none"/>
              </w:rPr>
            </w:pPr>
            <w:r>
              <w:rPr>
                <w:rFonts w:hint="eastAsia" w:ascii="宋体" w:hAnsi="宋体"/>
                <w:b/>
                <w:sz w:val="16"/>
                <w:szCs w:val="16"/>
                <w:highlight w:val="none"/>
              </w:rPr>
              <w:t>大型企业</w:t>
            </w:r>
          </w:p>
        </w:tc>
        <w:tc>
          <w:tcPr>
            <w:tcW w:w="1014" w:type="pct"/>
            <w:gridSpan w:val="3"/>
            <w:tcBorders>
              <w:top w:val="single" w:color="auto" w:sz="4" w:space="0"/>
              <w:left w:val="nil"/>
              <w:bottom w:val="single" w:color="auto" w:sz="4" w:space="0"/>
              <w:right w:val="single" w:color="auto" w:sz="4" w:space="0"/>
            </w:tcBorders>
            <w:noWrap w:val="0"/>
            <w:vAlign w:val="center"/>
          </w:tcPr>
          <w:p w14:paraId="2F2887FD">
            <w:pPr>
              <w:spacing w:line="0" w:lineRule="atLeast"/>
              <w:jc w:val="center"/>
              <w:rPr>
                <w:rFonts w:ascii="宋体" w:hAnsi="宋体"/>
                <w:b/>
                <w:sz w:val="16"/>
                <w:szCs w:val="16"/>
                <w:highlight w:val="none"/>
              </w:rPr>
            </w:pPr>
            <w:r>
              <w:rPr>
                <w:rFonts w:hint="eastAsia" w:ascii="宋体" w:hAnsi="宋体"/>
                <w:b/>
                <w:sz w:val="16"/>
                <w:szCs w:val="16"/>
                <w:highlight w:val="none"/>
              </w:rPr>
              <w:t>中型企业</w:t>
            </w:r>
          </w:p>
        </w:tc>
        <w:tc>
          <w:tcPr>
            <w:tcW w:w="1021" w:type="pct"/>
            <w:gridSpan w:val="3"/>
            <w:tcBorders>
              <w:top w:val="single" w:color="auto" w:sz="4" w:space="0"/>
              <w:left w:val="nil"/>
              <w:bottom w:val="single" w:color="auto" w:sz="4" w:space="0"/>
              <w:right w:val="single" w:color="auto" w:sz="4" w:space="0"/>
            </w:tcBorders>
            <w:noWrap w:val="0"/>
            <w:vAlign w:val="center"/>
          </w:tcPr>
          <w:p w14:paraId="3F412E88">
            <w:pPr>
              <w:spacing w:line="0" w:lineRule="atLeast"/>
              <w:jc w:val="center"/>
              <w:rPr>
                <w:rFonts w:ascii="宋体" w:hAnsi="宋体"/>
                <w:b/>
                <w:sz w:val="16"/>
                <w:szCs w:val="16"/>
                <w:highlight w:val="none"/>
              </w:rPr>
            </w:pPr>
            <w:r>
              <w:rPr>
                <w:rFonts w:hint="eastAsia" w:ascii="宋体" w:hAnsi="宋体"/>
                <w:b/>
                <w:sz w:val="16"/>
                <w:szCs w:val="16"/>
                <w:highlight w:val="none"/>
              </w:rPr>
              <w:t>小型企业</w:t>
            </w:r>
          </w:p>
        </w:tc>
        <w:tc>
          <w:tcPr>
            <w:tcW w:w="946" w:type="pct"/>
            <w:gridSpan w:val="3"/>
            <w:tcBorders>
              <w:top w:val="single" w:color="auto" w:sz="4" w:space="0"/>
              <w:left w:val="nil"/>
              <w:bottom w:val="single" w:color="auto" w:sz="4" w:space="0"/>
              <w:right w:val="single" w:color="auto" w:sz="4" w:space="0"/>
            </w:tcBorders>
            <w:noWrap w:val="0"/>
            <w:vAlign w:val="center"/>
          </w:tcPr>
          <w:p w14:paraId="45CC07AB">
            <w:pPr>
              <w:spacing w:line="0" w:lineRule="atLeast"/>
              <w:jc w:val="center"/>
              <w:rPr>
                <w:rFonts w:ascii="宋体" w:hAnsi="宋体"/>
                <w:b/>
                <w:sz w:val="16"/>
                <w:szCs w:val="16"/>
                <w:highlight w:val="none"/>
              </w:rPr>
            </w:pPr>
            <w:r>
              <w:rPr>
                <w:rFonts w:hint="eastAsia" w:ascii="宋体" w:hAnsi="宋体"/>
                <w:b/>
                <w:sz w:val="16"/>
                <w:szCs w:val="16"/>
                <w:highlight w:val="none"/>
              </w:rPr>
              <w:t>微型企业</w:t>
            </w:r>
          </w:p>
        </w:tc>
      </w:tr>
      <w:tr w14:paraId="20E5669A">
        <w:tblPrEx>
          <w:tblCellMar>
            <w:top w:w="0" w:type="dxa"/>
            <w:left w:w="108" w:type="dxa"/>
            <w:bottom w:w="0" w:type="dxa"/>
            <w:right w:w="108" w:type="dxa"/>
          </w:tblCellMar>
        </w:tblPrEx>
        <w:trPr>
          <w:trHeight w:val="226" w:hRule="atLeast"/>
          <w:tblHeader/>
          <w:jc w:val="center"/>
        </w:trPr>
        <w:tc>
          <w:tcPr>
            <w:tcW w:w="259" w:type="pct"/>
            <w:vMerge w:val="continue"/>
            <w:tcBorders>
              <w:left w:val="single" w:color="auto" w:sz="4" w:space="0"/>
              <w:bottom w:val="single" w:color="auto" w:sz="4" w:space="0"/>
              <w:right w:val="single" w:color="auto" w:sz="4" w:space="0"/>
            </w:tcBorders>
            <w:noWrap w:val="0"/>
            <w:vAlign w:val="center"/>
          </w:tcPr>
          <w:p w14:paraId="7F419664">
            <w:pPr>
              <w:spacing w:line="0" w:lineRule="atLeast"/>
              <w:jc w:val="center"/>
              <w:rPr>
                <w:rFonts w:ascii="宋体" w:hAnsi="宋体"/>
                <w:b/>
                <w:sz w:val="16"/>
                <w:szCs w:val="16"/>
                <w:highlight w:val="none"/>
              </w:rPr>
            </w:pPr>
          </w:p>
        </w:tc>
        <w:tc>
          <w:tcPr>
            <w:tcW w:w="738" w:type="pct"/>
            <w:vMerge w:val="continue"/>
            <w:tcBorders>
              <w:left w:val="nil"/>
              <w:bottom w:val="single" w:color="auto" w:sz="4" w:space="0"/>
              <w:right w:val="single" w:color="auto" w:sz="4" w:space="0"/>
            </w:tcBorders>
            <w:noWrap w:val="0"/>
            <w:vAlign w:val="center"/>
          </w:tcPr>
          <w:p w14:paraId="61CCF48F">
            <w:pPr>
              <w:spacing w:line="0" w:lineRule="atLeast"/>
              <w:jc w:val="center"/>
              <w:rPr>
                <w:rFonts w:ascii="宋体" w:hAnsi="宋体"/>
                <w:b/>
                <w:sz w:val="16"/>
                <w:szCs w:val="16"/>
                <w:highlight w:val="none"/>
              </w:rPr>
            </w:pPr>
          </w:p>
        </w:tc>
        <w:tc>
          <w:tcPr>
            <w:tcW w:w="397" w:type="pct"/>
            <w:tcBorders>
              <w:top w:val="nil"/>
              <w:left w:val="nil"/>
              <w:bottom w:val="single" w:color="auto" w:sz="4" w:space="0"/>
              <w:right w:val="single" w:color="auto" w:sz="4" w:space="0"/>
            </w:tcBorders>
            <w:noWrap w:val="0"/>
            <w:vAlign w:val="center"/>
          </w:tcPr>
          <w:p w14:paraId="095CCB3F">
            <w:pPr>
              <w:spacing w:line="0" w:lineRule="atLeast"/>
              <w:jc w:val="center"/>
              <w:rPr>
                <w:rFonts w:ascii="宋体" w:hAnsi="宋体"/>
                <w:b/>
                <w:sz w:val="16"/>
                <w:szCs w:val="16"/>
                <w:highlight w:val="none"/>
              </w:rPr>
            </w:pPr>
            <w:r>
              <w:rPr>
                <w:rFonts w:hint="eastAsia" w:ascii="宋体" w:hAnsi="宋体"/>
                <w:b/>
                <w:sz w:val="16"/>
                <w:szCs w:val="16"/>
                <w:highlight w:val="none"/>
              </w:rPr>
              <w:t>营业收入</w:t>
            </w:r>
          </w:p>
          <w:p w14:paraId="7D908B90">
            <w:pPr>
              <w:spacing w:line="0" w:lineRule="atLeast"/>
              <w:jc w:val="center"/>
              <w:rPr>
                <w:rFonts w:ascii="宋体" w:hAnsi="宋体"/>
                <w:b/>
                <w:sz w:val="16"/>
                <w:szCs w:val="16"/>
                <w:highlight w:val="none"/>
              </w:rPr>
            </w:pPr>
            <w:r>
              <w:rPr>
                <w:rFonts w:hint="eastAsia" w:ascii="宋体" w:hAnsi="宋体"/>
                <w:b/>
                <w:sz w:val="16"/>
                <w:szCs w:val="16"/>
                <w:highlight w:val="none"/>
              </w:rPr>
              <w:t>(万元)</w:t>
            </w:r>
          </w:p>
        </w:tc>
        <w:tc>
          <w:tcPr>
            <w:tcW w:w="306" w:type="pct"/>
            <w:tcBorders>
              <w:top w:val="nil"/>
              <w:left w:val="nil"/>
              <w:bottom w:val="single" w:color="auto" w:sz="4" w:space="0"/>
              <w:right w:val="single" w:color="auto" w:sz="4" w:space="0"/>
            </w:tcBorders>
            <w:noWrap w:val="0"/>
            <w:vAlign w:val="center"/>
          </w:tcPr>
          <w:p w14:paraId="649841ED">
            <w:pPr>
              <w:spacing w:line="0" w:lineRule="atLeast"/>
              <w:jc w:val="center"/>
              <w:rPr>
                <w:rFonts w:ascii="宋体" w:hAnsi="宋体"/>
                <w:b/>
                <w:sz w:val="16"/>
                <w:szCs w:val="16"/>
                <w:highlight w:val="none"/>
              </w:rPr>
            </w:pPr>
            <w:r>
              <w:rPr>
                <w:rFonts w:hint="eastAsia" w:ascii="宋体" w:hAnsi="宋体"/>
                <w:b/>
                <w:sz w:val="16"/>
                <w:szCs w:val="16"/>
                <w:highlight w:val="none"/>
              </w:rPr>
              <w:t>从业人员</w:t>
            </w:r>
          </w:p>
          <w:p w14:paraId="7205F888">
            <w:pPr>
              <w:spacing w:line="0" w:lineRule="atLeast"/>
              <w:jc w:val="center"/>
              <w:rPr>
                <w:rFonts w:ascii="宋体" w:hAnsi="宋体"/>
                <w:b/>
                <w:sz w:val="16"/>
                <w:szCs w:val="16"/>
                <w:highlight w:val="none"/>
              </w:rPr>
            </w:pPr>
            <w:r>
              <w:rPr>
                <w:rFonts w:hint="eastAsia" w:ascii="宋体" w:hAnsi="宋体"/>
                <w:b/>
                <w:sz w:val="16"/>
                <w:szCs w:val="16"/>
                <w:highlight w:val="none"/>
              </w:rPr>
              <w:t>(人)</w:t>
            </w:r>
          </w:p>
        </w:tc>
        <w:tc>
          <w:tcPr>
            <w:tcW w:w="316" w:type="pct"/>
            <w:tcBorders>
              <w:top w:val="nil"/>
              <w:left w:val="nil"/>
              <w:bottom w:val="single" w:color="auto" w:sz="4" w:space="0"/>
              <w:right w:val="single" w:color="auto" w:sz="4" w:space="0"/>
            </w:tcBorders>
            <w:noWrap w:val="0"/>
            <w:vAlign w:val="center"/>
          </w:tcPr>
          <w:p w14:paraId="5F776B9D">
            <w:pPr>
              <w:spacing w:line="0" w:lineRule="atLeast"/>
              <w:jc w:val="center"/>
              <w:rPr>
                <w:rFonts w:ascii="宋体" w:hAnsi="宋体"/>
                <w:b/>
                <w:sz w:val="16"/>
                <w:szCs w:val="16"/>
                <w:highlight w:val="none"/>
              </w:rPr>
            </w:pPr>
            <w:r>
              <w:rPr>
                <w:rFonts w:hint="eastAsia" w:ascii="宋体" w:hAnsi="宋体"/>
                <w:b/>
                <w:sz w:val="16"/>
                <w:szCs w:val="16"/>
                <w:highlight w:val="none"/>
              </w:rPr>
              <w:t>总资产</w:t>
            </w:r>
          </w:p>
          <w:p w14:paraId="03AF7772">
            <w:pPr>
              <w:spacing w:line="0" w:lineRule="atLeast"/>
              <w:jc w:val="center"/>
              <w:rPr>
                <w:rFonts w:ascii="宋体" w:hAnsi="宋体"/>
                <w:b/>
                <w:sz w:val="16"/>
                <w:szCs w:val="16"/>
                <w:highlight w:val="none"/>
              </w:rPr>
            </w:pPr>
            <w:r>
              <w:rPr>
                <w:rFonts w:hint="eastAsia" w:ascii="宋体" w:hAnsi="宋体"/>
                <w:b/>
                <w:sz w:val="16"/>
                <w:szCs w:val="16"/>
                <w:highlight w:val="none"/>
              </w:rPr>
              <w:t>(万元)</w:t>
            </w:r>
          </w:p>
        </w:tc>
        <w:tc>
          <w:tcPr>
            <w:tcW w:w="367" w:type="pct"/>
            <w:tcBorders>
              <w:top w:val="nil"/>
              <w:left w:val="nil"/>
              <w:bottom w:val="single" w:color="auto" w:sz="4" w:space="0"/>
              <w:right w:val="single" w:color="auto" w:sz="4" w:space="0"/>
            </w:tcBorders>
            <w:noWrap w:val="0"/>
            <w:vAlign w:val="center"/>
          </w:tcPr>
          <w:p w14:paraId="43137CBC">
            <w:pPr>
              <w:spacing w:line="0" w:lineRule="atLeast"/>
              <w:jc w:val="center"/>
              <w:rPr>
                <w:rFonts w:ascii="宋体" w:hAnsi="宋体"/>
                <w:b/>
                <w:sz w:val="16"/>
                <w:szCs w:val="16"/>
                <w:highlight w:val="none"/>
              </w:rPr>
            </w:pPr>
            <w:r>
              <w:rPr>
                <w:rFonts w:hint="eastAsia" w:ascii="宋体" w:hAnsi="宋体"/>
                <w:b/>
                <w:sz w:val="16"/>
                <w:szCs w:val="16"/>
                <w:highlight w:val="none"/>
              </w:rPr>
              <w:t>营业收入</w:t>
            </w:r>
          </w:p>
          <w:p w14:paraId="6CBF468A">
            <w:pPr>
              <w:spacing w:line="0" w:lineRule="atLeast"/>
              <w:jc w:val="center"/>
              <w:rPr>
                <w:rFonts w:ascii="宋体" w:hAnsi="宋体"/>
                <w:b/>
                <w:sz w:val="16"/>
                <w:szCs w:val="16"/>
                <w:highlight w:val="none"/>
              </w:rPr>
            </w:pPr>
            <w:r>
              <w:rPr>
                <w:rFonts w:hint="eastAsia" w:ascii="宋体" w:hAnsi="宋体"/>
                <w:b/>
                <w:sz w:val="16"/>
                <w:szCs w:val="16"/>
                <w:highlight w:val="none"/>
              </w:rPr>
              <w:t>(万元)</w:t>
            </w:r>
          </w:p>
        </w:tc>
        <w:tc>
          <w:tcPr>
            <w:tcW w:w="312" w:type="pct"/>
            <w:tcBorders>
              <w:top w:val="nil"/>
              <w:left w:val="nil"/>
              <w:bottom w:val="single" w:color="auto" w:sz="4" w:space="0"/>
              <w:right w:val="single" w:color="auto" w:sz="4" w:space="0"/>
            </w:tcBorders>
            <w:noWrap w:val="0"/>
            <w:vAlign w:val="center"/>
          </w:tcPr>
          <w:p w14:paraId="00DF74BD">
            <w:pPr>
              <w:spacing w:line="0" w:lineRule="atLeast"/>
              <w:jc w:val="center"/>
              <w:rPr>
                <w:rFonts w:ascii="宋体" w:hAnsi="宋体"/>
                <w:b/>
                <w:sz w:val="16"/>
                <w:szCs w:val="16"/>
                <w:highlight w:val="none"/>
              </w:rPr>
            </w:pPr>
            <w:r>
              <w:rPr>
                <w:rFonts w:hint="eastAsia" w:ascii="宋体" w:hAnsi="宋体"/>
                <w:b/>
                <w:sz w:val="16"/>
                <w:szCs w:val="16"/>
                <w:highlight w:val="none"/>
              </w:rPr>
              <w:t>从业人员</w:t>
            </w:r>
          </w:p>
          <w:p w14:paraId="0C7750A3">
            <w:pPr>
              <w:spacing w:line="0" w:lineRule="atLeast"/>
              <w:jc w:val="center"/>
              <w:rPr>
                <w:rFonts w:ascii="宋体" w:hAnsi="宋体"/>
                <w:b/>
                <w:sz w:val="16"/>
                <w:szCs w:val="16"/>
                <w:highlight w:val="none"/>
              </w:rPr>
            </w:pPr>
            <w:r>
              <w:rPr>
                <w:rFonts w:hint="eastAsia" w:ascii="宋体" w:hAnsi="宋体"/>
                <w:b/>
                <w:sz w:val="16"/>
                <w:szCs w:val="16"/>
                <w:highlight w:val="none"/>
              </w:rPr>
              <w:t>(人)</w:t>
            </w:r>
          </w:p>
        </w:tc>
        <w:tc>
          <w:tcPr>
            <w:tcW w:w="335" w:type="pct"/>
            <w:tcBorders>
              <w:top w:val="nil"/>
              <w:left w:val="nil"/>
              <w:bottom w:val="single" w:color="auto" w:sz="4" w:space="0"/>
              <w:right w:val="single" w:color="auto" w:sz="4" w:space="0"/>
            </w:tcBorders>
            <w:noWrap w:val="0"/>
            <w:vAlign w:val="center"/>
          </w:tcPr>
          <w:p w14:paraId="77658442">
            <w:pPr>
              <w:spacing w:line="0" w:lineRule="atLeast"/>
              <w:jc w:val="center"/>
              <w:rPr>
                <w:rFonts w:ascii="宋体" w:hAnsi="宋体"/>
                <w:b/>
                <w:sz w:val="16"/>
                <w:szCs w:val="16"/>
                <w:highlight w:val="none"/>
              </w:rPr>
            </w:pPr>
            <w:r>
              <w:rPr>
                <w:rFonts w:hint="eastAsia" w:ascii="宋体" w:hAnsi="宋体"/>
                <w:b/>
                <w:sz w:val="16"/>
                <w:szCs w:val="16"/>
                <w:highlight w:val="none"/>
              </w:rPr>
              <w:t>总资产</w:t>
            </w:r>
          </w:p>
          <w:p w14:paraId="458BF6C4">
            <w:pPr>
              <w:spacing w:line="0" w:lineRule="atLeast"/>
              <w:jc w:val="center"/>
              <w:rPr>
                <w:rFonts w:ascii="宋体" w:hAnsi="宋体"/>
                <w:b/>
                <w:sz w:val="16"/>
                <w:szCs w:val="16"/>
                <w:highlight w:val="none"/>
              </w:rPr>
            </w:pPr>
            <w:r>
              <w:rPr>
                <w:rFonts w:hint="eastAsia" w:ascii="宋体" w:hAnsi="宋体"/>
                <w:b/>
                <w:sz w:val="16"/>
                <w:szCs w:val="16"/>
                <w:highlight w:val="none"/>
              </w:rPr>
              <w:t>(万元)</w:t>
            </w:r>
          </w:p>
        </w:tc>
        <w:tc>
          <w:tcPr>
            <w:tcW w:w="367" w:type="pct"/>
            <w:tcBorders>
              <w:top w:val="nil"/>
              <w:left w:val="nil"/>
              <w:bottom w:val="single" w:color="auto" w:sz="4" w:space="0"/>
              <w:right w:val="single" w:color="auto" w:sz="4" w:space="0"/>
            </w:tcBorders>
            <w:noWrap w:val="0"/>
            <w:vAlign w:val="center"/>
          </w:tcPr>
          <w:p w14:paraId="4AC7C221">
            <w:pPr>
              <w:spacing w:line="0" w:lineRule="atLeast"/>
              <w:jc w:val="center"/>
              <w:rPr>
                <w:rFonts w:ascii="宋体" w:hAnsi="宋体"/>
                <w:b/>
                <w:sz w:val="16"/>
                <w:szCs w:val="16"/>
                <w:highlight w:val="none"/>
              </w:rPr>
            </w:pPr>
            <w:r>
              <w:rPr>
                <w:rFonts w:hint="eastAsia" w:ascii="宋体" w:hAnsi="宋体"/>
                <w:b/>
                <w:sz w:val="16"/>
                <w:szCs w:val="16"/>
                <w:highlight w:val="none"/>
              </w:rPr>
              <w:t>营业收入</w:t>
            </w:r>
          </w:p>
          <w:p w14:paraId="7B2C1303">
            <w:pPr>
              <w:spacing w:line="0" w:lineRule="atLeast"/>
              <w:jc w:val="center"/>
              <w:rPr>
                <w:rFonts w:ascii="宋体" w:hAnsi="宋体"/>
                <w:b/>
                <w:sz w:val="16"/>
                <w:szCs w:val="16"/>
                <w:highlight w:val="none"/>
              </w:rPr>
            </w:pPr>
            <w:r>
              <w:rPr>
                <w:rFonts w:hint="eastAsia" w:ascii="宋体" w:hAnsi="宋体"/>
                <w:b/>
                <w:sz w:val="16"/>
                <w:szCs w:val="16"/>
                <w:highlight w:val="none"/>
              </w:rPr>
              <w:t>(万元)</w:t>
            </w:r>
          </w:p>
        </w:tc>
        <w:tc>
          <w:tcPr>
            <w:tcW w:w="318" w:type="pct"/>
            <w:tcBorders>
              <w:top w:val="nil"/>
              <w:left w:val="nil"/>
              <w:bottom w:val="single" w:color="auto" w:sz="4" w:space="0"/>
              <w:right w:val="single" w:color="auto" w:sz="4" w:space="0"/>
            </w:tcBorders>
            <w:noWrap w:val="0"/>
            <w:vAlign w:val="center"/>
          </w:tcPr>
          <w:p w14:paraId="00F91650">
            <w:pPr>
              <w:spacing w:line="0" w:lineRule="atLeast"/>
              <w:jc w:val="center"/>
              <w:rPr>
                <w:rFonts w:ascii="宋体" w:hAnsi="宋体"/>
                <w:b/>
                <w:sz w:val="16"/>
                <w:szCs w:val="16"/>
                <w:highlight w:val="none"/>
              </w:rPr>
            </w:pPr>
            <w:r>
              <w:rPr>
                <w:rFonts w:hint="eastAsia" w:ascii="宋体" w:hAnsi="宋体"/>
                <w:b/>
                <w:sz w:val="16"/>
                <w:szCs w:val="16"/>
                <w:highlight w:val="none"/>
              </w:rPr>
              <w:t>从业人员</w:t>
            </w:r>
          </w:p>
          <w:p w14:paraId="7CBBBB1A">
            <w:pPr>
              <w:spacing w:line="0" w:lineRule="atLeast"/>
              <w:jc w:val="center"/>
              <w:rPr>
                <w:rFonts w:ascii="宋体" w:hAnsi="宋体"/>
                <w:b/>
                <w:sz w:val="16"/>
                <w:szCs w:val="16"/>
                <w:highlight w:val="none"/>
              </w:rPr>
            </w:pPr>
            <w:r>
              <w:rPr>
                <w:rFonts w:hint="eastAsia" w:ascii="宋体" w:hAnsi="宋体"/>
                <w:b/>
                <w:sz w:val="16"/>
                <w:szCs w:val="16"/>
                <w:highlight w:val="none"/>
              </w:rPr>
              <w:t>(人)</w:t>
            </w:r>
          </w:p>
        </w:tc>
        <w:tc>
          <w:tcPr>
            <w:tcW w:w="336" w:type="pct"/>
            <w:tcBorders>
              <w:top w:val="nil"/>
              <w:left w:val="nil"/>
              <w:bottom w:val="single" w:color="auto" w:sz="4" w:space="0"/>
              <w:right w:val="single" w:color="auto" w:sz="4" w:space="0"/>
            </w:tcBorders>
            <w:noWrap w:val="0"/>
            <w:vAlign w:val="center"/>
          </w:tcPr>
          <w:p w14:paraId="6107D740">
            <w:pPr>
              <w:spacing w:line="0" w:lineRule="atLeast"/>
              <w:jc w:val="center"/>
              <w:rPr>
                <w:rFonts w:ascii="宋体" w:hAnsi="宋体"/>
                <w:b/>
                <w:sz w:val="16"/>
                <w:szCs w:val="16"/>
                <w:highlight w:val="none"/>
              </w:rPr>
            </w:pPr>
            <w:r>
              <w:rPr>
                <w:rFonts w:hint="eastAsia" w:ascii="宋体" w:hAnsi="宋体"/>
                <w:b/>
                <w:sz w:val="16"/>
                <w:szCs w:val="16"/>
                <w:highlight w:val="none"/>
              </w:rPr>
              <w:t>总资产</w:t>
            </w:r>
          </w:p>
          <w:p w14:paraId="665DAA4D">
            <w:pPr>
              <w:spacing w:line="0" w:lineRule="atLeast"/>
              <w:jc w:val="center"/>
              <w:rPr>
                <w:rFonts w:ascii="宋体" w:hAnsi="宋体"/>
                <w:b/>
                <w:sz w:val="16"/>
                <w:szCs w:val="16"/>
                <w:highlight w:val="none"/>
              </w:rPr>
            </w:pPr>
            <w:r>
              <w:rPr>
                <w:rFonts w:hint="eastAsia" w:ascii="宋体" w:hAnsi="宋体"/>
                <w:b/>
                <w:sz w:val="16"/>
                <w:szCs w:val="16"/>
                <w:highlight w:val="none"/>
              </w:rPr>
              <w:t>(万元)</w:t>
            </w:r>
          </w:p>
        </w:tc>
        <w:tc>
          <w:tcPr>
            <w:tcW w:w="367" w:type="pct"/>
            <w:tcBorders>
              <w:top w:val="nil"/>
              <w:left w:val="nil"/>
              <w:bottom w:val="single" w:color="auto" w:sz="4" w:space="0"/>
              <w:right w:val="single" w:color="auto" w:sz="4" w:space="0"/>
            </w:tcBorders>
            <w:noWrap w:val="0"/>
            <w:vAlign w:val="center"/>
          </w:tcPr>
          <w:p w14:paraId="62534E9F">
            <w:pPr>
              <w:spacing w:line="0" w:lineRule="atLeast"/>
              <w:jc w:val="center"/>
              <w:rPr>
                <w:rFonts w:ascii="宋体" w:hAnsi="宋体"/>
                <w:b/>
                <w:sz w:val="16"/>
                <w:szCs w:val="16"/>
                <w:highlight w:val="none"/>
              </w:rPr>
            </w:pPr>
            <w:r>
              <w:rPr>
                <w:rFonts w:hint="eastAsia" w:ascii="宋体" w:hAnsi="宋体"/>
                <w:b/>
                <w:sz w:val="16"/>
                <w:szCs w:val="16"/>
                <w:highlight w:val="none"/>
              </w:rPr>
              <w:t>营业收入</w:t>
            </w:r>
          </w:p>
          <w:p w14:paraId="317EA67F">
            <w:pPr>
              <w:spacing w:line="0" w:lineRule="atLeast"/>
              <w:jc w:val="center"/>
              <w:rPr>
                <w:rFonts w:ascii="宋体" w:hAnsi="宋体"/>
                <w:b/>
                <w:sz w:val="16"/>
                <w:szCs w:val="16"/>
                <w:highlight w:val="none"/>
              </w:rPr>
            </w:pPr>
            <w:r>
              <w:rPr>
                <w:rFonts w:hint="eastAsia" w:ascii="宋体" w:hAnsi="宋体"/>
                <w:b/>
                <w:sz w:val="16"/>
                <w:szCs w:val="16"/>
                <w:highlight w:val="none"/>
              </w:rPr>
              <w:t>(万元)</w:t>
            </w:r>
          </w:p>
        </w:tc>
        <w:tc>
          <w:tcPr>
            <w:tcW w:w="292" w:type="pct"/>
            <w:tcBorders>
              <w:top w:val="nil"/>
              <w:left w:val="nil"/>
              <w:bottom w:val="single" w:color="auto" w:sz="4" w:space="0"/>
              <w:right w:val="single" w:color="auto" w:sz="4" w:space="0"/>
            </w:tcBorders>
            <w:noWrap w:val="0"/>
            <w:vAlign w:val="center"/>
          </w:tcPr>
          <w:p w14:paraId="08E74A1F">
            <w:pPr>
              <w:spacing w:line="0" w:lineRule="atLeast"/>
              <w:jc w:val="center"/>
              <w:rPr>
                <w:rFonts w:ascii="宋体" w:hAnsi="宋体"/>
                <w:b/>
                <w:sz w:val="16"/>
                <w:szCs w:val="16"/>
                <w:highlight w:val="none"/>
              </w:rPr>
            </w:pPr>
            <w:r>
              <w:rPr>
                <w:rFonts w:hint="eastAsia" w:ascii="宋体" w:hAnsi="宋体"/>
                <w:b/>
                <w:sz w:val="16"/>
                <w:szCs w:val="16"/>
                <w:highlight w:val="none"/>
              </w:rPr>
              <w:t>从业人员</w:t>
            </w:r>
          </w:p>
          <w:p w14:paraId="7F0A06EA">
            <w:pPr>
              <w:spacing w:line="0" w:lineRule="atLeast"/>
              <w:jc w:val="center"/>
              <w:rPr>
                <w:rFonts w:ascii="宋体" w:hAnsi="宋体"/>
                <w:b/>
                <w:sz w:val="16"/>
                <w:szCs w:val="16"/>
                <w:highlight w:val="none"/>
              </w:rPr>
            </w:pPr>
            <w:r>
              <w:rPr>
                <w:rFonts w:hint="eastAsia" w:ascii="宋体" w:hAnsi="宋体"/>
                <w:b/>
                <w:sz w:val="16"/>
                <w:szCs w:val="16"/>
                <w:highlight w:val="none"/>
              </w:rPr>
              <w:t>(人)</w:t>
            </w:r>
          </w:p>
        </w:tc>
        <w:tc>
          <w:tcPr>
            <w:tcW w:w="287" w:type="pct"/>
            <w:tcBorders>
              <w:top w:val="nil"/>
              <w:left w:val="nil"/>
              <w:bottom w:val="single" w:color="auto" w:sz="4" w:space="0"/>
              <w:right w:val="single" w:color="auto" w:sz="4" w:space="0"/>
            </w:tcBorders>
            <w:noWrap w:val="0"/>
            <w:vAlign w:val="center"/>
          </w:tcPr>
          <w:p w14:paraId="578CE5A5">
            <w:pPr>
              <w:spacing w:line="0" w:lineRule="atLeast"/>
              <w:jc w:val="center"/>
              <w:rPr>
                <w:rFonts w:ascii="宋体" w:hAnsi="宋体"/>
                <w:b/>
                <w:sz w:val="16"/>
                <w:szCs w:val="16"/>
                <w:highlight w:val="none"/>
              </w:rPr>
            </w:pPr>
            <w:r>
              <w:rPr>
                <w:rFonts w:hint="eastAsia" w:ascii="宋体" w:hAnsi="宋体"/>
                <w:b/>
                <w:sz w:val="16"/>
                <w:szCs w:val="16"/>
                <w:highlight w:val="none"/>
              </w:rPr>
              <w:t>总资产</w:t>
            </w:r>
          </w:p>
          <w:p w14:paraId="0809233A">
            <w:pPr>
              <w:spacing w:line="0" w:lineRule="atLeast"/>
              <w:jc w:val="center"/>
              <w:rPr>
                <w:rFonts w:ascii="宋体" w:hAnsi="宋体"/>
                <w:b/>
                <w:sz w:val="16"/>
                <w:szCs w:val="16"/>
                <w:highlight w:val="none"/>
              </w:rPr>
            </w:pPr>
            <w:r>
              <w:rPr>
                <w:rFonts w:hint="eastAsia" w:ascii="宋体" w:hAnsi="宋体"/>
                <w:b/>
                <w:sz w:val="16"/>
                <w:szCs w:val="16"/>
                <w:highlight w:val="none"/>
              </w:rPr>
              <w:t>(万元)</w:t>
            </w:r>
          </w:p>
        </w:tc>
      </w:tr>
      <w:tr w14:paraId="38807BAB">
        <w:tblPrEx>
          <w:tblCellMar>
            <w:top w:w="0" w:type="dxa"/>
            <w:left w:w="108" w:type="dxa"/>
            <w:bottom w:w="0" w:type="dxa"/>
            <w:right w:w="108" w:type="dxa"/>
          </w:tblCellMar>
        </w:tblPrEx>
        <w:trPr>
          <w:trHeight w:val="369" w:hRule="atLeast"/>
          <w:jc w:val="center"/>
        </w:trPr>
        <w:tc>
          <w:tcPr>
            <w:tcW w:w="259" w:type="pct"/>
            <w:tcBorders>
              <w:top w:val="single" w:color="auto" w:sz="4" w:space="0"/>
              <w:left w:val="single" w:color="auto" w:sz="4" w:space="0"/>
              <w:bottom w:val="single" w:color="auto" w:sz="4" w:space="0"/>
              <w:right w:val="single" w:color="auto" w:sz="4" w:space="0"/>
            </w:tcBorders>
            <w:noWrap w:val="0"/>
            <w:vAlign w:val="center"/>
          </w:tcPr>
          <w:p w14:paraId="48D62C16">
            <w:pPr>
              <w:spacing w:line="0" w:lineRule="atLeast"/>
              <w:jc w:val="center"/>
              <w:rPr>
                <w:rFonts w:ascii="宋体" w:hAnsi="宋体"/>
                <w:bCs/>
                <w:sz w:val="16"/>
                <w:szCs w:val="16"/>
                <w:highlight w:val="none"/>
              </w:rPr>
            </w:pPr>
            <w:r>
              <w:rPr>
                <w:rFonts w:hint="eastAsia" w:ascii="宋体" w:hAnsi="宋体"/>
                <w:bCs/>
                <w:sz w:val="16"/>
                <w:szCs w:val="16"/>
                <w:highlight w:val="none"/>
              </w:rPr>
              <w:t>1</w:t>
            </w:r>
          </w:p>
        </w:tc>
        <w:tc>
          <w:tcPr>
            <w:tcW w:w="738" w:type="pct"/>
            <w:tcBorders>
              <w:top w:val="single" w:color="auto" w:sz="4" w:space="0"/>
              <w:left w:val="nil"/>
              <w:bottom w:val="single" w:color="auto" w:sz="4" w:space="0"/>
              <w:right w:val="single" w:color="auto" w:sz="4" w:space="0"/>
            </w:tcBorders>
            <w:noWrap w:val="0"/>
            <w:vAlign w:val="center"/>
          </w:tcPr>
          <w:p w14:paraId="3383A25D">
            <w:pPr>
              <w:spacing w:line="0" w:lineRule="atLeast"/>
              <w:jc w:val="center"/>
              <w:rPr>
                <w:rFonts w:ascii="宋体" w:hAnsi="宋体"/>
                <w:bCs/>
                <w:sz w:val="16"/>
                <w:szCs w:val="16"/>
                <w:highlight w:val="none"/>
              </w:rPr>
            </w:pPr>
            <w:r>
              <w:rPr>
                <w:rFonts w:hint="eastAsia" w:ascii="宋体" w:hAnsi="宋体"/>
                <w:bCs/>
                <w:sz w:val="16"/>
                <w:szCs w:val="16"/>
                <w:highlight w:val="none"/>
              </w:rPr>
              <w:t>农、林、牧、渔业</w:t>
            </w:r>
          </w:p>
        </w:tc>
        <w:tc>
          <w:tcPr>
            <w:tcW w:w="397" w:type="pct"/>
            <w:tcBorders>
              <w:top w:val="single" w:color="auto" w:sz="4" w:space="0"/>
              <w:left w:val="nil"/>
              <w:bottom w:val="single" w:color="auto" w:sz="4" w:space="0"/>
              <w:right w:val="single" w:color="auto" w:sz="4" w:space="0"/>
            </w:tcBorders>
            <w:noWrap w:val="0"/>
            <w:vAlign w:val="center"/>
          </w:tcPr>
          <w:p w14:paraId="36167BFA">
            <w:pPr>
              <w:spacing w:line="0" w:lineRule="atLeast"/>
              <w:jc w:val="center"/>
              <w:rPr>
                <w:rFonts w:ascii="宋体" w:hAnsi="宋体"/>
                <w:sz w:val="16"/>
                <w:szCs w:val="16"/>
                <w:highlight w:val="none"/>
              </w:rPr>
            </w:pPr>
            <w:r>
              <w:rPr>
                <w:rFonts w:hint="eastAsia" w:ascii="宋体" w:hAnsi="宋体"/>
                <w:sz w:val="16"/>
                <w:szCs w:val="16"/>
                <w:highlight w:val="none"/>
              </w:rPr>
              <w:t>≥20000</w:t>
            </w:r>
          </w:p>
        </w:tc>
        <w:tc>
          <w:tcPr>
            <w:tcW w:w="306" w:type="pct"/>
            <w:tcBorders>
              <w:top w:val="nil"/>
              <w:left w:val="nil"/>
              <w:bottom w:val="single" w:color="auto" w:sz="4" w:space="0"/>
              <w:right w:val="single" w:color="auto" w:sz="4" w:space="0"/>
            </w:tcBorders>
            <w:noWrap w:val="0"/>
            <w:vAlign w:val="center"/>
          </w:tcPr>
          <w:p w14:paraId="3522F683">
            <w:pPr>
              <w:spacing w:line="0" w:lineRule="atLeast"/>
              <w:jc w:val="center"/>
              <w:rPr>
                <w:rFonts w:ascii="宋体" w:hAnsi="宋体"/>
                <w:sz w:val="16"/>
                <w:szCs w:val="16"/>
                <w:highlight w:val="none"/>
              </w:rPr>
            </w:pPr>
          </w:p>
        </w:tc>
        <w:tc>
          <w:tcPr>
            <w:tcW w:w="316" w:type="pct"/>
            <w:tcBorders>
              <w:top w:val="nil"/>
              <w:left w:val="nil"/>
              <w:bottom w:val="single" w:color="auto" w:sz="4" w:space="0"/>
              <w:right w:val="single" w:color="auto" w:sz="4" w:space="0"/>
            </w:tcBorders>
            <w:noWrap w:val="0"/>
            <w:vAlign w:val="center"/>
          </w:tcPr>
          <w:p w14:paraId="77C20D91">
            <w:pPr>
              <w:spacing w:line="0" w:lineRule="atLeast"/>
              <w:jc w:val="center"/>
              <w:rPr>
                <w:rFonts w:ascii="宋体" w:hAnsi="宋体"/>
                <w:sz w:val="16"/>
                <w:szCs w:val="16"/>
                <w:highlight w:val="none"/>
              </w:rPr>
            </w:pPr>
          </w:p>
        </w:tc>
        <w:tc>
          <w:tcPr>
            <w:tcW w:w="367" w:type="pct"/>
            <w:tcBorders>
              <w:top w:val="nil"/>
              <w:left w:val="nil"/>
              <w:bottom w:val="single" w:color="auto" w:sz="4" w:space="0"/>
              <w:right w:val="single" w:color="auto" w:sz="4" w:space="0"/>
            </w:tcBorders>
            <w:noWrap w:val="0"/>
            <w:vAlign w:val="center"/>
          </w:tcPr>
          <w:p w14:paraId="79450F00">
            <w:pPr>
              <w:spacing w:line="0" w:lineRule="atLeast"/>
              <w:jc w:val="center"/>
              <w:rPr>
                <w:rFonts w:ascii="宋体" w:hAnsi="宋体"/>
                <w:sz w:val="16"/>
                <w:szCs w:val="16"/>
                <w:highlight w:val="none"/>
              </w:rPr>
            </w:pPr>
            <w:r>
              <w:rPr>
                <w:rFonts w:hint="eastAsia" w:ascii="宋体" w:hAnsi="宋体"/>
                <w:sz w:val="16"/>
                <w:szCs w:val="16"/>
                <w:highlight w:val="none"/>
              </w:rPr>
              <w:t>≥500</w:t>
            </w:r>
          </w:p>
        </w:tc>
        <w:tc>
          <w:tcPr>
            <w:tcW w:w="312" w:type="pct"/>
            <w:tcBorders>
              <w:top w:val="nil"/>
              <w:left w:val="nil"/>
              <w:bottom w:val="single" w:color="auto" w:sz="4" w:space="0"/>
              <w:right w:val="single" w:color="auto" w:sz="4" w:space="0"/>
            </w:tcBorders>
            <w:noWrap w:val="0"/>
            <w:vAlign w:val="center"/>
          </w:tcPr>
          <w:p w14:paraId="5F3DD63B">
            <w:pPr>
              <w:spacing w:line="0" w:lineRule="atLeast"/>
              <w:jc w:val="center"/>
              <w:rPr>
                <w:rFonts w:ascii="宋体" w:hAnsi="宋体"/>
                <w:sz w:val="16"/>
                <w:szCs w:val="16"/>
                <w:highlight w:val="none"/>
              </w:rPr>
            </w:pPr>
          </w:p>
        </w:tc>
        <w:tc>
          <w:tcPr>
            <w:tcW w:w="335" w:type="pct"/>
            <w:tcBorders>
              <w:top w:val="nil"/>
              <w:left w:val="nil"/>
              <w:bottom w:val="single" w:color="auto" w:sz="4" w:space="0"/>
              <w:right w:val="single" w:color="auto" w:sz="4" w:space="0"/>
            </w:tcBorders>
            <w:noWrap w:val="0"/>
            <w:vAlign w:val="center"/>
          </w:tcPr>
          <w:p w14:paraId="1E6BEC2C">
            <w:pPr>
              <w:spacing w:line="0" w:lineRule="atLeast"/>
              <w:jc w:val="center"/>
              <w:rPr>
                <w:rFonts w:ascii="宋体" w:hAnsi="宋体"/>
                <w:sz w:val="16"/>
                <w:szCs w:val="16"/>
                <w:highlight w:val="none"/>
              </w:rPr>
            </w:pPr>
          </w:p>
        </w:tc>
        <w:tc>
          <w:tcPr>
            <w:tcW w:w="367" w:type="pct"/>
            <w:tcBorders>
              <w:top w:val="nil"/>
              <w:left w:val="nil"/>
              <w:bottom w:val="single" w:color="auto" w:sz="4" w:space="0"/>
              <w:right w:val="single" w:color="auto" w:sz="4" w:space="0"/>
            </w:tcBorders>
            <w:noWrap w:val="0"/>
            <w:vAlign w:val="center"/>
          </w:tcPr>
          <w:p w14:paraId="7532529E">
            <w:pPr>
              <w:spacing w:line="0" w:lineRule="atLeast"/>
              <w:jc w:val="center"/>
              <w:rPr>
                <w:rFonts w:ascii="宋体" w:hAnsi="宋体"/>
                <w:sz w:val="16"/>
                <w:szCs w:val="16"/>
                <w:highlight w:val="none"/>
              </w:rPr>
            </w:pPr>
            <w:r>
              <w:rPr>
                <w:rFonts w:hint="eastAsia" w:ascii="宋体" w:hAnsi="宋体"/>
                <w:sz w:val="16"/>
                <w:szCs w:val="16"/>
                <w:highlight w:val="none"/>
              </w:rPr>
              <w:t>≥50</w:t>
            </w:r>
          </w:p>
        </w:tc>
        <w:tc>
          <w:tcPr>
            <w:tcW w:w="318" w:type="pct"/>
            <w:tcBorders>
              <w:top w:val="nil"/>
              <w:left w:val="nil"/>
              <w:bottom w:val="single" w:color="auto" w:sz="4" w:space="0"/>
              <w:right w:val="single" w:color="auto" w:sz="4" w:space="0"/>
            </w:tcBorders>
            <w:noWrap w:val="0"/>
            <w:vAlign w:val="center"/>
          </w:tcPr>
          <w:p w14:paraId="30EB1D7E">
            <w:pPr>
              <w:spacing w:line="0" w:lineRule="atLeast"/>
              <w:jc w:val="center"/>
              <w:rPr>
                <w:rFonts w:ascii="宋体" w:hAnsi="宋体"/>
                <w:sz w:val="16"/>
                <w:szCs w:val="16"/>
                <w:highlight w:val="none"/>
              </w:rPr>
            </w:pPr>
          </w:p>
        </w:tc>
        <w:tc>
          <w:tcPr>
            <w:tcW w:w="336" w:type="pct"/>
            <w:tcBorders>
              <w:top w:val="nil"/>
              <w:left w:val="nil"/>
              <w:bottom w:val="single" w:color="auto" w:sz="4" w:space="0"/>
              <w:right w:val="single" w:color="auto" w:sz="4" w:space="0"/>
            </w:tcBorders>
            <w:noWrap w:val="0"/>
            <w:vAlign w:val="center"/>
          </w:tcPr>
          <w:p w14:paraId="5EBB25B0">
            <w:pPr>
              <w:spacing w:line="0" w:lineRule="atLeast"/>
              <w:jc w:val="center"/>
              <w:rPr>
                <w:rFonts w:ascii="宋体" w:hAnsi="宋体"/>
                <w:sz w:val="16"/>
                <w:szCs w:val="16"/>
                <w:highlight w:val="none"/>
              </w:rPr>
            </w:pPr>
          </w:p>
        </w:tc>
        <w:tc>
          <w:tcPr>
            <w:tcW w:w="367" w:type="pct"/>
            <w:tcBorders>
              <w:top w:val="nil"/>
              <w:left w:val="nil"/>
              <w:bottom w:val="single" w:color="auto" w:sz="4" w:space="0"/>
              <w:right w:val="single" w:color="auto" w:sz="4" w:space="0"/>
            </w:tcBorders>
            <w:noWrap w:val="0"/>
            <w:vAlign w:val="center"/>
          </w:tcPr>
          <w:p w14:paraId="09504AFA">
            <w:pPr>
              <w:spacing w:line="0" w:lineRule="atLeast"/>
              <w:jc w:val="center"/>
              <w:rPr>
                <w:rFonts w:ascii="宋体" w:hAnsi="宋体"/>
                <w:sz w:val="16"/>
                <w:szCs w:val="16"/>
                <w:highlight w:val="none"/>
              </w:rPr>
            </w:pPr>
            <w:r>
              <w:rPr>
                <w:rFonts w:hint="eastAsia" w:ascii="宋体" w:hAnsi="宋体"/>
                <w:sz w:val="16"/>
                <w:szCs w:val="16"/>
                <w:highlight w:val="none"/>
              </w:rPr>
              <w:t>＜50</w:t>
            </w:r>
          </w:p>
        </w:tc>
        <w:tc>
          <w:tcPr>
            <w:tcW w:w="292" w:type="pct"/>
            <w:tcBorders>
              <w:top w:val="nil"/>
              <w:left w:val="nil"/>
              <w:bottom w:val="single" w:color="auto" w:sz="4" w:space="0"/>
              <w:right w:val="single" w:color="auto" w:sz="4" w:space="0"/>
            </w:tcBorders>
            <w:noWrap w:val="0"/>
            <w:vAlign w:val="center"/>
          </w:tcPr>
          <w:p w14:paraId="76AA84D4">
            <w:pPr>
              <w:spacing w:line="0" w:lineRule="atLeast"/>
              <w:jc w:val="center"/>
              <w:rPr>
                <w:rFonts w:ascii="宋体" w:hAnsi="宋体"/>
                <w:sz w:val="16"/>
                <w:szCs w:val="16"/>
                <w:highlight w:val="none"/>
              </w:rPr>
            </w:pPr>
          </w:p>
        </w:tc>
        <w:tc>
          <w:tcPr>
            <w:tcW w:w="287" w:type="pct"/>
            <w:tcBorders>
              <w:top w:val="nil"/>
              <w:left w:val="nil"/>
              <w:bottom w:val="single" w:color="auto" w:sz="4" w:space="0"/>
              <w:right w:val="single" w:color="auto" w:sz="4" w:space="0"/>
            </w:tcBorders>
            <w:noWrap w:val="0"/>
            <w:vAlign w:val="center"/>
          </w:tcPr>
          <w:p w14:paraId="3056D9D2">
            <w:pPr>
              <w:spacing w:line="0" w:lineRule="atLeast"/>
              <w:jc w:val="center"/>
              <w:rPr>
                <w:rFonts w:ascii="宋体" w:hAnsi="宋体"/>
                <w:sz w:val="16"/>
                <w:szCs w:val="16"/>
                <w:highlight w:val="none"/>
              </w:rPr>
            </w:pPr>
          </w:p>
        </w:tc>
      </w:tr>
      <w:tr w14:paraId="3292B6D1">
        <w:tblPrEx>
          <w:tblCellMar>
            <w:top w:w="0" w:type="dxa"/>
            <w:left w:w="108" w:type="dxa"/>
            <w:bottom w:w="0" w:type="dxa"/>
            <w:right w:w="108" w:type="dxa"/>
          </w:tblCellMar>
        </w:tblPrEx>
        <w:trPr>
          <w:trHeight w:val="369" w:hRule="atLeast"/>
          <w:jc w:val="center"/>
        </w:trPr>
        <w:tc>
          <w:tcPr>
            <w:tcW w:w="259" w:type="pct"/>
            <w:tcBorders>
              <w:top w:val="nil"/>
              <w:left w:val="single" w:color="auto" w:sz="4" w:space="0"/>
              <w:bottom w:val="single" w:color="auto" w:sz="4" w:space="0"/>
              <w:right w:val="single" w:color="auto" w:sz="4" w:space="0"/>
            </w:tcBorders>
            <w:noWrap w:val="0"/>
            <w:vAlign w:val="center"/>
          </w:tcPr>
          <w:p w14:paraId="23070FC0">
            <w:pPr>
              <w:spacing w:line="0" w:lineRule="atLeast"/>
              <w:jc w:val="center"/>
              <w:rPr>
                <w:rFonts w:ascii="宋体" w:hAnsi="宋体"/>
                <w:bCs/>
                <w:sz w:val="16"/>
                <w:szCs w:val="16"/>
                <w:highlight w:val="none"/>
              </w:rPr>
            </w:pPr>
            <w:r>
              <w:rPr>
                <w:rFonts w:hint="eastAsia" w:ascii="宋体" w:hAnsi="宋体"/>
                <w:bCs/>
                <w:sz w:val="16"/>
                <w:szCs w:val="16"/>
                <w:highlight w:val="none"/>
              </w:rPr>
              <w:t>2</w:t>
            </w:r>
          </w:p>
        </w:tc>
        <w:tc>
          <w:tcPr>
            <w:tcW w:w="738" w:type="pct"/>
            <w:tcBorders>
              <w:top w:val="nil"/>
              <w:left w:val="nil"/>
              <w:bottom w:val="single" w:color="auto" w:sz="4" w:space="0"/>
              <w:right w:val="single" w:color="auto" w:sz="4" w:space="0"/>
            </w:tcBorders>
            <w:noWrap w:val="0"/>
            <w:vAlign w:val="center"/>
          </w:tcPr>
          <w:p w14:paraId="37EF45DD">
            <w:pPr>
              <w:spacing w:line="0" w:lineRule="atLeast"/>
              <w:jc w:val="center"/>
              <w:rPr>
                <w:rFonts w:ascii="宋体" w:hAnsi="宋体"/>
                <w:bCs/>
                <w:sz w:val="16"/>
                <w:szCs w:val="16"/>
                <w:highlight w:val="none"/>
              </w:rPr>
            </w:pPr>
            <w:r>
              <w:rPr>
                <w:rFonts w:hint="eastAsia" w:ascii="宋体" w:hAnsi="宋体"/>
                <w:bCs/>
                <w:sz w:val="16"/>
                <w:szCs w:val="16"/>
                <w:highlight w:val="none"/>
              </w:rPr>
              <w:t>工业</w:t>
            </w:r>
          </w:p>
        </w:tc>
        <w:tc>
          <w:tcPr>
            <w:tcW w:w="397" w:type="pct"/>
            <w:tcBorders>
              <w:top w:val="nil"/>
              <w:left w:val="nil"/>
              <w:bottom w:val="single" w:color="auto" w:sz="4" w:space="0"/>
              <w:right w:val="single" w:color="auto" w:sz="4" w:space="0"/>
            </w:tcBorders>
            <w:noWrap w:val="0"/>
            <w:vAlign w:val="center"/>
          </w:tcPr>
          <w:p w14:paraId="29EE369D">
            <w:pPr>
              <w:spacing w:line="0" w:lineRule="atLeast"/>
              <w:jc w:val="center"/>
              <w:rPr>
                <w:rFonts w:ascii="宋体" w:hAnsi="宋体"/>
                <w:sz w:val="16"/>
                <w:szCs w:val="16"/>
                <w:highlight w:val="none"/>
              </w:rPr>
            </w:pPr>
            <w:r>
              <w:rPr>
                <w:rFonts w:hint="eastAsia" w:ascii="宋体" w:hAnsi="宋体"/>
                <w:sz w:val="16"/>
                <w:szCs w:val="16"/>
                <w:highlight w:val="none"/>
              </w:rPr>
              <w:t>≥40000</w:t>
            </w:r>
          </w:p>
        </w:tc>
        <w:tc>
          <w:tcPr>
            <w:tcW w:w="306" w:type="pct"/>
            <w:tcBorders>
              <w:top w:val="nil"/>
              <w:left w:val="nil"/>
              <w:bottom w:val="single" w:color="auto" w:sz="4" w:space="0"/>
              <w:right w:val="single" w:color="auto" w:sz="4" w:space="0"/>
            </w:tcBorders>
            <w:noWrap w:val="0"/>
            <w:vAlign w:val="center"/>
          </w:tcPr>
          <w:p w14:paraId="1A27C8BE">
            <w:pPr>
              <w:spacing w:line="0" w:lineRule="atLeast"/>
              <w:jc w:val="center"/>
              <w:rPr>
                <w:rFonts w:ascii="宋体" w:hAnsi="宋体"/>
                <w:sz w:val="16"/>
                <w:szCs w:val="16"/>
                <w:highlight w:val="none"/>
              </w:rPr>
            </w:pPr>
            <w:r>
              <w:rPr>
                <w:rFonts w:hint="eastAsia" w:ascii="宋体" w:hAnsi="宋体"/>
                <w:sz w:val="16"/>
                <w:szCs w:val="16"/>
                <w:highlight w:val="none"/>
              </w:rPr>
              <w:t>≥1000</w:t>
            </w:r>
          </w:p>
        </w:tc>
        <w:tc>
          <w:tcPr>
            <w:tcW w:w="316" w:type="pct"/>
            <w:tcBorders>
              <w:top w:val="nil"/>
              <w:left w:val="nil"/>
              <w:bottom w:val="single" w:color="auto" w:sz="4" w:space="0"/>
              <w:right w:val="single" w:color="auto" w:sz="4" w:space="0"/>
            </w:tcBorders>
            <w:noWrap w:val="0"/>
            <w:vAlign w:val="center"/>
          </w:tcPr>
          <w:p w14:paraId="536FCF27">
            <w:pPr>
              <w:spacing w:line="0" w:lineRule="atLeast"/>
              <w:jc w:val="center"/>
              <w:rPr>
                <w:rFonts w:ascii="宋体" w:hAnsi="宋体"/>
                <w:sz w:val="16"/>
                <w:szCs w:val="16"/>
                <w:highlight w:val="none"/>
              </w:rPr>
            </w:pPr>
          </w:p>
        </w:tc>
        <w:tc>
          <w:tcPr>
            <w:tcW w:w="367" w:type="pct"/>
            <w:tcBorders>
              <w:top w:val="nil"/>
              <w:left w:val="nil"/>
              <w:bottom w:val="single" w:color="auto" w:sz="4" w:space="0"/>
              <w:right w:val="single" w:color="auto" w:sz="4" w:space="0"/>
            </w:tcBorders>
            <w:noWrap w:val="0"/>
            <w:vAlign w:val="center"/>
          </w:tcPr>
          <w:p w14:paraId="4A950E24">
            <w:pPr>
              <w:spacing w:line="0" w:lineRule="atLeast"/>
              <w:jc w:val="center"/>
              <w:rPr>
                <w:rFonts w:ascii="宋体" w:hAnsi="宋体"/>
                <w:sz w:val="16"/>
                <w:szCs w:val="16"/>
                <w:highlight w:val="none"/>
              </w:rPr>
            </w:pPr>
            <w:r>
              <w:rPr>
                <w:rFonts w:hint="eastAsia" w:ascii="宋体" w:hAnsi="宋体"/>
                <w:sz w:val="16"/>
                <w:szCs w:val="16"/>
                <w:highlight w:val="none"/>
              </w:rPr>
              <w:t>≥2000</w:t>
            </w:r>
          </w:p>
        </w:tc>
        <w:tc>
          <w:tcPr>
            <w:tcW w:w="312" w:type="pct"/>
            <w:tcBorders>
              <w:top w:val="nil"/>
              <w:left w:val="nil"/>
              <w:bottom w:val="single" w:color="auto" w:sz="4" w:space="0"/>
              <w:right w:val="single" w:color="auto" w:sz="4" w:space="0"/>
            </w:tcBorders>
            <w:noWrap w:val="0"/>
            <w:vAlign w:val="center"/>
          </w:tcPr>
          <w:p w14:paraId="3BB7233C">
            <w:pPr>
              <w:spacing w:line="0" w:lineRule="atLeast"/>
              <w:jc w:val="center"/>
              <w:rPr>
                <w:rFonts w:ascii="宋体" w:hAnsi="宋体"/>
                <w:sz w:val="16"/>
                <w:szCs w:val="16"/>
                <w:highlight w:val="none"/>
              </w:rPr>
            </w:pPr>
            <w:r>
              <w:rPr>
                <w:rFonts w:hint="eastAsia" w:ascii="宋体" w:hAnsi="宋体"/>
                <w:sz w:val="16"/>
                <w:szCs w:val="16"/>
                <w:highlight w:val="none"/>
              </w:rPr>
              <w:t>≥300</w:t>
            </w:r>
          </w:p>
        </w:tc>
        <w:tc>
          <w:tcPr>
            <w:tcW w:w="335" w:type="pct"/>
            <w:tcBorders>
              <w:top w:val="nil"/>
              <w:left w:val="nil"/>
              <w:bottom w:val="single" w:color="auto" w:sz="4" w:space="0"/>
              <w:right w:val="single" w:color="auto" w:sz="4" w:space="0"/>
            </w:tcBorders>
            <w:noWrap w:val="0"/>
            <w:vAlign w:val="center"/>
          </w:tcPr>
          <w:p w14:paraId="0B2D7DEA">
            <w:pPr>
              <w:spacing w:line="0" w:lineRule="atLeast"/>
              <w:jc w:val="center"/>
              <w:rPr>
                <w:rFonts w:ascii="宋体" w:hAnsi="宋体"/>
                <w:sz w:val="16"/>
                <w:szCs w:val="16"/>
                <w:highlight w:val="none"/>
              </w:rPr>
            </w:pPr>
          </w:p>
        </w:tc>
        <w:tc>
          <w:tcPr>
            <w:tcW w:w="367" w:type="pct"/>
            <w:tcBorders>
              <w:top w:val="nil"/>
              <w:left w:val="nil"/>
              <w:bottom w:val="single" w:color="auto" w:sz="4" w:space="0"/>
              <w:right w:val="single" w:color="auto" w:sz="4" w:space="0"/>
            </w:tcBorders>
            <w:noWrap w:val="0"/>
            <w:vAlign w:val="center"/>
          </w:tcPr>
          <w:p w14:paraId="770C0C77">
            <w:pPr>
              <w:spacing w:line="0" w:lineRule="atLeast"/>
              <w:jc w:val="center"/>
              <w:rPr>
                <w:rFonts w:ascii="宋体" w:hAnsi="宋体"/>
                <w:sz w:val="16"/>
                <w:szCs w:val="16"/>
                <w:highlight w:val="none"/>
              </w:rPr>
            </w:pPr>
            <w:r>
              <w:rPr>
                <w:rFonts w:hint="eastAsia" w:ascii="宋体" w:hAnsi="宋体"/>
                <w:sz w:val="16"/>
                <w:szCs w:val="16"/>
                <w:highlight w:val="none"/>
              </w:rPr>
              <w:t>≥300</w:t>
            </w:r>
          </w:p>
        </w:tc>
        <w:tc>
          <w:tcPr>
            <w:tcW w:w="318" w:type="pct"/>
            <w:tcBorders>
              <w:top w:val="nil"/>
              <w:left w:val="nil"/>
              <w:bottom w:val="single" w:color="auto" w:sz="4" w:space="0"/>
              <w:right w:val="single" w:color="auto" w:sz="4" w:space="0"/>
            </w:tcBorders>
            <w:noWrap w:val="0"/>
            <w:vAlign w:val="center"/>
          </w:tcPr>
          <w:p w14:paraId="360E1223">
            <w:pPr>
              <w:spacing w:line="0" w:lineRule="atLeast"/>
              <w:jc w:val="center"/>
              <w:rPr>
                <w:rFonts w:ascii="宋体" w:hAnsi="宋体"/>
                <w:sz w:val="16"/>
                <w:szCs w:val="16"/>
                <w:highlight w:val="none"/>
              </w:rPr>
            </w:pPr>
            <w:r>
              <w:rPr>
                <w:rFonts w:hint="eastAsia" w:ascii="宋体" w:hAnsi="宋体"/>
                <w:sz w:val="16"/>
                <w:szCs w:val="16"/>
                <w:highlight w:val="none"/>
              </w:rPr>
              <w:t>≥20</w:t>
            </w:r>
          </w:p>
        </w:tc>
        <w:tc>
          <w:tcPr>
            <w:tcW w:w="336" w:type="pct"/>
            <w:tcBorders>
              <w:top w:val="nil"/>
              <w:left w:val="nil"/>
              <w:bottom w:val="single" w:color="auto" w:sz="4" w:space="0"/>
              <w:right w:val="single" w:color="auto" w:sz="4" w:space="0"/>
            </w:tcBorders>
            <w:noWrap w:val="0"/>
            <w:vAlign w:val="center"/>
          </w:tcPr>
          <w:p w14:paraId="729BA9EA">
            <w:pPr>
              <w:spacing w:line="0" w:lineRule="atLeast"/>
              <w:jc w:val="center"/>
              <w:rPr>
                <w:rFonts w:ascii="宋体" w:hAnsi="宋体"/>
                <w:sz w:val="16"/>
                <w:szCs w:val="16"/>
                <w:highlight w:val="none"/>
              </w:rPr>
            </w:pPr>
          </w:p>
        </w:tc>
        <w:tc>
          <w:tcPr>
            <w:tcW w:w="367" w:type="pct"/>
            <w:tcBorders>
              <w:top w:val="nil"/>
              <w:left w:val="nil"/>
              <w:bottom w:val="single" w:color="auto" w:sz="4" w:space="0"/>
              <w:right w:val="single" w:color="auto" w:sz="4" w:space="0"/>
            </w:tcBorders>
            <w:noWrap w:val="0"/>
            <w:vAlign w:val="center"/>
          </w:tcPr>
          <w:p w14:paraId="15246BB9">
            <w:pPr>
              <w:spacing w:line="0" w:lineRule="atLeast"/>
              <w:jc w:val="center"/>
              <w:rPr>
                <w:rFonts w:ascii="宋体" w:hAnsi="宋体"/>
                <w:sz w:val="16"/>
                <w:szCs w:val="16"/>
                <w:highlight w:val="none"/>
              </w:rPr>
            </w:pPr>
            <w:r>
              <w:rPr>
                <w:rFonts w:hint="eastAsia" w:ascii="宋体" w:hAnsi="宋体"/>
                <w:sz w:val="16"/>
                <w:szCs w:val="16"/>
                <w:highlight w:val="none"/>
              </w:rPr>
              <w:t>＜300</w:t>
            </w:r>
          </w:p>
        </w:tc>
        <w:tc>
          <w:tcPr>
            <w:tcW w:w="292" w:type="pct"/>
            <w:tcBorders>
              <w:top w:val="nil"/>
              <w:left w:val="nil"/>
              <w:bottom w:val="single" w:color="auto" w:sz="4" w:space="0"/>
              <w:right w:val="single" w:color="auto" w:sz="4" w:space="0"/>
            </w:tcBorders>
            <w:noWrap w:val="0"/>
            <w:vAlign w:val="center"/>
          </w:tcPr>
          <w:p w14:paraId="61C7C399">
            <w:pPr>
              <w:spacing w:line="0" w:lineRule="atLeast"/>
              <w:jc w:val="center"/>
              <w:rPr>
                <w:rFonts w:ascii="宋体" w:hAnsi="宋体"/>
                <w:sz w:val="16"/>
                <w:szCs w:val="16"/>
                <w:highlight w:val="none"/>
              </w:rPr>
            </w:pPr>
            <w:r>
              <w:rPr>
                <w:rFonts w:hint="eastAsia" w:ascii="宋体" w:hAnsi="宋体"/>
                <w:sz w:val="16"/>
                <w:szCs w:val="16"/>
                <w:highlight w:val="none"/>
              </w:rPr>
              <w:t>＜20</w:t>
            </w:r>
          </w:p>
        </w:tc>
        <w:tc>
          <w:tcPr>
            <w:tcW w:w="287" w:type="pct"/>
            <w:tcBorders>
              <w:top w:val="nil"/>
              <w:left w:val="nil"/>
              <w:bottom w:val="single" w:color="auto" w:sz="4" w:space="0"/>
              <w:right w:val="single" w:color="auto" w:sz="4" w:space="0"/>
            </w:tcBorders>
            <w:noWrap w:val="0"/>
            <w:vAlign w:val="center"/>
          </w:tcPr>
          <w:p w14:paraId="59B7B57D">
            <w:pPr>
              <w:spacing w:line="0" w:lineRule="atLeast"/>
              <w:jc w:val="center"/>
              <w:rPr>
                <w:rFonts w:ascii="宋体" w:hAnsi="宋体"/>
                <w:sz w:val="16"/>
                <w:szCs w:val="16"/>
                <w:highlight w:val="none"/>
              </w:rPr>
            </w:pPr>
          </w:p>
        </w:tc>
      </w:tr>
      <w:tr w14:paraId="7D6C3ACC">
        <w:tblPrEx>
          <w:tblCellMar>
            <w:top w:w="0" w:type="dxa"/>
            <w:left w:w="108" w:type="dxa"/>
            <w:bottom w:w="0" w:type="dxa"/>
            <w:right w:w="108" w:type="dxa"/>
          </w:tblCellMar>
        </w:tblPrEx>
        <w:trPr>
          <w:trHeight w:val="369" w:hRule="atLeast"/>
          <w:jc w:val="center"/>
        </w:trPr>
        <w:tc>
          <w:tcPr>
            <w:tcW w:w="259" w:type="pct"/>
            <w:tcBorders>
              <w:top w:val="nil"/>
              <w:left w:val="single" w:color="auto" w:sz="4" w:space="0"/>
              <w:bottom w:val="single" w:color="auto" w:sz="4" w:space="0"/>
              <w:right w:val="single" w:color="auto" w:sz="4" w:space="0"/>
            </w:tcBorders>
            <w:noWrap w:val="0"/>
            <w:vAlign w:val="center"/>
          </w:tcPr>
          <w:p w14:paraId="51BA130F">
            <w:pPr>
              <w:spacing w:line="0" w:lineRule="atLeast"/>
              <w:jc w:val="center"/>
              <w:rPr>
                <w:rFonts w:ascii="宋体" w:hAnsi="宋体"/>
                <w:bCs/>
                <w:sz w:val="16"/>
                <w:szCs w:val="16"/>
                <w:highlight w:val="none"/>
              </w:rPr>
            </w:pPr>
            <w:r>
              <w:rPr>
                <w:rFonts w:hint="eastAsia" w:ascii="宋体" w:hAnsi="宋体"/>
                <w:bCs/>
                <w:sz w:val="16"/>
                <w:szCs w:val="16"/>
                <w:highlight w:val="none"/>
              </w:rPr>
              <w:t>3</w:t>
            </w:r>
          </w:p>
        </w:tc>
        <w:tc>
          <w:tcPr>
            <w:tcW w:w="738" w:type="pct"/>
            <w:tcBorders>
              <w:top w:val="nil"/>
              <w:left w:val="nil"/>
              <w:bottom w:val="single" w:color="auto" w:sz="4" w:space="0"/>
              <w:right w:val="single" w:color="auto" w:sz="4" w:space="0"/>
            </w:tcBorders>
            <w:noWrap w:val="0"/>
            <w:vAlign w:val="center"/>
          </w:tcPr>
          <w:p w14:paraId="6216546C">
            <w:pPr>
              <w:spacing w:line="0" w:lineRule="atLeast"/>
              <w:jc w:val="center"/>
              <w:rPr>
                <w:rFonts w:ascii="宋体" w:hAnsi="宋体"/>
                <w:bCs/>
                <w:sz w:val="16"/>
                <w:szCs w:val="16"/>
                <w:highlight w:val="none"/>
              </w:rPr>
            </w:pPr>
            <w:r>
              <w:rPr>
                <w:rFonts w:hint="eastAsia" w:ascii="宋体" w:hAnsi="宋体"/>
                <w:bCs/>
                <w:sz w:val="16"/>
                <w:szCs w:val="16"/>
                <w:highlight w:val="none"/>
              </w:rPr>
              <w:t>建筑业</w:t>
            </w:r>
          </w:p>
        </w:tc>
        <w:tc>
          <w:tcPr>
            <w:tcW w:w="397" w:type="pct"/>
            <w:tcBorders>
              <w:top w:val="nil"/>
              <w:left w:val="nil"/>
              <w:bottom w:val="single" w:color="auto" w:sz="4" w:space="0"/>
              <w:right w:val="single" w:color="auto" w:sz="4" w:space="0"/>
            </w:tcBorders>
            <w:noWrap w:val="0"/>
            <w:vAlign w:val="center"/>
          </w:tcPr>
          <w:p w14:paraId="20FA9DEB">
            <w:pPr>
              <w:spacing w:line="0" w:lineRule="atLeast"/>
              <w:jc w:val="center"/>
              <w:rPr>
                <w:rFonts w:ascii="宋体" w:hAnsi="宋体"/>
                <w:sz w:val="16"/>
                <w:szCs w:val="16"/>
                <w:highlight w:val="none"/>
              </w:rPr>
            </w:pPr>
            <w:r>
              <w:rPr>
                <w:rFonts w:hint="eastAsia" w:ascii="宋体" w:hAnsi="宋体"/>
                <w:sz w:val="16"/>
                <w:szCs w:val="16"/>
                <w:highlight w:val="none"/>
              </w:rPr>
              <w:t>≥80000</w:t>
            </w:r>
          </w:p>
        </w:tc>
        <w:tc>
          <w:tcPr>
            <w:tcW w:w="306" w:type="pct"/>
            <w:tcBorders>
              <w:top w:val="nil"/>
              <w:left w:val="nil"/>
              <w:bottom w:val="single" w:color="auto" w:sz="4" w:space="0"/>
              <w:right w:val="single" w:color="auto" w:sz="4" w:space="0"/>
            </w:tcBorders>
            <w:noWrap w:val="0"/>
            <w:vAlign w:val="center"/>
          </w:tcPr>
          <w:p w14:paraId="2DFBAA34">
            <w:pPr>
              <w:spacing w:line="0" w:lineRule="atLeast"/>
              <w:jc w:val="center"/>
              <w:rPr>
                <w:rFonts w:ascii="宋体" w:hAnsi="宋体"/>
                <w:sz w:val="16"/>
                <w:szCs w:val="16"/>
                <w:highlight w:val="none"/>
              </w:rPr>
            </w:pPr>
          </w:p>
        </w:tc>
        <w:tc>
          <w:tcPr>
            <w:tcW w:w="316" w:type="pct"/>
            <w:tcBorders>
              <w:top w:val="nil"/>
              <w:left w:val="nil"/>
              <w:bottom w:val="single" w:color="auto" w:sz="4" w:space="0"/>
              <w:right w:val="single" w:color="auto" w:sz="4" w:space="0"/>
            </w:tcBorders>
            <w:noWrap w:val="0"/>
            <w:vAlign w:val="center"/>
          </w:tcPr>
          <w:p w14:paraId="21DE7001">
            <w:pPr>
              <w:spacing w:line="0" w:lineRule="atLeast"/>
              <w:jc w:val="center"/>
              <w:rPr>
                <w:rFonts w:ascii="宋体" w:hAnsi="宋体"/>
                <w:sz w:val="16"/>
                <w:szCs w:val="16"/>
                <w:highlight w:val="none"/>
              </w:rPr>
            </w:pPr>
            <w:r>
              <w:rPr>
                <w:rFonts w:hint="eastAsia" w:ascii="宋体" w:hAnsi="宋体"/>
                <w:sz w:val="16"/>
                <w:szCs w:val="16"/>
                <w:highlight w:val="none"/>
              </w:rPr>
              <w:t>≥80000</w:t>
            </w:r>
          </w:p>
        </w:tc>
        <w:tc>
          <w:tcPr>
            <w:tcW w:w="367" w:type="pct"/>
            <w:tcBorders>
              <w:top w:val="nil"/>
              <w:left w:val="nil"/>
              <w:bottom w:val="single" w:color="auto" w:sz="4" w:space="0"/>
              <w:right w:val="single" w:color="auto" w:sz="4" w:space="0"/>
            </w:tcBorders>
            <w:noWrap w:val="0"/>
            <w:vAlign w:val="center"/>
          </w:tcPr>
          <w:p w14:paraId="0AD6D2F1">
            <w:pPr>
              <w:spacing w:line="0" w:lineRule="atLeast"/>
              <w:jc w:val="center"/>
              <w:rPr>
                <w:rFonts w:ascii="宋体" w:hAnsi="宋体"/>
                <w:sz w:val="16"/>
                <w:szCs w:val="16"/>
                <w:highlight w:val="none"/>
              </w:rPr>
            </w:pPr>
            <w:r>
              <w:rPr>
                <w:rFonts w:hint="eastAsia" w:ascii="宋体" w:hAnsi="宋体"/>
                <w:sz w:val="16"/>
                <w:szCs w:val="16"/>
                <w:highlight w:val="none"/>
              </w:rPr>
              <w:t>≥5000</w:t>
            </w:r>
          </w:p>
        </w:tc>
        <w:tc>
          <w:tcPr>
            <w:tcW w:w="312" w:type="pct"/>
            <w:tcBorders>
              <w:top w:val="nil"/>
              <w:left w:val="nil"/>
              <w:bottom w:val="single" w:color="auto" w:sz="4" w:space="0"/>
              <w:right w:val="single" w:color="auto" w:sz="4" w:space="0"/>
            </w:tcBorders>
            <w:noWrap w:val="0"/>
            <w:vAlign w:val="center"/>
          </w:tcPr>
          <w:p w14:paraId="2B45B181">
            <w:pPr>
              <w:spacing w:line="0" w:lineRule="atLeast"/>
              <w:jc w:val="center"/>
              <w:rPr>
                <w:rFonts w:ascii="宋体" w:hAnsi="宋体"/>
                <w:sz w:val="16"/>
                <w:szCs w:val="16"/>
                <w:highlight w:val="none"/>
              </w:rPr>
            </w:pPr>
          </w:p>
        </w:tc>
        <w:tc>
          <w:tcPr>
            <w:tcW w:w="335" w:type="pct"/>
            <w:tcBorders>
              <w:top w:val="nil"/>
              <w:left w:val="nil"/>
              <w:bottom w:val="single" w:color="auto" w:sz="4" w:space="0"/>
              <w:right w:val="single" w:color="auto" w:sz="4" w:space="0"/>
            </w:tcBorders>
            <w:noWrap w:val="0"/>
            <w:vAlign w:val="center"/>
          </w:tcPr>
          <w:p w14:paraId="62E9E028">
            <w:pPr>
              <w:spacing w:line="0" w:lineRule="atLeast"/>
              <w:jc w:val="center"/>
              <w:rPr>
                <w:rFonts w:ascii="宋体" w:hAnsi="宋体"/>
                <w:sz w:val="16"/>
                <w:szCs w:val="16"/>
                <w:highlight w:val="none"/>
              </w:rPr>
            </w:pPr>
            <w:r>
              <w:rPr>
                <w:rFonts w:hint="eastAsia" w:ascii="宋体" w:hAnsi="宋体"/>
                <w:sz w:val="16"/>
                <w:szCs w:val="16"/>
                <w:highlight w:val="none"/>
              </w:rPr>
              <w:t>≥5000</w:t>
            </w:r>
          </w:p>
        </w:tc>
        <w:tc>
          <w:tcPr>
            <w:tcW w:w="367" w:type="pct"/>
            <w:tcBorders>
              <w:top w:val="nil"/>
              <w:left w:val="nil"/>
              <w:bottom w:val="single" w:color="auto" w:sz="4" w:space="0"/>
              <w:right w:val="single" w:color="auto" w:sz="4" w:space="0"/>
            </w:tcBorders>
            <w:noWrap w:val="0"/>
            <w:vAlign w:val="center"/>
          </w:tcPr>
          <w:p w14:paraId="560FD706">
            <w:pPr>
              <w:spacing w:line="0" w:lineRule="atLeast"/>
              <w:jc w:val="center"/>
              <w:rPr>
                <w:rFonts w:ascii="宋体" w:hAnsi="宋体"/>
                <w:sz w:val="16"/>
                <w:szCs w:val="16"/>
                <w:highlight w:val="none"/>
              </w:rPr>
            </w:pPr>
            <w:r>
              <w:rPr>
                <w:rFonts w:hint="eastAsia" w:ascii="宋体" w:hAnsi="宋体"/>
                <w:sz w:val="16"/>
                <w:szCs w:val="16"/>
                <w:highlight w:val="none"/>
              </w:rPr>
              <w:t>≥300</w:t>
            </w:r>
          </w:p>
        </w:tc>
        <w:tc>
          <w:tcPr>
            <w:tcW w:w="318" w:type="pct"/>
            <w:tcBorders>
              <w:top w:val="nil"/>
              <w:left w:val="nil"/>
              <w:bottom w:val="single" w:color="auto" w:sz="4" w:space="0"/>
              <w:right w:val="single" w:color="auto" w:sz="4" w:space="0"/>
            </w:tcBorders>
            <w:noWrap w:val="0"/>
            <w:vAlign w:val="center"/>
          </w:tcPr>
          <w:p w14:paraId="5D1EA70F">
            <w:pPr>
              <w:spacing w:line="0" w:lineRule="atLeast"/>
              <w:jc w:val="center"/>
              <w:rPr>
                <w:rFonts w:ascii="宋体" w:hAnsi="宋体"/>
                <w:sz w:val="16"/>
                <w:szCs w:val="16"/>
                <w:highlight w:val="none"/>
              </w:rPr>
            </w:pPr>
          </w:p>
        </w:tc>
        <w:tc>
          <w:tcPr>
            <w:tcW w:w="336" w:type="pct"/>
            <w:tcBorders>
              <w:top w:val="nil"/>
              <w:left w:val="nil"/>
              <w:bottom w:val="single" w:color="auto" w:sz="4" w:space="0"/>
              <w:right w:val="single" w:color="auto" w:sz="4" w:space="0"/>
            </w:tcBorders>
            <w:noWrap w:val="0"/>
            <w:vAlign w:val="center"/>
          </w:tcPr>
          <w:p w14:paraId="4DC8B902">
            <w:pPr>
              <w:spacing w:line="0" w:lineRule="atLeast"/>
              <w:jc w:val="center"/>
              <w:rPr>
                <w:rFonts w:ascii="宋体" w:hAnsi="宋体"/>
                <w:sz w:val="16"/>
                <w:szCs w:val="16"/>
                <w:highlight w:val="none"/>
              </w:rPr>
            </w:pPr>
            <w:r>
              <w:rPr>
                <w:rFonts w:hint="eastAsia" w:ascii="宋体" w:hAnsi="宋体"/>
                <w:sz w:val="16"/>
                <w:szCs w:val="16"/>
                <w:highlight w:val="none"/>
              </w:rPr>
              <w:t>≥300</w:t>
            </w:r>
          </w:p>
        </w:tc>
        <w:tc>
          <w:tcPr>
            <w:tcW w:w="367" w:type="pct"/>
            <w:tcBorders>
              <w:top w:val="nil"/>
              <w:left w:val="nil"/>
              <w:bottom w:val="single" w:color="auto" w:sz="4" w:space="0"/>
              <w:right w:val="single" w:color="auto" w:sz="4" w:space="0"/>
            </w:tcBorders>
            <w:noWrap w:val="0"/>
            <w:vAlign w:val="center"/>
          </w:tcPr>
          <w:p w14:paraId="42D38CD6">
            <w:pPr>
              <w:spacing w:line="0" w:lineRule="atLeast"/>
              <w:jc w:val="center"/>
              <w:rPr>
                <w:rFonts w:ascii="宋体" w:hAnsi="宋体"/>
                <w:sz w:val="16"/>
                <w:szCs w:val="16"/>
                <w:highlight w:val="none"/>
              </w:rPr>
            </w:pPr>
            <w:r>
              <w:rPr>
                <w:rFonts w:hint="eastAsia" w:ascii="宋体" w:hAnsi="宋体"/>
                <w:sz w:val="16"/>
                <w:szCs w:val="16"/>
                <w:highlight w:val="none"/>
              </w:rPr>
              <w:t>＜300</w:t>
            </w:r>
          </w:p>
        </w:tc>
        <w:tc>
          <w:tcPr>
            <w:tcW w:w="292" w:type="pct"/>
            <w:tcBorders>
              <w:top w:val="nil"/>
              <w:left w:val="nil"/>
              <w:bottom w:val="single" w:color="auto" w:sz="4" w:space="0"/>
              <w:right w:val="single" w:color="auto" w:sz="4" w:space="0"/>
            </w:tcBorders>
            <w:noWrap w:val="0"/>
            <w:vAlign w:val="center"/>
          </w:tcPr>
          <w:p w14:paraId="322A9107">
            <w:pPr>
              <w:spacing w:line="0" w:lineRule="atLeast"/>
              <w:jc w:val="center"/>
              <w:rPr>
                <w:rFonts w:ascii="宋体" w:hAnsi="宋体"/>
                <w:sz w:val="16"/>
                <w:szCs w:val="16"/>
                <w:highlight w:val="none"/>
              </w:rPr>
            </w:pPr>
          </w:p>
        </w:tc>
        <w:tc>
          <w:tcPr>
            <w:tcW w:w="287" w:type="pct"/>
            <w:tcBorders>
              <w:top w:val="nil"/>
              <w:left w:val="nil"/>
              <w:bottom w:val="single" w:color="auto" w:sz="4" w:space="0"/>
              <w:right w:val="single" w:color="auto" w:sz="4" w:space="0"/>
            </w:tcBorders>
            <w:noWrap w:val="0"/>
            <w:vAlign w:val="center"/>
          </w:tcPr>
          <w:p w14:paraId="7E1295B4">
            <w:pPr>
              <w:spacing w:line="0" w:lineRule="atLeast"/>
              <w:jc w:val="center"/>
              <w:rPr>
                <w:rFonts w:ascii="宋体" w:hAnsi="宋体"/>
                <w:sz w:val="16"/>
                <w:szCs w:val="16"/>
                <w:highlight w:val="none"/>
              </w:rPr>
            </w:pPr>
            <w:r>
              <w:rPr>
                <w:rFonts w:hint="eastAsia" w:ascii="宋体" w:hAnsi="宋体"/>
                <w:sz w:val="16"/>
                <w:szCs w:val="16"/>
                <w:highlight w:val="none"/>
              </w:rPr>
              <w:t>＜300</w:t>
            </w:r>
          </w:p>
        </w:tc>
      </w:tr>
      <w:tr w14:paraId="30C93558">
        <w:tblPrEx>
          <w:tblCellMar>
            <w:top w:w="0" w:type="dxa"/>
            <w:left w:w="108" w:type="dxa"/>
            <w:bottom w:w="0" w:type="dxa"/>
            <w:right w:w="108" w:type="dxa"/>
          </w:tblCellMar>
        </w:tblPrEx>
        <w:trPr>
          <w:trHeight w:val="369" w:hRule="atLeast"/>
          <w:jc w:val="center"/>
        </w:trPr>
        <w:tc>
          <w:tcPr>
            <w:tcW w:w="259" w:type="pct"/>
            <w:tcBorders>
              <w:top w:val="nil"/>
              <w:left w:val="single" w:color="auto" w:sz="4" w:space="0"/>
              <w:bottom w:val="single" w:color="auto" w:sz="4" w:space="0"/>
              <w:right w:val="single" w:color="auto" w:sz="4" w:space="0"/>
            </w:tcBorders>
            <w:noWrap w:val="0"/>
            <w:vAlign w:val="center"/>
          </w:tcPr>
          <w:p w14:paraId="2BCD61CF">
            <w:pPr>
              <w:spacing w:line="0" w:lineRule="atLeast"/>
              <w:jc w:val="center"/>
              <w:rPr>
                <w:rFonts w:ascii="宋体" w:hAnsi="宋体"/>
                <w:bCs/>
                <w:sz w:val="16"/>
                <w:szCs w:val="16"/>
                <w:highlight w:val="none"/>
              </w:rPr>
            </w:pPr>
            <w:r>
              <w:rPr>
                <w:rFonts w:hint="eastAsia" w:ascii="宋体" w:hAnsi="宋体"/>
                <w:bCs/>
                <w:sz w:val="16"/>
                <w:szCs w:val="16"/>
                <w:highlight w:val="none"/>
              </w:rPr>
              <w:t>4</w:t>
            </w:r>
          </w:p>
        </w:tc>
        <w:tc>
          <w:tcPr>
            <w:tcW w:w="738" w:type="pct"/>
            <w:tcBorders>
              <w:top w:val="nil"/>
              <w:left w:val="nil"/>
              <w:bottom w:val="single" w:color="auto" w:sz="4" w:space="0"/>
              <w:right w:val="single" w:color="auto" w:sz="4" w:space="0"/>
            </w:tcBorders>
            <w:noWrap w:val="0"/>
            <w:vAlign w:val="center"/>
          </w:tcPr>
          <w:p w14:paraId="365F774E">
            <w:pPr>
              <w:spacing w:line="0" w:lineRule="atLeast"/>
              <w:jc w:val="center"/>
              <w:rPr>
                <w:rFonts w:ascii="宋体" w:hAnsi="宋体"/>
                <w:bCs/>
                <w:sz w:val="16"/>
                <w:szCs w:val="16"/>
                <w:highlight w:val="none"/>
              </w:rPr>
            </w:pPr>
            <w:r>
              <w:rPr>
                <w:rFonts w:hint="eastAsia" w:ascii="宋体" w:hAnsi="宋体"/>
                <w:bCs/>
                <w:sz w:val="16"/>
                <w:szCs w:val="16"/>
                <w:highlight w:val="none"/>
              </w:rPr>
              <w:t>批发业</w:t>
            </w:r>
          </w:p>
        </w:tc>
        <w:tc>
          <w:tcPr>
            <w:tcW w:w="397" w:type="pct"/>
            <w:tcBorders>
              <w:top w:val="nil"/>
              <w:left w:val="nil"/>
              <w:bottom w:val="single" w:color="auto" w:sz="4" w:space="0"/>
              <w:right w:val="single" w:color="auto" w:sz="4" w:space="0"/>
            </w:tcBorders>
            <w:noWrap w:val="0"/>
            <w:vAlign w:val="center"/>
          </w:tcPr>
          <w:p w14:paraId="6C3A595A">
            <w:pPr>
              <w:spacing w:line="0" w:lineRule="atLeast"/>
              <w:jc w:val="center"/>
              <w:rPr>
                <w:rFonts w:ascii="宋体" w:hAnsi="宋体"/>
                <w:sz w:val="16"/>
                <w:szCs w:val="16"/>
                <w:highlight w:val="none"/>
              </w:rPr>
            </w:pPr>
            <w:r>
              <w:rPr>
                <w:rFonts w:hint="eastAsia" w:ascii="宋体" w:hAnsi="宋体"/>
                <w:sz w:val="16"/>
                <w:szCs w:val="16"/>
                <w:highlight w:val="none"/>
              </w:rPr>
              <w:t>≥40000</w:t>
            </w:r>
          </w:p>
        </w:tc>
        <w:tc>
          <w:tcPr>
            <w:tcW w:w="306" w:type="pct"/>
            <w:tcBorders>
              <w:top w:val="nil"/>
              <w:left w:val="nil"/>
              <w:bottom w:val="single" w:color="auto" w:sz="4" w:space="0"/>
              <w:right w:val="single" w:color="auto" w:sz="4" w:space="0"/>
            </w:tcBorders>
            <w:noWrap w:val="0"/>
            <w:vAlign w:val="center"/>
          </w:tcPr>
          <w:p w14:paraId="0351EBC8">
            <w:pPr>
              <w:spacing w:line="0" w:lineRule="atLeast"/>
              <w:jc w:val="center"/>
              <w:rPr>
                <w:rFonts w:ascii="宋体" w:hAnsi="宋体"/>
                <w:sz w:val="16"/>
                <w:szCs w:val="16"/>
                <w:highlight w:val="none"/>
              </w:rPr>
            </w:pPr>
            <w:r>
              <w:rPr>
                <w:rFonts w:hint="eastAsia" w:ascii="宋体" w:hAnsi="宋体"/>
                <w:sz w:val="16"/>
                <w:szCs w:val="16"/>
                <w:highlight w:val="none"/>
              </w:rPr>
              <w:t>≥200</w:t>
            </w:r>
          </w:p>
        </w:tc>
        <w:tc>
          <w:tcPr>
            <w:tcW w:w="316" w:type="pct"/>
            <w:tcBorders>
              <w:top w:val="nil"/>
              <w:left w:val="nil"/>
              <w:bottom w:val="single" w:color="auto" w:sz="4" w:space="0"/>
              <w:right w:val="single" w:color="auto" w:sz="4" w:space="0"/>
            </w:tcBorders>
            <w:noWrap w:val="0"/>
            <w:vAlign w:val="center"/>
          </w:tcPr>
          <w:p w14:paraId="646FE3C1">
            <w:pPr>
              <w:spacing w:line="0" w:lineRule="atLeast"/>
              <w:jc w:val="center"/>
              <w:rPr>
                <w:rFonts w:ascii="宋体" w:hAnsi="宋体"/>
                <w:sz w:val="16"/>
                <w:szCs w:val="16"/>
                <w:highlight w:val="none"/>
              </w:rPr>
            </w:pPr>
          </w:p>
        </w:tc>
        <w:tc>
          <w:tcPr>
            <w:tcW w:w="367" w:type="pct"/>
            <w:tcBorders>
              <w:top w:val="nil"/>
              <w:left w:val="nil"/>
              <w:bottom w:val="single" w:color="auto" w:sz="4" w:space="0"/>
              <w:right w:val="single" w:color="auto" w:sz="4" w:space="0"/>
            </w:tcBorders>
            <w:noWrap w:val="0"/>
            <w:vAlign w:val="center"/>
          </w:tcPr>
          <w:p w14:paraId="06AAC1CE">
            <w:pPr>
              <w:spacing w:line="0" w:lineRule="atLeast"/>
              <w:jc w:val="center"/>
              <w:rPr>
                <w:rFonts w:ascii="宋体" w:hAnsi="宋体"/>
                <w:sz w:val="16"/>
                <w:szCs w:val="16"/>
                <w:highlight w:val="none"/>
              </w:rPr>
            </w:pPr>
            <w:r>
              <w:rPr>
                <w:rFonts w:hint="eastAsia" w:ascii="宋体" w:hAnsi="宋体"/>
                <w:sz w:val="16"/>
                <w:szCs w:val="16"/>
                <w:highlight w:val="none"/>
              </w:rPr>
              <w:t>≥5000</w:t>
            </w:r>
          </w:p>
        </w:tc>
        <w:tc>
          <w:tcPr>
            <w:tcW w:w="312" w:type="pct"/>
            <w:tcBorders>
              <w:top w:val="nil"/>
              <w:left w:val="nil"/>
              <w:bottom w:val="single" w:color="auto" w:sz="4" w:space="0"/>
              <w:right w:val="single" w:color="auto" w:sz="4" w:space="0"/>
            </w:tcBorders>
            <w:noWrap w:val="0"/>
            <w:vAlign w:val="center"/>
          </w:tcPr>
          <w:p w14:paraId="5E92CD24">
            <w:pPr>
              <w:spacing w:line="0" w:lineRule="atLeast"/>
              <w:jc w:val="center"/>
              <w:rPr>
                <w:rFonts w:ascii="宋体" w:hAnsi="宋体"/>
                <w:sz w:val="16"/>
                <w:szCs w:val="16"/>
                <w:highlight w:val="none"/>
              </w:rPr>
            </w:pPr>
            <w:r>
              <w:rPr>
                <w:rFonts w:hint="eastAsia" w:ascii="宋体" w:hAnsi="宋体"/>
                <w:sz w:val="16"/>
                <w:szCs w:val="16"/>
                <w:highlight w:val="none"/>
              </w:rPr>
              <w:t>≥20</w:t>
            </w:r>
          </w:p>
        </w:tc>
        <w:tc>
          <w:tcPr>
            <w:tcW w:w="335" w:type="pct"/>
            <w:tcBorders>
              <w:top w:val="nil"/>
              <w:left w:val="nil"/>
              <w:bottom w:val="single" w:color="auto" w:sz="4" w:space="0"/>
              <w:right w:val="single" w:color="auto" w:sz="4" w:space="0"/>
            </w:tcBorders>
            <w:noWrap w:val="0"/>
            <w:vAlign w:val="center"/>
          </w:tcPr>
          <w:p w14:paraId="451C994B">
            <w:pPr>
              <w:spacing w:line="0" w:lineRule="atLeast"/>
              <w:jc w:val="center"/>
              <w:rPr>
                <w:rFonts w:ascii="宋体" w:hAnsi="宋体"/>
                <w:sz w:val="16"/>
                <w:szCs w:val="16"/>
                <w:highlight w:val="none"/>
              </w:rPr>
            </w:pPr>
          </w:p>
        </w:tc>
        <w:tc>
          <w:tcPr>
            <w:tcW w:w="367" w:type="pct"/>
            <w:tcBorders>
              <w:top w:val="nil"/>
              <w:left w:val="nil"/>
              <w:bottom w:val="single" w:color="auto" w:sz="4" w:space="0"/>
              <w:right w:val="single" w:color="auto" w:sz="4" w:space="0"/>
            </w:tcBorders>
            <w:noWrap w:val="0"/>
            <w:vAlign w:val="center"/>
          </w:tcPr>
          <w:p w14:paraId="19E3A558">
            <w:pPr>
              <w:spacing w:line="0" w:lineRule="atLeast"/>
              <w:jc w:val="center"/>
              <w:rPr>
                <w:rFonts w:ascii="宋体" w:hAnsi="宋体"/>
                <w:sz w:val="16"/>
                <w:szCs w:val="16"/>
                <w:highlight w:val="none"/>
              </w:rPr>
            </w:pPr>
            <w:r>
              <w:rPr>
                <w:rFonts w:hint="eastAsia" w:ascii="宋体" w:hAnsi="宋体"/>
                <w:sz w:val="16"/>
                <w:szCs w:val="16"/>
                <w:highlight w:val="none"/>
              </w:rPr>
              <w:t>≥1000</w:t>
            </w:r>
          </w:p>
        </w:tc>
        <w:tc>
          <w:tcPr>
            <w:tcW w:w="318" w:type="pct"/>
            <w:tcBorders>
              <w:top w:val="nil"/>
              <w:left w:val="nil"/>
              <w:bottom w:val="single" w:color="auto" w:sz="4" w:space="0"/>
              <w:right w:val="single" w:color="auto" w:sz="4" w:space="0"/>
            </w:tcBorders>
            <w:noWrap w:val="0"/>
            <w:vAlign w:val="center"/>
          </w:tcPr>
          <w:p w14:paraId="345D3368">
            <w:pPr>
              <w:spacing w:line="0" w:lineRule="atLeast"/>
              <w:jc w:val="center"/>
              <w:rPr>
                <w:rFonts w:ascii="宋体" w:hAnsi="宋体"/>
                <w:sz w:val="16"/>
                <w:szCs w:val="16"/>
                <w:highlight w:val="none"/>
              </w:rPr>
            </w:pPr>
            <w:r>
              <w:rPr>
                <w:rFonts w:hint="eastAsia" w:ascii="宋体" w:hAnsi="宋体"/>
                <w:sz w:val="16"/>
                <w:szCs w:val="16"/>
                <w:highlight w:val="none"/>
              </w:rPr>
              <w:t>≥10</w:t>
            </w:r>
          </w:p>
        </w:tc>
        <w:tc>
          <w:tcPr>
            <w:tcW w:w="336" w:type="pct"/>
            <w:tcBorders>
              <w:top w:val="nil"/>
              <w:left w:val="nil"/>
              <w:bottom w:val="single" w:color="auto" w:sz="4" w:space="0"/>
              <w:right w:val="single" w:color="auto" w:sz="4" w:space="0"/>
            </w:tcBorders>
            <w:noWrap w:val="0"/>
            <w:vAlign w:val="center"/>
          </w:tcPr>
          <w:p w14:paraId="24C8B791">
            <w:pPr>
              <w:spacing w:line="0" w:lineRule="atLeast"/>
              <w:jc w:val="center"/>
              <w:rPr>
                <w:rFonts w:ascii="宋体" w:hAnsi="宋体"/>
                <w:sz w:val="16"/>
                <w:szCs w:val="16"/>
                <w:highlight w:val="none"/>
              </w:rPr>
            </w:pPr>
          </w:p>
        </w:tc>
        <w:tc>
          <w:tcPr>
            <w:tcW w:w="367" w:type="pct"/>
            <w:tcBorders>
              <w:top w:val="nil"/>
              <w:left w:val="nil"/>
              <w:bottom w:val="single" w:color="auto" w:sz="4" w:space="0"/>
              <w:right w:val="single" w:color="auto" w:sz="4" w:space="0"/>
            </w:tcBorders>
            <w:noWrap w:val="0"/>
            <w:vAlign w:val="center"/>
          </w:tcPr>
          <w:p w14:paraId="0C4A0936">
            <w:pPr>
              <w:spacing w:line="0" w:lineRule="atLeast"/>
              <w:jc w:val="center"/>
              <w:rPr>
                <w:rFonts w:ascii="宋体" w:hAnsi="宋体"/>
                <w:sz w:val="16"/>
                <w:szCs w:val="16"/>
                <w:highlight w:val="none"/>
              </w:rPr>
            </w:pPr>
            <w:r>
              <w:rPr>
                <w:rFonts w:hint="eastAsia" w:ascii="宋体" w:hAnsi="宋体"/>
                <w:sz w:val="16"/>
                <w:szCs w:val="16"/>
                <w:highlight w:val="none"/>
              </w:rPr>
              <w:t>＜1000</w:t>
            </w:r>
          </w:p>
        </w:tc>
        <w:tc>
          <w:tcPr>
            <w:tcW w:w="292" w:type="pct"/>
            <w:tcBorders>
              <w:top w:val="nil"/>
              <w:left w:val="nil"/>
              <w:bottom w:val="single" w:color="auto" w:sz="4" w:space="0"/>
              <w:right w:val="single" w:color="auto" w:sz="4" w:space="0"/>
            </w:tcBorders>
            <w:noWrap w:val="0"/>
            <w:vAlign w:val="center"/>
          </w:tcPr>
          <w:p w14:paraId="78A54E6A">
            <w:pPr>
              <w:spacing w:line="0" w:lineRule="atLeast"/>
              <w:jc w:val="center"/>
              <w:rPr>
                <w:rFonts w:ascii="宋体" w:hAnsi="宋体"/>
                <w:sz w:val="16"/>
                <w:szCs w:val="16"/>
                <w:highlight w:val="none"/>
              </w:rPr>
            </w:pPr>
            <w:r>
              <w:rPr>
                <w:rFonts w:hint="eastAsia" w:ascii="宋体" w:hAnsi="宋体"/>
                <w:sz w:val="16"/>
                <w:szCs w:val="16"/>
                <w:highlight w:val="none"/>
              </w:rPr>
              <w:t>＜5</w:t>
            </w:r>
          </w:p>
        </w:tc>
        <w:tc>
          <w:tcPr>
            <w:tcW w:w="287" w:type="pct"/>
            <w:tcBorders>
              <w:top w:val="nil"/>
              <w:left w:val="nil"/>
              <w:bottom w:val="single" w:color="auto" w:sz="4" w:space="0"/>
              <w:right w:val="single" w:color="auto" w:sz="4" w:space="0"/>
            </w:tcBorders>
            <w:noWrap w:val="0"/>
            <w:vAlign w:val="center"/>
          </w:tcPr>
          <w:p w14:paraId="7828097E">
            <w:pPr>
              <w:spacing w:line="0" w:lineRule="atLeast"/>
              <w:jc w:val="center"/>
              <w:rPr>
                <w:rFonts w:ascii="宋体" w:hAnsi="宋体"/>
                <w:sz w:val="16"/>
                <w:szCs w:val="16"/>
                <w:highlight w:val="none"/>
              </w:rPr>
            </w:pPr>
          </w:p>
        </w:tc>
      </w:tr>
      <w:tr w14:paraId="7033C2DC">
        <w:tblPrEx>
          <w:tblCellMar>
            <w:top w:w="0" w:type="dxa"/>
            <w:left w:w="108" w:type="dxa"/>
            <w:bottom w:w="0" w:type="dxa"/>
            <w:right w:w="108" w:type="dxa"/>
          </w:tblCellMar>
        </w:tblPrEx>
        <w:trPr>
          <w:trHeight w:val="369" w:hRule="atLeast"/>
          <w:jc w:val="center"/>
        </w:trPr>
        <w:tc>
          <w:tcPr>
            <w:tcW w:w="259" w:type="pct"/>
            <w:tcBorders>
              <w:top w:val="nil"/>
              <w:left w:val="single" w:color="auto" w:sz="4" w:space="0"/>
              <w:bottom w:val="single" w:color="auto" w:sz="4" w:space="0"/>
              <w:right w:val="single" w:color="auto" w:sz="4" w:space="0"/>
            </w:tcBorders>
            <w:noWrap w:val="0"/>
            <w:vAlign w:val="center"/>
          </w:tcPr>
          <w:p w14:paraId="0C237F04">
            <w:pPr>
              <w:spacing w:line="0" w:lineRule="atLeast"/>
              <w:jc w:val="center"/>
              <w:rPr>
                <w:rFonts w:ascii="宋体" w:hAnsi="宋体"/>
                <w:bCs/>
                <w:sz w:val="16"/>
                <w:szCs w:val="16"/>
                <w:highlight w:val="none"/>
              </w:rPr>
            </w:pPr>
            <w:r>
              <w:rPr>
                <w:rFonts w:hint="eastAsia" w:ascii="宋体" w:hAnsi="宋体"/>
                <w:bCs/>
                <w:sz w:val="16"/>
                <w:szCs w:val="16"/>
                <w:highlight w:val="none"/>
              </w:rPr>
              <w:t>5</w:t>
            </w:r>
          </w:p>
        </w:tc>
        <w:tc>
          <w:tcPr>
            <w:tcW w:w="738" w:type="pct"/>
            <w:tcBorders>
              <w:top w:val="nil"/>
              <w:left w:val="nil"/>
              <w:bottom w:val="single" w:color="auto" w:sz="4" w:space="0"/>
              <w:right w:val="single" w:color="auto" w:sz="4" w:space="0"/>
            </w:tcBorders>
            <w:noWrap w:val="0"/>
            <w:vAlign w:val="center"/>
          </w:tcPr>
          <w:p w14:paraId="0EFCD681">
            <w:pPr>
              <w:spacing w:line="0" w:lineRule="atLeast"/>
              <w:jc w:val="center"/>
              <w:rPr>
                <w:rFonts w:ascii="宋体" w:hAnsi="宋体"/>
                <w:bCs/>
                <w:sz w:val="16"/>
                <w:szCs w:val="16"/>
                <w:highlight w:val="none"/>
              </w:rPr>
            </w:pPr>
            <w:r>
              <w:rPr>
                <w:rFonts w:hint="eastAsia" w:ascii="宋体" w:hAnsi="宋体"/>
                <w:bCs/>
                <w:sz w:val="16"/>
                <w:szCs w:val="16"/>
                <w:highlight w:val="none"/>
              </w:rPr>
              <w:t>零售业</w:t>
            </w:r>
          </w:p>
        </w:tc>
        <w:tc>
          <w:tcPr>
            <w:tcW w:w="397" w:type="pct"/>
            <w:tcBorders>
              <w:top w:val="nil"/>
              <w:left w:val="nil"/>
              <w:bottom w:val="single" w:color="auto" w:sz="4" w:space="0"/>
              <w:right w:val="single" w:color="auto" w:sz="4" w:space="0"/>
            </w:tcBorders>
            <w:noWrap w:val="0"/>
            <w:vAlign w:val="center"/>
          </w:tcPr>
          <w:p w14:paraId="6A9FA294">
            <w:pPr>
              <w:spacing w:line="0" w:lineRule="atLeast"/>
              <w:jc w:val="center"/>
              <w:rPr>
                <w:rFonts w:ascii="宋体" w:hAnsi="宋体"/>
                <w:sz w:val="16"/>
                <w:szCs w:val="16"/>
                <w:highlight w:val="none"/>
              </w:rPr>
            </w:pPr>
            <w:r>
              <w:rPr>
                <w:rFonts w:hint="eastAsia" w:ascii="宋体" w:hAnsi="宋体"/>
                <w:sz w:val="16"/>
                <w:szCs w:val="16"/>
                <w:highlight w:val="none"/>
              </w:rPr>
              <w:t>≥20000</w:t>
            </w:r>
          </w:p>
        </w:tc>
        <w:tc>
          <w:tcPr>
            <w:tcW w:w="306" w:type="pct"/>
            <w:tcBorders>
              <w:top w:val="nil"/>
              <w:left w:val="nil"/>
              <w:bottom w:val="single" w:color="auto" w:sz="4" w:space="0"/>
              <w:right w:val="single" w:color="auto" w:sz="4" w:space="0"/>
            </w:tcBorders>
            <w:noWrap w:val="0"/>
            <w:vAlign w:val="center"/>
          </w:tcPr>
          <w:p w14:paraId="72E4261C">
            <w:pPr>
              <w:spacing w:line="0" w:lineRule="atLeast"/>
              <w:jc w:val="center"/>
              <w:rPr>
                <w:rFonts w:ascii="宋体" w:hAnsi="宋体"/>
                <w:sz w:val="16"/>
                <w:szCs w:val="16"/>
                <w:highlight w:val="none"/>
              </w:rPr>
            </w:pPr>
            <w:r>
              <w:rPr>
                <w:rFonts w:hint="eastAsia" w:ascii="宋体" w:hAnsi="宋体"/>
                <w:sz w:val="16"/>
                <w:szCs w:val="16"/>
                <w:highlight w:val="none"/>
              </w:rPr>
              <w:t>≥300</w:t>
            </w:r>
          </w:p>
        </w:tc>
        <w:tc>
          <w:tcPr>
            <w:tcW w:w="316" w:type="pct"/>
            <w:tcBorders>
              <w:top w:val="nil"/>
              <w:left w:val="nil"/>
              <w:bottom w:val="single" w:color="auto" w:sz="4" w:space="0"/>
              <w:right w:val="single" w:color="auto" w:sz="4" w:space="0"/>
            </w:tcBorders>
            <w:noWrap w:val="0"/>
            <w:vAlign w:val="center"/>
          </w:tcPr>
          <w:p w14:paraId="2E1BB330">
            <w:pPr>
              <w:spacing w:line="0" w:lineRule="atLeast"/>
              <w:jc w:val="center"/>
              <w:rPr>
                <w:rFonts w:ascii="宋体" w:hAnsi="宋体"/>
                <w:sz w:val="16"/>
                <w:szCs w:val="16"/>
                <w:highlight w:val="none"/>
              </w:rPr>
            </w:pPr>
          </w:p>
        </w:tc>
        <w:tc>
          <w:tcPr>
            <w:tcW w:w="367" w:type="pct"/>
            <w:tcBorders>
              <w:top w:val="nil"/>
              <w:left w:val="nil"/>
              <w:bottom w:val="single" w:color="auto" w:sz="4" w:space="0"/>
              <w:right w:val="single" w:color="auto" w:sz="4" w:space="0"/>
            </w:tcBorders>
            <w:noWrap w:val="0"/>
            <w:vAlign w:val="center"/>
          </w:tcPr>
          <w:p w14:paraId="451558C4">
            <w:pPr>
              <w:spacing w:line="0" w:lineRule="atLeast"/>
              <w:jc w:val="center"/>
              <w:rPr>
                <w:rFonts w:ascii="宋体" w:hAnsi="宋体"/>
                <w:sz w:val="16"/>
                <w:szCs w:val="16"/>
                <w:highlight w:val="none"/>
              </w:rPr>
            </w:pPr>
            <w:r>
              <w:rPr>
                <w:rFonts w:hint="eastAsia" w:ascii="宋体" w:hAnsi="宋体"/>
                <w:sz w:val="16"/>
                <w:szCs w:val="16"/>
                <w:highlight w:val="none"/>
              </w:rPr>
              <w:t>≥500</w:t>
            </w:r>
          </w:p>
        </w:tc>
        <w:tc>
          <w:tcPr>
            <w:tcW w:w="312" w:type="pct"/>
            <w:tcBorders>
              <w:top w:val="nil"/>
              <w:left w:val="nil"/>
              <w:bottom w:val="single" w:color="auto" w:sz="4" w:space="0"/>
              <w:right w:val="single" w:color="auto" w:sz="4" w:space="0"/>
            </w:tcBorders>
            <w:noWrap w:val="0"/>
            <w:vAlign w:val="center"/>
          </w:tcPr>
          <w:p w14:paraId="0F5615E4">
            <w:pPr>
              <w:spacing w:line="0" w:lineRule="atLeast"/>
              <w:jc w:val="center"/>
              <w:rPr>
                <w:rFonts w:ascii="宋体" w:hAnsi="宋体"/>
                <w:sz w:val="16"/>
                <w:szCs w:val="16"/>
                <w:highlight w:val="none"/>
              </w:rPr>
            </w:pPr>
            <w:r>
              <w:rPr>
                <w:rFonts w:hint="eastAsia" w:ascii="宋体" w:hAnsi="宋体"/>
                <w:sz w:val="16"/>
                <w:szCs w:val="16"/>
                <w:highlight w:val="none"/>
              </w:rPr>
              <w:t>≥50</w:t>
            </w:r>
          </w:p>
        </w:tc>
        <w:tc>
          <w:tcPr>
            <w:tcW w:w="335" w:type="pct"/>
            <w:tcBorders>
              <w:top w:val="nil"/>
              <w:left w:val="nil"/>
              <w:bottom w:val="single" w:color="auto" w:sz="4" w:space="0"/>
              <w:right w:val="single" w:color="auto" w:sz="4" w:space="0"/>
            </w:tcBorders>
            <w:noWrap w:val="0"/>
            <w:vAlign w:val="center"/>
          </w:tcPr>
          <w:p w14:paraId="450BC285">
            <w:pPr>
              <w:spacing w:line="0" w:lineRule="atLeast"/>
              <w:jc w:val="center"/>
              <w:rPr>
                <w:rFonts w:ascii="宋体" w:hAnsi="宋体"/>
                <w:sz w:val="16"/>
                <w:szCs w:val="16"/>
                <w:highlight w:val="none"/>
              </w:rPr>
            </w:pPr>
          </w:p>
        </w:tc>
        <w:tc>
          <w:tcPr>
            <w:tcW w:w="367" w:type="pct"/>
            <w:tcBorders>
              <w:top w:val="nil"/>
              <w:left w:val="nil"/>
              <w:bottom w:val="single" w:color="auto" w:sz="4" w:space="0"/>
              <w:right w:val="single" w:color="auto" w:sz="4" w:space="0"/>
            </w:tcBorders>
            <w:noWrap w:val="0"/>
            <w:vAlign w:val="center"/>
          </w:tcPr>
          <w:p w14:paraId="2728671F">
            <w:pPr>
              <w:spacing w:line="0" w:lineRule="atLeast"/>
              <w:jc w:val="center"/>
              <w:rPr>
                <w:rFonts w:ascii="宋体" w:hAnsi="宋体"/>
                <w:sz w:val="16"/>
                <w:szCs w:val="16"/>
                <w:highlight w:val="none"/>
              </w:rPr>
            </w:pPr>
            <w:r>
              <w:rPr>
                <w:rFonts w:hint="eastAsia" w:ascii="宋体" w:hAnsi="宋体"/>
                <w:sz w:val="16"/>
                <w:szCs w:val="16"/>
                <w:highlight w:val="none"/>
              </w:rPr>
              <w:t>≥100</w:t>
            </w:r>
          </w:p>
        </w:tc>
        <w:tc>
          <w:tcPr>
            <w:tcW w:w="318" w:type="pct"/>
            <w:tcBorders>
              <w:top w:val="nil"/>
              <w:left w:val="nil"/>
              <w:bottom w:val="single" w:color="auto" w:sz="4" w:space="0"/>
              <w:right w:val="single" w:color="auto" w:sz="4" w:space="0"/>
            </w:tcBorders>
            <w:noWrap w:val="0"/>
            <w:vAlign w:val="center"/>
          </w:tcPr>
          <w:p w14:paraId="7C250802">
            <w:pPr>
              <w:spacing w:line="0" w:lineRule="atLeast"/>
              <w:jc w:val="center"/>
              <w:rPr>
                <w:rFonts w:ascii="宋体" w:hAnsi="宋体"/>
                <w:sz w:val="16"/>
                <w:szCs w:val="16"/>
                <w:highlight w:val="none"/>
              </w:rPr>
            </w:pPr>
            <w:r>
              <w:rPr>
                <w:rFonts w:hint="eastAsia" w:ascii="宋体" w:hAnsi="宋体"/>
                <w:sz w:val="16"/>
                <w:szCs w:val="16"/>
                <w:highlight w:val="none"/>
              </w:rPr>
              <w:t>≥10</w:t>
            </w:r>
          </w:p>
        </w:tc>
        <w:tc>
          <w:tcPr>
            <w:tcW w:w="336" w:type="pct"/>
            <w:tcBorders>
              <w:top w:val="nil"/>
              <w:left w:val="nil"/>
              <w:bottom w:val="single" w:color="auto" w:sz="4" w:space="0"/>
              <w:right w:val="single" w:color="auto" w:sz="4" w:space="0"/>
            </w:tcBorders>
            <w:noWrap w:val="0"/>
            <w:vAlign w:val="center"/>
          </w:tcPr>
          <w:p w14:paraId="28C77759">
            <w:pPr>
              <w:spacing w:line="0" w:lineRule="atLeast"/>
              <w:jc w:val="center"/>
              <w:rPr>
                <w:rFonts w:ascii="宋体" w:hAnsi="宋体"/>
                <w:sz w:val="16"/>
                <w:szCs w:val="16"/>
                <w:highlight w:val="none"/>
              </w:rPr>
            </w:pPr>
          </w:p>
        </w:tc>
        <w:tc>
          <w:tcPr>
            <w:tcW w:w="367" w:type="pct"/>
            <w:tcBorders>
              <w:top w:val="nil"/>
              <w:left w:val="nil"/>
              <w:bottom w:val="single" w:color="auto" w:sz="4" w:space="0"/>
              <w:right w:val="single" w:color="auto" w:sz="4" w:space="0"/>
            </w:tcBorders>
            <w:noWrap w:val="0"/>
            <w:vAlign w:val="center"/>
          </w:tcPr>
          <w:p w14:paraId="2478842C">
            <w:pPr>
              <w:spacing w:line="0" w:lineRule="atLeast"/>
              <w:jc w:val="center"/>
              <w:rPr>
                <w:rFonts w:ascii="宋体" w:hAnsi="宋体"/>
                <w:sz w:val="16"/>
                <w:szCs w:val="16"/>
                <w:highlight w:val="none"/>
              </w:rPr>
            </w:pPr>
            <w:r>
              <w:rPr>
                <w:rFonts w:hint="eastAsia" w:ascii="宋体" w:hAnsi="宋体"/>
                <w:sz w:val="16"/>
                <w:szCs w:val="16"/>
                <w:highlight w:val="none"/>
              </w:rPr>
              <w:t>＜100</w:t>
            </w:r>
          </w:p>
        </w:tc>
        <w:tc>
          <w:tcPr>
            <w:tcW w:w="292" w:type="pct"/>
            <w:tcBorders>
              <w:top w:val="nil"/>
              <w:left w:val="nil"/>
              <w:bottom w:val="single" w:color="auto" w:sz="4" w:space="0"/>
              <w:right w:val="single" w:color="auto" w:sz="4" w:space="0"/>
            </w:tcBorders>
            <w:noWrap w:val="0"/>
            <w:vAlign w:val="center"/>
          </w:tcPr>
          <w:p w14:paraId="0EF6878B">
            <w:pPr>
              <w:spacing w:line="0" w:lineRule="atLeast"/>
              <w:jc w:val="center"/>
              <w:rPr>
                <w:rFonts w:ascii="宋体" w:hAnsi="宋体"/>
                <w:sz w:val="16"/>
                <w:szCs w:val="16"/>
                <w:highlight w:val="none"/>
              </w:rPr>
            </w:pPr>
            <w:r>
              <w:rPr>
                <w:rFonts w:hint="eastAsia" w:ascii="宋体" w:hAnsi="宋体"/>
                <w:sz w:val="16"/>
                <w:szCs w:val="16"/>
                <w:highlight w:val="none"/>
              </w:rPr>
              <w:t>＜10</w:t>
            </w:r>
          </w:p>
        </w:tc>
        <w:tc>
          <w:tcPr>
            <w:tcW w:w="287" w:type="pct"/>
            <w:tcBorders>
              <w:top w:val="nil"/>
              <w:left w:val="nil"/>
              <w:bottom w:val="single" w:color="auto" w:sz="4" w:space="0"/>
              <w:right w:val="single" w:color="auto" w:sz="4" w:space="0"/>
            </w:tcBorders>
            <w:noWrap w:val="0"/>
            <w:vAlign w:val="center"/>
          </w:tcPr>
          <w:p w14:paraId="05BA6D53">
            <w:pPr>
              <w:spacing w:line="0" w:lineRule="atLeast"/>
              <w:jc w:val="center"/>
              <w:rPr>
                <w:rFonts w:ascii="宋体" w:hAnsi="宋体"/>
                <w:sz w:val="16"/>
                <w:szCs w:val="16"/>
                <w:highlight w:val="none"/>
              </w:rPr>
            </w:pPr>
          </w:p>
        </w:tc>
      </w:tr>
      <w:tr w14:paraId="4FF8E5F1">
        <w:tblPrEx>
          <w:tblCellMar>
            <w:top w:w="0" w:type="dxa"/>
            <w:left w:w="108" w:type="dxa"/>
            <w:bottom w:w="0" w:type="dxa"/>
            <w:right w:w="108" w:type="dxa"/>
          </w:tblCellMar>
        </w:tblPrEx>
        <w:trPr>
          <w:trHeight w:val="369" w:hRule="atLeast"/>
          <w:jc w:val="center"/>
        </w:trPr>
        <w:tc>
          <w:tcPr>
            <w:tcW w:w="259" w:type="pct"/>
            <w:tcBorders>
              <w:top w:val="nil"/>
              <w:left w:val="single" w:color="auto" w:sz="4" w:space="0"/>
              <w:bottom w:val="single" w:color="auto" w:sz="4" w:space="0"/>
              <w:right w:val="single" w:color="auto" w:sz="4" w:space="0"/>
            </w:tcBorders>
            <w:noWrap w:val="0"/>
            <w:vAlign w:val="center"/>
          </w:tcPr>
          <w:p w14:paraId="714E44C0">
            <w:pPr>
              <w:spacing w:line="0" w:lineRule="atLeast"/>
              <w:jc w:val="center"/>
              <w:rPr>
                <w:rFonts w:ascii="宋体" w:hAnsi="宋体"/>
                <w:bCs/>
                <w:sz w:val="16"/>
                <w:szCs w:val="16"/>
                <w:highlight w:val="none"/>
              </w:rPr>
            </w:pPr>
            <w:r>
              <w:rPr>
                <w:rFonts w:hint="eastAsia" w:ascii="宋体" w:hAnsi="宋体"/>
                <w:bCs/>
                <w:sz w:val="16"/>
                <w:szCs w:val="16"/>
                <w:highlight w:val="none"/>
              </w:rPr>
              <w:t>6</w:t>
            </w:r>
          </w:p>
        </w:tc>
        <w:tc>
          <w:tcPr>
            <w:tcW w:w="738" w:type="pct"/>
            <w:tcBorders>
              <w:top w:val="nil"/>
              <w:left w:val="nil"/>
              <w:bottom w:val="single" w:color="auto" w:sz="4" w:space="0"/>
              <w:right w:val="single" w:color="auto" w:sz="4" w:space="0"/>
            </w:tcBorders>
            <w:noWrap w:val="0"/>
            <w:vAlign w:val="center"/>
          </w:tcPr>
          <w:p w14:paraId="689B6A85">
            <w:pPr>
              <w:spacing w:line="0" w:lineRule="atLeast"/>
              <w:jc w:val="center"/>
              <w:rPr>
                <w:rFonts w:ascii="宋体" w:hAnsi="宋体"/>
                <w:bCs/>
                <w:sz w:val="16"/>
                <w:szCs w:val="16"/>
                <w:highlight w:val="none"/>
              </w:rPr>
            </w:pPr>
            <w:r>
              <w:rPr>
                <w:rFonts w:hint="eastAsia" w:ascii="宋体" w:hAnsi="宋体"/>
                <w:bCs/>
                <w:sz w:val="16"/>
                <w:szCs w:val="16"/>
                <w:highlight w:val="none"/>
              </w:rPr>
              <w:t>交通运输业</w:t>
            </w:r>
          </w:p>
        </w:tc>
        <w:tc>
          <w:tcPr>
            <w:tcW w:w="397" w:type="pct"/>
            <w:tcBorders>
              <w:top w:val="nil"/>
              <w:left w:val="nil"/>
              <w:bottom w:val="single" w:color="auto" w:sz="4" w:space="0"/>
              <w:right w:val="single" w:color="auto" w:sz="4" w:space="0"/>
            </w:tcBorders>
            <w:noWrap w:val="0"/>
            <w:vAlign w:val="center"/>
          </w:tcPr>
          <w:p w14:paraId="3A21FF16">
            <w:pPr>
              <w:spacing w:line="0" w:lineRule="atLeast"/>
              <w:jc w:val="center"/>
              <w:rPr>
                <w:rFonts w:ascii="宋体" w:hAnsi="宋体"/>
                <w:sz w:val="16"/>
                <w:szCs w:val="16"/>
                <w:highlight w:val="none"/>
              </w:rPr>
            </w:pPr>
            <w:r>
              <w:rPr>
                <w:rFonts w:hint="eastAsia" w:ascii="宋体" w:hAnsi="宋体"/>
                <w:sz w:val="16"/>
                <w:szCs w:val="16"/>
                <w:highlight w:val="none"/>
              </w:rPr>
              <w:t>≥30000</w:t>
            </w:r>
          </w:p>
        </w:tc>
        <w:tc>
          <w:tcPr>
            <w:tcW w:w="306" w:type="pct"/>
            <w:tcBorders>
              <w:top w:val="nil"/>
              <w:left w:val="nil"/>
              <w:bottom w:val="single" w:color="auto" w:sz="4" w:space="0"/>
              <w:right w:val="single" w:color="auto" w:sz="4" w:space="0"/>
            </w:tcBorders>
            <w:noWrap w:val="0"/>
            <w:vAlign w:val="center"/>
          </w:tcPr>
          <w:p w14:paraId="793C3086">
            <w:pPr>
              <w:spacing w:line="0" w:lineRule="atLeast"/>
              <w:jc w:val="center"/>
              <w:rPr>
                <w:rFonts w:ascii="宋体" w:hAnsi="宋体"/>
                <w:sz w:val="16"/>
                <w:szCs w:val="16"/>
                <w:highlight w:val="none"/>
              </w:rPr>
            </w:pPr>
            <w:r>
              <w:rPr>
                <w:rFonts w:hint="eastAsia" w:ascii="宋体" w:hAnsi="宋体"/>
                <w:sz w:val="16"/>
                <w:szCs w:val="16"/>
                <w:highlight w:val="none"/>
              </w:rPr>
              <w:t>≥1000</w:t>
            </w:r>
          </w:p>
        </w:tc>
        <w:tc>
          <w:tcPr>
            <w:tcW w:w="316" w:type="pct"/>
            <w:tcBorders>
              <w:top w:val="nil"/>
              <w:left w:val="nil"/>
              <w:bottom w:val="single" w:color="auto" w:sz="4" w:space="0"/>
              <w:right w:val="single" w:color="auto" w:sz="4" w:space="0"/>
            </w:tcBorders>
            <w:noWrap w:val="0"/>
            <w:vAlign w:val="center"/>
          </w:tcPr>
          <w:p w14:paraId="71F029C6">
            <w:pPr>
              <w:spacing w:line="0" w:lineRule="atLeast"/>
              <w:jc w:val="center"/>
              <w:rPr>
                <w:rFonts w:ascii="宋体" w:hAnsi="宋体"/>
                <w:sz w:val="16"/>
                <w:szCs w:val="16"/>
                <w:highlight w:val="none"/>
              </w:rPr>
            </w:pPr>
          </w:p>
        </w:tc>
        <w:tc>
          <w:tcPr>
            <w:tcW w:w="367" w:type="pct"/>
            <w:tcBorders>
              <w:top w:val="nil"/>
              <w:left w:val="nil"/>
              <w:bottom w:val="single" w:color="auto" w:sz="4" w:space="0"/>
              <w:right w:val="single" w:color="auto" w:sz="4" w:space="0"/>
            </w:tcBorders>
            <w:noWrap w:val="0"/>
            <w:vAlign w:val="center"/>
          </w:tcPr>
          <w:p w14:paraId="325F376B">
            <w:pPr>
              <w:spacing w:line="0" w:lineRule="atLeast"/>
              <w:jc w:val="center"/>
              <w:rPr>
                <w:rFonts w:ascii="宋体" w:hAnsi="宋体"/>
                <w:sz w:val="16"/>
                <w:szCs w:val="16"/>
                <w:highlight w:val="none"/>
              </w:rPr>
            </w:pPr>
            <w:r>
              <w:rPr>
                <w:rFonts w:hint="eastAsia" w:ascii="宋体" w:hAnsi="宋体"/>
                <w:sz w:val="16"/>
                <w:szCs w:val="16"/>
                <w:highlight w:val="none"/>
              </w:rPr>
              <w:t>≥3000</w:t>
            </w:r>
          </w:p>
        </w:tc>
        <w:tc>
          <w:tcPr>
            <w:tcW w:w="312" w:type="pct"/>
            <w:tcBorders>
              <w:top w:val="nil"/>
              <w:left w:val="nil"/>
              <w:bottom w:val="single" w:color="auto" w:sz="4" w:space="0"/>
              <w:right w:val="single" w:color="auto" w:sz="4" w:space="0"/>
            </w:tcBorders>
            <w:noWrap w:val="0"/>
            <w:vAlign w:val="center"/>
          </w:tcPr>
          <w:p w14:paraId="79E40B5C">
            <w:pPr>
              <w:spacing w:line="0" w:lineRule="atLeast"/>
              <w:jc w:val="center"/>
              <w:rPr>
                <w:rFonts w:ascii="宋体" w:hAnsi="宋体"/>
                <w:sz w:val="16"/>
                <w:szCs w:val="16"/>
                <w:highlight w:val="none"/>
              </w:rPr>
            </w:pPr>
            <w:r>
              <w:rPr>
                <w:rFonts w:hint="eastAsia" w:ascii="宋体" w:hAnsi="宋体"/>
                <w:sz w:val="16"/>
                <w:szCs w:val="16"/>
                <w:highlight w:val="none"/>
              </w:rPr>
              <w:t>≥300</w:t>
            </w:r>
          </w:p>
        </w:tc>
        <w:tc>
          <w:tcPr>
            <w:tcW w:w="335" w:type="pct"/>
            <w:tcBorders>
              <w:top w:val="nil"/>
              <w:left w:val="nil"/>
              <w:bottom w:val="single" w:color="auto" w:sz="4" w:space="0"/>
              <w:right w:val="single" w:color="auto" w:sz="4" w:space="0"/>
            </w:tcBorders>
            <w:noWrap w:val="0"/>
            <w:vAlign w:val="center"/>
          </w:tcPr>
          <w:p w14:paraId="441EFE28">
            <w:pPr>
              <w:spacing w:line="0" w:lineRule="atLeast"/>
              <w:jc w:val="center"/>
              <w:rPr>
                <w:rFonts w:ascii="宋体" w:hAnsi="宋体"/>
                <w:sz w:val="16"/>
                <w:szCs w:val="16"/>
                <w:highlight w:val="none"/>
              </w:rPr>
            </w:pPr>
          </w:p>
        </w:tc>
        <w:tc>
          <w:tcPr>
            <w:tcW w:w="367" w:type="pct"/>
            <w:tcBorders>
              <w:top w:val="nil"/>
              <w:left w:val="nil"/>
              <w:bottom w:val="single" w:color="auto" w:sz="4" w:space="0"/>
              <w:right w:val="single" w:color="auto" w:sz="4" w:space="0"/>
            </w:tcBorders>
            <w:noWrap w:val="0"/>
            <w:vAlign w:val="center"/>
          </w:tcPr>
          <w:p w14:paraId="5257C148">
            <w:pPr>
              <w:spacing w:line="0" w:lineRule="atLeast"/>
              <w:jc w:val="center"/>
              <w:rPr>
                <w:rFonts w:ascii="宋体" w:hAnsi="宋体"/>
                <w:sz w:val="16"/>
                <w:szCs w:val="16"/>
                <w:highlight w:val="none"/>
              </w:rPr>
            </w:pPr>
            <w:r>
              <w:rPr>
                <w:rFonts w:hint="eastAsia" w:ascii="宋体" w:hAnsi="宋体"/>
                <w:sz w:val="16"/>
                <w:szCs w:val="16"/>
                <w:highlight w:val="none"/>
              </w:rPr>
              <w:t>≥200</w:t>
            </w:r>
          </w:p>
        </w:tc>
        <w:tc>
          <w:tcPr>
            <w:tcW w:w="318" w:type="pct"/>
            <w:tcBorders>
              <w:top w:val="nil"/>
              <w:left w:val="nil"/>
              <w:bottom w:val="single" w:color="auto" w:sz="4" w:space="0"/>
              <w:right w:val="single" w:color="auto" w:sz="4" w:space="0"/>
            </w:tcBorders>
            <w:noWrap w:val="0"/>
            <w:vAlign w:val="center"/>
          </w:tcPr>
          <w:p w14:paraId="2F41FEF5">
            <w:pPr>
              <w:spacing w:line="0" w:lineRule="atLeast"/>
              <w:jc w:val="center"/>
              <w:rPr>
                <w:rFonts w:ascii="宋体" w:hAnsi="宋体"/>
                <w:sz w:val="16"/>
                <w:szCs w:val="16"/>
                <w:highlight w:val="none"/>
              </w:rPr>
            </w:pPr>
            <w:r>
              <w:rPr>
                <w:rFonts w:hint="eastAsia" w:ascii="宋体" w:hAnsi="宋体"/>
                <w:sz w:val="16"/>
                <w:szCs w:val="16"/>
                <w:highlight w:val="none"/>
              </w:rPr>
              <w:t>≥20</w:t>
            </w:r>
          </w:p>
        </w:tc>
        <w:tc>
          <w:tcPr>
            <w:tcW w:w="336" w:type="pct"/>
            <w:tcBorders>
              <w:top w:val="nil"/>
              <w:left w:val="nil"/>
              <w:bottom w:val="single" w:color="auto" w:sz="4" w:space="0"/>
              <w:right w:val="single" w:color="auto" w:sz="4" w:space="0"/>
            </w:tcBorders>
            <w:noWrap w:val="0"/>
            <w:vAlign w:val="center"/>
          </w:tcPr>
          <w:p w14:paraId="2698F043">
            <w:pPr>
              <w:spacing w:line="0" w:lineRule="atLeast"/>
              <w:jc w:val="center"/>
              <w:rPr>
                <w:rFonts w:ascii="宋体" w:hAnsi="宋体"/>
                <w:sz w:val="16"/>
                <w:szCs w:val="16"/>
                <w:highlight w:val="none"/>
              </w:rPr>
            </w:pPr>
          </w:p>
        </w:tc>
        <w:tc>
          <w:tcPr>
            <w:tcW w:w="367" w:type="pct"/>
            <w:tcBorders>
              <w:top w:val="nil"/>
              <w:left w:val="nil"/>
              <w:bottom w:val="single" w:color="auto" w:sz="4" w:space="0"/>
              <w:right w:val="single" w:color="auto" w:sz="4" w:space="0"/>
            </w:tcBorders>
            <w:noWrap w:val="0"/>
            <w:vAlign w:val="center"/>
          </w:tcPr>
          <w:p w14:paraId="6876CE22">
            <w:pPr>
              <w:spacing w:line="0" w:lineRule="atLeast"/>
              <w:jc w:val="center"/>
              <w:rPr>
                <w:rFonts w:ascii="宋体" w:hAnsi="宋体"/>
                <w:sz w:val="16"/>
                <w:szCs w:val="16"/>
                <w:highlight w:val="none"/>
              </w:rPr>
            </w:pPr>
            <w:r>
              <w:rPr>
                <w:rFonts w:hint="eastAsia" w:ascii="宋体" w:hAnsi="宋体"/>
                <w:sz w:val="16"/>
                <w:szCs w:val="16"/>
                <w:highlight w:val="none"/>
              </w:rPr>
              <w:t>＜200</w:t>
            </w:r>
          </w:p>
        </w:tc>
        <w:tc>
          <w:tcPr>
            <w:tcW w:w="292" w:type="pct"/>
            <w:tcBorders>
              <w:top w:val="nil"/>
              <w:left w:val="nil"/>
              <w:bottom w:val="single" w:color="auto" w:sz="4" w:space="0"/>
              <w:right w:val="single" w:color="auto" w:sz="4" w:space="0"/>
            </w:tcBorders>
            <w:noWrap w:val="0"/>
            <w:vAlign w:val="center"/>
          </w:tcPr>
          <w:p w14:paraId="6F8093A7">
            <w:pPr>
              <w:spacing w:line="0" w:lineRule="atLeast"/>
              <w:jc w:val="center"/>
              <w:rPr>
                <w:rFonts w:ascii="宋体" w:hAnsi="宋体"/>
                <w:sz w:val="16"/>
                <w:szCs w:val="16"/>
                <w:highlight w:val="none"/>
              </w:rPr>
            </w:pPr>
            <w:r>
              <w:rPr>
                <w:rFonts w:hint="eastAsia" w:ascii="宋体" w:hAnsi="宋体"/>
                <w:sz w:val="16"/>
                <w:szCs w:val="16"/>
                <w:highlight w:val="none"/>
              </w:rPr>
              <w:t>＜20</w:t>
            </w:r>
          </w:p>
        </w:tc>
        <w:tc>
          <w:tcPr>
            <w:tcW w:w="287" w:type="pct"/>
            <w:tcBorders>
              <w:top w:val="nil"/>
              <w:left w:val="nil"/>
              <w:bottom w:val="single" w:color="auto" w:sz="4" w:space="0"/>
              <w:right w:val="single" w:color="auto" w:sz="4" w:space="0"/>
            </w:tcBorders>
            <w:noWrap w:val="0"/>
            <w:vAlign w:val="center"/>
          </w:tcPr>
          <w:p w14:paraId="4686E768">
            <w:pPr>
              <w:spacing w:line="0" w:lineRule="atLeast"/>
              <w:jc w:val="center"/>
              <w:rPr>
                <w:rFonts w:ascii="宋体" w:hAnsi="宋体"/>
                <w:sz w:val="16"/>
                <w:szCs w:val="16"/>
                <w:highlight w:val="none"/>
              </w:rPr>
            </w:pPr>
          </w:p>
        </w:tc>
      </w:tr>
      <w:tr w14:paraId="707E9739">
        <w:tblPrEx>
          <w:tblCellMar>
            <w:top w:w="0" w:type="dxa"/>
            <w:left w:w="108" w:type="dxa"/>
            <w:bottom w:w="0" w:type="dxa"/>
            <w:right w:w="108" w:type="dxa"/>
          </w:tblCellMar>
        </w:tblPrEx>
        <w:trPr>
          <w:trHeight w:val="369" w:hRule="atLeast"/>
          <w:jc w:val="center"/>
        </w:trPr>
        <w:tc>
          <w:tcPr>
            <w:tcW w:w="259" w:type="pct"/>
            <w:tcBorders>
              <w:top w:val="nil"/>
              <w:left w:val="single" w:color="auto" w:sz="4" w:space="0"/>
              <w:bottom w:val="single" w:color="auto" w:sz="4" w:space="0"/>
              <w:right w:val="single" w:color="auto" w:sz="4" w:space="0"/>
            </w:tcBorders>
            <w:noWrap w:val="0"/>
            <w:vAlign w:val="center"/>
          </w:tcPr>
          <w:p w14:paraId="7736D640">
            <w:pPr>
              <w:spacing w:line="0" w:lineRule="atLeast"/>
              <w:jc w:val="center"/>
              <w:rPr>
                <w:rFonts w:ascii="宋体" w:hAnsi="宋体"/>
                <w:bCs/>
                <w:sz w:val="16"/>
                <w:szCs w:val="16"/>
                <w:highlight w:val="none"/>
              </w:rPr>
            </w:pPr>
            <w:r>
              <w:rPr>
                <w:rFonts w:hint="eastAsia" w:ascii="宋体" w:hAnsi="宋体"/>
                <w:bCs/>
                <w:sz w:val="16"/>
                <w:szCs w:val="16"/>
                <w:highlight w:val="none"/>
              </w:rPr>
              <w:t>7</w:t>
            </w:r>
          </w:p>
        </w:tc>
        <w:tc>
          <w:tcPr>
            <w:tcW w:w="738" w:type="pct"/>
            <w:tcBorders>
              <w:top w:val="nil"/>
              <w:left w:val="nil"/>
              <w:bottom w:val="single" w:color="auto" w:sz="4" w:space="0"/>
              <w:right w:val="single" w:color="auto" w:sz="4" w:space="0"/>
            </w:tcBorders>
            <w:noWrap w:val="0"/>
            <w:vAlign w:val="center"/>
          </w:tcPr>
          <w:p w14:paraId="02F363AC">
            <w:pPr>
              <w:spacing w:line="0" w:lineRule="atLeast"/>
              <w:jc w:val="center"/>
              <w:rPr>
                <w:rFonts w:ascii="宋体" w:hAnsi="宋体"/>
                <w:bCs/>
                <w:sz w:val="16"/>
                <w:szCs w:val="16"/>
                <w:highlight w:val="none"/>
              </w:rPr>
            </w:pPr>
            <w:r>
              <w:rPr>
                <w:rFonts w:hint="eastAsia" w:ascii="宋体" w:hAnsi="宋体"/>
                <w:bCs/>
                <w:sz w:val="16"/>
                <w:szCs w:val="16"/>
                <w:highlight w:val="none"/>
              </w:rPr>
              <w:t>仓储业</w:t>
            </w:r>
          </w:p>
        </w:tc>
        <w:tc>
          <w:tcPr>
            <w:tcW w:w="397" w:type="pct"/>
            <w:tcBorders>
              <w:top w:val="nil"/>
              <w:left w:val="nil"/>
              <w:bottom w:val="single" w:color="auto" w:sz="4" w:space="0"/>
              <w:right w:val="single" w:color="auto" w:sz="4" w:space="0"/>
            </w:tcBorders>
            <w:noWrap w:val="0"/>
            <w:vAlign w:val="center"/>
          </w:tcPr>
          <w:p w14:paraId="61B2578F">
            <w:pPr>
              <w:spacing w:line="0" w:lineRule="atLeast"/>
              <w:jc w:val="center"/>
              <w:rPr>
                <w:rFonts w:ascii="宋体" w:hAnsi="宋体"/>
                <w:sz w:val="16"/>
                <w:szCs w:val="16"/>
                <w:highlight w:val="none"/>
              </w:rPr>
            </w:pPr>
            <w:r>
              <w:rPr>
                <w:rFonts w:hint="eastAsia" w:ascii="宋体" w:hAnsi="宋体"/>
                <w:sz w:val="16"/>
                <w:szCs w:val="16"/>
                <w:highlight w:val="none"/>
              </w:rPr>
              <w:t>≥30000</w:t>
            </w:r>
          </w:p>
        </w:tc>
        <w:tc>
          <w:tcPr>
            <w:tcW w:w="306" w:type="pct"/>
            <w:tcBorders>
              <w:top w:val="nil"/>
              <w:left w:val="nil"/>
              <w:bottom w:val="single" w:color="auto" w:sz="4" w:space="0"/>
              <w:right w:val="single" w:color="auto" w:sz="4" w:space="0"/>
            </w:tcBorders>
            <w:noWrap w:val="0"/>
            <w:vAlign w:val="center"/>
          </w:tcPr>
          <w:p w14:paraId="661BF5CB">
            <w:pPr>
              <w:spacing w:line="0" w:lineRule="atLeast"/>
              <w:jc w:val="center"/>
              <w:rPr>
                <w:rFonts w:ascii="宋体" w:hAnsi="宋体"/>
                <w:sz w:val="16"/>
                <w:szCs w:val="16"/>
                <w:highlight w:val="none"/>
              </w:rPr>
            </w:pPr>
            <w:r>
              <w:rPr>
                <w:rFonts w:hint="eastAsia" w:ascii="宋体" w:hAnsi="宋体"/>
                <w:sz w:val="16"/>
                <w:szCs w:val="16"/>
                <w:highlight w:val="none"/>
              </w:rPr>
              <w:t>≥200</w:t>
            </w:r>
          </w:p>
        </w:tc>
        <w:tc>
          <w:tcPr>
            <w:tcW w:w="316" w:type="pct"/>
            <w:tcBorders>
              <w:top w:val="nil"/>
              <w:left w:val="nil"/>
              <w:bottom w:val="single" w:color="auto" w:sz="4" w:space="0"/>
              <w:right w:val="single" w:color="auto" w:sz="4" w:space="0"/>
            </w:tcBorders>
            <w:noWrap w:val="0"/>
            <w:vAlign w:val="center"/>
          </w:tcPr>
          <w:p w14:paraId="218284E3">
            <w:pPr>
              <w:spacing w:line="0" w:lineRule="atLeast"/>
              <w:jc w:val="center"/>
              <w:rPr>
                <w:rFonts w:ascii="宋体" w:hAnsi="宋体"/>
                <w:sz w:val="16"/>
                <w:szCs w:val="16"/>
                <w:highlight w:val="none"/>
              </w:rPr>
            </w:pPr>
          </w:p>
        </w:tc>
        <w:tc>
          <w:tcPr>
            <w:tcW w:w="367" w:type="pct"/>
            <w:tcBorders>
              <w:top w:val="nil"/>
              <w:left w:val="nil"/>
              <w:bottom w:val="single" w:color="auto" w:sz="4" w:space="0"/>
              <w:right w:val="single" w:color="auto" w:sz="4" w:space="0"/>
            </w:tcBorders>
            <w:noWrap w:val="0"/>
            <w:vAlign w:val="center"/>
          </w:tcPr>
          <w:p w14:paraId="5133A921">
            <w:pPr>
              <w:spacing w:line="0" w:lineRule="atLeast"/>
              <w:jc w:val="center"/>
              <w:rPr>
                <w:rFonts w:ascii="宋体" w:hAnsi="宋体"/>
                <w:sz w:val="16"/>
                <w:szCs w:val="16"/>
                <w:highlight w:val="none"/>
              </w:rPr>
            </w:pPr>
            <w:r>
              <w:rPr>
                <w:rFonts w:hint="eastAsia" w:ascii="宋体" w:hAnsi="宋体"/>
                <w:sz w:val="16"/>
                <w:szCs w:val="16"/>
                <w:highlight w:val="none"/>
              </w:rPr>
              <w:t>≥1000</w:t>
            </w:r>
          </w:p>
        </w:tc>
        <w:tc>
          <w:tcPr>
            <w:tcW w:w="312" w:type="pct"/>
            <w:tcBorders>
              <w:top w:val="nil"/>
              <w:left w:val="nil"/>
              <w:bottom w:val="single" w:color="auto" w:sz="4" w:space="0"/>
              <w:right w:val="single" w:color="auto" w:sz="4" w:space="0"/>
            </w:tcBorders>
            <w:noWrap w:val="0"/>
            <w:vAlign w:val="center"/>
          </w:tcPr>
          <w:p w14:paraId="20FDBE91">
            <w:pPr>
              <w:spacing w:line="0" w:lineRule="atLeast"/>
              <w:jc w:val="center"/>
              <w:rPr>
                <w:rFonts w:ascii="宋体" w:hAnsi="宋体"/>
                <w:sz w:val="16"/>
                <w:szCs w:val="16"/>
                <w:highlight w:val="none"/>
              </w:rPr>
            </w:pPr>
            <w:r>
              <w:rPr>
                <w:rFonts w:hint="eastAsia" w:ascii="宋体" w:hAnsi="宋体"/>
                <w:sz w:val="16"/>
                <w:szCs w:val="16"/>
                <w:highlight w:val="none"/>
              </w:rPr>
              <w:t>≥100</w:t>
            </w:r>
          </w:p>
        </w:tc>
        <w:tc>
          <w:tcPr>
            <w:tcW w:w="335" w:type="pct"/>
            <w:tcBorders>
              <w:top w:val="nil"/>
              <w:left w:val="nil"/>
              <w:bottom w:val="single" w:color="auto" w:sz="4" w:space="0"/>
              <w:right w:val="single" w:color="auto" w:sz="4" w:space="0"/>
            </w:tcBorders>
            <w:noWrap w:val="0"/>
            <w:vAlign w:val="center"/>
          </w:tcPr>
          <w:p w14:paraId="5D5B463B">
            <w:pPr>
              <w:spacing w:line="0" w:lineRule="atLeast"/>
              <w:jc w:val="center"/>
              <w:rPr>
                <w:rFonts w:ascii="宋体" w:hAnsi="宋体"/>
                <w:sz w:val="16"/>
                <w:szCs w:val="16"/>
                <w:highlight w:val="none"/>
              </w:rPr>
            </w:pPr>
          </w:p>
        </w:tc>
        <w:tc>
          <w:tcPr>
            <w:tcW w:w="367" w:type="pct"/>
            <w:tcBorders>
              <w:top w:val="nil"/>
              <w:left w:val="nil"/>
              <w:bottom w:val="single" w:color="auto" w:sz="4" w:space="0"/>
              <w:right w:val="single" w:color="auto" w:sz="4" w:space="0"/>
            </w:tcBorders>
            <w:noWrap w:val="0"/>
            <w:vAlign w:val="center"/>
          </w:tcPr>
          <w:p w14:paraId="5DEDA425">
            <w:pPr>
              <w:spacing w:line="0" w:lineRule="atLeast"/>
              <w:jc w:val="center"/>
              <w:rPr>
                <w:rFonts w:ascii="宋体" w:hAnsi="宋体"/>
                <w:sz w:val="16"/>
                <w:szCs w:val="16"/>
                <w:highlight w:val="none"/>
              </w:rPr>
            </w:pPr>
            <w:r>
              <w:rPr>
                <w:rFonts w:hint="eastAsia" w:ascii="宋体" w:hAnsi="宋体"/>
                <w:sz w:val="16"/>
                <w:szCs w:val="16"/>
                <w:highlight w:val="none"/>
              </w:rPr>
              <w:t>≥100</w:t>
            </w:r>
          </w:p>
        </w:tc>
        <w:tc>
          <w:tcPr>
            <w:tcW w:w="318" w:type="pct"/>
            <w:tcBorders>
              <w:top w:val="nil"/>
              <w:left w:val="nil"/>
              <w:bottom w:val="single" w:color="auto" w:sz="4" w:space="0"/>
              <w:right w:val="single" w:color="auto" w:sz="4" w:space="0"/>
            </w:tcBorders>
            <w:noWrap w:val="0"/>
            <w:vAlign w:val="center"/>
          </w:tcPr>
          <w:p w14:paraId="2BE5EAAD">
            <w:pPr>
              <w:spacing w:line="0" w:lineRule="atLeast"/>
              <w:jc w:val="center"/>
              <w:rPr>
                <w:rFonts w:ascii="宋体" w:hAnsi="宋体"/>
                <w:sz w:val="16"/>
                <w:szCs w:val="16"/>
                <w:highlight w:val="none"/>
              </w:rPr>
            </w:pPr>
            <w:r>
              <w:rPr>
                <w:rFonts w:hint="eastAsia" w:ascii="宋体" w:hAnsi="宋体"/>
                <w:sz w:val="16"/>
                <w:szCs w:val="16"/>
                <w:highlight w:val="none"/>
              </w:rPr>
              <w:t>≥20</w:t>
            </w:r>
          </w:p>
        </w:tc>
        <w:tc>
          <w:tcPr>
            <w:tcW w:w="336" w:type="pct"/>
            <w:tcBorders>
              <w:top w:val="nil"/>
              <w:left w:val="nil"/>
              <w:bottom w:val="single" w:color="auto" w:sz="4" w:space="0"/>
              <w:right w:val="single" w:color="auto" w:sz="4" w:space="0"/>
            </w:tcBorders>
            <w:noWrap w:val="0"/>
            <w:vAlign w:val="center"/>
          </w:tcPr>
          <w:p w14:paraId="7B3B2618">
            <w:pPr>
              <w:spacing w:line="0" w:lineRule="atLeast"/>
              <w:jc w:val="center"/>
              <w:rPr>
                <w:rFonts w:ascii="宋体" w:hAnsi="宋体"/>
                <w:sz w:val="16"/>
                <w:szCs w:val="16"/>
                <w:highlight w:val="none"/>
              </w:rPr>
            </w:pPr>
          </w:p>
        </w:tc>
        <w:tc>
          <w:tcPr>
            <w:tcW w:w="367" w:type="pct"/>
            <w:tcBorders>
              <w:top w:val="nil"/>
              <w:left w:val="nil"/>
              <w:bottom w:val="single" w:color="auto" w:sz="4" w:space="0"/>
              <w:right w:val="single" w:color="auto" w:sz="4" w:space="0"/>
            </w:tcBorders>
            <w:noWrap w:val="0"/>
            <w:vAlign w:val="center"/>
          </w:tcPr>
          <w:p w14:paraId="45B10771">
            <w:pPr>
              <w:spacing w:line="0" w:lineRule="atLeast"/>
              <w:jc w:val="center"/>
              <w:rPr>
                <w:rFonts w:ascii="宋体" w:hAnsi="宋体"/>
                <w:sz w:val="16"/>
                <w:szCs w:val="16"/>
                <w:highlight w:val="none"/>
              </w:rPr>
            </w:pPr>
            <w:r>
              <w:rPr>
                <w:rFonts w:hint="eastAsia" w:ascii="宋体" w:hAnsi="宋体"/>
                <w:sz w:val="16"/>
                <w:szCs w:val="16"/>
                <w:highlight w:val="none"/>
              </w:rPr>
              <w:t>＜100</w:t>
            </w:r>
          </w:p>
        </w:tc>
        <w:tc>
          <w:tcPr>
            <w:tcW w:w="292" w:type="pct"/>
            <w:tcBorders>
              <w:top w:val="nil"/>
              <w:left w:val="nil"/>
              <w:bottom w:val="single" w:color="auto" w:sz="4" w:space="0"/>
              <w:right w:val="single" w:color="auto" w:sz="4" w:space="0"/>
            </w:tcBorders>
            <w:noWrap w:val="0"/>
            <w:vAlign w:val="center"/>
          </w:tcPr>
          <w:p w14:paraId="2BB91021">
            <w:pPr>
              <w:spacing w:line="0" w:lineRule="atLeast"/>
              <w:jc w:val="center"/>
              <w:rPr>
                <w:rFonts w:ascii="宋体" w:hAnsi="宋体"/>
                <w:sz w:val="16"/>
                <w:szCs w:val="16"/>
                <w:highlight w:val="none"/>
              </w:rPr>
            </w:pPr>
            <w:r>
              <w:rPr>
                <w:rFonts w:hint="eastAsia" w:ascii="宋体" w:hAnsi="宋体"/>
                <w:sz w:val="16"/>
                <w:szCs w:val="16"/>
                <w:highlight w:val="none"/>
              </w:rPr>
              <w:t>＜20</w:t>
            </w:r>
          </w:p>
        </w:tc>
        <w:tc>
          <w:tcPr>
            <w:tcW w:w="287" w:type="pct"/>
            <w:tcBorders>
              <w:top w:val="nil"/>
              <w:left w:val="nil"/>
              <w:bottom w:val="single" w:color="auto" w:sz="4" w:space="0"/>
              <w:right w:val="single" w:color="auto" w:sz="4" w:space="0"/>
            </w:tcBorders>
            <w:noWrap w:val="0"/>
            <w:vAlign w:val="center"/>
          </w:tcPr>
          <w:p w14:paraId="424771DB">
            <w:pPr>
              <w:spacing w:line="0" w:lineRule="atLeast"/>
              <w:jc w:val="center"/>
              <w:rPr>
                <w:rFonts w:ascii="宋体" w:hAnsi="宋体"/>
                <w:sz w:val="16"/>
                <w:szCs w:val="16"/>
                <w:highlight w:val="none"/>
              </w:rPr>
            </w:pPr>
          </w:p>
        </w:tc>
      </w:tr>
      <w:tr w14:paraId="7A78E3B0">
        <w:tblPrEx>
          <w:tblCellMar>
            <w:top w:w="0" w:type="dxa"/>
            <w:left w:w="108" w:type="dxa"/>
            <w:bottom w:w="0" w:type="dxa"/>
            <w:right w:w="108" w:type="dxa"/>
          </w:tblCellMar>
        </w:tblPrEx>
        <w:trPr>
          <w:trHeight w:val="369" w:hRule="atLeast"/>
          <w:jc w:val="center"/>
        </w:trPr>
        <w:tc>
          <w:tcPr>
            <w:tcW w:w="259" w:type="pct"/>
            <w:tcBorders>
              <w:top w:val="nil"/>
              <w:left w:val="single" w:color="auto" w:sz="4" w:space="0"/>
              <w:bottom w:val="single" w:color="auto" w:sz="4" w:space="0"/>
              <w:right w:val="single" w:color="auto" w:sz="4" w:space="0"/>
            </w:tcBorders>
            <w:noWrap w:val="0"/>
            <w:vAlign w:val="center"/>
          </w:tcPr>
          <w:p w14:paraId="25B361D4">
            <w:pPr>
              <w:spacing w:line="0" w:lineRule="atLeast"/>
              <w:jc w:val="center"/>
              <w:rPr>
                <w:rFonts w:ascii="宋体" w:hAnsi="宋体"/>
                <w:bCs/>
                <w:sz w:val="16"/>
                <w:szCs w:val="16"/>
                <w:highlight w:val="none"/>
              </w:rPr>
            </w:pPr>
            <w:r>
              <w:rPr>
                <w:rFonts w:hint="eastAsia" w:ascii="宋体" w:hAnsi="宋体"/>
                <w:bCs/>
                <w:sz w:val="16"/>
                <w:szCs w:val="16"/>
                <w:highlight w:val="none"/>
              </w:rPr>
              <w:t>8</w:t>
            </w:r>
          </w:p>
        </w:tc>
        <w:tc>
          <w:tcPr>
            <w:tcW w:w="738" w:type="pct"/>
            <w:tcBorders>
              <w:top w:val="nil"/>
              <w:left w:val="nil"/>
              <w:bottom w:val="single" w:color="auto" w:sz="4" w:space="0"/>
              <w:right w:val="single" w:color="auto" w:sz="4" w:space="0"/>
            </w:tcBorders>
            <w:noWrap w:val="0"/>
            <w:vAlign w:val="center"/>
          </w:tcPr>
          <w:p w14:paraId="5FFBEA49">
            <w:pPr>
              <w:spacing w:line="0" w:lineRule="atLeast"/>
              <w:jc w:val="center"/>
              <w:rPr>
                <w:rFonts w:ascii="宋体" w:hAnsi="宋体"/>
                <w:bCs/>
                <w:sz w:val="16"/>
                <w:szCs w:val="16"/>
                <w:highlight w:val="none"/>
              </w:rPr>
            </w:pPr>
            <w:r>
              <w:rPr>
                <w:rFonts w:hint="eastAsia" w:ascii="宋体" w:hAnsi="宋体"/>
                <w:bCs/>
                <w:sz w:val="16"/>
                <w:szCs w:val="16"/>
                <w:highlight w:val="none"/>
              </w:rPr>
              <w:t>邮政业</w:t>
            </w:r>
          </w:p>
        </w:tc>
        <w:tc>
          <w:tcPr>
            <w:tcW w:w="397" w:type="pct"/>
            <w:tcBorders>
              <w:top w:val="nil"/>
              <w:left w:val="nil"/>
              <w:bottom w:val="single" w:color="auto" w:sz="4" w:space="0"/>
              <w:right w:val="single" w:color="auto" w:sz="4" w:space="0"/>
            </w:tcBorders>
            <w:noWrap w:val="0"/>
            <w:vAlign w:val="center"/>
          </w:tcPr>
          <w:p w14:paraId="3CF5E57D">
            <w:pPr>
              <w:spacing w:line="0" w:lineRule="atLeast"/>
              <w:jc w:val="center"/>
              <w:rPr>
                <w:rFonts w:ascii="宋体" w:hAnsi="宋体"/>
                <w:sz w:val="16"/>
                <w:szCs w:val="16"/>
                <w:highlight w:val="none"/>
              </w:rPr>
            </w:pPr>
            <w:r>
              <w:rPr>
                <w:rFonts w:hint="eastAsia" w:ascii="宋体" w:hAnsi="宋体"/>
                <w:sz w:val="16"/>
                <w:szCs w:val="16"/>
                <w:highlight w:val="none"/>
              </w:rPr>
              <w:t>≥30000</w:t>
            </w:r>
          </w:p>
        </w:tc>
        <w:tc>
          <w:tcPr>
            <w:tcW w:w="306" w:type="pct"/>
            <w:tcBorders>
              <w:top w:val="nil"/>
              <w:left w:val="nil"/>
              <w:bottom w:val="single" w:color="auto" w:sz="4" w:space="0"/>
              <w:right w:val="single" w:color="auto" w:sz="4" w:space="0"/>
            </w:tcBorders>
            <w:noWrap w:val="0"/>
            <w:vAlign w:val="center"/>
          </w:tcPr>
          <w:p w14:paraId="30BAFABE">
            <w:pPr>
              <w:spacing w:line="0" w:lineRule="atLeast"/>
              <w:jc w:val="center"/>
              <w:rPr>
                <w:rFonts w:ascii="宋体" w:hAnsi="宋体"/>
                <w:sz w:val="16"/>
                <w:szCs w:val="16"/>
                <w:highlight w:val="none"/>
              </w:rPr>
            </w:pPr>
            <w:r>
              <w:rPr>
                <w:rFonts w:hint="eastAsia" w:ascii="宋体" w:hAnsi="宋体"/>
                <w:sz w:val="16"/>
                <w:szCs w:val="16"/>
                <w:highlight w:val="none"/>
              </w:rPr>
              <w:t>≥1000</w:t>
            </w:r>
          </w:p>
        </w:tc>
        <w:tc>
          <w:tcPr>
            <w:tcW w:w="316" w:type="pct"/>
            <w:tcBorders>
              <w:top w:val="nil"/>
              <w:left w:val="nil"/>
              <w:bottom w:val="single" w:color="auto" w:sz="4" w:space="0"/>
              <w:right w:val="single" w:color="auto" w:sz="4" w:space="0"/>
            </w:tcBorders>
            <w:noWrap w:val="0"/>
            <w:vAlign w:val="center"/>
          </w:tcPr>
          <w:p w14:paraId="4C30F7E2">
            <w:pPr>
              <w:spacing w:line="0" w:lineRule="atLeast"/>
              <w:jc w:val="center"/>
              <w:rPr>
                <w:rFonts w:ascii="宋体" w:hAnsi="宋体"/>
                <w:sz w:val="16"/>
                <w:szCs w:val="16"/>
                <w:highlight w:val="none"/>
              </w:rPr>
            </w:pPr>
          </w:p>
        </w:tc>
        <w:tc>
          <w:tcPr>
            <w:tcW w:w="367" w:type="pct"/>
            <w:tcBorders>
              <w:top w:val="nil"/>
              <w:left w:val="nil"/>
              <w:bottom w:val="single" w:color="auto" w:sz="4" w:space="0"/>
              <w:right w:val="single" w:color="auto" w:sz="4" w:space="0"/>
            </w:tcBorders>
            <w:noWrap w:val="0"/>
            <w:vAlign w:val="center"/>
          </w:tcPr>
          <w:p w14:paraId="2A06397E">
            <w:pPr>
              <w:spacing w:line="0" w:lineRule="atLeast"/>
              <w:jc w:val="center"/>
              <w:rPr>
                <w:rFonts w:ascii="宋体" w:hAnsi="宋体"/>
                <w:sz w:val="16"/>
                <w:szCs w:val="16"/>
                <w:highlight w:val="none"/>
              </w:rPr>
            </w:pPr>
            <w:r>
              <w:rPr>
                <w:rFonts w:hint="eastAsia" w:ascii="宋体" w:hAnsi="宋体"/>
                <w:sz w:val="16"/>
                <w:szCs w:val="16"/>
                <w:highlight w:val="none"/>
              </w:rPr>
              <w:t>≥2000</w:t>
            </w:r>
          </w:p>
        </w:tc>
        <w:tc>
          <w:tcPr>
            <w:tcW w:w="312" w:type="pct"/>
            <w:tcBorders>
              <w:top w:val="nil"/>
              <w:left w:val="nil"/>
              <w:bottom w:val="single" w:color="auto" w:sz="4" w:space="0"/>
              <w:right w:val="single" w:color="auto" w:sz="4" w:space="0"/>
            </w:tcBorders>
            <w:noWrap w:val="0"/>
            <w:vAlign w:val="center"/>
          </w:tcPr>
          <w:p w14:paraId="30A33C4C">
            <w:pPr>
              <w:spacing w:line="0" w:lineRule="atLeast"/>
              <w:jc w:val="center"/>
              <w:rPr>
                <w:rFonts w:ascii="宋体" w:hAnsi="宋体"/>
                <w:sz w:val="16"/>
                <w:szCs w:val="16"/>
                <w:highlight w:val="none"/>
              </w:rPr>
            </w:pPr>
            <w:r>
              <w:rPr>
                <w:rFonts w:hint="eastAsia" w:ascii="宋体" w:hAnsi="宋体"/>
                <w:sz w:val="16"/>
                <w:szCs w:val="16"/>
                <w:highlight w:val="none"/>
              </w:rPr>
              <w:t>≥300</w:t>
            </w:r>
          </w:p>
        </w:tc>
        <w:tc>
          <w:tcPr>
            <w:tcW w:w="335" w:type="pct"/>
            <w:tcBorders>
              <w:top w:val="nil"/>
              <w:left w:val="nil"/>
              <w:bottom w:val="single" w:color="auto" w:sz="4" w:space="0"/>
              <w:right w:val="single" w:color="auto" w:sz="4" w:space="0"/>
            </w:tcBorders>
            <w:noWrap w:val="0"/>
            <w:vAlign w:val="center"/>
          </w:tcPr>
          <w:p w14:paraId="4085D519">
            <w:pPr>
              <w:spacing w:line="0" w:lineRule="atLeast"/>
              <w:jc w:val="center"/>
              <w:rPr>
                <w:rFonts w:ascii="宋体" w:hAnsi="宋体"/>
                <w:sz w:val="16"/>
                <w:szCs w:val="16"/>
                <w:highlight w:val="none"/>
              </w:rPr>
            </w:pPr>
          </w:p>
        </w:tc>
        <w:tc>
          <w:tcPr>
            <w:tcW w:w="367" w:type="pct"/>
            <w:tcBorders>
              <w:top w:val="nil"/>
              <w:left w:val="nil"/>
              <w:bottom w:val="single" w:color="auto" w:sz="4" w:space="0"/>
              <w:right w:val="single" w:color="auto" w:sz="4" w:space="0"/>
            </w:tcBorders>
            <w:noWrap w:val="0"/>
            <w:vAlign w:val="center"/>
          </w:tcPr>
          <w:p w14:paraId="1480564A">
            <w:pPr>
              <w:spacing w:line="0" w:lineRule="atLeast"/>
              <w:jc w:val="center"/>
              <w:rPr>
                <w:rFonts w:ascii="宋体" w:hAnsi="宋体"/>
                <w:sz w:val="16"/>
                <w:szCs w:val="16"/>
                <w:highlight w:val="none"/>
              </w:rPr>
            </w:pPr>
            <w:r>
              <w:rPr>
                <w:rFonts w:hint="eastAsia" w:ascii="宋体" w:hAnsi="宋体"/>
                <w:sz w:val="16"/>
                <w:szCs w:val="16"/>
                <w:highlight w:val="none"/>
              </w:rPr>
              <w:t>≥100</w:t>
            </w:r>
          </w:p>
        </w:tc>
        <w:tc>
          <w:tcPr>
            <w:tcW w:w="318" w:type="pct"/>
            <w:tcBorders>
              <w:top w:val="nil"/>
              <w:left w:val="nil"/>
              <w:bottom w:val="single" w:color="auto" w:sz="4" w:space="0"/>
              <w:right w:val="single" w:color="auto" w:sz="4" w:space="0"/>
            </w:tcBorders>
            <w:noWrap w:val="0"/>
            <w:vAlign w:val="center"/>
          </w:tcPr>
          <w:p w14:paraId="28FCFA27">
            <w:pPr>
              <w:spacing w:line="0" w:lineRule="atLeast"/>
              <w:jc w:val="center"/>
              <w:rPr>
                <w:rFonts w:ascii="宋体" w:hAnsi="宋体"/>
                <w:sz w:val="16"/>
                <w:szCs w:val="16"/>
                <w:highlight w:val="none"/>
              </w:rPr>
            </w:pPr>
            <w:r>
              <w:rPr>
                <w:rFonts w:hint="eastAsia" w:ascii="宋体" w:hAnsi="宋体"/>
                <w:sz w:val="16"/>
                <w:szCs w:val="16"/>
                <w:highlight w:val="none"/>
              </w:rPr>
              <w:t>≥20</w:t>
            </w:r>
          </w:p>
        </w:tc>
        <w:tc>
          <w:tcPr>
            <w:tcW w:w="336" w:type="pct"/>
            <w:tcBorders>
              <w:top w:val="nil"/>
              <w:left w:val="nil"/>
              <w:bottom w:val="single" w:color="auto" w:sz="4" w:space="0"/>
              <w:right w:val="single" w:color="auto" w:sz="4" w:space="0"/>
            </w:tcBorders>
            <w:noWrap w:val="0"/>
            <w:vAlign w:val="center"/>
          </w:tcPr>
          <w:p w14:paraId="60CFA60E">
            <w:pPr>
              <w:spacing w:line="0" w:lineRule="atLeast"/>
              <w:jc w:val="center"/>
              <w:rPr>
                <w:rFonts w:ascii="宋体" w:hAnsi="宋体"/>
                <w:sz w:val="16"/>
                <w:szCs w:val="16"/>
                <w:highlight w:val="none"/>
              </w:rPr>
            </w:pPr>
          </w:p>
        </w:tc>
        <w:tc>
          <w:tcPr>
            <w:tcW w:w="367" w:type="pct"/>
            <w:tcBorders>
              <w:top w:val="nil"/>
              <w:left w:val="nil"/>
              <w:bottom w:val="single" w:color="auto" w:sz="4" w:space="0"/>
              <w:right w:val="single" w:color="auto" w:sz="4" w:space="0"/>
            </w:tcBorders>
            <w:noWrap w:val="0"/>
            <w:vAlign w:val="center"/>
          </w:tcPr>
          <w:p w14:paraId="515900C0">
            <w:pPr>
              <w:spacing w:line="0" w:lineRule="atLeast"/>
              <w:jc w:val="center"/>
              <w:rPr>
                <w:rFonts w:ascii="宋体" w:hAnsi="宋体"/>
                <w:sz w:val="16"/>
                <w:szCs w:val="16"/>
                <w:highlight w:val="none"/>
              </w:rPr>
            </w:pPr>
            <w:r>
              <w:rPr>
                <w:rFonts w:hint="eastAsia" w:ascii="宋体" w:hAnsi="宋体"/>
                <w:sz w:val="16"/>
                <w:szCs w:val="16"/>
                <w:highlight w:val="none"/>
              </w:rPr>
              <w:t>＜100</w:t>
            </w:r>
          </w:p>
        </w:tc>
        <w:tc>
          <w:tcPr>
            <w:tcW w:w="292" w:type="pct"/>
            <w:tcBorders>
              <w:top w:val="nil"/>
              <w:left w:val="nil"/>
              <w:bottom w:val="single" w:color="auto" w:sz="4" w:space="0"/>
              <w:right w:val="single" w:color="auto" w:sz="4" w:space="0"/>
            </w:tcBorders>
            <w:noWrap w:val="0"/>
            <w:vAlign w:val="center"/>
          </w:tcPr>
          <w:p w14:paraId="18FE82CD">
            <w:pPr>
              <w:spacing w:line="0" w:lineRule="atLeast"/>
              <w:jc w:val="center"/>
              <w:rPr>
                <w:rFonts w:ascii="宋体" w:hAnsi="宋体"/>
                <w:sz w:val="16"/>
                <w:szCs w:val="16"/>
                <w:highlight w:val="none"/>
              </w:rPr>
            </w:pPr>
            <w:r>
              <w:rPr>
                <w:rFonts w:hint="eastAsia" w:ascii="宋体" w:hAnsi="宋体"/>
                <w:sz w:val="16"/>
                <w:szCs w:val="16"/>
                <w:highlight w:val="none"/>
              </w:rPr>
              <w:t>＜20</w:t>
            </w:r>
          </w:p>
        </w:tc>
        <w:tc>
          <w:tcPr>
            <w:tcW w:w="287" w:type="pct"/>
            <w:tcBorders>
              <w:top w:val="nil"/>
              <w:left w:val="nil"/>
              <w:bottom w:val="single" w:color="auto" w:sz="4" w:space="0"/>
              <w:right w:val="single" w:color="auto" w:sz="4" w:space="0"/>
            </w:tcBorders>
            <w:noWrap w:val="0"/>
            <w:vAlign w:val="center"/>
          </w:tcPr>
          <w:p w14:paraId="76B9694D">
            <w:pPr>
              <w:spacing w:line="0" w:lineRule="atLeast"/>
              <w:jc w:val="center"/>
              <w:rPr>
                <w:rFonts w:ascii="宋体" w:hAnsi="宋体"/>
                <w:sz w:val="16"/>
                <w:szCs w:val="16"/>
                <w:highlight w:val="none"/>
              </w:rPr>
            </w:pPr>
          </w:p>
        </w:tc>
      </w:tr>
      <w:tr w14:paraId="2DD0080F">
        <w:tblPrEx>
          <w:tblCellMar>
            <w:top w:w="0" w:type="dxa"/>
            <w:left w:w="108" w:type="dxa"/>
            <w:bottom w:w="0" w:type="dxa"/>
            <w:right w:w="108" w:type="dxa"/>
          </w:tblCellMar>
        </w:tblPrEx>
        <w:trPr>
          <w:trHeight w:val="369" w:hRule="atLeast"/>
          <w:jc w:val="center"/>
        </w:trPr>
        <w:tc>
          <w:tcPr>
            <w:tcW w:w="259" w:type="pct"/>
            <w:tcBorders>
              <w:top w:val="nil"/>
              <w:left w:val="single" w:color="auto" w:sz="4" w:space="0"/>
              <w:bottom w:val="single" w:color="auto" w:sz="4" w:space="0"/>
              <w:right w:val="single" w:color="auto" w:sz="4" w:space="0"/>
            </w:tcBorders>
            <w:noWrap w:val="0"/>
            <w:vAlign w:val="center"/>
          </w:tcPr>
          <w:p w14:paraId="70C36B88">
            <w:pPr>
              <w:spacing w:line="0" w:lineRule="atLeast"/>
              <w:jc w:val="center"/>
              <w:rPr>
                <w:rFonts w:ascii="宋体" w:hAnsi="宋体"/>
                <w:bCs/>
                <w:sz w:val="16"/>
                <w:szCs w:val="16"/>
                <w:highlight w:val="none"/>
              </w:rPr>
            </w:pPr>
            <w:r>
              <w:rPr>
                <w:rFonts w:hint="eastAsia" w:ascii="宋体" w:hAnsi="宋体"/>
                <w:bCs/>
                <w:sz w:val="16"/>
                <w:szCs w:val="16"/>
                <w:highlight w:val="none"/>
              </w:rPr>
              <w:t>9</w:t>
            </w:r>
          </w:p>
        </w:tc>
        <w:tc>
          <w:tcPr>
            <w:tcW w:w="738" w:type="pct"/>
            <w:tcBorders>
              <w:top w:val="nil"/>
              <w:left w:val="nil"/>
              <w:bottom w:val="single" w:color="auto" w:sz="4" w:space="0"/>
              <w:right w:val="single" w:color="auto" w:sz="4" w:space="0"/>
            </w:tcBorders>
            <w:noWrap w:val="0"/>
            <w:vAlign w:val="center"/>
          </w:tcPr>
          <w:p w14:paraId="335A8AF0">
            <w:pPr>
              <w:spacing w:line="0" w:lineRule="atLeast"/>
              <w:jc w:val="center"/>
              <w:rPr>
                <w:rFonts w:ascii="宋体" w:hAnsi="宋体"/>
                <w:bCs/>
                <w:sz w:val="16"/>
                <w:szCs w:val="16"/>
                <w:highlight w:val="none"/>
              </w:rPr>
            </w:pPr>
            <w:r>
              <w:rPr>
                <w:rFonts w:hint="eastAsia" w:ascii="宋体" w:hAnsi="宋体"/>
                <w:bCs/>
                <w:sz w:val="16"/>
                <w:szCs w:val="16"/>
                <w:highlight w:val="none"/>
              </w:rPr>
              <w:t>住宿业</w:t>
            </w:r>
          </w:p>
        </w:tc>
        <w:tc>
          <w:tcPr>
            <w:tcW w:w="397" w:type="pct"/>
            <w:tcBorders>
              <w:top w:val="nil"/>
              <w:left w:val="nil"/>
              <w:bottom w:val="single" w:color="auto" w:sz="4" w:space="0"/>
              <w:right w:val="single" w:color="auto" w:sz="4" w:space="0"/>
            </w:tcBorders>
            <w:noWrap w:val="0"/>
            <w:vAlign w:val="center"/>
          </w:tcPr>
          <w:p w14:paraId="24F56242">
            <w:pPr>
              <w:spacing w:line="0" w:lineRule="atLeast"/>
              <w:jc w:val="center"/>
              <w:rPr>
                <w:rFonts w:ascii="宋体" w:hAnsi="宋体"/>
                <w:sz w:val="16"/>
                <w:szCs w:val="16"/>
                <w:highlight w:val="none"/>
              </w:rPr>
            </w:pPr>
            <w:r>
              <w:rPr>
                <w:rFonts w:hint="eastAsia" w:ascii="宋体" w:hAnsi="宋体"/>
                <w:sz w:val="16"/>
                <w:szCs w:val="16"/>
                <w:highlight w:val="none"/>
              </w:rPr>
              <w:t>≥10000</w:t>
            </w:r>
          </w:p>
        </w:tc>
        <w:tc>
          <w:tcPr>
            <w:tcW w:w="306" w:type="pct"/>
            <w:tcBorders>
              <w:top w:val="nil"/>
              <w:left w:val="nil"/>
              <w:bottom w:val="single" w:color="auto" w:sz="4" w:space="0"/>
              <w:right w:val="single" w:color="auto" w:sz="4" w:space="0"/>
            </w:tcBorders>
            <w:noWrap w:val="0"/>
            <w:vAlign w:val="center"/>
          </w:tcPr>
          <w:p w14:paraId="0AFBBADB">
            <w:pPr>
              <w:spacing w:line="0" w:lineRule="atLeast"/>
              <w:jc w:val="center"/>
              <w:rPr>
                <w:rFonts w:ascii="宋体" w:hAnsi="宋体"/>
                <w:sz w:val="16"/>
                <w:szCs w:val="16"/>
                <w:highlight w:val="none"/>
              </w:rPr>
            </w:pPr>
            <w:r>
              <w:rPr>
                <w:rFonts w:hint="eastAsia" w:ascii="宋体" w:hAnsi="宋体"/>
                <w:sz w:val="16"/>
                <w:szCs w:val="16"/>
                <w:highlight w:val="none"/>
              </w:rPr>
              <w:t>≥300</w:t>
            </w:r>
          </w:p>
        </w:tc>
        <w:tc>
          <w:tcPr>
            <w:tcW w:w="316" w:type="pct"/>
            <w:tcBorders>
              <w:top w:val="nil"/>
              <w:left w:val="nil"/>
              <w:bottom w:val="single" w:color="auto" w:sz="4" w:space="0"/>
              <w:right w:val="single" w:color="auto" w:sz="4" w:space="0"/>
            </w:tcBorders>
            <w:noWrap w:val="0"/>
            <w:vAlign w:val="center"/>
          </w:tcPr>
          <w:p w14:paraId="0A547C0C">
            <w:pPr>
              <w:spacing w:line="0" w:lineRule="atLeast"/>
              <w:jc w:val="center"/>
              <w:rPr>
                <w:rFonts w:ascii="宋体" w:hAnsi="宋体"/>
                <w:sz w:val="16"/>
                <w:szCs w:val="16"/>
                <w:highlight w:val="none"/>
              </w:rPr>
            </w:pPr>
          </w:p>
        </w:tc>
        <w:tc>
          <w:tcPr>
            <w:tcW w:w="367" w:type="pct"/>
            <w:tcBorders>
              <w:top w:val="nil"/>
              <w:left w:val="nil"/>
              <w:bottom w:val="single" w:color="auto" w:sz="4" w:space="0"/>
              <w:right w:val="single" w:color="auto" w:sz="4" w:space="0"/>
            </w:tcBorders>
            <w:noWrap w:val="0"/>
            <w:vAlign w:val="center"/>
          </w:tcPr>
          <w:p w14:paraId="4DCD4C7F">
            <w:pPr>
              <w:spacing w:line="0" w:lineRule="atLeast"/>
              <w:jc w:val="center"/>
              <w:rPr>
                <w:rFonts w:ascii="宋体" w:hAnsi="宋体"/>
                <w:sz w:val="16"/>
                <w:szCs w:val="16"/>
                <w:highlight w:val="none"/>
              </w:rPr>
            </w:pPr>
            <w:r>
              <w:rPr>
                <w:rFonts w:hint="eastAsia" w:ascii="宋体" w:hAnsi="宋体"/>
                <w:sz w:val="16"/>
                <w:szCs w:val="16"/>
                <w:highlight w:val="none"/>
              </w:rPr>
              <w:t>≥2000</w:t>
            </w:r>
          </w:p>
        </w:tc>
        <w:tc>
          <w:tcPr>
            <w:tcW w:w="312" w:type="pct"/>
            <w:tcBorders>
              <w:top w:val="nil"/>
              <w:left w:val="nil"/>
              <w:bottom w:val="single" w:color="auto" w:sz="4" w:space="0"/>
              <w:right w:val="single" w:color="auto" w:sz="4" w:space="0"/>
            </w:tcBorders>
            <w:noWrap w:val="0"/>
            <w:vAlign w:val="center"/>
          </w:tcPr>
          <w:p w14:paraId="66E4C9DA">
            <w:pPr>
              <w:spacing w:line="0" w:lineRule="atLeast"/>
              <w:jc w:val="center"/>
              <w:rPr>
                <w:rFonts w:ascii="宋体" w:hAnsi="宋体"/>
                <w:sz w:val="16"/>
                <w:szCs w:val="16"/>
                <w:highlight w:val="none"/>
              </w:rPr>
            </w:pPr>
            <w:r>
              <w:rPr>
                <w:rFonts w:hint="eastAsia" w:ascii="宋体" w:hAnsi="宋体"/>
                <w:sz w:val="16"/>
                <w:szCs w:val="16"/>
                <w:highlight w:val="none"/>
              </w:rPr>
              <w:t>≥100</w:t>
            </w:r>
          </w:p>
        </w:tc>
        <w:tc>
          <w:tcPr>
            <w:tcW w:w="335" w:type="pct"/>
            <w:tcBorders>
              <w:top w:val="nil"/>
              <w:left w:val="nil"/>
              <w:bottom w:val="single" w:color="auto" w:sz="4" w:space="0"/>
              <w:right w:val="single" w:color="auto" w:sz="4" w:space="0"/>
            </w:tcBorders>
            <w:noWrap w:val="0"/>
            <w:vAlign w:val="center"/>
          </w:tcPr>
          <w:p w14:paraId="0DF5C682">
            <w:pPr>
              <w:spacing w:line="0" w:lineRule="atLeast"/>
              <w:jc w:val="center"/>
              <w:rPr>
                <w:rFonts w:ascii="宋体" w:hAnsi="宋体"/>
                <w:sz w:val="16"/>
                <w:szCs w:val="16"/>
                <w:highlight w:val="none"/>
              </w:rPr>
            </w:pPr>
          </w:p>
        </w:tc>
        <w:tc>
          <w:tcPr>
            <w:tcW w:w="367" w:type="pct"/>
            <w:tcBorders>
              <w:top w:val="nil"/>
              <w:left w:val="nil"/>
              <w:bottom w:val="single" w:color="auto" w:sz="4" w:space="0"/>
              <w:right w:val="single" w:color="auto" w:sz="4" w:space="0"/>
            </w:tcBorders>
            <w:noWrap w:val="0"/>
            <w:vAlign w:val="center"/>
          </w:tcPr>
          <w:p w14:paraId="59BA6BAC">
            <w:pPr>
              <w:spacing w:line="0" w:lineRule="atLeast"/>
              <w:jc w:val="center"/>
              <w:rPr>
                <w:rFonts w:ascii="宋体" w:hAnsi="宋体"/>
                <w:sz w:val="16"/>
                <w:szCs w:val="16"/>
                <w:highlight w:val="none"/>
              </w:rPr>
            </w:pPr>
            <w:r>
              <w:rPr>
                <w:rFonts w:hint="eastAsia" w:ascii="宋体" w:hAnsi="宋体"/>
                <w:sz w:val="16"/>
                <w:szCs w:val="16"/>
                <w:highlight w:val="none"/>
              </w:rPr>
              <w:t>≥100</w:t>
            </w:r>
          </w:p>
        </w:tc>
        <w:tc>
          <w:tcPr>
            <w:tcW w:w="318" w:type="pct"/>
            <w:tcBorders>
              <w:top w:val="nil"/>
              <w:left w:val="nil"/>
              <w:bottom w:val="single" w:color="auto" w:sz="4" w:space="0"/>
              <w:right w:val="single" w:color="auto" w:sz="4" w:space="0"/>
            </w:tcBorders>
            <w:noWrap w:val="0"/>
            <w:vAlign w:val="center"/>
          </w:tcPr>
          <w:p w14:paraId="51EA4DC7">
            <w:pPr>
              <w:spacing w:line="0" w:lineRule="atLeast"/>
              <w:jc w:val="center"/>
              <w:rPr>
                <w:rFonts w:ascii="宋体" w:hAnsi="宋体"/>
                <w:sz w:val="16"/>
                <w:szCs w:val="16"/>
                <w:highlight w:val="none"/>
              </w:rPr>
            </w:pPr>
            <w:r>
              <w:rPr>
                <w:rFonts w:hint="eastAsia" w:ascii="宋体" w:hAnsi="宋体"/>
                <w:sz w:val="16"/>
                <w:szCs w:val="16"/>
                <w:highlight w:val="none"/>
              </w:rPr>
              <w:t>≥10</w:t>
            </w:r>
          </w:p>
        </w:tc>
        <w:tc>
          <w:tcPr>
            <w:tcW w:w="336" w:type="pct"/>
            <w:tcBorders>
              <w:top w:val="nil"/>
              <w:left w:val="nil"/>
              <w:bottom w:val="single" w:color="auto" w:sz="4" w:space="0"/>
              <w:right w:val="single" w:color="auto" w:sz="4" w:space="0"/>
            </w:tcBorders>
            <w:noWrap w:val="0"/>
            <w:vAlign w:val="center"/>
          </w:tcPr>
          <w:p w14:paraId="3CFAE1A6">
            <w:pPr>
              <w:spacing w:line="0" w:lineRule="atLeast"/>
              <w:jc w:val="center"/>
              <w:rPr>
                <w:rFonts w:ascii="宋体" w:hAnsi="宋体"/>
                <w:sz w:val="16"/>
                <w:szCs w:val="16"/>
                <w:highlight w:val="none"/>
              </w:rPr>
            </w:pPr>
          </w:p>
        </w:tc>
        <w:tc>
          <w:tcPr>
            <w:tcW w:w="367" w:type="pct"/>
            <w:tcBorders>
              <w:top w:val="nil"/>
              <w:left w:val="nil"/>
              <w:bottom w:val="single" w:color="auto" w:sz="4" w:space="0"/>
              <w:right w:val="single" w:color="auto" w:sz="4" w:space="0"/>
            </w:tcBorders>
            <w:noWrap w:val="0"/>
            <w:vAlign w:val="center"/>
          </w:tcPr>
          <w:p w14:paraId="2E99073F">
            <w:pPr>
              <w:spacing w:line="0" w:lineRule="atLeast"/>
              <w:jc w:val="center"/>
              <w:rPr>
                <w:rFonts w:ascii="宋体" w:hAnsi="宋体"/>
                <w:sz w:val="16"/>
                <w:szCs w:val="16"/>
                <w:highlight w:val="none"/>
              </w:rPr>
            </w:pPr>
            <w:r>
              <w:rPr>
                <w:rFonts w:hint="eastAsia" w:ascii="宋体" w:hAnsi="宋体"/>
                <w:sz w:val="16"/>
                <w:szCs w:val="16"/>
                <w:highlight w:val="none"/>
              </w:rPr>
              <w:t>＜100</w:t>
            </w:r>
          </w:p>
        </w:tc>
        <w:tc>
          <w:tcPr>
            <w:tcW w:w="292" w:type="pct"/>
            <w:tcBorders>
              <w:top w:val="nil"/>
              <w:left w:val="nil"/>
              <w:bottom w:val="single" w:color="auto" w:sz="4" w:space="0"/>
              <w:right w:val="single" w:color="auto" w:sz="4" w:space="0"/>
            </w:tcBorders>
            <w:noWrap w:val="0"/>
            <w:vAlign w:val="center"/>
          </w:tcPr>
          <w:p w14:paraId="2CB51627">
            <w:pPr>
              <w:spacing w:line="0" w:lineRule="atLeast"/>
              <w:jc w:val="center"/>
              <w:rPr>
                <w:rFonts w:ascii="宋体" w:hAnsi="宋体"/>
                <w:sz w:val="16"/>
                <w:szCs w:val="16"/>
                <w:highlight w:val="none"/>
              </w:rPr>
            </w:pPr>
            <w:r>
              <w:rPr>
                <w:rFonts w:hint="eastAsia" w:ascii="宋体" w:hAnsi="宋体"/>
                <w:sz w:val="16"/>
                <w:szCs w:val="16"/>
                <w:highlight w:val="none"/>
              </w:rPr>
              <w:t>＜10</w:t>
            </w:r>
          </w:p>
        </w:tc>
        <w:tc>
          <w:tcPr>
            <w:tcW w:w="287" w:type="pct"/>
            <w:tcBorders>
              <w:top w:val="nil"/>
              <w:left w:val="nil"/>
              <w:bottom w:val="single" w:color="auto" w:sz="4" w:space="0"/>
              <w:right w:val="single" w:color="auto" w:sz="4" w:space="0"/>
            </w:tcBorders>
            <w:noWrap w:val="0"/>
            <w:vAlign w:val="center"/>
          </w:tcPr>
          <w:p w14:paraId="725A8032">
            <w:pPr>
              <w:spacing w:line="0" w:lineRule="atLeast"/>
              <w:jc w:val="center"/>
              <w:rPr>
                <w:rFonts w:ascii="宋体" w:hAnsi="宋体"/>
                <w:sz w:val="16"/>
                <w:szCs w:val="16"/>
                <w:highlight w:val="none"/>
              </w:rPr>
            </w:pPr>
          </w:p>
        </w:tc>
      </w:tr>
      <w:tr w14:paraId="3ED32DDF">
        <w:tblPrEx>
          <w:tblCellMar>
            <w:top w:w="0" w:type="dxa"/>
            <w:left w:w="108" w:type="dxa"/>
            <w:bottom w:w="0" w:type="dxa"/>
            <w:right w:w="108" w:type="dxa"/>
          </w:tblCellMar>
        </w:tblPrEx>
        <w:trPr>
          <w:trHeight w:val="369" w:hRule="atLeast"/>
          <w:jc w:val="center"/>
        </w:trPr>
        <w:tc>
          <w:tcPr>
            <w:tcW w:w="259" w:type="pct"/>
            <w:tcBorders>
              <w:top w:val="nil"/>
              <w:left w:val="single" w:color="auto" w:sz="4" w:space="0"/>
              <w:bottom w:val="single" w:color="auto" w:sz="4" w:space="0"/>
              <w:right w:val="single" w:color="auto" w:sz="4" w:space="0"/>
            </w:tcBorders>
            <w:noWrap w:val="0"/>
            <w:vAlign w:val="center"/>
          </w:tcPr>
          <w:p w14:paraId="0BF3BAEE">
            <w:pPr>
              <w:spacing w:line="0" w:lineRule="atLeast"/>
              <w:jc w:val="center"/>
              <w:rPr>
                <w:rFonts w:ascii="宋体" w:hAnsi="宋体"/>
                <w:bCs/>
                <w:sz w:val="16"/>
                <w:szCs w:val="16"/>
                <w:highlight w:val="none"/>
              </w:rPr>
            </w:pPr>
            <w:r>
              <w:rPr>
                <w:rFonts w:hint="eastAsia" w:ascii="宋体" w:hAnsi="宋体"/>
                <w:bCs/>
                <w:sz w:val="16"/>
                <w:szCs w:val="16"/>
                <w:highlight w:val="none"/>
              </w:rPr>
              <w:t>10</w:t>
            </w:r>
          </w:p>
        </w:tc>
        <w:tc>
          <w:tcPr>
            <w:tcW w:w="738" w:type="pct"/>
            <w:tcBorders>
              <w:top w:val="nil"/>
              <w:left w:val="nil"/>
              <w:bottom w:val="single" w:color="auto" w:sz="4" w:space="0"/>
              <w:right w:val="single" w:color="auto" w:sz="4" w:space="0"/>
            </w:tcBorders>
            <w:noWrap w:val="0"/>
            <w:vAlign w:val="center"/>
          </w:tcPr>
          <w:p w14:paraId="3A47D38B">
            <w:pPr>
              <w:spacing w:line="0" w:lineRule="atLeast"/>
              <w:jc w:val="center"/>
              <w:rPr>
                <w:rFonts w:ascii="宋体" w:hAnsi="宋体"/>
                <w:bCs/>
                <w:sz w:val="16"/>
                <w:szCs w:val="16"/>
                <w:highlight w:val="none"/>
              </w:rPr>
            </w:pPr>
            <w:r>
              <w:rPr>
                <w:rFonts w:hint="eastAsia" w:ascii="宋体" w:hAnsi="宋体"/>
                <w:bCs/>
                <w:sz w:val="16"/>
                <w:szCs w:val="16"/>
                <w:highlight w:val="none"/>
              </w:rPr>
              <w:t>餐饮业</w:t>
            </w:r>
          </w:p>
        </w:tc>
        <w:tc>
          <w:tcPr>
            <w:tcW w:w="397" w:type="pct"/>
            <w:tcBorders>
              <w:top w:val="nil"/>
              <w:left w:val="nil"/>
              <w:bottom w:val="single" w:color="auto" w:sz="4" w:space="0"/>
              <w:right w:val="single" w:color="auto" w:sz="4" w:space="0"/>
            </w:tcBorders>
            <w:noWrap w:val="0"/>
            <w:vAlign w:val="center"/>
          </w:tcPr>
          <w:p w14:paraId="62E09E8D">
            <w:pPr>
              <w:spacing w:line="0" w:lineRule="atLeast"/>
              <w:jc w:val="center"/>
              <w:rPr>
                <w:rFonts w:ascii="宋体" w:hAnsi="宋体"/>
                <w:sz w:val="16"/>
                <w:szCs w:val="16"/>
                <w:highlight w:val="none"/>
              </w:rPr>
            </w:pPr>
            <w:r>
              <w:rPr>
                <w:rFonts w:hint="eastAsia" w:ascii="宋体" w:hAnsi="宋体"/>
                <w:sz w:val="16"/>
                <w:szCs w:val="16"/>
                <w:highlight w:val="none"/>
              </w:rPr>
              <w:t>≥10000</w:t>
            </w:r>
          </w:p>
        </w:tc>
        <w:tc>
          <w:tcPr>
            <w:tcW w:w="306" w:type="pct"/>
            <w:tcBorders>
              <w:top w:val="nil"/>
              <w:left w:val="nil"/>
              <w:bottom w:val="single" w:color="auto" w:sz="4" w:space="0"/>
              <w:right w:val="single" w:color="auto" w:sz="4" w:space="0"/>
            </w:tcBorders>
            <w:noWrap w:val="0"/>
            <w:vAlign w:val="center"/>
          </w:tcPr>
          <w:p w14:paraId="3BAEE417">
            <w:pPr>
              <w:spacing w:line="0" w:lineRule="atLeast"/>
              <w:jc w:val="center"/>
              <w:rPr>
                <w:rFonts w:ascii="宋体" w:hAnsi="宋体"/>
                <w:sz w:val="16"/>
                <w:szCs w:val="16"/>
                <w:highlight w:val="none"/>
              </w:rPr>
            </w:pPr>
            <w:r>
              <w:rPr>
                <w:rFonts w:hint="eastAsia" w:ascii="宋体" w:hAnsi="宋体"/>
                <w:sz w:val="16"/>
                <w:szCs w:val="16"/>
                <w:highlight w:val="none"/>
              </w:rPr>
              <w:t>≥300</w:t>
            </w:r>
          </w:p>
        </w:tc>
        <w:tc>
          <w:tcPr>
            <w:tcW w:w="316" w:type="pct"/>
            <w:tcBorders>
              <w:top w:val="nil"/>
              <w:left w:val="nil"/>
              <w:bottom w:val="single" w:color="auto" w:sz="4" w:space="0"/>
              <w:right w:val="single" w:color="auto" w:sz="4" w:space="0"/>
            </w:tcBorders>
            <w:noWrap w:val="0"/>
            <w:vAlign w:val="center"/>
          </w:tcPr>
          <w:p w14:paraId="32212DA5">
            <w:pPr>
              <w:spacing w:line="0" w:lineRule="atLeast"/>
              <w:jc w:val="center"/>
              <w:rPr>
                <w:rFonts w:ascii="宋体" w:hAnsi="宋体"/>
                <w:sz w:val="16"/>
                <w:szCs w:val="16"/>
                <w:highlight w:val="none"/>
              </w:rPr>
            </w:pPr>
          </w:p>
        </w:tc>
        <w:tc>
          <w:tcPr>
            <w:tcW w:w="367" w:type="pct"/>
            <w:tcBorders>
              <w:top w:val="nil"/>
              <w:left w:val="nil"/>
              <w:bottom w:val="single" w:color="auto" w:sz="4" w:space="0"/>
              <w:right w:val="single" w:color="auto" w:sz="4" w:space="0"/>
            </w:tcBorders>
            <w:noWrap w:val="0"/>
            <w:vAlign w:val="center"/>
          </w:tcPr>
          <w:p w14:paraId="0A284FE0">
            <w:pPr>
              <w:spacing w:line="0" w:lineRule="atLeast"/>
              <w:jc w:val="center"/>
              <w:rPr>
                <w:rFonts w:ascii="宋体" w:hAnsi="宋体"/>
                <w:sz w:val="16"/>
                <w:szCs w:val="16"/>
                <w:highlight w:val="none"/>
              </w:rPr>
            </w:pPr>
            <w:r>
              <w:rPr>
                <w:rFonts w:hint="eastAsia" w:ascii="宋体" w:hAnsi="宋体"/>
                <w:sz w:val="16"/>
                <w:szCs w:val="16"/>
                <w:highlight w:val="none"/>
              </w:rPr>
              <w:t>≥2000</w:t>
            </w:r>
          </w:p>
        </w:tc>
        <w:tc>
          <w:tcPr>
            <w:tcW w:w="312" w:type="pct"/>
            <w:tcBorders>
              <w:top w:val="nil"/>
              <w:left w:val="nil"/>
              <w:bottom w:val="single" w:color="auto" w:sz="4" w:space="0"/>
              <w:right w:val="single" w:color="auto" w:sz="4" w:space="0"/>
            </w:tcBorders>
            <w:noWrap w:val="0"/>
            <w:vAlign w:val="center"/>
          </w:tcPr>
          <w:p w14:paraId="3180274D">
            <w:pPr>
              <w:spacing w:line="0" w:lineRule="atLeast"/>
              <w:jc w:val="center"/>
              <w:rPr>
                <w:rFonts w:ascii="宋体" w:hAnsi="宋体"/>
                <w:sz w:val="16"/>
                <w:szCs w:val="16"/>
                <w:highlight w:val="none"/>
              </w:rPr>
            </w:pPr>
            <w:r>
              <w:rPr>
                <w:rFonts w:hint="eastAsia" w:ascii="宋体" w:hAnsi="宋体"/>
                <w:sz w:val="16"/>
                <w:szCs w:val="16"/>
                <w:highlight w:val="none"/>
              </w:rPr>
              <w:t>≥100</w:t>
            </w:r>
          </w:p>
        </w:tc>
        <w:tc>
          <w:tcPr>
            <w:tcW w:w="335" w:type="pct"/>
            <w:tcBorders>
              <w:top w:val="nil"/>
              <w:left w:val="nil"/>
              <w:bottom w:val="single" w:color="auto" w:sz="4" w:space="0"/>
              <w:right w:val="single" w:color="auto" w:sz="4" w:space="0"/>
            </w:tcBorders>
            <w:noWrap w:val="0"/>
            <w:vAlign w:val="center"/>
          </w:tcPr>
          <w:p w14:paraId="6C86653C">
            <w:pPr>
              <w:spacing w:line="0" w:lineRule="atLeast"/>
              <w:jc w:val="center"/>
              <w:rPr>
                <w:rFonts w:ascii="宋体" w:hAnsi="宋体"/>
                <w:sz w:val="16"/>
                <w:szCs w:val="16"/>
                <w:highlight w:val="none"/>
              </w:rPr>
            </w:pPr>
          </w:p>
        </w:tc>
        <w:tc>
          <w:tcPr>
            <w:tcW w:w="367" w:type="pct"/>
            <w:tcBorders>
              <w:top w:val="nil"/>
              <w:left w:val="nil"/>
              <w:bottom w:val="single" w:color="auto" w:sz="4" w:space="0"/>
              <w:right w:val="single" w:color="auto" w:sz="4" w:space="0"/>
            </w:tcBorders>
            <w:noWrap w:val="0"/>
            <w:vAlign w:val="center"/>
          </w:tcPr>
          <w:p w14:paraId="24C83BEA">
            <w:pPr>
              <w:spacing w:line="0" w:lineRule="atLeast"/>
              <w:jc w:val="center"/>
              <w:rPr>
                <w:rFonts w:ascii="宋体" w:hAnsi="宋体"/>
                <w:sz w:val="16"/>
                <w:szCs w:val="16"/>
                <w:highlight w:val="none"/>
              </w:rPr>
            </w:pPr>
            <w:r>
              <w:rPr>
                <w:rFonts w:hint="eastAsia" w:ascii="宋体" w:hAnsi="宋体"/>
                <w:sz w:val="16"/>
                <w:szCs w:val="16"/>
                <w:highlight w:val="none"/>
              </w:rPr>
              <w:t>≥100</w:t>
            </w:r>
          </w:p>
        </w:tc>
        <w:tc>
          <w:tcPr>
            <w:tcW w:w="318" w:type="pct"/>
            <w:tcBorders>
              <w:top w:val="nil"/>
              <w:left w:val="nil"/>
              <w:bottom w:val="single" w:color="auto" w:sz="4" w:space="0"/>
              <w:right w:val="single" w:color="auto" w:sz="4" w:space="0"/>
            </w:tcBorders>
            <w:noWrap w:val="0"/>
            <w:vAlign w:val="center"/>
          </w:tcPr>
          <w:p w14:paraId="62C5EA19">
            <w:pPr>
              <w:spacing w:line="0" w:lineRule="atLeast"/>
              <w:jc w:val="center"/>
              <w:rPr>
                <w:rFonts w:ascii="宋体" w:hAnsi="宋体"/>
                <w:sz w:val="16"/>
                <w:szCs w:val="16"/>
                <w:highlight w:val="none"/>
              </w:rPr>
            </w:pPr>
            <w:r>
              <w:rPr>
                <w:rFonts w:hint="eastAsia" w:ascii="宋体" w:hAnsi="宋体"/>
                <w:sz w:val="16"/>
                <w:szCs w:val="16"/>
                <w:highlight w:val="none"/>
              </w:rPr>
              <w:t>≥10</w:t>
            </w:r>
          </w:p>
        </w:tc>
        <w:tc>
          <w:tcPr>
            <w:tcW w:w="336" w:type="pct"/>
            <w:tcBorders>
              <w:top w:val="nil"/>
              <w:left w:val="nil"/>
              <w:bottom w:val="single" w:color="auto" w:sz="4" w:space="0"/>
              <w:right w:val="single" w:color="auto" w:sz="4" w:space="0"/>
            </w:tcBorders>
            <w:noWrap w:val="0"/>
            <w:vAlign w:val="center"/>
          </w:tcPr>
          <w:p w14:paraId="29CBB36C">
            <w:pPr>
              <w:spacing w:line="0" w:lineRule="atLeast"/>
              <w:jc w:val="center"/>
              <w:rPr>
                <w:rFonts w:ascii="宋体" w:hAnsi="宋体"/>
                <w:sz w:val="16"/>
                <w:szCs w:val="16"/>
                <w:highlight w:val="none"/>
              </w:rPr>
            </w:pPr>
          </w:p>
        </w:tc>
        <w:tc>
          <w:tcPr>
            <w:tcW w:w="367" w:type="pct"/>
            <w:tcBorders>
              <w:top w:val="nil"/>
              <w:left w:val="nil"/>
              <w:bottom w:val="single" w:color="auto" w:sz="4" w:space="0"/>
              <w:right w:val="single" w:color="auto" w:sz="4" w:space="0"/>
            </w:tcBorders>
            <w:noWrap w:val="0"/>
            <w:vAlign w:val="center"/>
          </w:tcPr>
          <w:p w14:paraId="7C0E5383">
            <w:pPr>
              <w:spacing w:line="0" w:lineRule="atLeast"/>
              <w:jc w:val="center"/>
              <w:rPr>
                <w:rFonts w:ascii="宋体" w:hAnsi="宋体"/>
                <w:sz w:val="16"/>
                <w:szCs w:val="16"/>
                <w:highlight w:val="none"/>
              </w:rPr>
            </w:pPr>
            <w:r>
              <w:rPr>
                <w:rFonts w:hint="eastAsia" w:ascii="宋体" w:hAnsi="宋体"/>
                <w:sz w:val="16"/>
                <w:szCs w:val="16"/>
                <w:highlight w:val="none"/>
              </w:rPr>
              <w:t>＜100</w:t>
            </w:r>
          </w:p>
        </w:tc>
        <w:tc>
          <w:tcPr>
            <w:tcW w:w="292" w:type="pct"/>
            <w:tcBorders>
              <w:top w:val="nil"/>
              <w:left w:val="nil"/>
              <w:bottom w:val="single" w:color="auto" w:sz="4" w:space="0"/>
              <w:right w:val="single" w:color="auto" w:sz="4" w:space="0"/>
            </w:tcBorders>
            <w:noWrap w:val="0"/>
            <w:vAlign w:val="center"/>
          </w:tcPr>
          <w:p w14:paraId="1B7FF4E9">
            <w:pPr>
              <w:spacing w:line="0" w:lineRule="atLeast"/>
              <w:jc w:val="center"/>
              <w:rPr>
                <w:rFonts w:ascii="宋体" w:hAnsi="宋体"/>
                <w:sz w:val="16"/>
                <w:szCs w:val="16"/>
                <w:highlight w:val="none"/>
              </w:rPr>
            </w:pPr>
            <w:r>
              <w:rPr>
                <w:rFonts w:hint="eastAsia" w:ascii="宋体" w:hAnsi="宋体"/>
                <w:sz w:val="16"/>
                <w:szCs w:val="16"/>
                <w:highlight w:val="none"/>
              </w:rPr>
              <w:t>＜10</w:t>
            </w:r>
          </w:p>
        </w:tc>
        <w:tc>
          <w:tcPr>
            <w:tcW w:w="287" w:type="pct"/>
            <w:tcBorders>
              <w:top w:val="nil"/>
              <w:left w:val="nil"/>
              <w:bottom w:val="single" w:color="auto" w:sz="4" w:space="0"/>
              <w:right w:val="single" w:color="auto" w:sz="4" w:space="0"/>
            </w:tcBorders>
            <w:noWrap w:val="0"/>
            <w:vAlign w:val="center"/>
          </w:tcPr>
          <w:p w14:paraId="1C8EAD4D">
            <w:pPr>
              <w:spacing w:line="0" w:lineRule="atLeast"/>
              <w:jc w:val="center"/>
              <w:rPr>
                <w:rFonts w:ascii="宋体" w:hAnsi="宋体"/>
                <w:sz w:val="16"/>
                <w:szCs w:val="16"/>
                <w:highlight w:val="none"/>
              </w:rPr>
            </w:pPr>
          </w:p>
        </w:tc>
      </w:tr>
      <w:tr w14:paraId="7DB95358">
        <w:tblPrEx>
          <w:tblCellMar>
            <w:top w:w="0" w:type="dxa"/>
            <w:left w:w="108" w:type="dxa"/>
            <w:bottom w:w="0" w:type="dxa"/>
            <w:right w:w="108" w:type="dxa"/>
          </w:tblCellMar>
        </w:tblPrEx>
        <w:trPr>
          <w:trHeight w:val="369" w:hRule="atLeast"/>
          <w:jc w:val="center"/>
        </w:trPr>
        <w:tc>
          <w:tcPr>
            <w:tcW w:w="259" w:type="pct"/>
            <w:tcBorders>
              <w:top w:val="nil"/>
              <w:left w:val="single" w:color="auto" w:sz="4" w:space="0"/>
              <w:bottom w:val="single" w:color="auto" w:sz="4" w:space="0"/>
              <w:right w:val="single" w:color="auto" w:sz="4" w:space="0"/>
            </w:tcBorders>
            <w:noWrap w:val="0"/>
            <w:vAlign w:val="center"/>
          </w:tcPr>
          <w:p w14:paraId="285C4007">
            <w:pPr>
              <w:spacing w:line="0" w:lineRule="atLeast"/>
              <w:jc w:val="center"/>
              <w:rPr>
                <w:rFonts w:ascii="宋体" w:hAnsi="宋体"/>
                <w:b/>
                <w:sz w:val="16"/>
                <w:szCs w:val="16"/>
                <w:highlight w:val="none"/>
              </w:rPr>
            </w:pPr>
            <w:r>
              <w:rPr>
                <w:rFonts w:hint="eastAsia" w:ascii="宋体" w:hAnsi="宋体"/>
                <w:b/>
                <w:sz w:val="16"/>
                <w:szCs w:val="16"/>
                <w:highlight w:val="none"/>
              </w:rPr>
              <w:t>11</w:t>
            </w:r>
          </w:p>
        </w:tc>
        <w:tc>
          <w:tcPr>
            <w:tcW w:w="738" w:type="pct"/>
            <w:tcBorders>
              <w:top w:val="nil"/>
              <w:left w:val="nil"/>
              <w:bottom w:val="single" w:color="auto" w:sz="4" w:space="0"/>
              <w:right w:val="single" w:color="auto" w:sz="4" w:space="0"/>
            </w:tcBorders>
            <w:noWrap w:val="0"/>
            <w:vAlign w:val="center"/>
          </w:tcPr>
          <w:p w14:paraId="05CE3492">
            <w:pPr>
              <w:spacing w:line="0" w:lineRule="atLeast"/>
              <w:jc w:val="center"/>
              <w:rPr>
                <w:rFonts w:ascii="宋体" w:hAnsi="宋体"/>
                <w:b/>
                <w:sz w:val="16"/>
                <w:szCs w:val="16"/>
                <w:highlight w:val="none"/>
              </w:rPr>
            </w:pPr>
            <w:r>
              <w:rPr>
                <w:rFonts w:hint="eastAsia" w:ascii="宋体" w:hAnsi="宋体"/>
                <w:b/>
                <w:sz w:val="16"/>
                <w:szCs w:val="16"/>
                <w:highlight w:val="none"/>
              </w:rPr>
              <w:t>信息传输业</w:t>
            </w:r>
          </w:p>
        </w:tc>
        <w:tc>
          <w:tcPr>
            <w:tcW w:w="397" w:type="pct"/>
            <w:tcBorders>
              <w:top w:val="nil"/>
              <w:left w:val="nil"/>
              <w:bottom w:val="single" w:color="auto" w:sz="4" w:space="0"/>
              <w:right w:val="single" w:color="auto" w:sz="4" w:space="0"/>
            </w:tcBorders>
            <w:noWrap w:val="0"/>
            <w:vAlign w:val="center"/>
          </w:tcPr>
          <w:p w14:paraId="066B2CF6">
            <w:pPr>
              <w:spacing w:line="0" w:lineRule="atLeast"/>
              <w:jc w:val="center"/>
              <w:rPr>
                <w:rFonts w:ascii="宋体" w:hAnsi="宋体"/>
                <w:b/>
                <w:sz w:val="16"/>
                <w:szCs w:val="16"/>
                <w:highlight w:val="none"/>
              </w:rPr>
            </w:pPr>
            <w:r>
              <w:rPr>
                <w:rFonts w:hint="eastAsia" w:ascii="宋体" w:hAnsi="宋体"/>
                <w:b/>
                <w:sz w:val="16"/>
                <w:szCs w:val="16"/>
                <w:highlight w:val="none"/>
              </w:rPr>
              <w:t>≥100000</w:t>
            </w:r>
          </w:p>
        </w:tc>
        <w:tc>
          <w:tcPr>
            <w:tcW w:w="306" w:type="pct"/>
            <w:tcBorders>
              <w:top w:val="nil"/>
              <w:left w:val="nil"/>
              <w:bottom w:val="single" w:color="auto" w:sz="4" w:space="0"/>
              <w:right w:val="single" w:color="auto" w:sz="4" w:space="0"/>
            </w:tcBorders>
            <w:noWrap w:val="0"/>
            <w:vAlign w:val="center"/>
          </w:tcPr>
          <w:p w14:paraId="0CB57842">
            <w:pPr>
              <w:spacing w:line="0" w:lineRule="atLeast"/>
              <w:jc w:val="center"/>
              <w:rPr>
                <w:rFonts w:ascii="宋体" w:hAnsi="宋体"/>
                <w:b/>
                <w:sz w:val="16"/>
                <w:szCs w:val="16"/>
                <w:highlight w:val="none"/>
              </w:rPr>
            </w:pPr>
            <w:r>
              <w:rPr>
                <w:rFonts w:hint="eastAsia" w:ascii="宋体" w:hAnsi="宋体"/>
                <w:b/>
                <w:sz w:val="16"/>
                <w:szCs w:val="16"/>
                <w:highlight w:val="none"/>
              </w:rPr>
              <w:t>≥2000</w:t>
            </w:r>
          </w:p>
        </w:tc>
        <w:tc>
          <w:tcPr>
            <w:tcW w:w="316" w:type="pct"/>
            <w:tcBorders>
              <w:top w:val="nil"/>
              <w:left w:val="nil"/>
              <w:bottom w:val="single" w:color="auto" w:sz="4" w:space="0"/>
              <w:right w:val="single" w:color="auto" w:sz="4" w:space="0"/>
            </w:tcBorders>
            <w:noWrap w:val="0"/>
            <w:vAlign w:val="center"/>
          </w:tcPr>
          <w:p w14:paraId="5CC76421">
            <w:pPr>
              <w:spacing w:line="0" w:lineRule="atLeast"/>
              <w:jc w:val="center"/>
              <w:rPr>
                <w:rFonts w:ascii="宋体" w:hAnsi="宋体"/>
                <w:b/>
                <w:sz w:val="16"/>
                <w:szCs w:val="16"/>
                <w:highlight w:val="none"/>
              </w:rPr>
            </w:pPr>
          </w:p>
        </w:tc>
        <w:tc>
          <w:tcPr>
            <w:tcW w:w="367" w:type="pct"/>
            <w:tcBorders>
              <w:top w:val="nil"/>
              <w:left w:val="nil"/>
              <w:bottom w:val="single" w:color="auto" w:sz="4" w:space="0"/>
              <w:right w:val="single" w:color="auto" w:sz="4" w:space="0"/>
            </w:tcBorders>
            <w:noWrap w:val="0"/>
            <w:vAlign w:val="center"/>
          </w:tcPr>
          <w:p w14:paraId="6DE7F560">
            <w:pPr>
              <w:spacing w:line="0" w:lineRule="atLeast"/>
              <w:jc w:val="center"/>
              <w:rPr>
                <w:rFonts w:ascii="宋体" w:hAnsi="宋体"/>
                <w:b/>
                <w:sz w:val="16"/>
                <w:szCs w:val="16"/>
                <w:highlight w:val="none"/>
              </w:rPr>
            </w:pPr>
            <w:r>
              <w:rPr>
                <w:rFonts w:hint="eastAsia" w:ascii="宋体" w:hAnsi="宋体"/>
                <w:b/>
                <w:sz w:val="16"/>
                <w:szCs w:val="16"/>
                <w:highlight w:val="none"/>
              </w:rPr>
              <w:t>≥1000</w:t>
            </w:r>
          </w:p>
        </w:tc>
        <w:tc>
          <w:tcPr>
            <w:tcW w:w="312" w:type="pct"/>
            <w:tcBorders>
              <w:top w:val="nil"/>
              <w:left w:val="nil"/>
              <w:bottom w:val="single" w:color="auto" w:sz="4" w:space="0"/>
              <w:right w:val="single" w:color="auto" w:sz="4" w:space="0"/>
            </w:tcBorders>
            <w:noWrap w:val="0"/>
            <w:vAlign w:val="center"/>
          </w:tcPr>
          <w:p w14:paraId="24C164ED">
            <w:pPr>
              <w:spacing w:line="0" w:lineRule="atLeast"/>
              <w:jc w:val="center"/>
              <w:rPr>
                <w:rFonts w:ascii="宋体" w:hAnsi="宋体"/>
                <w:b/>
                <w:sz w:val="16"/>
                <w:szCs w:val="16"/>
                <w:highlight w:val="none"/>
              </w:rPr>
            </w:pPr>
            <w:r>
              <w:rPr>
                <w:rFonts w:hint="eastAsia" w:ascii="宋体" w:hAnsi="宋体"/>
                <w:b/>
                <w:sz w:val="16"/>
                <w:szCs w:val="16"/>
                <w:highlight w:val="none"/>
              </w:rPr>
              <w:t>≥100</w:t>
            </w:r>
          </w:p>
        </w:tc>
        <w:tc>
          <w:tcPr>
            <w:tcW w:w="335" w:type="pct"/>
            <w:tcBorders>
              <w:top w:val="nil"/>
              <w:left w:val="nil"/>
              <w:bottom w:val="single" w:color="auto" w:sz="4" w:space="0"/>
              <w:right w:val="single" w:color="auto" w:sz="4" w:space="0"/>
            </w:tcBorders>
            <w:noWrap w:val="0"/>
            <w:vAlign w:val="center"/>
          </w:tcPr>
          <w:p w14:paraId="7E6A7B94">
            <w:pPr>
              <w:spacing w:line="0" w:lineRule="atLeast"/>
              <w:jc w:val="center"/>
              <w:rPr>
                <w:rFonts w:ascii="宋体" w:hAnsi="宋体"/>
                <w:b/>
                <w:sz w:val="16"/>
                <w:szCs w:val="16"/>
                <w:highlight w:val="none"/>
              </w:rPr>
            </w:pPr>
          </w:p>
        </w:tc>
        <w:tc>
          <w:tcPr>
            <w:tcW w:w="367" w:type="pct"/>
            <w:tcBorders>
              <w:top w:val="nil"/>
              <w:left w:val="nil"/>
              <w:bottom w:val="single" w:color="auto" w:sz="4" w:space="0"/>
              <w:right w:val="single" w:color="auto" w:sz="4" w:space="0"/>
            </w:tcBorders>
            <w:noWrap w:val="0"/>
            <w:vAlign w:val="center"/>
          </w:tcPr>
          <w:p w14:paraId="6B195811">
            <w:pPr>
              <w:spacing w:line="0" w:lineRule="atLeast"/>
              <w:jc w:val="center"/>
              <w:rPr>
                <w:rFonts w:ascii="宋体" w:hAnsi="宋体"/>
                <w:b/>
                <w:sz w:val="16"/>
                <w:szCs w:val="16"/>
                <w:highlight w:val="none"/>
              </w:rPr>
            </w:pPr>
            <w:r>
              <w:rPr>
                <w:rFonts w:hint="eastAsia" w:ascii="宋体" w:hAnsi="宋体"/>
                <w:b/>
                <w:sz w:val="16"/>
                <w:szCs w:val="16"/>
                <w:highlight w:val="none"/>
              </w:rPr>
              <w:t>≥100</w:t>
            </w:r>
          </w:p>
        </w:tc>
        <w:tc>
          <w:tcPr>
            <w:tcW w:w="318" w:type="pct"/>
            <w:tcBorders>
              <w:top w:val="nil"/>
              <w:left w:val="nil"/>
              <w:bottom w:val="single" w:color="auto" w:sz="4" w:space="0"/>
              <w:right w:val="single" w:color="auto" w:sz="4" w:space="0"/>
            </w:tcBorders>
            <w:noWrap w:val="0"/>
            <w:vAlign w:val="center"/>
          </w:tcPr>
          <w:p w14:paraId="01D15022">
            <w:pPr>
              <w:spacing w:line="0" w:lineRule="atLeast"/>
              <w:jc w:val="center"/>
              <w:rPr>
                <w:rFonts w:ascii="宋体" w:hAnsi="宋体"/>
                <w:b/>
                <w:sz w:val="16"/>
                <w:szCs w:val="16"/>
                <w:highlight w:val="none"/>
              </w:rPr>
            </w:pPr>
            <w:r>
              <w:rPr>
                <w:rFonts w:hint="eastAsia" w:ascii="宋体" w:hAnsi="宋体"/>
                <w:b/>
                <w:sz w:val="16"/>
                <w:szCs w:val="16"/>
                <w:highlight w:val="none"/>
              </w:rPr>
              <w:t>≥10</w:t>
            </w:r>
          </w:p>
        </w:tc>
        <w:tc>
          <w:tcPr>
            <w:tcW w:w="336" w:type="pct"/>
            <w:tcBorders>
              <w:top w:val="nil"/>
              <w:left w:val="nil"/>
              <w:bottom w:val="single" w:color="auto" w:sz="4" w:space="0"/>
              <w:right w:val="single" w:color="auto" w:sz="4" w:space="0"/>
            </w:tcBorders>
            <w:noWrap w:val="0"/>
            <w:vAlign w:val="center"/>
          </w:tcPr>
          <w:p w14:paraId="2714CC2C">
            <w:pPr>
              <w:spacing w:line="0" w:lineRule="atLeast"/>
              <w:jc w:val="center"/>
              <w:rPr>
                <w:rFonts w:ascii="宋体" w:hAnsi="宋体"/>
                <w:b/>
                <w:sz w:val="16"/>
                <w:szCs w:val="16"/>
                <w:highlight w:val="none"/>
              </w:rPr>
            </w:pPr>
          </w:p>
        </w:tc>
        <w:tc>
          <w:tcPr>
            <w:tcW w:w="367" w:type="pct"/>
            <w:tcBorders>
              <w:top w:val="nil"/>
              <w:left w:val="nil"/>
              <w:bottom w:val="single" w:color="auto" w:sz="4" w:space="0"/>
              <w:right w:val="single" w:color="auto" w:sz="4" w:space="0"/>
            </w:tcBorders>
            <w:noWrap w:val="0"/>
            <w:vAlign w:val="center"/>
          </w:tcPr>
          <w:p w14:paraId="351B23AA">
            <w:pPr>
              <w:spacing w:line="0" w:lineRule="atLeast"/>
              <w:jc w:val="center"/>
              <w:rPr>
                <w:rFonts w:ascii="宋体" w:hAnsi="宋体"/>
                <w:b/>
                <w:sz w:val="16"/>
                <w:szCs w:val="16"/>
                <w:highlight w:val="none"/>
              </w:rPr>
            </w:pPr>
            <w:r>
              <w:rPr>
                <w:rFonts w:hint="eastAsia" w:ascii="宋体" w:hAnsi="宋体"/>
                <w:b/>
                <w:sz w:val="16"/>
                <w:szCs w:val="16"/>
                <w:highlight w:val="none"/>
              </w:rPr>
              <w:t>＜100</w:t>
            </w:r>
          </w:p>
        </w:tc>
        <w:tc>
          <w:tcPr>
            <w:tcW w:w="292" w:type="pct"/>
            <w:tcBorders>
              <w:top w:val="nil"/>
              <w:left w:val="nil"/>
              <w:bottom w:val="single" w:color="auto" w:sz="4" w:space="0"/>
              <w:right w:val="single" w:color="auto" w:sz="4" w:space="0"/>
            </w:tcBorders>
            <w:noWrap w:val="0"/>
            <w:vAlign w:val="center"/>
          </w:tcPr>
          <w:p w14:paraId="5192C126">
            <w:pPr>
              <w:spacing w:line="0" w:lineRule="atLeast"/>
              <w:jc w:val="center"/>
              <w:rPr>
                <w:rFonts w:ascii="宋体" w:hAnsi="宋体"/>
                <w:b/>
                <w:sz w:val="16"/>
                <w:szCs w:val="16"/>
                <w:highlight w:val="none"/>
              </w:rPr>
            </w:pPr>
            <w:r>
              <w:rPr>
                <w:rFonts w:hint="eastAsia" w:ascii="宋体" w:hAnsi="宋体"/>
                <w:b/>
                <w:sz w:val="16"/>
                <w:szCs w:val="16"/>
                <w:highlight w:val="none"/>
              </w:rPr>
              <w:t>＜10</w:t>
            </w:r>
          </w:p>
        </w:tc>
        <w:tc>
          <w:tcPr>
            <w:tcW w:w="287" w:type="pct"/>
            <w:tcBorders>
              <w:top w:val="nil"/>
              <w:left w:val="nil"/>
              <w:bottom w:val="single" w:color="auto" w:sz="4" w:space="0"/>
              <w:right w:val="single" w:color="auto" w:sz="4" w:space="0"/>
            </w:tcBorders>
            <w:noWrap w:val="0"/>
            <w:vAlign w:val="center"/>
          </w:tcPr>
          <w:p w14:paraId="4B165006">
            <w:pPr>
              <w:spacing w:line="0" w:lineRule="atLeast"/>
              <w:jc w:val="center"/>
              <w:rPr>
                <w:rFonts w:ascii="宋体" w:hAnsi="宋体"/>
                <w:b/>
                <w:sz w:val="16"/>
                <w:szCs w:val="16"/>
                <w:highlight w:val="none"/>
              </w:rPr>
            </w:pPr>
          </w:p>
        </w:tc>
      </w:tr>
      <w:tr w14:paraId="718D4193">
        <w:tblPrEx>
          <w:tblCellMar>
            <w:top w:w="0" w:type="dxa"/>
            <w:left w:w="108" w:type="dxa"/>
            <w:bottom w:w="0" w:type="dxa"/>
            <w:right w:w="108" w:type="dxa"/>
          </w:tblCellMar>
        </w:tblPrEx>
        <w:trPr>
          <w:trHeight w:val="369" w:hRule="atLeast"/>
          <w:jc w:val="center"/>
        </w:trPr>
        <w:tc>
          <w:tcPr>
            <w:tcW w:w="259" w:type="pct"/>
            <w:tcBorders>
              <w:top w:val="nil"/>
              <w:left w:val="single" w:color="auto" w:sz="4" w:space="0"/>
              <w:bottom w:val="single" w:color="auto" w:sz="4" w:space="0"/>
              <w:right w:val="single" w:color="auto" w:sz="4" w:space="0"/>
            </w:tcBorders>
            <w:noWrap w:val="0"/>
            <w:vAlign w:val="center"/>
          </w:tcPr>
          <w:p w14:paraId="18E52DD3">
            <w:pPr>
              <w:spacing w:line="0" w:lineRule="atLeast"/>
              <w:jc w:val="center"/>
              <w:rPr>
                <w:rFonts w:ascii="宋体" w:hAnsi="宋体"/>
                <w:b/>
                <w:sz w:val="16"/>
                <w:szCs w:val="16"/>
                <w:highlight w:val="none"/>
              </w:rPr>
            </w:pPr>
            <w:r>
              <w:rPr>
                <w:rFonts w:hint="eastAsia" w:ascii="宋体" w:hAnsi="宋体"/>
                <w:b/>
                <w:sz w:val="16"/>
                <w:szCs w:val="16"/>
                <w:highlight w:val="none"/>
              </w:rPr>
              <w:t>12</w:t>
            </w:r>
          </w:p>
        </w:tc>
        <w:tc>
          <w:tcPr>
            <w:tcW w:w="738" w:type="pct"/>
            <w:tcBorders>
              <w:top w:val="nil"/>
              <w:left w:val="nil"/>
              <w:bottom w:val="single" w:color="auto" w:sz="4" w:space="0"/>
              <w:right w:val="single" w:color="auto" w:sz="4" w:space="0"/>
            </w:tcBorders>
            <w:noWrap w:val="0"/>
            <w:vAlign w:val="center"/>
          </w:tcPr>
          <w:p w14:paraId="5876AC07">
            <w:pPr>
              <w:spacing w:line="0" w:lineRule="atLeast"/>
              <w:jc w:val="center"/>
              <w:rPr>
                <w:rFonts w:ascii="宋体" w:hAnsi="宋体"/>
                <w:b/>
                <w:sz w:val="16"/>
                <w:szCs w:val="16"/>
                <w:highlight w:val="none"/>
              </w:rPr>
            </w:pPr>
            <w:r>
              <w:rPr>
                <w:rFonts w:hint="eastAsia" w:ascii="宋体" w:hAnsi="宋体"/>
                <w:b/>
                <w:sz w:val="16"/>
                <w:szCs w:val="16"/>
                <w:highlight w:val="none"/>
              </w:rPr>
              <w:t>软件和信息技术服务业</w:t>
            </w:r>
          </w:p>
        </w:tc>
        <w:tc>
          <w:tcPr>
            <w:tcW w:w="397" w:type="pct"/>
            <w:tcBorders>
              <w:top w:val="nil"/>
              <w:left w:val="nil"/>
              <w:bottom w:val="single" w:color="auto" w:sz="4" w:space="0"/>
              <w:right w:val="single" w:color="auto" w:sz="4" w:space="0"/>
            </w:tcBorders>
            <w:noWrap w:val="0"/>
            <w:vAlign w:val="center"/>
          </w:tcPr>
          <w:p w14:paraId="469CF750">
            <w:pPr>
              <w:spacing w:line="0" w:lineRule="atLeast"/>
              <w:jc w:val="center"/>
              <w:rPr>
                <w:rFonts w:ascii="宋体" w:hAnsi="宋体"/>
                <w:b/>
                <w:sz w:val="16"/>
                <w:szCs w:val="16"/>
                <w:highlight w:val="none"/>
              </w:rPr>
            </w:pPr>
            <w:r>
              <w:rPr>
                <w:rFonts w:hint="eastAsia" w:ascii="宋体" w:hAnsi="宋体"/>
                <w:b/>
                <w:sz w:val="16"/>
                <w:szCs w:val="16"/>
                <w:highlight w:val="none"/>
              </w:rPr>
              <w:t>≥10000</w:t>
            </w:r>
          </w:p>
        </w:tc>
        <w:tc>
          <w:tcPr>
            <w:tcW w:w="306" w:type="pct"/>
            <w:tcBorders>
              <w:top w:val="nil"/>
              <w:left w:val="nil"/>
              <w:bottom w:val="single" w:color="auto" w:sz="4" w:space="0"/>
              <w:right w:val="single" w:color="auto" w:sz="4" w:space="0"/>
            </w:tcBorders>
            <w:noWrap w:val="0"/>
            <w:vAlign w:val="center"/>
          </w:tcPr>
          <w:p w14:paraId="366CDB07">
            <w:pPr>
              <w:spacing w:line="0" w:lineRule="atLeast"/>
              <w:jc w:val="center"/>
              <w:rPr>
                <w:rFonts w:ascii="宋体" w:hAnsi="宋体"/>
                <w:b/>
                <w:sz w:val="16"/>
                <w:szCs w:val="16"/>
                <w:highlight w:val="none"/>
              </w:rPr>
            </w:pPr>
            <w:r>
              <w:rPr>
                <w:rFonts w:hint="eastAsia" w:ascii="宋体" w:hAnsi="宋体"/>
                <w:b/>
                <w:sz w:val="16"/>
                <w:szCs w:val="16"/>
                <w:highlight w:val="none"/>
              </w:rPr>
              <w:t>≥300</w:t>
            </w:r>
          </w:p>
        </w:tc>
        <w:tc>
          <w:tcPr>
            <w:tcW w:w="316" w:type="pct"/>
            <w:tcBorders>
              <w:top w:val="nil"/>
              <w:left w:val="nil"/>
              <w:bottom w:val="single" w:color="auto" w:sz="4" w:space="0"/>
              <w:right w:val="single" w:color="auto" w:sz="4" w:space="0"/>
            </w:tcBorders>
            <w:noWrap w:val="0"/>
            <w:vAlign w:val="center"/>
          </w:tcPr>
          <w:p w14:paraId="2516BE59">
            <w:pPr>
              <w:spacing w:line="0" w:lineRule="atLeast"/>
              <w:jc w:val="center"/>
              <w:rPr>
                <w:rFonts w:ascii="宋体" w:hAnsi="宋体"/>
                <w:b/>
                <w:sz w:val="16"/>
                <w:szCs w:val="16"/>
                <w:highlight w:val="none"/>
              </w:rPr>
            </w:pPr>
          </w:p>
        </w:tc>
        <w:tc>
          <w:tcPr>
            <w:tcW w:w="367" w:type="pct"/>
            <w:tcBorders>
              <w:top w:val="nil"/>
              <w:left w:val="nil"/>
              <w:bottom w:val="single" w:color="auto" w:sz="4" w:space="0"/>
              <w:right w:val="single" w:color="auto" w:sz="4" w:space="0"/>
            </w:tcBorders>
            <w:noWrap w:val="0"/>
            <w:vAlign w:val="center"/>
          </w:tcPr>
          <w:p w14:paraId="26F5A969">
            <w:pPr>
              <w:spacing w:line="0" w:lineRule="atLeast"/>
              <w:jc w:val="center"/>
              <w:rPr>
                <w:rFonts w:ascii="宋体" w:hAnsi="宋体"/>
                <w:b/>
                <w:sz w:val="16"/>
                <w:szCs w:val="16"/>
                <w:highlight w:val="none"/>
              </w:rPr>
            </w:pPr>
            <w:r>
              <w:rPr>
                <w:rFonts w:hint="eastAsia" w:ascii="宋体" w:hAnsi="宋体"/>
                <w:b/>
                <w:sz w:val="16"/>
                <w:szCs w:val="16"/>
                <w:highlight w:val="none"/>
              </w:rPr>
              <w:t>≥1000</w:t>
            </w:r>
          </w:p>
        </w:tc>
        <w:tc>
          <w:tcPr>
            <w:tcW w:w="312" w:type="pct"/>
            <w:tcBorders>
              <w:top w:val="nil"/>
              <w:left w:val="nil"/>
              <w:bottom w:val="single" w:color="auto" w:sz="4" w:space="0"/>
              <w:right w:val="single" w:color="auto" w:sz="4" w:space="0"/>
            </w:tcBorders>
            <w:noWrap w:val="0"/>
            <w:vAlign w:val="center"/>
          </w:tcPr>
          <w:p w14:paraId="549F0FC5">
            <w:pPr>
              <w:spacing w:line="0" w:lineRule="atLeast"/>
              <w:jc w:val="center"/>
              <w:rPr>
                <w:rFonts w:ascii="宋体" w:hAnsi="宋体"/>
                <w:b/>
                <w:sz w:val="16"/>
                <w:szCs w:val="16"/>
                <w:highlight w:val="none"/>
              </w:rPr>
            </w:pPr>
            <w:r>
              <w:rPr>
                <w:rFonts w:hint="eastAsia" w:ascii="宋体" w:hAnsi="宋体"/>
                <w:b/>
                <w:sz w:val="16"/>
                <w:szCs w:val="16"/>
                <w:highlight w:val="none"/>
              </w:rPr>
              <w:t>≥100</w:t>
            </w:r>
          </w:p>
        </w:tc>
        <w:tc>
          <w:tcPr>
            <w:tcW w:w="335" w:type="pct"/>
            <w:tcBorders>
              <w:top w:val="nil"/>
              <w:left w:val="nil"/>
              <w:bottom w:val="single" w:color="auto" w:sz="4" w:space="0"/>
              <w:right w:val="single" w:color="auto" w:sz="4" w:space="0"/>
            </w:tcBorders>
            <w:noWrap w:val="0"/>
            <w:vAlign w:val="center"/>
          </w:tcPr>
          <w:p w14:paraId="1F36BBFD">
            <w:pPr>
              <w:spacing w:line="0" w:lineRule="atLeast"/>
              <w:jc w:val="center"/>
              <w:rPr>
                <w:rFonts w:ascii="宋体" w:hAnsi="宋体"/>
                <w:b/>
                <w:sz w:val="16"/>
                <w:szCs w:val="16"/>
                <w:highlight w:val="none"/>
              </w:rPr>
            </w:pPr>
          </w:p>
        </w:tc>
        <w:tc>
          <w:tcPr>
            <w:tcW w:w="367" w:type="pct"/>
            <w:tcBorders>
              <w:top w:val="nil"/>
              <w:left w:val="nil"/>
              <w:bottom w:val="single" w:color="auto" w:sz="4" w:space="0"/>
              <w:right w:val="single" w:color="auto" w:sz="4" w:space="0"/>
            </w:tcBorders>
            <w:noWrap w:val="0"/>
            <w:vAlign w:val="center"/>
          </w:tcPr>
          <w:p w14:paraId="7F2BBE73">
            <w:pPr>
              <w:spacing w:line="0" w:lineRule="atLeast"/>
              <w:jc w:val="center"/>
              <w:rPr>
                <w:rFonts w:ascii="宋体" w:hAnsi="宋体"/>
                <w:b/>
                <w:sz w:val="16"/>
                <w:szCs w:val="16"/>
                <w:highlight w:val="none"/>
              </w:rPr>
            </w:pPr>
            <w:r>
              <w:rPr>
                <w:rFonts w:hint="eastAsia" w:ascii="宋体" w:hAnsi="宋体"/>
                <w:b/>
                <w:sz w:val="16"/>
                <w:szCs w:val="16"/>
                <w:highlight w:val="none"/>
              </w:rPr>
              <w:t>≥50</w:t>
            </w:r>
          </w:p>
        </w:tc>
        <w:tc>
          <w:tcPr>
            <w:tcW w:w="318" w:type="pct"/>
            <w:tcBorders>
              <w:top w:val="nil"/>
              <w:left w:val="nil"/>
              <w:bottom w:val="single" w:color="auto" w:sz="4" w:space="0"/>
              <w:right w:val="single" w:color="auto" w:sz="4" w:space="0"/>
            </w:tcBorders>
            <w:noWrap w:val="0"/>
            <w:vAlign w:val="center"/>
          </w:tcPr>
          <w:p w14:paraId="2517F04D">
            <w:pPr>
              <w:spacing w:line="0" w:lineRule="atLeast"/>
              <w:jc w:val="center"/>
              <w:rPr>
                <w:rFonts w:ascii="宋体" w:hAnsi="宋体"/>
                <w:b/>
                <w:sz w:val="16"/>
                <w:szCs w:val="16"/>
                <w:highlight w:val="none"/>
              </w:rPr>
            </w:pPr>
            <w:r>
              <w:rPr>
                <w:rFonts w:hint="eastAsia" w:ascii="宋体" w:hAnsi="宋体"/>
                <w:b/>
                <w:sz w:val="16"/>
                <w:szCs w:val="16"/>
                <w:highlight w:val="none"/>
              </w:rPr>
              <w:t>≥10</w:t>
            </w:r>
          </w:p>
        </w:tc>
        <w:tc>
          <w:tcPr>
            <w:tcW w:w="336" w:type="pct"/>
            <w:tcBorders>
              <w:top w:val="nil"/>
              <w:left w:val="nil"/>
              <w:bottom w:val="single" w:color="auto" w:sz="4" w:space="0"/>
              <w:right w:val="single" w:color="auto" w:sz="4" w:space="0"/>
            </w:tcBorders>
            <w:noWrap w:val="0"/>
            <w:vAlign w:val="center"/>
          </w:tcPr>
          <w:p w14:paraId="341C7660">
            <w:pPr>
              <w:spacing w:line="0" w:lineRule="atLeast"/>
              <w:jc w:val="center"/>
              <w:rPr>
                <w:rFonts w:ascii="宋体" w:hAnsi="宋体"/>
                <w:b/>
                <w:sz w:val="16"/>
                <w:szCs w:val="16"/>
                <w:highlight w:val="none"/>
              </w:rPr>
            </w:pPr>
          </w:p>
        </w:tc>
        <w:tc>
          <w:tcPr>
            <w:tcW w:w="367" w:type="pct"/>
            <w:tcBorders>
              <w:top w:val="nil"/>
              <w:left w:val="nil"/>
              <w:bottom w:val="single" w:color="auto" w:sz="4" w:space="0"/>
              <w:right w:val="single" w:color="auto" w:sz="4" w:space="0"/>
            </w:tcBorders>
            <w:noWrap w:val="0"/>
            <w:vAlign w:val="center"/>
          </w:tcPr>
          <w:p w14:paraId="57AE7E0E">
            <w:pPr>
              <w:spacing w:line="0" w:lineRule="atLeast"/>
              <w:jc w:val="center"/>
              <w:rPr>
                <w:rFonts w:ascii="宋体" w:hAnsi="宋体"/>
                <w:b/>
                <w:sz w:val="16"/>
                <w:szCs w:val="16"/>
                <w:highlight w:val="none"/>
              </w:rPr>
            </w:pPr>
            <w:r>
              <w:rPr>
                <w:rFonts w:hint="eastAsia" w:ascii="宋体" w:hAnsi="宋体"/>
                <w:b/>
                <w:sz w:val="16"/>
                <w:szCs w:val="16"/>
                <w:highlight w:val="none"/>
              </w:rPr>
              <w:t>＜50</w:t>
            </w:r>
          </w:p>
        </w:tc>
        <w:tc>
          <w:tcPr>
            <w:tcW w:w="292" w:type="pct"/>
            <w:tcBorders>
              <w:top w:val="nil"/>
              <w:left w:val="nil"/>
              <w:bottom w:val="single" w:color="auto" w:sz="4" w:space="0"/>
              <w:right w:val="single" w:color="auto" w:sz="4" w:space="0"/>
            </w:tcBorders>
            <w:noWrap w:val="0"/>
            <w:vAlign w:val="center"/>
          </w:tcPr>
          <w:p w14:paraId="7D749286">
            <w:pPr>
              <w:spacing w:line="0" w:lineRule="atLeast"/>
              <w:jc w:val="center"/>
              <w:rPr>
                <w:rFonts w:ascii="宋体" w:hAnsi="宋体"/>
                <w:b/>
                <w:sz w:val="16"/>
                <w:szCs w:val="16"/>
                <w:highlight w:val="none"/>
              </w:rPr>
            </w:pPr>
            <w:r>
              <w:rPr>
                <w:rFonts w:hint="eastAsia" w:ascii="宋体" w:hAnsi="宋体"/>
                <w:b/>
                <w:sz w:val="16"/>
                <w:szCs w:val="16"/>
                <w:highlight w:val="none"/>
              </w:rPr>
              <w:t>＜10</w:t>
            </w:r>
          </w:p>
        </w:tc>
        <w:tc>
          <w:tcPr>
            <w:tcW w:w="287" w:type="pct"/>
            <w:tcBorders>
              <w:top w:val="nil"/>
              <w:left w:val="nil"/>
              <w:bottom w:val="single" w:color="auto" w:sz="4" w:space="0"/>
              <w:right w:val="single" w:color="auto" w:sz="4" w:space="0"/>
            </w:tcBorders>
            <w:noWrap w:val="0"/>
            <w:vAlign w:val="center"/>
          </w:tcPr>
          <w:p w14:paraId="6BFA5404">
            <w:pPr>
              <w:spacing w:line="0" w:lineRule="atLeast"/>
              <w:jc w:val="center"/>
              <w:rPr>
                <w:rFonts w:ascii="宋体" w:hAnsi="宋体"/>
                <w:b/>
                <w:sz w:val="16"/>
                <w:szCs w:val="16"/>
                <w:highlight w:val="none"/>
              </w:rPr>
            </w:pPr>
          </w:p>
        </w:tc>
      </w:tr>
      <w:tr w14:paraId="6A6AE1E1">
        <w:tblPrEx>
          <w:tblCellMar>
            <w:top w:w="0" w:type="dxa"/>
            <w:left w:w="108" w:type="dxa"/>
            <w:bottom w:w="0" w:type="dxa"/>
            <w:right w:w="108" w:type="dxa"/>
          </w:tblCellMar>
        </w:tblPrEx>
        <w:trPr>
          <w:trHeight w:val="369" w:hRule="atLeast"/>
          <w:jc w:val="center"/>
        </w:trPr>
        <w:tc>
          <w:tcPr>
            <w:tcW w:w="259" w:type="pct"/>
            <w:tcBorders>
              <w:top w:val="nil"/>
              <w:left w:val="single" w:color="auto" w:sz="4" w:space="0"/>
              <w:bottom w:val="single" w:color="auto" w:sz="4" w:space="0"/>
              <w:right w:val="single" w:color="auto" w:sz="4" w:space="0"/>
            </w:tcBorders>
            <w:noWrap w:val="0"/>
            <w:vAlign w:val="center"/>
          </w:tcPr>
          <w:p w14:paraId="6CB172BA">
            <w:pPr>
              <w:spacing w:line="0" w:lineRule="atLeast"/>
              <w:jc w:val="center"/>
              <w:rPr>
                <w:rFonts w:ascii="宋体" w:hAnsi="宋体"/>
                <w:bCs/>
                <w:sz w:val="16"/>
                <w:szCs w:val="16"/>
                <w:highlight w:val="none"/>
              </w:rPr>
            </w:pPr>
            <w:r>
              <w:rPr>
                <w:rFonts w:hint="eastAsia" w:ascii="宋体" w:hAnsi="宋体"/>
                <w:bCs/>
                <w:sz w:val="16"/>
                <w:szCs w:val="16"/>
                <w:highlight w:val="none"/>
              </w:rPr>
              <w:t>13</w:t>
            </w:r>
          </w:p>
        </w:tc>
        <w:tc>
          <w:tcPr>
            <w:tcW w:w="738" w:type="pct"/>
            <w:tcBorders>
              <w:top w:val="nil"/>
              <w:left w:val="nil"/>
              <w:bottom w:val="single" w:color="auto" w:sz="4" w:space="0"/>
              <w:right w:val="single" w:color="auto" w:sz="4" w:space="0"/>
            </w:tcBorders>
            <w:noWrap w:val="0"/>
            <w:vAlign w:val="center"/>
          </w:tcPr>
          <w:p w14:paraId="23D811E6">
            <w:pPr>
              <w:spacing w:line="0" w:lineRule="atLeast"/>
              <w:jc w:val="center"/>
              <w:rPr>
                <w:rFonts w:ascii="宋体" w:hAnsi="宋体"/>
                <w:bCs/>
                <w:sz w:val="16"/>
                <w:szCs w:val="16"/>
                <w:highlight w:val="none"/>
              </w:rPr>
            </w:pPr>
            <w:r>
              <w:rPr>
                <w:rFonts w:hint="eastAsia" w:ascii="宋体" w:hAnsi="宋体"/>
                <w:bCs/>
                <w:sz w:val="16"/>
                <w:szCs w:val="16"/>
                <w:highlight w:val="none"/>
              </w:rPr>
              <w:t>房地产开发经验</w:t>
            </w:r>
          </w:p>
        </w:tc>
        <w:tc>
          <w:tcPr>
            <w:tcW w:w="397" w:type="pct"/>
            <w:tcBorders>
              <w:top w:val="nil"/>
              <w:left w:val="nil"/>
              <w:bottom w:val="single" w:color="auto" w:sz="4" w:space="0"/>
              <w:right w:val="single" w:color="auto" w:sz="4" w:space="0"/>
            </w:tcBorders>
            <w:noWrap w:val="0"/>
            <w:vAlign w:val="center"/>
          </w:tcPr>
          <w:p w14:paraId="27BE0FBA">
            <w:pPr>
              <w:spacing w:line="0" w:lineRule="atLeast"/>
              <w:jc w:val="center"/>
              <w:rPr>
                <w:rFonts w:ascii="宋体" w:hAnsi="宋体"/>
                <w:sz w:val="16"/>
                <w:szCs w:val="16"/>
                <w:highlight w:val="none"/>
              </w:rPr>
            </w:pPr>
            <w:r>
              <w:rPr>
                <w:rFonts w:hint="eastAsia" w:ascii="宋体" w:hAnsi="宋体"/>
                <w:sz w:val="16"/>
                <w:szCs w:val="16"/>
                <w:highlight w:val="none"/>
              </w:rPr>
              <w:t>≥200000</w:t>
            </w:r>
          </w:p>
        </w:tc>
        <w:tc>
          <w:tcPr>
            <w:tcW w:w="306" w:type="pct"/>
            <w:tcBorders>
              <w:top w:val="nil"/>
              <w:left w:val="nil"/>
              <w:bottom w:val="single" w:color="auto" w:sz="4" w:space="0"/>
              <w:right w:val="single" w:color="auto" w:sz="4" w:space="0"/>
            </w:tcBorders>
            <w:noWrap w:val="0"/>
            <w:vAlign w:val="center"/>
          </w:tcPr>
          <w:p w14:paraId="7B155D7E">
            <w:pPr>
              <w:spacing w:line="0" w:lineRule="atLeast"/>
              <w:jc w:val="center"/>
              <w:rPr>
                <w:rFonts w:ascii="宋体" w:hAnsi="宋体"/>
                <w:sz w:val="16"/>
                <w:szCs w:val="16"/>
                <w:highlight w:val="none"/>
              </w:rPr>
            </w:pPr>
          </w:p>
        </w:tc>
        <w:tc>
          <w:tcPr>
            <w:tcW w:w="316" w:type="pct"/>
            <w:tcBorders>
              <w:top w:val="nil"/>
              <w:left w:val="nil"/>
              <w:bottom w:val="single" w:color="auto" w:sz="4" w:space="0"/>
              <w:right w:val="single" w:color="auto" w:sz="4" w:space="0"/>
            </w:tcBorders>
            <w:noWrap w:val="0"/>
            <w:vAlign w:val="center"/>
          </w:tcPr>
          <w:p w14:paraId="075E9916">
            <w:pPr>
              <w:spacing w:line="0" w:lineRule="atLeast"/>
              <w:jc w:val="center"/>
              <w:rPr>
                <w:rFonts w:ascii="宋体" w:hAnsi="宋体"/>
                <w:sz w:val="16"/>
                <w:szCs w:val="16"/>
                <w:highlight w:val="none"/>
              </w:rPr>
            </w:pPr>
            <w:r>
              <w:rPr>
                <w:rFonts w:hint="eastAsia" w:ascii="宋体" w:hAnsi="宋体"/>
                <w:sz w:val="16"/>
                <w:szCs w:val="16"/>
                <w:highlight w:val="none"/>
              </w:rPr>
              <w:t>或,≥10000</w:t>
            </w:r>
          </w:p>
        </w:tc>
        <w:tc>
          <w:tcPr>
            <w:tcW w:w="367" w:type="pct"/>
            <w:tcBorders>
              <w:top w:val="nil"/>
              <w:left w:val="nil"/>
              <w:bottom w:val="single" w:color="auto" w:sz="4" w:space="0"/>
              <w:right w:val="single" w:color="auto" w:sz="4" w:space="0"/>
            </w:tcBorders>
            <w:noWrap w:val="0"/>
            <w:vAlign w:val="center"/>
          </w:tcPr>
          <w:p w14:paraId="580FF95E">
            <w:pPr>
              <w:spacing w:line="0" w:lineRule="atLeast"/>
              <w:jc w:val="center"/>
              <w:rPr>
                <w:rFonts w:ascii="宋体" w:hAnsi="宋体"/>
                <w:sz w:val="16"/>
                <w:szCs w:val="16"/>
                <w:highlight w:val="none"/>
              </w:rPr>
            </w:pPr>
            <w:r>
              <w:rPr>
                <w:rFonts w:hint="eastAsia" w:ascii="宋体" w:hAnsi="宋体"/>
                <w:sz w:val="16"/>
                <w:szCs w:val="16"/>
                <w:highlight w:val="none"/>
              </w:rPr>
              <w:t>≥1000</w:t>
            </w:r>
          </w:p>
        </w:tc>
        <w:tc>
          <w:tcPr>
            <w:tcW w:w="312" w:type="pct"/>
            <w:tcBorders>
              <w:top w:val="nil"/>
              <w:left w:val="nil"/>
              <w:bottom w:val="single" w:color="auto" w:sz="4" w:space="0"/>
              <w:right w:val="single" w:color="auto" w:sz="4" w:space="0"/>
            </w:tcBorders>
            <w:noWrap w:val="0"/>
            <w:vAlign w:val="center"/>
          </w:tcPr>
          <w:p w14:paraId="03C8B89B">
            <w:pPr>
              <w:spacing w:line="0" w:lineRule="atLeast"/>
              <w:jc w:val="center"/>
              <w:rPr>
                <w:rFonts w:ascii="宋体" w:hAnsi="宋体"/>
                <w:sz w:val="16"/>
                <w:szCs w:val="16"/>
                <w:highlight w:val="none"/>
              </w:rPr>
            </w:pPr>
          </w:p>
        </w:tc>
        <w:tc>
          <w:tcPr>
            <w:tcW w:w="335" w:type="pct"/>
            <w:tcBorders>
              <w:top w:val="nil"/>
              <w:left w:val="nil"/>
              <w:bottom w:val="single" w:color="auto" w:sz="4" w:space="0"/>
              <w:right w:val="single" w:color="auto" w:sz="4" w:space="0"/>
            </w:tcBorders>
            <w:noWrap w:val="0"/>
            <w:vAlign w:val="center"/>
          </w:tcPr>
          <w:p w14:paraId="060A9633">
            <w:pPr>
              <w:spacing w:line="0" w:lineRule="atLeast"/>
              <w:jc w:val="center"/>
              <w:rPr>
                <w:rFonts w:ascii="宋体" w:hAnsi="宋体"/>
                <w:sz w:val="16"/>
                <w:szCs w:val="16"/>
                <w:highlight w:val="none"/>
              </w:rPr>
            </w:pPr>
            <w:r>
              <w:rPr>
                <w:rFonts w:hint="eastAsia" w:ascii="宋体" w:hAnsi="宋体"/>
                <w:sz w:val="16"/>
                <w:szCs w:val="16"/>
                <w:highlight w:val="none"/>
              </w:rPr>
              <w:t>且,≥5000</w:t>
            </w:r>
          </w:p>
        </w:tc>
        <w:tc>
          <w:tcPr>
            <w:tcW w:w="367" w:type="pct"/>
            <w:tcBorders>
              <w:top w:val="nil"/>
              <w:left w:val="nil"/>
              <w:bottom w:val="single" w:color="auto" w:sz="4" w:space="0"/>
              <w:right w:val="single" w:color="auto" w:sz="4" w:space="0"/>
            </w:tcBorders>
            <w:noWrap w:val="0"/>
            <w:vAlign w:val="center"/>
          </w:tcPr>
          <w:p w14:paraId="31F6A554">
            <w:pPr>
              <w:spacing w:line="0" w:lineRule="atLeast"/>
              <w:jc w:val="center"/>
              <w:rPr>
                <w:rFonts w:ascii="宋体" w:hAnsi="宋体"/>
                <w:sz w:val="16"/>
                <w:szCs w:val="16"/>
                <w:highlight w:val="none"/>
              </w:rPr>
            </w:pPr>
            <w:r>
              <w:rPr>
                <w:rFonts w:hint="eastAsia" w:ascii="宋体" w:hAnsi="宋体"/>
                <w:sz w:val="16"/>
                <w:szCs w:val="16"/>
                <w:highlight w:val="none"/>
              </w:rPr>
              <w:t>≥100</w:t>
            </w:r>
          </w:p>
        </w:tc>
        <w:tc>
          <w:tcPr>
            <w:tcW w:w="318" w:type="pct"/>
            <w:tcBorders>
              <w:top w:val="nil"/>
              <w:left w:val="nil"/>
              <w:bottom w:val="single" w:color="auto" w:sz="4" w:space="0"/>
              <w:right w:val="single" w:color="auto" w:sz="4" w:space="0"/>
            </w:tcBorders>
            <w:noWrap w:val="0"/>
            <w:vAlign w:val="center"/>
          </w:tcPr>
          <w:p w14:paraId="0B232FB0">
            <w:pPr>
              <w:spacing w:line="0" w:lineRule="atLeast"/>
              <w:jc w:val="center"/>
              <w:rPr>
                <w:rFonts w:ascii="宋体" w:hAnsi="宋体"/>
                <w:sz w:val="16"/>
                <w:szCs w:val="16"/>
                <w:highlight w:val="none"/>
              </w:rPr>
            </w:pPr>
          </w:p>
        </w:tc>
        <w:tc>
          <w:tcPr>
            <w:tcW w:w="336" w:type="pct"/>
            <w:tcBorders>
              <w:top w:val="nil"/>
              <w:left w:val="nil"/>
              <w:bottom w:val="single" w:color="auto" w:sz="4" w:space="0"/>
              <w:right w:val="single" w:color="auto" w:sz="4" w:space="0"/>
            </w:tcBorders>
            <w:noWrap w:val="0"/>
            <w:vAlign w:val="center"/>
          </w:tcPr>
          <w:p w14:paraId="0012CDCE">
            <w:pPr>
              <w:spacing w:line="0" w:lineRule="atLeast"/>
              <w:jc w:val="center"/>
              <w:rPr>
                <w:rFonts w:ascii="宋体" w:hAnsi="宋体"/>
                <w:sz w:val="16"/>
                <w:szCs w:val="16"/>
                <w:highlight w:val="none"/>
              </w:rPr>
            </w:pPr>
            <w:r>
              <w:rPr>
                <w:rFonts w:hint="eastAsia" w:ascii="宋体" w:hAnsi="宋体"/>
                <w:sz w:val="16"/>
                <w:szCs w:val="16"/>
                <w:highlight w:val="none"/>
              </w:rPr>
              <w:t>且,≥2000</w:t>
            </w:r>
          </w:p>
        </w:tc>
        <w:tc>
          <w:tcPr>
            <w:tcW w:w="367" w:type="pct"/>
            <w:tcBorders>
              <w:top w:val="nil"/>
              <w:left w:val="nil"/>
              <w:bottom w:val="single" w:color="auto" w:sz="4" w:space="0"/>
              <w:right w:val="single" w:color="auto" w:sz="4" w:space="0"/>
            </w:tcBorders>
            <w:noWrap w:val="0"/>
            <w:vAlign w:val="center"/>
          </w:tcPr>
          <w:p w14:paraId="1BD0792D">
            <w:pPr>
              <w:spacing w:line="0" w:lineRule="atLeast"/>
              <w:jc w:val="center"/>
              <w:rPr>
                <w:rFonts w:ascii="宋体" w:hAnsi="宋体"/>
                <w:sz w:val="16"/>
                <w:szCs w:val="16"/>
                <w:highlight w:val="none"/>
              </w:rPr>
            </w:pPr>
            <w:r>
              <w:rPr>
                <w:rFonts w:hint="eastAsia" w:ascii="宋体" w:hAnsi="宋体"/>
                <w:sz w:val="16"/>
                <w:szCs w:val="16"/>
                <w:highlight w:val="none"/>
              </w:rPr>
              <w:t>＜100</w:t>
            </w:r>
          </w:p>
        </w:tc>
        <w:tc>
          <w:tcPr>
            <w:tcW w:w="292" w:type="pct"/>
            <w:tcBorders>
              <w:top w:val="nil"/>
              <w:left w:val="nil"/>
              <w:bottom w:val="single" w:color="auto" w:sz="4" w:space="0"/>
              <w:right w:val="single" w:color="auto" w:sz="4" w:space="0"/>
            </w:tcBorders>
            <w:noWrap w:val="0"/>
            <w:vAlign w:val="center"/>
          </w:tcPr>
          <w:p w14:paraId="349B6BEA">
            <w:pPr>
              <w:spacing w:line="0" w:lineRule="atLeast"/>
              <w:jc w:val="center"/>
              <w:rPr>
                <w:rFonts w:ascii="宋体" w:hAnsi="宋体"/>
                <w:sz w:val="16"/>
                <w:szCs w:val="16"/>
                <w:highlight w:val="none"/>
              </w:rPr>
            </w:pPr>
          </w:p>
        </w:tc>
        <w:tc>
          <w:tcPr>
            <w:tcW w:w="287" w:type="pct"/>
            <w:tcBorders>
              <w:top w:val="nil"/>
              <w:left w:val="nil"/>
              <w:bottom w:val="single" w:color="auto" w:sz="4" w:space="0"/>
              <w:right w:val="single" w:color="auto" w:sz="4" w:space="0"/>
            </w:tcBorders>
            <w:noWrap w:val="0"/>
            <w:vAlign w:val="center"/>
          </w:tcPr>
          <w:p w14:paraId="2C7C1991">
            <w:pPr>
              <w:spacing w:line="0" w:lineRule="atLeast"/>
              <w:jc w:val="center"/>
              <w:rPr>
                <w:rFonts w:ascii="宋体" w:hAnsi="宋体"/>
                <w:sz w:val="16"/>
                <w:szCs w:val="16"/>
                <w:highlight w:val="none"/>
              </w:rPr>
            </w:pPr>
            <w:r>
              <w:rPr>
                <w:rFonts w:hint="eastAsia" w:ascii="宋体" w:hAnsi="宋体"/>
                <w:sz w:val="16"/>
                <w:szCs w:val="16"/>
                <w:highlight w:val="none"/>
              </w:rPr>
              <w:t>或,＜2000</w:t>
            </w:r>
          </w:p>
        </w:tc>
      </w:tr>
      <w:tr w14:paraId="0EA8E4EA">
        <w:tblPrEx>
          <w:tblCellMar>
            <w:top w:w="0" w:type="dxa"/>
            <w:left w:w="108" w:type="dxa"/>
            <w:bottom w:w="0" w:type="dxa"/>
            <w:right w:w="108" w:type="dxa"/>
          </w:tblCellMar>
        </w:tblPrEx>
        <w:trPr>
          <w:trHeight w:val="369" w:hRule="atLeast"/>
          <w:jc w:val="center"/>
        </w:trPr>
        <w:tc>
          <w:tcPr>
            <w:tcW w:w="259" w:type="pct"/>
            <w:tcBorders>
              <w:top w:val="nil"/>
              <w:left w:val="single" w:color="auto" w:sz="4" w:space="0"/>
              <w:bottom w:val="single" w:color="auto" w:sz="4" w:space="0"/>
              <w:right w:val="single" w:color="auto" w:sz="4" w:space="0"/>
            </w:tcBorders>
            <w:noWrap w:val="0"/>
            <w:vAlign w:val="center"/>
          </w:tcPr>
          <w:p w14:paraId="408647B8">
            <w:pPr>
              <w:spacing w:line="0" w:lineRule="atLeast"/>
              <w:jc w:val="center"/>
              <w:rPr>
                <w:rFonts w:ascii="宋体" w:hAnsi="宋体"/>
                <w:bCs/>
                <w:sz w:val="16"/>
                <w:szCs w:val="16"/>
                <w:highlight w:val="none"/>
              </w:rPr>
            </w:pPr>
            <w:r>
              <w:rPr>
                <w:rFonts w:hint="eastAsia" w:ascii="宋体" w:hAnsi="宋体"/>
                <w:bCs/>
                <w:sz w:val="16"/>
                <w:szCs w:val="16"/>
                <w:highlight w:val="none"/>
              </w:rPr>
              <w:t>14</w:t>
            </w:r>
          </w:p>
        </w:tc>
        <w:tc>
          <w:tcPr>
            <w:tcW w:w="738" w:type="pct"/>
            <w:tcBorders>
              <w:top w:val="nil"/>
              <w:left w:val="nil"/>
              <w:bottom w:val="single" w:color="auto" w:sz="4" w:space="0"/>
              <w:right w:val="single" w:color="auto" w:sz="4" w:space="0"/>
            </w:tcBorders>
            <w:noWrap w:val="0"/>
            <w:vAlign w:val="center"/>
          </w:tcPr>
          <w:p w14:paraId="7F22CD90">
            <w:pPr>
              <w:spacing w:line="0" w:lineRule="atLeast"/>
              <w:jc w:val="center"/>
              <w:rPr>
                <w:rFonts w:ascii="宋体" w:hAnsi="宋体"/>
                <w:bCs/>
                <w:sz w:val="16"/>
                <w:szCs w:val="16"/>
                <w:highlight w:val="none"/>
              </w:rPr>
            </w:pPr>
            <w:r>
              <w:rPr>
                <w:rFonts w:hint="eastAsia" w:ascii="宋体" w:hAnsi="宋体"/>
                <w:bCs/>
                <w:sz w:val="16"/>
                <w:szCs w:val="16"/>
                <w:highlight w:val="none"/>
              </w:rPr>
              <w:t>物业管理</w:t>
            </w:r>
          </w:p>
        </w:tc>
        <w:tc>
          <w:tcPr>
            <w:tcW w:w="397" w:type="pct"/>
            <w:tcBorders>
              <w:top w:val="nil"/>
              <w:left w:val="nil"/>
              <w:bottom w:val="single" w:color="auto" w:sz="4" w:space="0"/>
              <w:right w:val="single" w:color="auto" w:sz="4" w:space="0"/>
            </w:tcBorders>
            <w:noWrap w:val="0"/>
            <w:vAlign w:val="center"/>
          </w:tcPr>
          <w:p w14:paraId="53F2CA46">
            <w:pPr>
              <w:spacing w:line="0" w:lineRule="atLeast"/>
              <w:jc w:val="center"/>
              <w:rPr>
                <w:rFonts w:ascii="宋体" w:hAnsi="宋体"/>
                <w:sz w:val="16"/>
                <w:szCs w:val="16"/>
                <w:highlight w:val="none"/>
              </w:rPr>
            </w:pPr>
            <w:r>
              <w:rPr>
                <w:rFonts w:hint="eastAsia" w:ascii="宋体" w:hAnsi="宋体"/>
                <w:sz w:val="16"/>
                <w:szCs w:val="16"/>
                <w:highlight w:val="none"/>
              </w:rPr>
              <w:t>≥5000</w:t>
            </w:r>
          </w:p>
        </w:tc>
        <w:tc>
          <w:tcPr>
            <w:tcW w:w="306" w:type="pct"/>
            <w:tcBorders>
              <w:top w:val="nil"/>
              <w:left w:val="nil"/>
              <w:bottom w:val="single" w:color="auto" w:sz="4" w:space="0"/>
              <w:right w:val="single" w:color="auto" w:sz="4" w:space="0"/>
            </w:tcBorders>
            <w:noWrap w:val="0"/>
            <w:vAlign w:val="center"/>
          </w:tcPr>
          <w:p w14:paraId="2920016F">
            <w:pPr>
              <w:spacing w:line="0" w:lineRule="atLeast"/>
              <w:jc w:val="center"/>
              <w:rPr>
                <w:rFonts w:ascii="宋体" w:hAnsi="宋体"/>
                <w:sz w:val="16"/>
                <w:szCs w:val="16"/>
                <w:highlight w:val="none"/>
              </w:rPr>
            </w:pPr>
            <w:r>
              <w:rPr>
                <w:rFonts w:hint="eastAsia" w:ascii="宋体" w:hAnsi="宋体"/>
                <w:sz w:val="16"/>
                <w:szCs w:val="16"/>
                <w:highlight w:val="none"/>
              </w:rPr>
              <w:t>≥1000</w:t>
            </w:r>
          </w:p>
        </w:tc>
        <w:tc>
          <w:tcPr>
            <w:tcW w:w="316" w:type="pct"/>
            <w:tcBorders>
              <w:top w:val="nil"/>
              <w:left w:val="nil"/>
              <w:bottom w:val="single" w:color="auto" w:sz="4" w:space="0"/>
              <w:right w:val="single" w:color="auto" w:sz="4" w:space="0"/>
            </w:tcBorders>
            <w:noWrap w:val="0"/>
            <w:vAlign w:val="center"/>
          </w:tcPr>
          <w:p w14:paraId="74B16019">
            <w:pPr>
              <w:spacing w:line="0" w:lineRule="atLeast"/>
              <w:jc w:val="center"/>
              <w:rPr>
                <w:rFonts w:ascii="宋体" w:hAnsi="宋体"/>
                <w:sz w:val="16"/>
                <w:szCs w:val="16"/>
                <w:highlight w:val="none"/>
              </w:rPr>
            </w:pPr>
          </w:p>
        </w:tc>
        <w:tc>
          <w:tcPr>
            <w:tcW w:w="367" w:type="pct"/>
            <w:tcBorders>
              <w:top w:val="nil"/>
              <w:left w:val="nil"/>
              <w:bottom w:val="single" w:color="auto" w:sz="4" w:space="0"/>
              <w:right w:val="single" w:color="auto" w:sz="4" w:space="0"/>
            </w:tcBorders>
            <w:noWrap w:val="0"/>
            <w:vAlign w:val="center"/>
          </w:tcPr>
          <w:p w14:paraId="1C71CDB3">
            <w:pPr>
              <w:spacing w:line="0" w:lineRule="atLeast"/>
              <w:jc w:val="center"/>
              <w:rPr>
                <w:rFonts w:ascii="宋体" w:hAnsi="宋体"/>
                <w:sz w:val="16"/>
                <w:szCs w:val="16"/>
                <w:highlight w:val="none"/>
              </w:rPr>
            </w:pPr>
            <w:r>
              <w:rPr>
                <w:rFonts w:hint="eastAsia" w:ascii="宋体" w:hAnsi="宋体"/>
                <w:sz w:val="16"/>
                <w:szCs w:val="16"/>
                <w:highlight w:val="none"/>
              </w:rPr>
              <w:t>≥1000</w:t>
            </w:r>
          </w:p>
        </w:tc>
        <w:tc>
          <w:tcPr>
            <w:tcW w:w="312" w:type="pct"/>
            <w:tcBorders>
              <w:top w:val="nil"/>
              <w:left w:val="nil"/>
              <w:bottom w:val="single" w:color="auto" w:sz="4" w:space="0"/>
              <w:right w:val="single" w:color="auto" w:sz="4" w:space="0"/>
            </w:tcBorders>
            <w:noWrap w:val="0"/>
            <w:vAlign w:val="center"/>
          </w:tcPr>
          <w:p w14:paraId="67FF6CEE">
            <w:pPr>
              <w:spacing w:line="0" w:lineRule="atLeast"/>
              <w:jc w:val="center"/>
              <w:rPr>
                <w:rFonts w:ascii="宋体" w:hAnsi="宋体"/>
                <w:sz w:val="16"/>
                <w:szCs w:val="16"/>
                <w:highlight w:val="none"/>
              </w:rPr>
            </w:pPr>
            <w:r>
              <w:rPr>
                <w:rFonts w:hint="eastAsia" w:ascii="宋体" w:hAnsi="宋体"/>
                <w:sz w:val="16"/>
                <w:szCs w:val="16"/>
                <w:highlight w:val="none"/>
              </w:rPr>
              <w:t>≥300</w:t>
            </w:r>
          </w:p>
        </w:tc>
        <w:tc>
          <w:tcPr>
            <w:tcW w:w="335" w:type="pct"/>
            <w:tcBorders>
              <w:top w:val="nil"/>
              <w:left w:val="nil"/>
              <w:bottom w:val="single" w:color="auto" w:sz="4" w:space="0"/>
              <w:right w:val="single" w:color="auto" w:sz="4" w:space="0"/>
            </w:tcBorders>
            <w:noWrap w:val="0"/>
            <w:vAlign w:val="center"/>
          </w:tcPr>
          <w:p w14:paraId="4A996B7F">
            <w:pPr>
              <w:spacing w:line="0" w:lineRule="atLeast"/>
              <w:jc w:val="center"/>
              <w:rPr>
                <w:rFonts w:ascii="宋体" w:hAnsi="宋体"/>
                <w:sz w:val="16"/>
                <w:szCs w:val="16"/>
                <w:highlight w:val="none"/>
              </w:rPr>
            </w:pPr>
          </w:p>
        </w:tc>
        <w:tc>
          <w:tcPr>
            <w:tcW w:w="367" w:type="pct"/>
            <w:tcBorders>
              <w:top w:val="nil"/>
              <w:left w:val="nil"/>
              <w:bottom w:val="single" w:color="auto" w:sz="4" w:space="0"/>
              <w:right w:val="single" w:color="auto" w:sz="4" w:space="0"/>
            </w:tcBorders>
            <w:noWrap w:val="0"/>
            <w:vAlign w:val="center"/>
          </w:tcPr>
          <w:p w14:paraId="50C470EE">
            <w:pPr>
              <w:spacing w:line="0" w:lineRule="atLeast"/>
              <w:jc w:val="center"/>
              <w:rPr>
                <w:rFonts w:ascii="宋体" w:hAnsi="宋体"/>
                <w:sz w:val="16"/>
                <w:szCs w:val="16"/>
                <w:highlight w:val="none"/>
              </w:rPr>
            </w:pPr>
            <w:r>
              <w:rPr>
                <w:rFonts w:hint="eastAsia" w:ascii="宋体" w:hAnsi="宋体"/>
                <w:sz w:val="16"/>
                <w:szCs w:val="16"/>
                <w:highlight w:val="none"/>
              </w:rPr>
              <w:t>≥500</w:t>
            </w:r>
          </w:p>
        </w:tc>
        <w:tc>
          <w:tcPr>
            <w:tcW w:w="318" w:type="pct"/>
            <w:tcBorders>
              <w:top w:val="nil"/>
              <w:left w:val="nil"/>
              <w:bottom w:val="single" w:color="auto" w:sz="4" w:space="0"/>
              <w:right w:val="single" w:color="auto" w:sz="4" w:space="0"/>
            </w:tcBorders>
            <w:noWrap w:val="0"/>
            <w:vAlign w:val="center"/>
          </w:tcPr>
          <w:p w14:paraId="0575C4A2">
            <w:pPr>
              <w:spacing w:line="0" w:lineRule="atLeast"/>
              <w:jc w:val="center"/>
              <w:rPr>
                <w:rFonts w:ascii="宋体" w:hAnsi="宋体"/>
                <w:sz w:val="16"/>
                <w:szCs w:val="16"/>
                <w:highlight w:val="none"/>
              </w:rPr>
            </w:pPr>
            <w:r>
              <w:rPr>
                <w:rFonts w:hint="eastAsia" w:ascii="宋体" w:hAnsi="宋体"/>
                <w:sz w:val="16"/>
                <w:szCs w:val="16"/>
                <w:highlight w:val="none"/>
              </w:rPr>
              <w:t>≥100</w:t>
            </w:r>
          </w:p>
        </w:tc>
        <w:tc>
          <w:tcPr>
            <w:tcW w:w="336" w:type="pct"/>
            <w:tcBorders>
              <w:top w:val="nil"/>
              <w:left w:val="nil"/>
              <w:bottom w:val="single" w:color="auto" w:sz="4" w:space="0"/>
              <w:right w:val="single" w:color="auto" w:sz="4" w:space="0"/>
            </w:tcBorders>
            <w:noWrap w:val="0"/>
            <w:vAlign w:val="center"/>
          </w:tcPr>
          <w:p w14:paraId="2A076772">
            <w:pPr>
              <w:spacing w:line="0" w:lineRule="atLeast"/>
              <w:jc w:val="center"/>
              <w:rPr>
                <w:rFonts w:ascii="宋体" w:hAnsi="宋体"/>
                <w:sz w:val="16"/>
                <w:szCs w:val="16"/>
                <w:highlight w:val="none"/>
              </w:rPr>
            </w:pPr>
          </w:p>
        </w:tc>
        <w:tc>
          <w:tcPr>
            <w:tcW w:w="367" w:type="pct"/>
            <w:tcBorders>
              <w:top w:val="nil"/>
              <w:left w:val="nil"/>
              <w:bottom w:val="single" w:color="auto" w:sz="4" w:space="0"/>
              <w:right w:val="single" w:color="auto" w:sz="4" w:space="0"/>
            </w:tcBorders>
            <w:noWrap w:val="0"/>
            <w:vAlign w:val="center"/>
          </w:tcPr>
          <w:p w14:paraId="416EA9FF">
            <w:pPr>
              <w:spacing w:line="0" w:lineRule="atLeast"/>
              <w:jc w:val="center"/>
              <w:rPr>
                <w:rFonts w:ascii="宋体" w:hAnsi="宋体"/>
                <w:sz w:val="16"/>
                <w:szCs w:val="16"/>
                <w:highlight w:val="none"/>
              </w:rPr>
            </w:pPr>
            <w:r>
              <w:rPr>
                <w:rFonts w:hint="eastAsia" w:ascii="宋体" w:hAnsi="宋体"/>
                <w:sz w:val="16"/>
                <w:szCs w:val="16"/>
                <w:highlight w:val="none"/>
              </w:rPr>
              <w:t>＜500</w:t>
            </w:r>
          </w:p>
        </w:tc>
        <w:tc>
          <w:tcPr>
            <w:tcW w:w="292" w:type="pct"/>
            <w:tcBorders>
              <w:top w:val="nil"/>
              <w:left w:val="nil"/>
              <w:bottom w:val="single" w:color="auto" w:sz="4" w:space="0"/>
              <w:right w:val="single" w:color="auto" w:sz="4" w:space="0"/>
            </w:tcBorders>
            <w:noWrap w:val="0"/>
            <w:vAlign w:val="center"/>
          </w:tcPr>
          <w:p w14:paraId="2E490A49">
            <w:pPr>
              <w:spacing w:line="0" w:lineRule="atLeast"/>
              <w:jc w:val="center"/>
              <w:rPr>
                <w:rFonts w:ascii="宋体" w:hAnsi="宋体"/>
                <w:sz w:val="16"/>
                <w:szCs w:val="16"/>
                <w:highlight w:val="none"/>
              </w:rPr>
            </w:pPr>
            <w:r>
              <w:rPr>
                <w:rFonts w:hint="eastAsia" w:ascii="宋体" w:hAnsi="宋体"/>
                <w:sz w:val="16"/>
                <w:szCs w:val="16"/>
                <w:highlight w:val="none"/>
              </w:rPr>
              <w:t>＜100</w:t>
            </w:r>
          </w:p>
        </w:tc>
        <w:tc>
          <w:tcPr>
            <w:tcW w:w="287" w:type="pct"/>
            <w:tcBorders>
              <w:top w:val="nil"/>
              <w:left w:val="nil"/>
              <w:bottom w:val="single" w:color="auto" w:sz="4" w:space="0"/>
              <w:right w:val="single" w:color="auto" w:sz="4" w:space="0"/>
            </w:tcBorders>
            <w:noWrap w:val="0"/>
            <w:vAlign w:val="center"/>
          </w:tcPr>
          <w:p w14:paraId="65691DF5">
            <w:pPr>
              <w:spacing w:line="0" w:lineRule="atLeast"/>
              <w:jc w:val="center"/>
              <w:rPr>
                <w:rFonts w:ascii="宋体" w:hAnsi="宋体"/>
                <w:sz w:val="16"/>
                <w:szCs w:val="16"/>
                <w:highlight w:val="none"/>
              </w:rPr>
            </w:pPr>
          </w:p>
        </w:tc>
      </w:tr>
      <w:tr w14:paraId="466246B2">
        <w:tblPrEx>
          <w:tblCellMar>
            <w:top w:w="0" w:type="dxa"/>
            <w:left w:w="108" w:type="dxa"/>
            <w:bottom w:w="0" w:type="dxa"/>
            <w:right w:w="108" w:type="dxa"/>
          </w:tblCellMar>
        </w:tblPrEx>
        <w:trPr>
          <w:trHeight w:val="369" w:hRule="atLeast"/>
          <w:jc w:val="center"/>
        </w:trPr>
        <w:tc>
          <w:tcPr>
            <w:tcW w:w="259" w:type="pct"/>
            <w:tcBorders>
              <w:top w:val="nil"/>
              <w:left w:val="single" w:color="auto" w:sz="4" w:space="0"/>
              <w:bottom w:val="single" w:color="auto" w:sz="4" w:space="0"/>
              <w:right w:val="single" w:color="auto" w:sz="4" w:space="0"/>
            </w:tcBorders>
            <w:noWrap w:val="0"/>
            <w:vAlign w:val="center"/>
          </w:tcPr>
          <w:p w14:paraId="2C44D2EF">
            <w:pPr>
              <w:spacing w:line="0" w:lineRule="atLeast"/>
              <w:jc w:val="center"/>
              <w:rPr>
                <w:rFonts w:ascii="宋体" w:hAnsi="宋体"/>
                <w:bCs/>
                <w:sz w:val="16"/>
                <w:szCs w:val="16"/>
                <w:highlight w:val="none"/>
              </w:rPr>
            </w:pPr>
            <w:r>
              <w:rPr>
                <w:rFonts w:hint="eastAsia" w:ascii="宋体" w:hAnsi="宋体"/>
                <w:bCs/>
                <w:sz w:val="16"/>
                <w:szCs w:val="16"/>
                <w:highlight w:val="none"/>
              </w:rPr>
              <w:t>15</w:t>
            </w:r>
          </w:p>
        </w:tc>
        <w:tc>
          <w:tcPr>
            <w:tcW w:w="738" w:type="pct"/>
            <w:tcBorders>
              <w:top w:val="nil"/>
              <w:left w:val="nil"/>
              <w:bottom w:val="single" w:color="auto" w:sz="4" w:space="0"/>
              <w:right w:val="single" w:color="auto" w:sz="4" w:space="0"/>
            </w:tcBorders>
            <w:noWrap w:val="0"/>
            <w:vAlign w:val="center"/>
          </w:tcPr>
          <w:p w14:paraId="174A84FF">
            <w:pPr>
              <w:spacing w:line="0" w:lineRule="atLeast"/>
              <w:jc w:val="center"/>
              <w:rPr>
                <w:rFonts w:ascii="宋体" w:hAnsi="宋体"/>
                <w:bCs/>
                <w:sz w:val="16"/>
                <w:szCs w:val="16"/>
                <w:highlight w:val="none"/>
              </w:rPr>
            </w:pPr>
            <w:bookmarkStart w:id="192" w:name="OLE_LINK18"/>
            <w:r>
              <w:rPr>
                <w:rFonts w:hint="eastAsia" w:ascii="宋体" w:hAnsi="宋体"/>
                <w:bCs/>
                <w:sz w:val="16"/>
                <w:szCs w:val="16"/>
                <w:highlight w:val="none"/>
              </w:rPr>
              <w:t>租赁和商务服务业</w:t>
            </w:r>
            <w:bookmarkEnd w:id="192"/>
          </w:p>
        </w:tc>
        <w:tc>
          <w:tcPr>
            <w:tcW w:w="397" w:type="pct"/>
            <w:tcBorders>
              <w:top w:val="nil"/>
              <w:left w:val="nil"/>
              <w:bottom w:val="single" w:color="auto" w:sz="4" w:space="0"/>
              <w:right w:val="single" w:color="auto" w:sz="4" w:space="0"/>
            </w:tcBorders>
            <w:noWrap w:val="0"/>
            <w:vAlign w:val="center"/>
          </w:tcPr>
          <w:p w14:paraId="75BEB788">
            <w:pPr>
              <w:spacing w:line="0" w:lineRule="atLeast"/>
              <w:jc w:val="center"/>
              <w:rPr>
                <w:rFonts w:ascii="宋体" w:hAnsi="宋体"/>
                <w:sz w:val="16"/>
                <w:szCs w:val="16"/>
                <w:highlight w:val="none"/>
              </w:rPr>
            </w:pPr>
          </w:p>
        </w:tc>
        <w:tc>
          <w:tcPr>
            <w:tcW w:w="306" w:type="pct"/>
            <w:tcBorders>
              <w:top w:val="nil"/>
              <w:left w:val="nil"/>
              <w:bottom w:val="single" w:color="auto" w:sz="4" w:space="0"/>
              <w:right w:val="single" w:color="auto" w:sz="4" w:space="0"/>
            </w:tcBorders>
            <w:noWrap w:val="0"/>
            <w:vAlign w:val="center"/>
          </w:tcPr>
          <w:p w14:paraId="55692379">
            <w:pPr>
              <w:spacing w:line="0" w:lineRule="atLeast"/>
              <w:jc w:val="center"/>
              <w:rPr>
                <w:rFonts w:ascii="宋体" w:hAnsi="宋体"/>
                <w:sz w:val="16"/>
                <w:szCs w:val="16"/>
                <w:highlight w:val="none"/>
              </w:rPr>
            </w:pPr>
            <w:r>
              <w:rPr>
                <w:rFonts w:hint="eastAsia" w:ascii="宋体" w:hAnsi="宋体"/>
                <w:sz w:val="16"/>
                <w:szCs w:val="16"/>
                <w:highlight w:val="none"/>
              </w:rPr>
              <w:t>≥300</w:t>
            </w:r>
          </w:p>
        </w:tc>
        <w:tc>
          <w:tcPr>
            <w:tcW w:w="316" w:type="pct"/>
            <w:tcBorders>
              <w:top w:val="nil"/>
              <w:left w:val="nil"/>
              <w:bottom w:val="single" w:color="auto" w:sz="4" w:space="0"/>
              <w:right w:val="single" w:color="auto" w:sz="4" w:space="0"/>
            </w:tcBorders>
            <w:noWrap w:val="0"/>
            <w:vAlign w:val="center"/>
          </w:tcPr>
          <w:p w14:paraId="18C0105A">
            <w:pPr>
              <w:spacing w:line="0" w:lineRule="atLeast"/>
              <w:jc w:val="center"/>
              <w:rPr>
                <w:rFonts w:ascii="宋体" w:hAnsi="宋体"/>
                <w:sz w:val="16"/>
                <w:szCs w:val="16"/>
                <w:highlight w:val="none"/>
              </w:rPr>
            </w:pPr>
            <w:r>
              <w:rPr>
                <w:rFonts w:hint="eastAsia" w:ascii="宋体" w:hAnsi="宋体"/>
                <w:sz w:val="16"/>
                <w:szCs w:val="16"/>
                <w:highlight w:val="none"/>
              </w:rPr>
              <w:t>或,≥120000</w:t>
            </w:r>
          </w:p>
        </w:tc>
        <w:tc>
          <w:tcPr>
            <w:tcW w:w="367" w:type="pct"/>
            <w:tcBorders>
              <w:top w:val="nil"/>
              <w:left w:val="nil"/>
              <w:bottom w:val="single" w:color="auto" w:sz="4" w:space="0"/>
              <w:right w:val="single" w:color="auto" w:sz="4" w:space="0"/>
            </w:tcBorders>
            <w:noWrap w:val="0"/>
            <w:vAlign w:val="center"/>
          </w:tcPr>
          <w:p w14:paraId="6C3DF941">
            <w:pPr>
              <w:spacing w:line="0" w:lineRule="atLeast"/>
              <w:jc w:val="center"/>
              <w:rPr>
                <w:rFonts w:ascii="宋体" w:hAnsi="宋体"/>
                <w:sz w:val="16"/>
                <w:szCs w:val="16"/>
                <w:highlight w:val="none"/>
              </w:rPr>
            </w:pPr>
          </w:p>
        </w:tc>
        <w:tc>
          <w:tcPr>
            <w:tcW w:w="312" w:type="pct"/>
            <w:tcBorders>
              <w:top w:val="nil"/>
              <w:left w:val="nil"/>
              <w:bottom w:val="single" w:color="auto" w:sz="4" w:space="0"/>
              <w:right w:val="single" w:color="auto" w:sz="4" w:space="0"/>
            </w:tcBorders>
            <w:noWrap w:val="0"/>
            <w:vAlign w:val="center"/>
          </w:tcPr>
          <w:p w14:paraId="459251E7">
            <w:pPr>
              <w:spacing w:line="0" w:lineRule="atLeast"/>
              <w:jc w:val="center"/>
              <w:rPr>
                <w:rFonts w:ascii="宋体" w:hAnsi="宋体"/>
                <w:sz w:val="16"/>
                <w:szCs w:val="16"/>
                <w:highlight w:val="none"/>
              </w:rPr>
            </w:pPr>
            <w:r>
              <w:rPr>
                <w:rFonts w:hint="eastAsia" w:ascii="宋体" w:hAnsi="宋体"/>
                <w:sz w:val="16"/>
                <w:szCs w:val="16"/>
                <w:highlight w:val="none"/>
              </w:rPr>
              <w:t>≥100</w:t>
            </w:r>
          </w:p>
        </w:tc>
        <w:tc>
          <w:tcPr>
            <w:tcW w:w="335" w:type="pct"/>
            <w:tcBorders>
              <w:top w:val="nil"/>
              <w:left w:val="nil"/>
              <w:bottom w:val="single" w:color="auto" w:sz="4" w:space="0"/>
              <w:right w:val="single" w:color="auto" w:sz="4" w:space="0"/>
            </w:tcBorders>
            <w:noWrap w:val="0"/>
            <w:vAlign w:val="center"/>
          </w:tcPr>
          <w:p w14:paraId="2463C8E9">
            <w:pPr>
              <w:spacing w:line="0" w:lineRule="atLeast"/>
              <w:jc w:val="center"/>
              <w:rPr>
                <w:rFonts w:ascii="宋体" w:hAnsi="宋体"/>
                <w:sz w:val="16"/>
                <w:szCs w:val="16"/>
                <w:highlight w:val="none"/>
              </w:rPr>
            </w:pPr>
            <w:r>
              <w:rPr>
                <w:rFonts w:hint="eastAsia" w:ascii="宋体" w:hAnsi="宋体"/>
                <w:sz w:val="16"/>
                <w:szCs w:val="16"/>
                <w:highlight w:val="none"/>
              </w:rPr>
              <w:t>且,≥8000</w:t>
            </w:r>
          </w:p>
        </w:tc>
        <w:tc>
          <w:tcPr>
            <w:tcW w:w="367" w:type="pct"/>
            <w:tcBorders>
              <w:top w:val="nil"/>
              <w:left w:val="nil"/>
              <w:bottom w:val="single" w:color="auto" w:sz="4" w:space="0"/>
              <w:right w:val="single" w:color="auto" w:sz="4" w:space="0"/>
            </w:tcBorders>
            <w:noWrap w:val="0"/>
            <w:vAlign w:val="center"/>
          </w:tcPr>
          <w:p w14:paraId="225888D1">
            <w:pPr>
              <w:spacing w:line="0" w:lineRule="atLeast"/>
              <w:jc w:val="center"/>
              <w:rPr>
                <w:rFonts w:ascii="宋体" w:hAnsi="宋体"/>
                <w:sz w:val="16"/>
                <w:szCs w:val="16"/>
                <w:highlight w:val="none"/>
              </w:rPr>
            </w:pPr>
          </w:p>
        </w:tc>
        <w:tc>
          <w:tcPr>
            <w:tcW w:w="318" w:type="pct"/>
            <w:tcBorders>
              <w:top w:val="nil"/>
              <w:left w:val="nil"/>
              <w:bottom w:val="single" w:color="auto" w:sz="4" w:space="0"/>
              <w:right w:val="single" w:color="auto" w:sz="4" w:space="0"/>
            </w:tcBorders>
            <w:noWrap w:val="0"/>
            <w:vAlign w:val="center"/>
          </w:tcPr>
          <w:p w14:paraId="01BB202A">
            <w:pPr>
              <w:spacing w:line="0" w:lineRule="atLeast"/>
              <w:jc w:val="center"/>
              <w:rPr>
                <w:rFonts w:ascii="宋体" w:hAnsi="宋体"/>
                <w:sz w:val="16"/>
                <w:szCs w:val="16"/>
                <w:highlight w:val="none"/>
              </w:rPr>
            </w:pPr>
            <w:r>
              <w:rPr>
                <w:rFonts w:hint="eastAsia" w:ascii="宋体" w:hAnsi="宋体"/>
                <w:sz w:val="16"/>
                <w:szCs w:val="16"/>
                <w:highlight w:val="none"/>
              </w:rPr>
              <w:t>≥10</w:t>
            </w:r>
          </w:p>
        </w:tc>
        <w:tc>
          <w:tcPr>
            <w:tcW w:w="336" w:type="pct"/>
            <w:tcBorders>
              <w:top w:val="nil"/>
              <w:left w:val="nil"/>
              <w:bottom w:val="single" w:color="auto" w:sz="4" w:space="0"/>
              <w:right w:val="single" w:color="auto" w:sz="4" w:space="0"/>
            </w:tcBorders>
            <w:noWrap w:val="0"/>
            <w:vAlign w:val="center"/>
          </w:tcPr>
          <w:p w14:paraId="0AB9275A">
            <w:pPr>
              <w:spacing w:line="0" w:lineRule="atLeast"/>
              <w:jc w:val="center"/>
              <w:rPr>
                <w:rFonts w:ascii="宋体" w:hAnsi="宋体"/>
                <w:sz w:val="16"/>
                <w:szCs w:val="16"/>
                <w:highlight w:val="none"/>
              </w:rPr>
            </w:pPr>
            <w:r>
              <w:rPr>
                <w:rFonts w:hint="eastAsia" w:ascii="宋体" w:hAnsi="宋体"/>
                <w:sz w:val="16"/>
                <w:szCs w:val="16"/>
                <w:highlight w:val="none"/>
              </w:rPr>
              <w:t>且,≥100</w:t>
            </w:r>
          </w:p>
        </w:tc>
        <w:tc>
          <w:tcPr>
            <w:tcW w:w="367" w:type="pct"/>
            <w:tcBorders>
              <w:top w:val="nil"/>
              <w:left w:val="nil"/>
              <w:bottom w:val="single" w:color="auto" w:sz="4" w:space="0"/>
              <w:right w:val="single" w:color="auto" w:sz="4" w:space="0"/>
            </w:tcBorders>
            <w:noWrap w:val="0"/>
            <w:vAlign w:val="center"/>
          </w:tcPr>
          <w:p w14:paraId="67116D7B">
            <w:pPr>
              <w:spacing w:line="0" w:lineRule="atLeast"/>
              <w:jc w:val="center"/>
              <w:rPr>
                <w:rFonts w:ascii="宋体" w:hAnsi="宋体"/>
                <w:sz w:val="16"/>
                <w:szCs w:val="16"/>
                <w:highlight w:val="none"/>
              </w:rPr>
            </w:pPr>
          </w:p>
        </w:tc>
        <w:tc>
          <w:tcPr>
            <w:tcW w:w="292" w:type="pct"/>
            <w:tcBorders>
              <w:top w:val="nil"/>
              <w:left w:val="nil"/>
              <w:bottom w:val="single" w:color="auto" w:sz="4" w:space="0"/>
              <w:right w:val="single" w:color="auto" w:sz="4" w:space="0"/>
            </w:tcBorders>
            <w:noWrap w:val="0"/>
            <w:vAlign w:val="center"/>
          </w:tcPr>
          <w:p w14:paraId="25B0C5EC">
            <w:pPr>
              <w:spacing w:line="0" w:lineRule="atLeast"/>
              <w:jc w:val="center"/>
              <w:rPr>
                <w:rFonts w:ascii="宋体" w:hAnsi="宋体"/>
                <w:sz w:val="16"/>
                <w:szCs w:val="16"/>
                <w:highlight w:val="none"/>
              </w:rPr>
            </w:pPr>
            <w:r>
              <w:rPr>
                <w:rFonts w:hint="eastAsia" w:ascii="宋体" w:hAnsi="宋体"/>
                <w:sz w:val="16"/>
                <w:szCs w:val="16"/>
                <w:highlight w:val="none"/>
              </w:rPr>
              <w:t>＜10</w:t>
            </w:r>
          </w:p>
        </w:tc>
        <w:tc>
          <w:tcPr>
            <w:tcW w:w="287" w:type="pct"/>
            <w:tcBorders>
              <w:top w:val="nil"/>
              <w:left w:val="nil"/>
              <w:bottom w:val="single" w:color="auto" w:sz="4" w:space="0"/>
              <w:right w:val="single" w:color="auto" w:sz="4" w:space="0"/>
            </w:tcBorders>
            <w:noWrap w:val="0"/>
            <w:vAlign w:val="center"/>
          </w:tcPr>
          <w:p w14:paraId="2EE75BDB">
            <w:pPr>
              <w:spacing w:line="0" w:lineRule="atLeast"/>
              <w:jc w:val="center"/>
              <w:rPr>
                <w:rFonts w:ascii="宋体" w:hAnsi="宋体"/>
                <w:sz w:val="16"/>
                <w:szCs w:val="16"/>
                <w:highlight w:val="none"/>
              </w:rPr>
            </w:pPr>
            <w:r>
              <w:rPr>
                <w:rFonts w:hint="eastAsia" w:ascii="宋体" w:hAnsi="宋体"/>
                <w:sz w:val="16"/>
                <w:szCs w:val="16"/>
                <w:highlight w:val="none"/>
              </w:rPr>
              <w:t>或,＜100</w:t>
            </w:r>
          </w:p>
        </w:tc>
      </w:tr>
      <w:tr w14:paraId="796B5177">
        <w:tblPrEx>
          <w:tblCellMar>
            <w:top w:w="0" w:type="dxa"/>
            <w:left w:w="108" w:type="dxa"/>
            <w:bottom w:w="0" w:type="dxa"/>
            <w:right w:w="108" w:type="dxa"/>
          </w:tblCellMar>
        </w:tblPrEx>
        <w:trPr>
          <w:trHeight w:val="369" w:hRule="atLeast"/>
          <w:jc w:val="center"/>
        </w:trPr>
        <w:tc>
          <w:tcPr>
            <w:tcW w:w="259" w:type="pct"/>
            <w:tcBorders>
              <w:top w:val="nil"/>
              <w:left w:val="single" w:color="auto" w:sz="4" w:space="0"/>
              <w:bottom w:val="single" w:color="auto" w:sz="4" w:space="0"/>
              <w:right w:val="single" w:color="auto" w:sz="4" w:space="0"/>
            </w:tcBorders>
            <w:noWrap w:val="0"/>
            <w:vAlign w:val="center"/>
          </w:tcPr>
          <w:p w14:paraId="3806D2DF">
            <w:pPr>
              <w:spacing w:line="0" w:lineRule="atLeast"/>
              <w:jc w:val="center"/>
              <w:rPr>
                <w:rFonts w:ascii="宋体" w:hAnsi="宋体"/>
                <w:b/>
                <w:sz w:val="16"/>
                <w:szCs w:val="16"/>
                <w:highlight w:val="none"/>
              </w:rPr>
            </w:pPr>
            <w:r>
              <w:rPr>
                <w:rFonts w:hint="eastAsia" w:ascii="宋体" w:hAnsi="宋体"/>
                <w:b/>
                <w:sz w:val="16"/>
                <w:szCs w:val="16"/>
                <w:highlight w:val="none"/>
              </w:rPr>
              <w:t>16</w:t>
            </w:r>
          </w:p>
        </w:tc>
        <w:tc>
          <w:tcPr>
            <w:tcW w:w="738" w:type="pct"/>
            <w:tcBorders>
              <w:top w:val="nil"/>
              <w:left w:val="nil"/>
              <w:bottom w:val="single" w:color="auto" w:sz="4" w:space="0"/>
              <w:right w:val="single" w:color="auto" w:sz="4" w:space="0"/>
            </w:tcBorders>
            <w:noWrap w:val="0"/>
            <w:vAlign w:val="center"/>
          </w:tcPr>
          <w:p w14:paraId="2B0EF3AB">
            <w:pPr>
              <w:spacing w:line="0" w:lineRule="atLeast"/>
              <w:jc w:val="center"/>
              <w:rPr>
                <w:rFonts w:ascii="宋体" w:hAnsi="宋体"/>
                <w:b/>
                <w:sz w:val="16"/>
                <w:szCs w:val="16"/>
                <w:highlight w:val="none"/>
              </w:rPr>
            </w:pPr>
            <w:r>
              <w:rPr>
                <w:rFonts w:hint="eastAsia" w:ascii="宋体" w:hAnsi="宋体"/>
                <w:b/>
                <w:sz w:val="16"/>
                <w:szCs w:val="16"/>
                <w:highlight w:val="none"/>
              </w:rPr>
              <w:t>其他未列明行业</w:t>
            </w:r>
          </w:p>
        </w:tc>
        <w:tc>
          <w:tcPr>
            <w:tcW w:w="397" w:type="pct"/>
            <w:tcBorders>
              <w:top w:val="nil"/>
              <w:left w:val="nil"/>
              <w:bottom w:val="single" w:color="auto" w:sz="4" w:space="0"/>
              <w:right w:val="single" w:color="auto" w:sz="4" w:space="0"/>
            </w:tcBorders>
            <w:noWrap w:val="0"/>
            <w:vAlign w:val="center"/>
          </w:tcPr>
          <w:p w14:paraId="500C6387">
            <w:pPr>
              <w:spacing w:line="0" w:lineRule="atLeast"/>
              <w:jc w:val="center"/>
              <w:rPr>
                <w:rFonts w:ascii="宋体" w:hAnsi="宋体"/>
                <w:b/>
                <w:sz w:val="16"/>
                <w:szCs w:val="16"/>
                <w:highlight w:val="none"/>
              </w:rPr>
            </w:pPr>
          </w:p>
        </w:tc>
        <w:tc>
          <w:tcPr>
            <w:tcW w:w="306" w:type="pct"/>
            <w:tcBorders>
              <w:top w:val="nil"/>
              <w:left w:val="nil"/>
              <w:bottom w:val="single" w:color="auto" w:sz="4" w:space="0"/>
              <w:right w:val="single" w:color="auto" w:sz="4" w:space="0"/>
            </w:tcBorders>
            <w:noWrap w:val="0"/>
            <w:vAlign w:val="center"/>
          </w:tcPr>
          <w:p w14:paraId="1A4B1C1B">
            <w:pPr>
              <w:spacing w:line="0" w:lineRule="atLeast"/>
              <w:jc w:val="center"/>
              <w:rPr>
                <w:rFonts w:ascii="宋体" w:hAnsi="宋体"/>
                <w:b/>
                <w:sz w:val="16"/>
                <w:szCs w:val="16"/>
                <w:highlight w:val="none"/>
              </w:rPr>
            </w:pPr>
            <w:r>
              <w:rPr>
                <w:rFonts w:hint="eastAsia" w:ascii="宋体" w:hAnsi="宋体"/>
                <w:b/>
                <w:sz w:val="16"/>
                <w:szCs w:val="16"/>
                <w:highlight w:val="none"/>
              </w:rPr>
              <w:t>≥300</w:t>
            </w:r>
          </w:p>
        </w:tc>
        <w:tc>
          <w:tcPr>
            <w:tcW w:w="316" w:type="pct"/>
            <w:tcBorders>
              <w:top w:val="nil"/>
              <w:left w:val="nil"/>
              <w:bottom w:val="single" w:color="auto" w:sz="4" w:space="0"/>
              <w:right w:val="single" w:color="auto" w:sz="4" w:space="0"/>
            </w:tcBorders>
            <w:noWrap w:val="0"/>
            <w:vAlign w:val="center"/>
          </w:tcPr>
          <w:p w14:paraId="61662ECF">
            <w:pPr>
              <w:spacing w:line="0" w:lineRule="atLeast"/>
              <w:jc w:val="center"/>
              <w:rPr>
                <w:rFonts w:ascii="宋体" w:hAnsi="宋体"/>
                <w:b/>
                <w:sz w:val="16"/>
                <w:szCs w:val="16"/>
                <w:highlight w:val="none"/>
              </w:rPr>
            </w:pPr>
          </w:p>
        </w:tc>
        <w:tc>
          <w:tcPr>
            <w:tcW w:w="367" w:type="pct"/>
            <w:tcBorders>
              <w:top w:val="nil"/>
              <w:left w:val="nil"/>
              <w:bottom w:val="single" w:color="auto" w:sz="4" w:space="0"/>
              <w:right w:val="single" w:color="auto" w:sz="4" w:space="0"/>
            </w:tcBorders>
            <w:noWrap w:val="0"/>
            <w:vAlign w:val="center"/>
          </w:tcPr>
          <w:p w14:paraId="1BBBF507">
            <w:pPr>
              <w:spacing w:line="0" w:lineRule="atLeast"/>
              <w:jc w:val="center"/>
              <w:rPr>
                <w:rFonts w:ascii="宋体" w:hAnsi="宋体"/>
                <w:b/>
                <w:sz w:val="16"/>
                <w:szCs w:val="16"/>
                <w:highlight w:val="none"/>
              </w:rPr>
            </w:pPr>
          </w:p>
        </w:tc>
        <w:tc>
          <w:tcPr>
            <w:tcW w:w="312" w:type="pct"/>
            <w:tcBorders>
              <w:top w:val="nil"/>
              <w:left w:val="nil"/>
              <w:bottom w:val="single" w:color="auto" w:sz="4" w:space="0"/>
              <w:right w:val="single" w:color="auto" w:sz="4" w:space="0"/>
            </w:tcBorders>
            <w:noWrap w:val="0"/>
            <w:vAlign w:val="center"/>
          </w:tcPr>
          <w:p w14:paraId="7BBDA6C3">
            <w:pPr>
              <w:spacing w:line="0" w:lineRule="atLeast"/>
              <w:jc w:val="center"/>
              <w:rPr>
                <w:rFonts w:ascii="宋体" w:hAnsi="宋体"/>
                <w:b/>
                <w:sz w:val="16"/>
                <w:szCs w:val="16"/>
                <w:highlight w:val="none"/>
              </w:rPr>
            </w:pPr>
            <w:r>
              <w:rPr>
                <w:rFonts w:hint="eastAsia" w:ascii="宋体" w:hAnsi="宋体"/>
                <w:b/>
                <w:sz w:val="16"/>
                <w:szCs w:val="16"/>
                <w:highlight w:val="none"/>
              </w:rPr>
              <w:t>≥100</w:t>
            </w:r>
          </w:p>
        </w:tc>
        <w:tc>
          <w:tcPr>
            <w:tcW w:w="335" w:type="pct"/>
            <w:tcBorders>
              <w:top w:val="nil"/>
              <w:left w:val="nil"/>
              <w:bottom w:val="single" w:color="auto" w:sz="4" w:space="0"/>
              <w:right w:val="single" w:color="auto" w:sz="4" w:space="0"/>
            </w:tcBorders>
            <w:noWrap w:val="0"/>
            <w:vAlign w:val="center"/>
          </w:tcPr>
          <w:p w14:paraId="11021E2F">
            <w:pPr>
              <w:spacing w:line="0" w:lineRule="atLeast"/>
              <w:jc w:val="center"/>
              <w:rPr>
                <w:rFonts w:ascii="宋体" w:hAnsi="宋体"/>
                <w:b/>
                <w:sz w:val="16"/>
                <w:szCs w:val="16"/>
                <w:highlight w:val="none"/>
              </w:rPr>
            </w:pPr>
          </w:p>
        </w:tc>
        <w:tc>
          <w:tcPr>
            <w:tcW w:w="367" w:type="pct"/>
            <w:tcBorders>
              <w:top w:val="nil"/>
              <w:left w:val="nil"/>
              <w:bottom w:val="single" w:color="auto" w:sz="4" w:space="0"/>
              <w:right w:val="single" w:color="auto" w:sz="4" w:space="0"/>
            </w:tcBorders>
            <w:noWrap w:val="0"/>
            <w:vAlign w:val="center"/>
          </w:tcPr>
          <w:p w14:paraId="75BD8A1F">
            <w:pPr>
              <w:spacing w:line="0" w:lineRule="atLeast"/>
              <w:jc w:val="center"/>
              <w:rPr>
                <w:rFonts w:ascii="宋体" w:hAnsi="宋体"/>
                <w:b/>
                <w:sz w:val="16"/>
                <w:szCs w:val="16"/>
                <w:highlight w:val="none"/>
              </w:rPr>
            </w:pPr>
          </w:p>
        </w:tc>
        <w:tc>
          <w:tcPr>
            <w:tcW w:w="318" w:type="pct"/>
            <w:tcBorders>
              <w:top w:val="nil"/>
              <w:left w:val="nil"/>
              <w:bottom w:val="single" w:color="auto" w:sz="4" w:space="0"/>
              <w:right w:val="single" w:color="auto" w:sz="4" w:space="0"/>
            </w:tcBorders>
            <w:noWrap w:val="0"/>
            <w:vAlign w:val="center"/>
          </w:tcPr>
          <w:p w14:paraId="706B4C5B">
            <w:pPr>
              <w:spacing w:line="0" w:lineRule="atLeast"/>
              <w:jc w:val="center"/>
              <w:rPr>
                <w:rFonts w:ascii="宋体" w:hAnsi="宋体"/>
                <w:b/>
                <w:sz w:val="16"/>
                <w:szCs w:val="16"/>
                <w:highlight w:val="none"/>
              </w:rPr>
            </w:pPr>
            <w:r>
              <w:rPr>
                <w:rFonts w:hint="eastAsia" w:ascii="宋体" w:hAnsi="宋体"/>
                <w:b/>
                <w:sz w:val="16"/>
                <w:szCs w:val="16"/>
                <w:highlight w:val="none"/>
              </w:rPr>
              <w:t>≥10</w:t>
            </w:r>
          </w:p>
        </w:tc>
        <w:tc>
          <w:tcPr>
            <w:tcW w:w="336" w:type="pct"/>
            <w:tcBorders>
              <w:top w:val="nil"/>
              <w:left w:val="nil"/>
              <w:bottom w:val="single" w:color="auto" w:sz="4" w:space="0"/>
              <w:right w:val="single" w:color="auto" w:sz="4" w:space="0"/>
            </w:tcBorders>
            <w:noWrap w:val="0"/>
            <w:vAlign w:val="center"/>
          </w:tcPr>
          <w:p w14:paraId="67D34A68">
            <w:pPr>
              <w:spacing w:line="0" w:lineRule="atLeast"/>
              <w:jc w:val="center"/>
              <w:rPr>
                <w:rFonts w:ascii="宋体" w:hAnsi="宋体"/>
                <w:b/>
                <w:sz w:val="16"/>
                <w:szCs w:val="16"/>
                <w:highlight w:val="none"/>
              </w:rPr>
            </w:pPr>
          </w:p>
        </w:tc>
        <w:tc>
          <w:tcPr>
            <w:tcW w:w="367" w:type="pct"/>
            <w:tcBorders>
              <w:top w:val="nil"/>
              <w:left w:val="nil"/>
              <w:bottom w:val="single" w:color="auto" w:sz="4" w:space="0"/>
              <w:right w:val="single" w:color="auto" w:sz="4" w:space="0"/>
            </w:tcBorders>
            <w:noWrap w:val="0"/>
            <w:vAlign w:val="center"/>
          </w:tcPr>
          <w:p w14:paraId="4F19C454">
            <w:pPr>
              <w:spacing w:line="0" w:lineRule="atLeast"/>
              <w:jc w:val="center"/>
              <w:rPr>
                <w:rFonts w:ascii="宋体" w:hAnsi="宋体"/>
                <w:b/>
                <w:sz w:val="16"/>
                <w:szCs w:val="16"/>
                <w:highlight w:val="none"/>
              </w:rPr>
            </w:pPr>
          </w:p>
        </w:tc>
        <w:tc>
          <w:tcPr>
            <w:tcW w:w="292" w:type="pct"/>
            <w:tcBorders>
              <w:top w:val="nil"/>
              <w:left w:val="nil"/>
              <w:bottom w:val="single" w:color="auto" w:sz="4" w:space="0"/>
              <w:right w:val="single" w:color="auto" w:sz="4" w:space="0"/>
            </w:tcBorders>
            <w:noWrap w:val="0"/>
            <w:vAlign w:val="center"/>
          </w:tcPr>
          <w:p w14:paraId="7B6AB63C">
            <w:pPr>
              <w:spacing w:line="0" w:lineRule="atLeast"/>
              <w:jc w:val="center"/>
              <w:rPr>
                <w:rFonts w:ascii="宋体" w:hAnsi="宋体"/>
                <w:b/>
                <w:sz w:val="16"/>
                <w:szCs w:val="16"/>
                <w:highlight w:val="none"/>
              </w:rPr>
            </w:pPr>
            <w:r>
              <w:rPr>
                <w:rFonts w:hint="eastAsia" w:ascii="宋体" w:hAnsi="宋体"/>
                <w:b/>
                <w:sz w:val="16"/>
                <w:szCs w:val="16"/>
                <w:highlight w:val="none"/>
              </w:rPr>
              <w:t>＜10</w:t>
            </w:r>
          </w:p>
        </w:tc>
        <w:tc>
          <w:tcPr>
            <w:tcW w:w="287" w:type="pct"/>
            <w:tcBorders>
              <w:top w:val="nil"/>
              <w:left w:val="nil"/>
              <w:bottom w:val="single" w:color="auto" w:sz="4" w:space="0"/>
              <w:right w:val="single" w:color="auto" w:sz="4" w:space="0"/>
            </w:tcBorders>
            <w:noWrap w:val="0"/>
            <w:vAlign w:val="center"/>
          </w:tcPr>
          <w:p w14:paraId="3A0E4606">
            <w:pPr>
              <w:spacing w:line="0" w:lineRule="atLeast"/>
              <w:jc w:val="center"/>
              <w:rPr>
                <w:rFonts w:ascii="宋体" w:hAnsi="宋体"/>
                <w:b/>
                <w:sz w:val="16"/>
                <w:szCs w:val="16"/>
                <w:highlight w:val="none"/>
              </w:rPr>
            </w:pPr>
          </w:p>
        </w:tc>
      </w:tr>
    </w:tbl>
    <w:p w14:paraId="77D5703D">
      <w:pPr>
        <w:pStyle w:val="32"/>
        <w:spacing w:line="20" w:lineRule="exact"/>
        <w:ind w:firstLine="0" w:firstLineChars="0"/>
        <w:rPr>
          <w:rFonts w:ascii="宋体" w:hAnsi="宋体" w:eastAsia="宋体"/>
          <w:highlight w:val="none"/>
        </w:rPr>
      </w:pPr>
    </w:p>
    <w:p w14:paraId="28879BBC">
      <w:pPr>
        <w:rPr>
          <w:rFonts w:hint="eastAsia" w:ascii="宋体" w:hAnsi="宋体"/>
          <w:highlight w:val="none"/>
        </w:rPr>
      </w:pPr>
    </w:p>
    <w:p w14:paraId="5FC72C48">
      <w:pPr>
        <w:jc w:val="center"/>
        <w:rPr>
          <w:rFonts w:ascii="宋体" w:hAnsi="宋体"/>
          <w:highlight w:val="none"/>
        </w:rPr>
      </w:pPr>
    </w:p>
    <w:p w14:paraId="1BB94326">
      <w:pPr>
        <w:rPr>
          <w:rFonts w:hint="eastAsia"/>
          <w:highlight w:val="none"/>
          <w:lang w:val="en-US" w:eastAsia="zh-CN"/>
        </w:rPr>
      </w:pPr>
      <w:r>
        <w:rPr>
          <w:rFonts w:hint="eastAsia"/>
          <w:highlight w:val="none"/>
          <w:lang w:val="en-US" w:eastAsia="zh-CN"/>
        </w:rPr>
        <w:br w:type="page"/>
      </w:r>
    </w:p>
    <w:p w14:paraId="5C37B67E">
      <w:pPr>
        <w:spacing w:line="360" w:lineRule="auto"/>
        <w:ind w:firstLine="640" w:firstLineChars="200"/>
        <w:jc w:val="both"/>
        <w:rPr>
          <w:rFonts w:hint="eastAsia" w:ascii="宋体" w:hAnsi="宋体"/>
          <w:iCs/>
          <w:sz w:val="32"/>
          <w:szCs w:val="32"/>
          <w:highlight w:val="none"/>
          <w:lang w:val="en-US" w:eastAsia="zh-CN"/>
        </w:rPr>
      </w:pPr>
      <w:r>
        <w:rPr>
          <w:rFonts w:hint="eastAsia" w:ascii="宋体" w:hAnsi="宋体"/>
          <w:iCs/>
          <w:sz w:val="32"/>
          <w:szCs w:val="32"/>
          <w:highlight w:val="none"/>
          <w:lang w:val="en-US" w:eastAsia="zh-CN"/>
        </w:rPr>
        <w:t>附件五  不见面开标注意事项</w:t>
      </w:r>
    </w:p>
    <w:p w14:paraId="7B7189C7">
      <w:pPr>
        <w:widowControl/>
        <w:spacing w:line="360" w:lineRule="auto"/>
        <w:jc w:val="center"/>
        <w:rPr>
          <w:rFonts w:hint="eastAsia" w:ascii="宋体" w:hAnsi="宋体" w:eastAsia="宋体" w:cs="Times New Roman"/>
          <w:b/>
          <w:color w:val="000000"/>
          <w:sz w:val="44"/>
          <w:szCs w:val="44"/>
          <w:highlight w:val="none"/>
          <w:shd w:val="clear" w:color="auto" w:fill="FFFFFF"/>
          <w14:ligatures w14:val="none"/>
        </w:rPr>
      </w:pPr>
      <w:r>
        <w:rPr>
          <w:rFonts w:hint="eastAsia" w:ascii="Times New Roman" w:hAnsi="Times New Roman" w:eastAsia="宋体" w:cs="Times New Roman"/>
          <w:color w:val="000000"/>
          <w:sz w:val="32"/>
          <w:szCs w:val="32"/>
          <w:highlight w:val="none"/>
          <w:shd w:val="clear" w:color="auto" w:fill="FFFFFF"/>
          <w14:ligatures w14:val="none"/>
        </w:rPr>
        <w:t>不见面开标注意事项</w:t>
      </w:r>
    </w:p>
    <w:p w14:paraId="4DBFA20F">
      <w:pPr>
        <w:widowControl/>
        <w:spacing w:line="360" w:lineRule="auto"/>
        <w:jc w:val="left"/>
        <w:rPr>
          <w:rFonts w:hint="eastAsia" w:ascii="宋体" w:hAnsi="宋体" w:eastAsia="宋体" w:cs="Times New Roman"/>
          <w:color w:val="000000"/>
          <w:sz w:val="24"/>
          <w:szCs w:val="21"/>
          <w:highlight w:val="none"/>
          <w:shd w:val="clear" w:color="auto" w:fill="FFFFFF"/>
          <w14:ligatures w14:val="none"/>
        </w:rPr>
      </w:pPr>
      <w:r>
        <w:rPr>
          <w:rFonts w:hint="eastAsia" w:ascii="宋体" w:hAnsi="宋体" w:eastAsia="宋体" w:cs="Times New Roman"/>
          <w:color w:val="000000"/>
          <w:sz w:val="24"/>
          <w:szCs w:val="24"/>
          <w:highlight w:val="none"/>
          <w:shd w:val="clear" w:color="auto" w:fill="FFFFFF"/>
          <w14:ligatures w14:val="none"/>
        </w:rPr>
        <w:t>各投标人：</w:t>
      </w:r>
    </w:p>
    <w:p w14:paraId="4BB90293">
      <w:pPr>
        <w:widowControl/>
        <w:spacing w:line="360" w:lineRule="auto"/>
        <w:ind w:firstLine="480" w:firstLineChars="200"/>
        <w:jc w:val="left"/>
        <w:rPr>
          <w:rFonts w:hint="eastAsia" w:ascii="宋体" w:hAnsi="宋体" w:eastAsia="宋体" w:cs="Times New Roman"/>
          <w:color w:val="000000"/>
          <w:sz w:val="24"/>
          <w:szCs w:val="24"/>
          <w:highlight w:val="none"/>
          <w:shd w:val="clear" w:color="auto" w:fill="FFFFFF"/>
          <w14:ligatures w14:val="none"/>
        </w:rPr>
      </w:pPr>
      <w:r>
        <w:rPr>
          <w:rFonts w:hint="eastAsia" w:ascii="宋体" w:hAnsi="宋体" w:eastAsia="宋体" w:cs="Times New Roman"/>
          <w:color w:val="000000"/>
          <w:sz w:val="24"/>
          <w:szCs w:val="24"/>
          <w:highlight w:val="none"/>
          <w:shd w:val="clear" w:color="auto" w:fill="FFFFFF"/>
          <w14:ligatures w14:val="none"/>
        </w:rPr>
        <w:t>1、本项目采用不见面方式进行开标活动。</w:t>
      </w:r>
    </w:p>
    <w:p w14:paraId="13A4952D">
      <w:pPr>
        <w:widowControl/>
        <w:spacing w:line="360" w:lineRule="auto"/>
        <w:ind w:firstLine="480" w:firstLineChars="200"/>
        <w:jc w:val="left"/>
        <w:rPr>
          <w:rFonts w:hint="eastAsia" w:ascii="宋体" w:hAnsi="宋体" w:eastAsia="宋体" w:cs="Times New Roman"/>
          <w:color w:val="000000"/>
          <w:sz w:val="24"/>
          <w:szCs w:val="24"/>
          <w:highlight w:val="none"/>
          <w:shd w:val="clear" w:color="auto" w:fill="FFFFFF"/>
          <w14:ligatures w14:val="none"/>
        </w:rPr>
      </w:pPr>
      <w:r>
        <w:rPr>
          <w:rFonts w:hint="eastAsia" w:ascii="宋体" w:hAnsi="宋体" w:eastAsia="宋体" w:cs="Times New Roman"/>
          <w:color w:val="000000"/>
          <w:sz w:val="24"/>
          <w:szCs w:val="24"/>
          <w:highlight w:val="none"/>
          <w:shd w:val="clear" w:color="auto" w:fill="FFFFFF"/>
          <w14:ligatures w14:val="none"/>
        </w:rPr>
        <w:t>2、投标人可通过</w:t>
      </w:r>
      <w:r>
        <w:rPr>
          <w:rFonts w:hint="eastAsia" w:ascii="宋体" w:hAnsi="宋体" w:eastAsia="宋体" w:cs="Times New Roman"/>
          <w:color w:val="000000"/>
          <w:sz w:val="24"/>
          <w:szCs w:val="24"/>
          <w:highlight w:val="none"/>
          <w:shd w:val="clear" w:color="auto" w:fill="FFFFFF"/>
          <w:lang w:val="en-US" w:eastAsia="zh-CN"/>
          <w14:ligatures w14:val="none"/>
        </w:rPr>
        <w:t>钉钉</w:t>
      </w:r>
      <w:r>
        <w:rPr>
          <w:rFonts w:hint="eastAsia" w:ascii="宋体" w:hAnsi="宋体" w:eastAsia="宋体" w:cs="Times New Roman"/>
          <w:color w:val="000000"/>
          <w:sz w:val="24"/>
          <w:szCs w:val="24"/>
          <w:highlight w:val="none"/>
          <w:shd w:val="clear" w:color="auto" w:fill="FFFFFF"/>
          <w14:ligatures w14:val="none"/>
        </w:rPr>
        <w:t>应用软件以视频方式参与开标会。</w:t>
      </w:r>
    </w:p>
    <w:p w14:paraId="6D3AC878">
      <w:pPr>
        <w:spacing w:line="360" w:lineRule="auto"/>
        <w:jc w:val="center"/>
        <w:rPr>
          <w:rFonts w:hint="eastAsia" w:ascii="Arial" w:hAnsi="Arial" w:eastAsia="宋体" w:cs="Arial"/>
          <w:b/>
          <w:bCs/>
          <w:sz w:val="28"/>
          <w:szCs w:val="28"/>
          <w:highlight w:val="none"/>
          <w14:ligatures w14:val="none"/>
        </w:rPr>
      </w:pPr>
    </w:p>
    <w:p w14:paraId="22A15364">
      <w:pPr>
        <w:spacing w:line="360" w:lineRule="auto"/>
        <w:jc w:val="center"/>
        <w:rPr>
          <w:rFonts w:ascii="Arial" w:hAnsi="Arial" w:eastAsia="宋体" w:cs="Arial"/>
          <w:b/>
          <w:bCs/>
          <w:sz w:val="28"/>
          <w:szCs w:val="28"/>
          <w:highlight w:val="none"/>
          <w14:ligatures w14:val="none"/>
        </w:rPr>
      </w:pPr>
      <w:r>
        <w:rPr>
          <w:rFonts w:hint="eastAsia" w:ascii="Arial" w:hAnsi="Arial" w:cs="Arial"/>
          <w:b/>
          <w:bCs/>
          <w:sz w:val="28"/>
          <w:szCs w:val="28"/>
          <w:highlight w:val="none"/>
          <w:lang w:val="en-US" w:eastAsia="zh-CN"/>
          <w14:ligatures w14:val="none"/>
        </w:rPr>
        <w:t>钉钉</w:t>
      </w:r>
      <w:r>
        <w:rPr>
          <w:rFonts w:hint="eastAsia" w:ascii="Arial" w:hAnsi="Arial" w:eastAsia="宋体" w:cs="Arial"/>
          <w:b/>
          <w:bCs/>
          <w:sz w:val="28"/>
          <w:szCs w:val="28"/>
          <w:highlight w:val="none"/>
          <w14:ligatures w14:val="none"/>
        </w:rPr>
        <w:t>视频开标项目及操作说明</w:t>
      </w:r>
    </w:p>
    <w:p w14:paraId="2208D981">
      <w:pPr>
        <w:adjustRightInd w:val="0"/>
        <w:spacing w:line="460" w:lineRule="exact"/>
        <w:ind w:firstLine="422" w:firstLineChars="200"/>
        <w:rPr>
          <w:rFonts w:ascii="Arial" w:hAnsi="Arial" w:eastAsia="宋体" w:cs="Arial"/>
          <w:b/>
          <w:bCs/>
          <w:szCs w:val="21"/>
          <w:highlight w:val="none"/>
          <w14:ligatures w14:val="none"/>
        </w:rPr>
      </w:pPr>
      <w:r>
        <w:rPr>
          <w:rFonts w:ascii="Arial" w:hAnsi="Arial" w:eastAsia="宋体" w:cs="Arial"/>
          <w:b/>
          <w:bCs/>
          <w:szCs w:val="21"/>
          <w:highlight w:val="none"/>
          <w14:ligatures w14:val="none"/>
        </w:rPr>
        <w:t>1</w:t>
      </w:r>
      <w:r>
        <w:rPr>
          <w:rFonts w:hint="eastAsia" w:ascii="Arial" w:hAnsi="Arial" w:eastAsia="宋体" w:cs="Arial"/>
          <w:b/>
          <w:bCs/>
          <w:szCs w:val="21"/>
          <w:highlight w:val="none"/>
          <w14:ligatures w14:val="none"/>
        </w:rPr>
        <w:t>、视频开标操作说明</w:t>
      </w:r>
    </w:p>
    <w:p w14:paraId="488CE9DA">
      <w:pPr>
        <w:adjustRightInd w:val="0"/>
        <w:spacing w:line="460" w:lineRule="exact"/>
        <w:ind w:firstLine="420" w:firstLineChars="200"/>
        <w:rPr>
          <w:rFonts w:ascii="Times New Roman" w:hAnsi="Times New Roman" w:eastAsia="宋体" w:cs="Times New Roman"/>
          <w:szCs w:val="21"/>
          <w:highlight w:val="none"/>
          <w14:ligatures w14:val="none"/>
        </w:rPr>
      </w:pPr>
      <w:r>
        <w:rPr>
          <w:rFonts w:hint="eastAsia" w:ascii="Arial" w:hAnsi="Arial" w:eastAsia="宋体" w:cs="Arial"/>
          <w:szCs w:val="21"/>
          <w:highlight w:val="none"/>
          <w:u w:val="single"/>
          <w14:ligatures w14:val="none"/>
        </w:rPr>
        <w:t>请各投标人授权代表提前用手机（电脑）下载</w:t>
      </w:r>
      <w:r>
        <w:rPr>
          <w:rFonts w:ascii="Arial" w:hAnsi="Arial" w:eastAsia="宋体" w:cs="Arial"/>
          <w:szCs w:val="21"/>
          <w:highlight w:val="none"/>
          <w:u w:val="single"/>
          <w14:ligatures w14:val="none"/>
        </w:rPr>
        <w:t xml:space="preserve"> </w:t>
      </w:r>
      <w:r>
        <w:rPr>
          <w:rFonts w:hint="eastAsia" w:ascii="Arial" w:hAnsi="Arial" w:eastAsia="宋体" w:cs="Arial"/>
          <w:szCs w:val="21"/>
          <w:highlight w:val="none"/>
          <w:u w:val="single"/>
          <w14:ligatures w14:val="none"/>
        </w:rPr>
        <w:t>“</w:t>
      </w:r>
      <w:r>
        <w:rPr>
          <w:rFonts w:hint="eastAsia" w:ascii="Arial" w:hAnsi="Arial" w:cs="Arial"/>
          <w:szCs w:val="21"/>
          <w:highlight w:val="none"/>
          <w:u w:val="single"/>
          <w:lang w:val="en-US" w:eastAsia="zh-CN"/>
          <w14:ligatures w14:val="none"/>
        </w:rPr>
        <w:t>钉钉</w:t>
      </w:r>
      <w:r>
        <w:rPr>
          <w:rFonts w:hint="eastAsia" w:ascii="Arial" w:hAnsi="Arial" w:eastAsia="宋体" w:cs="Arial"/>
          <w:szCs w:val="21"/>
          <w:highlight w:val="none"/>
          <w:u w:val="single"/>
          <w14:ligatures w14:val="none"/>
        </w:rPr>
        <w:t>”应用软件</w:t>
      </w:r>
      <w:r>
        <w:rPr>
          <w:rFonts w:hint="eastAsia" w:ascii="Arial" w:hAnsi="Arial" w:cs="Arial"/>
          <w:szCs w:val="21"/>
          <w:highlight w:val="none"/>
          <w:u w:val="single"/>
          <w:lang w:val="en-US" w:eastAsia="zh-CN"/>
          <w14:ligatures w14:val="none"/>
        </w:rPr>
        <w:t>并注册</w:t>
      </w:r>
      <w:r>
        <w:rPr>
          <w:rFonts w:hint="eastAsia" w:ascii="Arial" w:hAnsi="Arial" w:eastAsia="宋体" w:cs="Arial"/>
          <w:szCs w:val="21"/>
          <w:highlight w:val="none"/>
          <w:u w:val="single"/>
          <w14:ligatures w14:val="none"/>
        </w:rPr>
        <w:t>，打开“</w:t>
      </w:r>
      <w:r>
        <w:rPr>
          <w:rFonts w:hint="eastAsia" w:ascii="Arial" w:hAnsi="Arial" w:cs="Arial"/>
          <w:szCs w:val="21"/>
          <w:highlight w:val="none"/>
          <w:u w:val="single"/>
          <w:lang w:val="en-US" w:eastAsia="zh-CN"/>
          <w14:ligatures w14:val="none"/>
        </w:rPr>
        <w:t>视频会议</w:t>
      </w:r>
      <w:r>
        <w:rPr>
          <w:rFonts w:hint="eastAsia" w:ascii="Arial" w:hAnsi="Arial" w:eastAsia="宋体" w:cs="Arial"/>
          <w:szCs w:val="21"/>
          <w:highlight w:val="none"/>
          <w:u w:val="single"/>
          <w14:ligatures w14:val="none"/>
        </w:rPr>
        <w:t>”</w:t>
      </w:r>
      <w:r>
        <w:rPr>
          <w:rFonts w:hint="eastAsia" w:ascii="Arial" w:hAnsi="Arial" w:cs="Arial"/>
          <w:szCs w:val="21"/>
          <w:highlight w:val="none"/>
          <w:u w:val="single"/>
          <w:lang w:val="en-US" w:eastAsia="zh-CN"/>
          <w14:ligatures w14:val="none"/>
        </w:rPr>
        <w:t>功能</w:t>
      </w:r>
      <w:r>
        <w:rPr>
          <w:rFonts w:hint="eastAsia" w:ascii="Arial" w:hAnsi="Arial" w:eastAsia="宋体" w:cs="Arial"/>
          <w:szCs w:val="21"/>
          <w:highlight w:val="none"/>
          <w:u w:val="single"/>
          <w14:ligatures w14:val="none"/>
        </w:rPr>
        <w:t>，点击“加入会议”→输入“会议号”→点击“加入会议”</w:t>
      </w:r>
    </w:p>
    <w:p w14:paraId="60F42EAE">
      <w:pPr>
        <w:adjustRightInd w:val="0"/>
        <w:spacing w:line="460" w:lineRule="exact"/>
        <w:ind w:firstLine="422" w:firstLineChars="200"/>
        <w:rPr>
          <w:rFonts w:ascii="Arial" w:hAnsi="Arial" w:eastAsia="宋体" w:cs="Arial"/>
          <w:b/>
          <w:bCs/>
          <w:szCs w:val="21"/>
          <w:highlight w:val="none"/>
          <w14:ligatures w14:val="none"/>
        </w:rPr>
      </w:pPr>
      <w:r>
        <w:rPr>
          <w:rFonts w:ascii="Arial" w:hAnsi="Arial" w:eastAsia="宋体" w:cs="Arial"/>
          <w:b/>
          <w:bCs/>
          <w:szCs w:val="21"/>
          <w:highlight w:val="none"/>
          <w14:ligatures w14:val="none"/>
        </w:rPr>
        <w:t>2.</w:t>
      </w:r>
      <w:r>
        <w:rPr>
          <w:rFonts w:hint="eastAsia" w:ascii="Arial" w:hAnsi="Arial" w:eastAsia="宋体" w:cs="Arial"/>
          <w:b/>
          <w:bCs/>
          <w:szCs w:val="21"/>
          <w:highlight w:val="none"/>
          <w14:ligatures w14:val="none"/>
        </w:rPr>
        <w:t>本项目视频开标说明</w:t>
      </w:r>
    </w:p>
    <w:p w14:paraId="12AFA4ED">
      <w:pPr>
        <w:adjustRightInd w:val="0"/>
        <w:spacing w:line="460" w:lineRule="exact"/>
        <w:ind w:firstLine="420" w:firstLineChars="200"/>
        <w:rPr>
          <w:rFonts w:hint="eastAsia" w:ascii="宋体" w:hAnsi="宋体" w:eastAsia="宋体" w:cs="宋体"/>
          <w:sz w:val="24"/>
          <w:szCs w:val="21"/>
          <w:highlight w:val="none"/>
          <w14:ligatures w14:val="none"/>
        </w:rPr>
      </w:pPr>
      <w:r>
        <w:rPr>
          <w:rFonts w:hint="eastAsia" w:ascii="Arial" w:hAnsi="Arial" w:eastAsia="宋体" w:cs="Arial"/>
          <w:szCs w:val="21"/>
          <w:highlight w:val="none"/>
          <w14:ligatures w14:val="none"/>
        </w:rPr>
        <w:t>（</w:t>
      </w:r>
      <w:r>
        <w:rPr>
          <w:rFonts w:ascii="Arial" w:hAnsi="Arial" w:eastAsia="宋体" w:cs="Arial"/>
          <w:szCs w:val="21"/>
          <w:highlight w:val="none"/>
          <w14:ligatures w14:val="none"/>
        </w:rPr>
        <w:t>1</w:t>
      </w:r>
      <w:r>
        <w:rPr>
          <w:rFonts w:hint="eastAsia" w:ascii="Arial" w:hAnsi="Arial" w:eastAsia="宋体" w:cs="Arial"/>
          <w:szCs w:val="21"/>
          <w:highlight w:val="none"/>
          <w14:ligatures w14:val="none"/>
        </w:rPr>
        <w:t>）本项目“</w:t>
      </w:r>
      <w:r>
        <w:rPr>
          <w:rFonts w:hint="eastAsia" w:ascii="Arial" w:hAnsi="Arial" w:eastAsia="宋体" w:cs="Arial"/>
          <w:b/>
          <w:bCs/>
          <w:szCs w:val="21"/>
          <w:highlight w:val="none"/>
          <w14:ligatures w14:val="none"/>
        </w:rPr>
        <w:t>会议号</w:t>
      </w:r>
      <w:r>
        <w:rPr>
          <w:rFonts w:hint="eastAsia" w:ascii="Arial" w:hAnsi="Arial" w:eastAsia="宋体" w:cs="Arial"/>
          <w:szCs w:val="21"/>
          <w:highlight w:val="none"/>
          <w14:ligatures w14:val="none"/>
        </w:rPr>
        <w:t>”为</w:t>
      </w:r>
      <w:r>
        <w:rPr>
          <w:rFonts w:hint="eastAsia" w:ascii="宋体" w:hAnsi="宋体" w:eastAsia="宋体" w:cs="宋体"/>
          <w:szCs w:val="21"/>
          <w:highlight w:val="none"/>
          <w14:ligatures w14:val="none"/>
        </w:rPr>
        <w:t>：688 817 6197</w:t>
      </w:r>
      <w:r>
        <w:rPr>
          <w:rFonts w:hint="eastAsia" w:ascii="宋体" w:hAnsi="宋体" w:cs="宋体"/>
          <w:szCs w:val="21"/>
          <w:highlight w:val="none"/>
          <w:lang w:eastAsia="zh-CN"/>
          <w14:ligatures w14:val="none"/>
        </w:rPr>
        <w:t>。</w:t>
      </w:r>
      <w:r>
        <w:rPr>
          <w:rFonts w:hint="eastAsia" w:ascii="宋体" w:hAnsi="宋体" w:eastAsia="宋体" w:cs="宋体"/>
          <w:sz w:val="24"/>
          <w:szCs w:val="21"/>
          <w:highlight w:val="none"/>
          <w14:ligatures w14:val="none"/>
        </w:rPr>
        <w:t xml:space="preserve"> </w:t>
      </w:r>
    </w:p>
    <w:p w14:paraId="7756D829">
      <w:pPr>
        <w:adjustRightInd w:val="0"/>
        <w:spacing w:line="460" w:lineRule="exact"/>
        <w:ind w:firstLine="420" w:firstLineChars="200"/>
        <w:rPr>
          <w:rFonts w:ascii="Arial" w:hAnsi="Arial" w:eastAsia="宋体" w:cs="Arial"/>
          <w:szCs w:val="21"/>
          <w:highlight w:val="none"/>
          <w14:ligatures w14:val="none"/>
        </w:rPr>
      </w:pPr>
      <w:r>
        <w:rPr>
          <w:rFonts w:hint="eastAsia" w:ascii="Arial" w:hAnsi="Arial" w:eastAsia="宋体" w:cs="Arial"/>
          <w:szCs w:val="21"/>
          <w:highlight w:val="none"/>
          <w14:ligatures w14:val="none"/>
        </w:rPr>
        <w:t>（</w:t>
      </w:r>
      <w:r>
        <w:rPr>
          <w:rFonts w:ascii="Arial" w:hAnsi="Arial" w:eastAsia="宋体" w:cs="Arial"/>
          <w:szCs w:val="21"/>
          <w:highlight w:val="none"/>
          <w14:ligatures w14:val="none"/>
        </w:rPr>
        <w:t>2</w:t>
      </w:r>
      <w:r>
        <w:rPr>
          <w:rFonts w:hint="eastAsia" w:ascii="Arial" w:hAnsi="Arial" w:eastAsia="宋体" w:cs="Arial"/>
          <w:szCs w:val="21"/>
          <w:highlight w:val="none"/>
          <w14:ligatures w14:val="none"/>
        </w:rPr>
        <w:t>）请将姓名设置为“</w:t>
      </w:r>
      <w:r>
        <w:rPr>
          <w:rFonts w:hint="eastAsia" w:ascii="Arial" w:hAnsi="Arial" w:eastAsia="宋体" w:cs="Arial"/>
          <w:b/>
          <w:bCs/>
          <w:szCs w:val="21"/>
          <w:highlight w:val="none"/>
          <w14:ligatures w14:val="none"/>
        </w:rPr>
        <w:t>投标单位简称＋授权代表姓名</w:t>
      </w:r>
      <w:r>
        <w:rPr>
          <w:rFonts w:hint="eastAsia" w:ascii="Arial" w:hAnsi="Arial" w:eastAsia="宋体" w:cs="Arial"/>
          <w:szCs w:val="21"/>
          <w:highlight w:val="none"/>
          <w14:ligatures w14:val="none"/>
        </w:rPr>
        <w:t>”。</w:t>
      </w:r>
    </w:p>
    <w:p w14:paraId="59AF8259">
      <w:pPr>
        <w:adjustRightInd w:val="0"/>
        <w:spacing w:line="460" w:lineRule="exact"/>
        <w:ind w:firstLine="420" w:firstLineChars="200"/>
        <w:rPr>
          <w:rFonts w:ascii="Arial" w:hAnsi="Arial" w:eastAsia="宋体" w:cs="Arial"/>
          <w:szCs w:val="21"/>
          <w:highlight w:val="none"/>
          <w14:ligatures w14:val="none"/>
        </w:rPr>
      </w:pPr>
      <w:r>
        <w:rPr>
          <w:rFonts w:hint="eastAsia" w:ascii="Arial" w:hAnsi="Arial" w:eastAsia="宋体" w:cs="Arial"/>
          <w:szCs w:val="21"/>
          <w:highlight w:val="none"/>
          <w14:ligatures w14:val="none"/>
        </w:rPr>
        <w:t>（</w:t>
      </w:r>
      <w:r>
        <w:rPr>
          <w:rFonts w:ascii="Arial" w:hAnsi="Arial" w:eastAsia="宋体" w:cs="Arial"/>
          <w:szCs w:val="21"/>
          <w:highlight w:val="none"/>
          <w14:ligatures w14:val="none"/>
        </w:rPr>
        <w:t>3</w:t>
      </w:r>
      <w:r>
        <w:rPr>
          <w:rFonts w:hint="eastAsia" w:ascii="Arial" w:hAnsi="Arial" w:eastAsia="宋体" w:cs="Arial"/>
          <w:szCs w:val="21"/>
          <w:highlight w:val="none"/>
          <w14:ligatures w14:val="none"/>
        </w:rPr>
        <w:t>）若开标过程中，投标人对开标过程及唱标结果有异议，可在视频会议中留言</w:t>
      </w:r>
    </w:p>
    <w:p w14:paraId="522D6F47">
      <w:pPr>
        <w:adjustRightInd w:val="0"/>
        <w:spacing w:line="460" w:lineRule="exact"/>
        <w:ind w:firstLine="420" w:firstLineChars="200"/>
        <w:rPr>
          <w:rFonts w:ascii="Arial" w:hAnsi="Arial" w:eastAsia="宋体" w:cs="Arial"/>
          <w:szCs w:val="21"/>
          <w:highlight w:val="none"/>
          <w14:ligatures w14:val="none"/>
        </w:rPr>
        <w:sectPr>
          <w:pgSz w:w="11905" w:h="16838"/>
          <w:pgMar w:top="1417" w:right="1474" w:bottom="1417" w:left="1587" w:header="850" w:footer="992" w:gutter="0"/>
          <w:pgNumType w:fmt="numberInDash"/>
          <w:cols w:space="720" w:num="1"/>
          <w:docGrid w:type="lines" w:linePitch="318" w:charSpace="0"/>
        </w:sectPr>
      </w:pPr>
      <w:r>
        <w:rPr>
          <w:rFonts w:hint="eastAsia" w:ascii="Arial" w:hAnsi="Arial" w:eastAsia="宋体" w:cs="Arial"/>
          <w:szCs w:val="21"/>
          <w:highlight w:val="none"/>
          <w14:ligatures w14:val="none"/>
        </w:rPr>
        <w:t>（</w:t>
      </w:r>
      <w:r>
        <w:rPr>
          <w:rFonts w:ascii="Arial" w:hAnsi="Arial" w:eastAsia="宋体" w:cs="Arial"/>
          <w:szCs w:val="21"/>
          <w:highlight w:val="none"/>
          <w14:ligatures w14:val="none"/>
        </w:rPr>
        <w:t>4</w:t>
      </w:r>
      <w:r>
        <w:rPr>
          <w:rFonts w:hint="eastAsia" w:ascii="Arial" w:hAnsi="Arial" w:eastAsia="宋体" w:cs="Arial"/>
          <w:szCs w:val="21"/>
          <w:highlight w:val="none"/>
          <w14:ligatures w14:val="none"/>
        </w:rPr>
        <w:t>）</w:t>
      </w:r>
      <w:r>
        <w:rPr>
          <w:rFonts w:hint="eastAsia" w:ascii="Arial" w:hAnsi="Arial" w:eastAsia="宋体" w:cs="Arial"/>
          <w:b/>
          <w:bCs/>
          <w:szCs w:val="21"/>
          <w:highlight w:val="none"/>
          <w:u w:val="single"/>
          <w14:ligatures w14:val="none"/>
        </w:rPr>
        <w:t>投标人未按上述操作参加视频开标，以及未在视频会议中留言提出异议的，均视为认同开标过程及唱标结果</w:t>
      </w:r>
    </w:p>
    <w:p w14:paraId="53AB5576">
      <w:pPr>
        <w:spacing w:line="360" w:lineRule="auto"/>
        <w:jc w:val="both"/>
        <w:rPr>
          <w:rFonts w:hint="default" w:ascii="宋体" w:hAnsi="宋体"/>
          <w:iCs/>
          <w:sz w:val="32"/>
          <w:szCs w:val="32"/>
          <w:highlight w:val="none"/>
          <w:lang w:val="en-US" w:eastAsia="zh-CN"/>
        </w:rPr>
      </w:pPr>
    </w:p>
    <w:sectPr>
      <w:footerReference r:id="rId8" w:type="first"/>
      <w:footerReference r:id="rId7" w:type="default"/>
      <w:pgSz w:w="11906" w:h="16838"/>
      <w:pgMar w:top="1418" w:right="1588" w:bottom="1418" w:left="1365" w:header="851" w:footer="907" w:gutter="0"/>
      <w:pgNumType w:fmt="decimal" w:start="1"/>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Helvetica">
    <w:altName w:val="Arial"/>
    <w:panose1 w:val="020B0604020202020204"/>
    <w:charset w:val="00"/>
    <w:family w:val="auto"/>
    <w:pitch w:val="default"/>
    <w:sig w:usb0="00000000" w:usb1="00000000" w:usb2="00000000" w:usb3="00000000" w:csb0="00000000"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7FFAEFF" w:usb1="F9DFFFFF" w:usb2="0000007F" w:usb3="00000000" w:csb0="203F01FF" w:csb1="DFFF0000"/>
  </w:font>
  <w:font w:name="方正黑体_GBK">
    <w:panose1 w:val="02010600010101010101"/>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_GBK">
    <w:panose1 w:val="02000000000000000000"/>
    <w:charset w:val="86"/>
    <w:family w:val="script"/>
    <w:pitch w:val="default"/>
    <w:sig w:usb0="A00002BF" w:usb1="38CF7CFA" w:usb2="00082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FC03E">
    <w:pPr>
      <w:pStyle w:val="279"/>
      <w:jc w:val="center"/>
      <w:rPr>
        <w:b/>
        <w:i/>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A764BB">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A764BB">
                    <w:pPr>
                      <w:pStyle w:val="21"/>
                    </w:pPr>
                    <w:r>
                      <w:fldChar w:fldCharType="begin"/>
                    </w:r>
                    <w:r>
                      <w:instrText xml:space="preserve"> PAGE  \* MERGEFORMAT </w:instrText>
                    </w:r>
                    <w:r>
                      <w:fldChar w:fldCharType="separate"/>
                    </w:r>
                    <w:r>
                      <w:t>1</w:t>
                    </w:r>
                    <w:r>
                      <w:fldChar w:fldCharType="end"/>
                    </w:r>
                  </w:p>
                </w:txbxContent>
              </v:textbox>
            </v:shape>
          </w:pict>
        </mc:Fallback>
      </mc:AlternateContent>
    </w:r>
    <w:r>
      <w:rPr>
        <w:b/>
        <w:i/>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FC038">
    <w:pPr>
      <w:pStyle w:val="279"/>
      <w:framePr w:wrap="around" w:vAnchor="text" w:hAnchor="margin" w:xAlign="center" w:y="1"/>
      <w:rPr>
        <w:rStyle w:val="297"/>
      </w:rPr>
    </w:pPr>
    <w:r>
      <w:fldChar w:fldCharType="begin"/>
    </w:r>
    <w:r>
      <w:rPr>
        <w:rStyle w:val="297"/>
      </w:rPr>
      <w:instrText xml:space="preserve">PAGE  </w:instrText>
    </w:r>
    <w:r>
      <w:fldChar w:fldCharType="separate"/>
    </w:r>
    <w:r>
      <w:rPr>
        <w:rStyle w:val="297"/>
      </w:rPr>
      <w:t>1</w:t>
    </w:r>
    <w:r>
      <w:fldChar w:fldCharType="end"/>
    </w:r>
  </w:p>
  <w:p w14:paraId="00BFC039">
    <w:pPr>
      <w:pStyle w:val="279"/>
    </w:pPr>
  </w:p>
  <w:p w14:paraId="00BFC03A"/>
  <w:p w14:paraId="00BFC03B"/>
  <w:p w14:paraId="00BFC03C"/>
  <w:p w14:paraId="00BFC03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E55D3">
    <w:pPr>
      <w:pStyle w:val="21"/>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EA7C4">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3EA7C4">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FC03F">
    <w:pPr>
      <w:pStyle w:val="279"/>
      <w:rPr>
        <w:b/>
        <w:i/>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1BDD68">
                          <w:pPr>
                            <w:pStyle w:val="2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F1BDD68">
                    <w:pPr>
                      <w:pStyle w:val="2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FC040">
    <w:pPr>
      <w:pStyle w:val="21"/>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824F46">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3824F46">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FC036">
    <w:pPr>
      <w:pStyle w:val="280"/>
      <w:pBdr>
        <w:bottom w:val="none" w:color="000000" w:sz="0" w:space="0"/>
      </w:pBdr>
    </w:pPr>
  </w:p>
  <w:p w14:paraId="00BFC03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upperLetter"/>
      <w:pStyle w:val="314"/>
      <w:lvlText w:val="附录%1."/>
      <w:lvlJc w:val="left"/>
      <w:pPr>
        <w:tabs>
          <w:tab w:val="left" w:pos="907"/>
        </w:tabs>
        <w:ind w:left="907" w:hanging="907"/>
      </w:pPr>
      <w:rPr>
        <w:rFonts w:hint="eastAsia"/>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1">
    <w:nsid w:val="FBAD78C5"/>
    <w:multiLevelType w:val="singleLevel"/>
    <w:tmpl w:val="FBAD78C5"/>
    <w:lvl w:ilvl="0" w:tentative="0">
      <w:start w:val="2"/>
      <w:numFmt w:val="chineseCounting"/>
      <w:suff w:val="nothing"/>
      <w:lvlText w:val="%1、"/>
      <w:lvlJc w:val="left"/>
      <w:pPr>
        <w:ind w:left="-60"/>
      </w:pPr>
      <w:rPr>
        <w:rFonts w:hint="eastAsia"/>
      </w:rPr>
    </w:lvl>
  </w:abstractNum>
  <w:abstractNum w:abstractNumId="2">
    <w:nsid w:val="0053208E"/>
    <w:multiLevelType w:val="multilevel"/>
    <w:tmpl w:val="0053208E"/>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decimal"/>
      <w:pStyle w:val="259"/>
      <w:suff w:val="nothing"/>
      <w:lvlText w:val=""/>
      <w:lvlJc w:val="left"/>
      <w:pPr>
        <w:ind w:left="0" w:firstLine="0"/>
      </w:pPr>
      <w:rPr>
        <w:rFonts w:hint="eastAsia"/>
      </w:rPr>
    </w:lvl>
    <w:lvl w:ilvl="6" w:tentative="0">
      <w:start w:val="1"/>
      <w:numFmt w:val="decimal"/>
      <w:pStyle w:val="260"/>
      <w:suff w:val="nothing"/>
      <w:lvlText w:val=""/>
      <w:lvlJc w:val="left"/>
      <w:pPr>
        <w:ind w:left="0" w:firstLine="0"/>
      </w:pPr>
      <w:rPr>
        <w:rFonts w:hint="eastAsia"/>
      </w:rPr>
    </w:lvl>
    <w:lvl w:ilvl="7" w:tentative="0">
      <w:start w:val="1"/>
      <w:numFmt w:val="decimal"/>
      <w:pStyle w:val="261"/>
      <w:suff w:val="nothing"/>
      <w:lvlText w:val=""/>
      <w:lvlJc w:val="left"/>
      <w:pPr>
        <w:ind w:left="0" w:firstLine="0"/>
      </w:pPr>
      <w:rPr>
        <w:rFonts w:hint="eastAsia"/>
      </w:rPr>
    </w:lvl>
    <w:lvl w:ilvl="8" w:tentative="0">
      <w:start w:val="1"/>
      <w:numFmt w:val="decimal"/>
      <w:pStyle w:val="262"/>
      <w:suff w:val="nothing"/>
      <w:lvlText w:val=""/>
      <w:lvlJc w:val="left"/>
      <w:pPr>
        <w:ind w:left="0" w:firstLine="0"/>
      </w:pPr>
      <w:rPr>
        <w:rFonts w:hint="eastAsia"/>
      </w:rPr>
    </w:lvl>
  </w:abstractNum>
  <w:abstractNum w:abstractNumId="3">
    <w:nsid w:val="48254D5A"/>
    <w:multiLevelType w:val="singleLevel"/>
    <w:tmpl w:val="48254D5A"/>
    <w:lvl w:ilvl="0" w:tentative="0">
      <w:start w:val="3"/>
      <w:numFmt w:val="decimal"/>
      <w:lvlText w:val="%1."/>
      <w:lvlJc w:val="left"/>
      <w:pPr>
        <w:tabs>
          <w:tab w:val="left" w:pos="312"/>
        </w:tabs>
      </w:pPr>
    </w:lvl>
  </w:abstractNum>
  <w:abstractNum w:abstractNumId="4">
    <w:nsid w:val="59ADCABA"/>
    <w:multiLevelType w:val="multilevel"/>
    <w:tmpl w:val="59ADCABA"/>
    <w:lvl w:ilvl="0" w:tentative="0">
      <w:start w:val="1"/>
      <w:numFmt w:val="decimal"/>
      <w:pStyle w:val="321"/>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72183CF9"/>
    <w:multiLevelType w:val="multilevel"/>
    <w:tmpl w:val="72183CF9"/>
    <w:lvl w:ilvl="0" w:tentative="0">
      <w:start w:val="7"/>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2"/>
  </w:num>
  <w:num w:numId="2">
    <w:abstractNumId w:val="0"/>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mirrorMargins w:val="1"/>
  <w:bordersDoNotSurroundHeader w:val="0"/>
  <w:bordersDoNotSurroundFooter w:val="0"/>
  <w:documentProtection w:enforcement="0"/>
  <w:defaultTabStop w:val="425"/>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kNDdhZmI5MTVhZDBmNDE5ZDU5Y2RjZDAyNDUyY2MifQ=="/>
  </w:docVars>
  <w:rsids>
    <w:rsidRoot w:val="008A6764"/>
    <w:rsid w:val="00000BAE"/>
    <w:rsid w:val="00013E52"/>
    <w:rsid w:val="0001673B"/>
    <w:rsid w:val="00020415"/>
    <w:rsid w:val="000238DC"/>
    <w:rsid w:val="00031FEA"/>
    <w:rsid w:val="00041504"/>
    <w:rsid w:val="0005099F"/>
    <w:rsid w:val="000510E2"/>
    <w:rsid w:val="00064086"/>
    <w:rsid w:val="00064E20"/>
    <w:rsid w:val="00072860"/>
    <w:rsid w:val="000807E8"/>
    <w:rsid w:val="000849C2"/>
    <w:rsid w:val="00095470"/>
    <w:rsid w:val="000A06C6"/>
    <w:rsid w:val="000B099D"/>
    <w:rsid w:val="000B170E"/>
    <w:rsid w:val="000C4EA0"/>
    <w:rsid w:val="000D15FC"/>
    <w:rsid w:val="000D43DC"/>
    <w:rsid w:val="000E5588"/>
    <w:rsid w:val="000E5E62"/>
    <w:rsid w:val="000F3C96"/>
    <w:rsid w:val="000F7F1C"/>
    <w:rsid w:val="00103CF1"/>
    <w:rsid w:val="00115C20"/>
    <w:rsid w:val="001227BC"/>
    <w:rsid w:val="001273C0"/>
    <w:rsid w:val="0013245F"/>
    <w:rsid w:val="0013334D"/>
    <w:rsid w:val="00135106"/>
    <w:rsid w:val="00137505"/>
    <w:rsid w:val="0014095A"/>
    <w:rsid w:val="00145B73"/>
    <w:rsid w:val="00145D33"/>
    <w:rsid w:val="00147A30"/>
    <w:rsid w:val="001545B7"/>
    <w:rsid w:val="0015594D"/>
    <w:rsid w:val="00156D56"/>
    <w:rsid w:val="00164CAE"/>
    <w:rsid w:val="001A1897"/>
    <w:rsid w:val="001A6603"/>
    <w:rsid w:val="001A7897"/>
    <w:rsid w:val="001B578A"/>
    <w:rsid w:val="001C16DE"/>
    <w:rsid w:val="001C2EDF"/>
    <w:rsid w:val="001D7CF1"/>
    <w:rsid w:val="001F3663"/>
    <w:rsid w:val="00213106"/>
    <w:rsid w:val="00227CEE"/>
    <w:rsid w:val="00231F2F"/>
    <w:rsid w:val="002347AC"/>
    <w:rsid w:val="002462A7"/>
    <w:rsid w:val="0024709B"/>
    <w:rsid w:val="002528CF"/>
    <w:rsid w:val="00284C7B"/>
    <w:rsid w:val="0028572B"/>
    <w:rsid w:val="002A0C58"/>
    <w:rsid w:val="002A6D19"/>
    <w:rsid w:val="002C6961"/>
    <w:rsid w:val="002C7759"/>
    <w:rsid w:val="002E5063"/>
    <w:rsid w:val="002F355E"/>
    <w:rsid w:val="002F3BE8"/>
    <w:rsid w:val="002F6268"/>
    <w:rsid w:val="003033FC"/>
    <w:rsid w:val="00310EE5"/>
    <w:rsid w:val="00322968"/>
    <w:rsid w:val="00323315"/>
    <w:rsid w:val="00325586"/>
    <w:rsid w:val="003301D7"/>
    <w:rsid w:val="00331DF1"/>
    <w:rsid w:val="00344271"/>
    <w:rsid w:val="00356B3D"/>
    <w:rsid w:val="00370CB2"/>
    <w:rsid w:val="00373965"/>
    <w:rsid w:val="00376231"/>
    <w:rsid w:val="003A545B"/>
    <w:rsid w:val="003A5761"/>
    <w:rsid w:val="003B34BC"/>
    <w:rsid w:val="003C228F"/>
    <w:rsid w:val="003D299D"/>
    <w:rsid w:val="003D427D"/>
    <w:rsid w:val="003E31BE"/>
    <w:rsid w:val="003E5D87"/>
    <w:rsid w:val="00405A95"/>
    <w:rsid w:val="00410884"/>
    <w:rsid w:val="00411859"/>
    <w:rsid w:val="004127E1"/>
    <w:rsid w:val="004178BC"/>
    <w:rsid w:val="00420D4F"/>
    <w:rsid w:val="00430B80"/>
    <w:rsid w:val="00431A67"/>
    <w:rsid w:val="00434B90"/>
    <w:rsid w:val="00435E26"/>
    <w:rsid w:val="004458BA"/>
    <w:rsid w:val="004828D1"/>
    <w:rsid w:val="00482A87"/>
    <w:rsid w:val="00483000"/>
    <w:rsid w:val="004A65FA"/>
    <w:rsid w:val="004B14AE"/>
    <w:rsid w:val="004C1A8E"/>
    <w:rsid w:val="004C1A97"/>
    <w:rsid w:val="004C30A5"/>
    <w:rsid w:val="004D613B"/>
    <w:rsid w:val="004E0FC8"/>
    <w:rsid w:val="004E1D6D"/>
    <w:rsid w:val="004E47F2"/>
    <w:rsid w:val="004E4FE8"/>
    <w:rsid w:val="004F1D92"/>
    <w:rsid w:val="005041D5"/>
    <w:rsid w:val="0051366C"/>
    <w:rsid w:val="005372C0"/>
    <w:rsid w:val="00555EF9"/>
    <w:rsid w:val="00562897"/>
    <w:rsid w:val="00572995"/>
    <w:rsid w:val="00580D9C"/>
    <w:rsid w:val="0058331E"/>
    <w:rsid w:val="00585E32"/>
    <w:rsid w:val="005935FF"/>
    <w:rsid w:val="0059531E"/>
    <w:rsid w:val="005A50AA"/>
    <w:rsid w:val="005A7347"/>
    <w:rsid w:val="005B2192"/>
    <w:rsid w:val="005B66B4"/>
    <w:rsid w:val="005C3A02"/>
    <w:rsid w:val="005D255C"/>
    <w:rsid w:val="005E220A"/>
    <w:rsid w:val="005F0120"/>
    <w:rsid w:val="00600E22"/>
    <w:rsid w:val="00610FDC"/>
    <w:rsid w:val="0063338F"/>
    <w:rsid w:val="006400C0"/>
    <w:rsid w:val="00641790"/>
    <w:rsid w:val="0065778F"/>
    <w:rsid w:val="006604A3"/>
    <w:rsid w:val="006825D2"/>
    <w:rsid w:val="006978B9"/>
    <w:rsid w:val="006C1DB2"/>
    <w:rsid w:val="006C73BA"/>
    <w:rsid w:val="006D01AD"/>
    <w:rsid w:val="006D1C0D"/>
    <w:rsid w:val="006D4C43"/>
    <w:rsid w:val="006D5BC1"/>
    <w:rsid w:val="006E0A4F"/>
    <w:rsid w:val="006E1056"/>
    <w:rsid w:val="006F20E6"/>
    <w:rsid w:val="006F5634"/>
    <w:rsid w:val="00701BAD"/>
    <w:rsid w:val="0071038E"/>
    <w:rsid w:val="00713857"/>
    <w:rsid w:val="007171CA"/>
    <w:rsid w:val="00726BBC"/>
    <w:rsid w:val="0073680A"/>
    <w:rsid w:val="00745FD5"/>
    <w:rsid w:val="00746A72"/>
    <w:rsid w:val="0075440A"/>
    <w:rsid w:val="0076006B"/>
    <w:rsid w:val="00762495"/>
    <w:rsid w:val="00763A0C"/>
    <w:rsid w:val="00766830"/>
    <w:rsid w:val="00766FD7"/>
    <w:rsid w:val="0077199B"/>
    <w:rsid w:val="007732F1"/>
    <w:rsid w:val="00774DEC"/>
    <w:rsid w:val="0077583C"/>
    <w:rsid w:val="007772CD"/>
    <w:rsid w:val="00790AFA"/>
    <w:rsid w:val="00793501"/>
    <w:rsid w:val="00794EB8"/>
    <w:rsid w:val="007B732F"/>
    <w:rsid w:val="007D0097"/>
    <w:rsid w:val="007D27A7"/>
    <w:rsid w:val="007D78BE"/>
    <w:rsid w:val="007E144E"/>
    <w:rsid w:val="007F063D"/>
    <w:rsid w:val="008179EC"/>
    <w:rsid w:val="0083331E"/>
    <w:rsid w:val="00836D13"/>
    <w:rsid w:val="00836EA7"/>
    <w:rsid w:val="00842BAB"/>
    <w:rsid w:val="0084486F"/>
    <w:rsid w:val="0084710B"/>
    <w:rsid w:val="008622A4"/>
    <w:rsid w:val="00881C5B"/>
    <w:rsid w:val="00882731"/>
    <w:rsid w:val="00883812"/>
    <w:rsid w:val="00886450"/>
    <w:rsid w:val="00895FE6"/>
    <w:rsid w:val="008A4B35"/>
    <w:rsid w:val="008A6764"/>
    <w:rsid w:val="008C1C77"/>
    <w:rsid w:val="008D3BFC"/>
    <w:rsid w:val="008D63EA"/>
    <w:rsid w:val="008E319E"/>
    <w:rsid w:val="008F607F"/>
    <w:rsid w:val="00910A9B"/>
    <w:rsid w:val="00912416"/>
    <w:rsid w:val="009128DB"/>
    <w:rsid w:val="009209B2"/>
    <w:rsid w:val="00926F81"/>
    <w:rsid w:val="0093210A"/>
    <w:rsid w:val="0094437D"/>
    <w:rsid w:val="0094703B"/>
    <w:rsid w:val="009717BC"/>
    <w:rsid w:val="00980031"/>
    <w:rsid w:val="00983F54"/>
    <w:rsid w:val="009923FF"/>
    <w:rsid w:val="00995476"/>
    <w:rsid w:val="009A0561"/>
    <w:rsid w:val="009A3ABA"/>
    <w:rsid w:val="009A5207"/>
    <w:rsid w:val="009A6773"/>
    <w:rsid w:val="009C05CD"/>
    <w:rsid w:val="009C3A63"/>
    <w:rsid w:val="009C4364"/>
    <w:rsid w:val="009F4407"/>
    <w:rsid w:val="00A03443"/>
    <w:rsid w:val="00A0659F"/>
    <w:rsid w:val="00A258DD"/>
    <w:rsid w:val="00A2714F"/>
    <w:rsid w:val="00A32114"/>
    <w:rsid w:val="00A32F30"/>
    <w:rsid w:val="00A4641B"/>
    <w:rsid w:val="00A46A07"/>
    <w:rsid w:val="00A600ED"/>
    <w:rsid w:val="00A609EB"/>
    <w:rsid w:val="00A612CC"/>
    <w:rsid w:val="00A67C8C"/>
    <w:rsid w:val="00A7172A"/>
    <w:rsid w:val="00A732CE"/>
    <w:rsid w:val="00A73561"/>
    <w:rsid w:val="00A74469"/>
    <w:rsid w:val="00A80FA0"/>
    <w:rsid w:val="00A8570D"/>
    <w:rsid w:val="00A91B21"/>
    <w:rsid w:val="00A946E7"/>
    <w:rsid w:val="00AB3905"/>
    <w:rsid w:val="00AC1D70"/>
    <w:rsid w:val="00AC3EE0"/>
    <w:rsid w:val="00AC6CC7"/>
    <w:rsid w:val="00AC7990"/>
    <w:rsid w:val="00AD04C1"/>
    <w:rsid w:val="00B279DA"/>
    <w:rsid w:val="00B528F3"/>
    <w:rsid w:val="00B7780B"/>
    <w:rsid w:val="00B813F6"/>
    <w:rsid w:val="00B87E41"/>
    <w:rsid w:val="00BA0541"/>
    <w:rsid w:val="00BA37C3"/>
    <w:rsid w:val="00BA76B8"/>
    <w:rsid w:val="00BA79B5"/>
    <w:rsid w:val="00BB4A1B"/>
    <w:rsid w:val="00BC2C91"/>
    <w:rsid w:val="00BF146B"/>
    <w:rsid w:val="00BF76CF"/>
    <w:rsid w:val="00C11AEE"/>
    <w:rsid w:val="00C307BE"/>
    <w:rsid w:val="00C37F47"/>
    <w:rsid w:val="00C43CE6"/>
    <w:rsid w:val="00C72D52"/>
    <w:rsid w:val="00C91B87"/>
    <w:rsid w:val="00C95AA8"/>
    <w:rsid w:val="00CA5C5C"/>
    <w:rsid w:val="00CD6AC4"/>
    <w:rsid w:val="00CE04A7"/>
    <w:rsid w:val="00CF000E"/>
    <w:rsid w:val="00CF16D9"/>
    <w:rsid w:val="00CF64D1"/>
    <w:rsid w:val="00D0281A"/>
    <w:rsid w:val="00D150CC"/>
    <w:rsid w:val="00D349B3"/>
    <w:rsid w:val="00D34BEE"/>
    <w:rsid w:val="00D606BA"/>
    <w:rsid w:val="00D61A35"/>
    <w:rsid w:val="00D73BA2"/>
    <w:rsid w:val="00D74934"/>
    <w:rsid w:val="00D7666C"/>
    <w:rsid w:val="00D7723F"/>
    <w:rsid w:val="00D77AFF"/>
    <w:rsid w:val="00D85C6B"/>
    <w:rsid w:val="00DA583F"/>
    <w:rsid w:val="00DB2300"/>
    <w:rsid w:val="00DD1F9F"/>
    <w:rsid w:val="00DD2D53"/>
    <w:rsid w:val="00DD2EAC"/>
    <w:rsid w:val="00DD3173"/>
    <w:rsid w:val="00DF6AFD"/>
    <w:rsid w:val="00E0188F"/>
    <w:rsid w:val="00E40DC0"/>
    <w:rsid w:val="00E4120D"/>
    <w:rsid w:val="00E57FE0"/>
    <w:rsid w:val="00E6575B"/>
    <w:rsid w:val="00E658F0"/>
    <w:rsid w:val="00E74260"/>
    <w:rsid w:val="00E778F4"/>
    <w:rsid w:val="00E80BDC"/>
    <w:rsid w:val="00E8264B"/>
    <w:rsid w:val="00E8344E"/>
    <w:rsid w:val="00E8424C"/>
    <w:rsid w:val="00E94779"/>
    <w:rsid w:val="00EA0317"/>
    <w:rsid w:val="00EA24F6"/>
    <w:rsid w:val="00EC4FCB"/>
    <w:rsid w:val="00ED009B"/>
    <w:rsid w:val="00ED6A63"/>
    <w:rsid w:val="00ED7517"/>
    <w:rsid w:val="00EE4438"/>
    <w:rsid w:val="00EF56BF"/>
    <w:rsid w:val="00F23C0D"/>
    <w:rsid w:val="00F42FAF"/>
    <w:rsid w:val="00F51E82"/>
    <w:rsid w:val="00F617F0"/>
    <w:rsid w:val="00F70C43"/>
    <w:rsid w:val="00F76B9D"/>
    <w:rsid w:val="00F8043F"/>
    <w:rsid w:val="00F83C40"/>
    <w:rsid w:val="00F83E25"/>
    <w:rsid w:val="00F83FB7"/>
    <w:rsid w:val="00FA6D47"/>
    <w:rsid w:val="00FB7D3F"/>
    <w:rsid w:val="00FD254D"/>
    <w:rsid w:val="00FF4B8D"/>
    <w:rsid w:val="01913360"/>
    <w:rsid w:val="0354621A"/>
    <w:rsid w:val="03E96EAA"/>
    <w:rsid w:val="079609DC"/>
    <w:rsid w:val="09EC5BE9"/>
    <w:rsid w:val="0ACF3969"/>
    <w:rsid w:val="0C60341C"/>
    <w:rsid w:val="0CE316F3"/>
    <w:rsid w:val="0D9E6986"/>
    <w:rsid w:val="0EB65F51"/>
    <w:rsid w:val="100131FC"/>
    <w:rsid w:val="11EE2FAE"/>
    <w:rsid w:val="12ED5CBA"/>
    <w:rsid w:val="149754B9"/>
    <w:rsid w:val="15890D6D"/>
    <w:rsid w:val="17463BD1"/>
    <w:rsid w:val="18C75133"/>
    <w:rsid w:val="1B3651B5"/>
    <w:rsid w:val="1BCE0335"/>
    <w:rsid w:val="21D84551"/>
    <w:rsid w:val="235A693F"/>
    <w:rsid w:val="28CF43E8"/>
    <w:rsid w:val="2ADC1178"/>
    <w:rsid w:val="2E102524"/>
    <w:rsid w:val="2F55323A"/>
    <w:rsid w:val="32252C1A"/>
    <w:rsid w:val="33B65F28"/>
    <w:rsid w:val="34FC7A53"/>
    <w:rsid w:val="35CE2A32"/>
    <w:rsid w:val="36D87F64"/>
    <w:rsid w:val="39C94606"/>
    <w:rsid w:val="3AF64CA7"/>
    <w:rsid w:val="3B2C4D22"/>
    <w:rsid w:val="3BC85768"/>
    <w:rsid w:val="3CA57433"/>
    <w:rsid w:val="3D0F56B9"/>
    <w:rsid w:val="40AB66E9"/>
    <w:rsid w:val="42BC6C6E"/>
    <w:rsid w:val="463B1FB0"/>
    <w:rsid w:val="464E7F50"/>
    <w:rsid w:val="46F838A8"/>
    <w:rsid w:val="498D507E"/>
    <w:rsid w:val="4A0015AD"/>
    <w:rsid w:val="4F3E718D"/>
    <w:rsid w:val="522919A2"/>
    <w:rsid w:val="524A02D1"/>
    <w:rsid w:val="53CC112C"/>
    <w:rsid w:val="566A4693"/>
    <w:rsid w:val="59386CAF"/>
    <w:rsid w:val="59A72F11"/>
    <w:rsid w:val="59FB2037"/>
    <w:rsid w:val="5A5D4039"/>
    <w:rsid w:val="5B5639C9"/>
    <w:rsid w:val="5F581B54"/>
    <w:rsid w:val="601A23BC"/>
    <w:rsid w:val="64880084"/>
    <w:rsid w:val="66716807"/>
    <w:rsid w:val="67275B75"/>
    <w:rsid w:val="673309CB"/>
    <w:rsid w:val="67E7648C"/>
    <w:rsid w:val="68D91796"/>
    <w:rsid w:val="6AE368FC"/>
    <w:rsid w:val="6E907AD4"/>
    <w:rsid w:val="6ED0363B"/>
    <w:rsid w:val="70325FAA"/>
    <w:rsid w:val="73D27E88"/>
    <w:rsid w:val="78DF4BA6"/>
    <w:rsid w:val="7A9C2F78"/>
    <w:rsid w:val="7EA77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nhideWhenUsed="0" w:uiPriority="0" w:semiHidden="0" w:name="envelope return"/>
    <w:lsdException w:qFormat="1" w:uiPriority="99" w:semiHidden="0" w:name="footnote reference"/>
    <w:lsdException w:qFormat="1"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sz w:val="21"/>
      <w:szCs w:val="21"/>
      <w:lang w:val="en-US" w:eastAsia="zh-CN" w:bidi="ar-SA"/>
    </w:rPr>
  </w:style>
  <w:style w:type="paragraph" w:styleId="2">
    <w:name w:val="heading 1"/>
    <w:basedOn w:val="1"/>
    <w:next w:val="1"/>
    <w:link w:val="43"/>
    <w:autoRedefine/>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44"/>
    <w:autoRedefine/>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45"/>
    <w:autoRedefine/>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6"/>
    <w:autoRedefine/>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7"/>
    <w:autoRedefine/>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8"/>
    <w:autoRedefine/>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9"/>
    <w:autoRedefine/>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50"/>
    <w:autoRedefine/>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51"/>
    <w:autoRedefine/>
    <w:unhideWhenUsed/>
    <w:qFormat/>
    <w:uiPriority w:val="9"/>
    <w:pPr>
      <w:keepNext/>
      <w:keepLines/>
      <w:spacing w:before="320" w:after="200"/>
      <w:outlineLvl w:val="8"/>
    </w:pPr>
    <w:rPr>
      <w:rFonts w:ascii="Arial" w:hAnsi="Arial" w:eastAsia="Arial" w:cs="Arial"/>
      <w:i/>
      <w:iCs/>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spacing w:after="57"/>
      <w:ind w:left="1701"/>
    </w:pPr>
  </w:style>
  <w:style w:type="paragraph" w:styleId="12">
    <w:name w:val="caption"/>
    <w:basedOn w:val="1"/>
    <w:next w:val="1"/>
    <w:autoRedefine/>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annotation text"/>
    <w:basedOn w:val="1"/>
    <w:autoRedefine/>
    <w:semiHidden/>
    <w:unhideWhenUsed/>
    <w:qFormat/>
    <w:uiPriority w:val="99"/>
    <w:pPr>
      <w:jc w:val="left"/>
    </w:pPr>
  </w:style>
  <w:style w:type="paragraph" w:styleId="14">
    <w:name w:val="Body Text"/>
    <w:basedOn w:val="1"/>
    <w:next w:val="1"/>
    <w:autoRedefine/>
    <w:qFormat/>
    <w:uiPriority w:val="0"/>
    <w:pPr>
      <w:spacing w:after="120"/>
    </w:pPr>
  </w:style>
  <w:style w:type="paragraph" w:styleId="15">
    <w:name w:val="Body Text Indent"/>
    <w:basedOn w:val="1"/>
    <w:next w:val="16"/>
    <w:unhideWhenUsed/>
    <w:qFormat/>
    <w:uiPriority w:val="0"/>
    <w:pPr>
      <w:spacing w:after="120"/>
      <w:ind w:left="420" w:leftChars="200"/>
    </w:pPr>
  </w:style>
  <w:style w:type="paragraph" w:styleId="16">
    <w:name w:val="envelope return"/>
    <w:basedOn w:val="1"/>
    <w:qFormat/>
    <w:uiPriority w:val="0"/>
    <w:pPr>
      <w:snapToGrid w:val="0"/>
    </w:pPr>
    <w:rPr>
      <w:rFonts w:ascii="Arial" w:hAnsi="Arial" w:eastAsia="宋体" w:cs="宋体"/>
    </w:rPr>
  </w:style>
  <w:style w:type="paragraph" w:styleId="17">
    <w:name w:val="toc 5"/>
    <w:basedOn w:val="1"/>
    <w:next w:val="1"/>
    <w:autoRedefine/>
    <w:unhideWhenUsed/>
    <w:qFormat/>
    <w:uiPriority w:val="39"/>
    <w:pPr>
      <w:spacing w:after="57"/>
      <w:ind w:left="1134"/>
    </w:pPr>
  </w:style>
  <w:style w:type="paragraph" w:styleId="18">
    <w:name w:val="toc 3"/>
    <w:basedOn w:val="1"/>
    <w:next w:val="1"/>
    <w:autoRedefine/>
    <w:unhideWhenUsed/>
    <w:qFormat/>
    <w:uiPriority w:val="39"/>
    <w:pPr>
      <w:spacing w:after="57"/>
      <w:ind w:left="567"/>
    </w:pPr>
  </w:style>
  <w:style w:type="paragraph" w:styleId="19">
    <w:name w:val="toc 8"/>
    <w:basedOn w:val="1"/>
    <w:next w:val="1"/>
    <w:autoRedefine/>
    <w:unhideWhenUsed/>
    <w:qFormat/>
    <w:uiPriority w:val="39"/>
    <w:pPr>
      <w:spacing w:after="57"/>
      <w:ind w:left="1984"/>
    </w:pPr>
  </w:style>
  <w:style w:type="paragraph" w:styleId="20">
    <w:name w:val="endnote text"/>
    <w:basedOn w:val="1"/>
    <w:link w:val="63"/>
    <w:autoRedefine/>
    <w:semiHidden/>
    <w:unhideWhenUsed/>
    <w:qFormat/>
    <w:uiPriority w:val="99"/>
    <w:rPr>
      <w:sz w:val="20"/>
    </w:rPr>
  </w:style>
  <w:style w:type="paragraph" w:styleId="21">
    <w:name w:val="footer"/>
    <w:basedOn w:val="1"/>
    <w:link w:val="61"/>
    <w:autoRedefine/>
    <w:unhideWhenUsed/>
    <w:qFormat/>
    <w:uiPriority w:val="99"/>
    <w:pPr>
      <w:tabs>
        <w:tab w:val="center" w:pos="7143"/>
        <w:tab w:val="right" w:pos="14287"/>
      </w:tabs>
    </w:pPr>
  </w:style>
  <w:style w:type="paragraph" w:styleId="22">
    <w:name w:val="header"/>
    <w:basedOn w:val="1"/>
    <w:link w:val="60"/>
    <w:autoRedefine/>
    <w:unhideWhenUsed/>
    <w:qFormat/>
    <w:uiPriority w:val="99"/>
    <w:pPr>
      <w:tabs>
        <w:tab w:val="center" w:pos="7143"/>
        <w:tab w:val="right" w:pos="14287"/>
      </w:tabs>
    </w:pPr>
  </w:style>
  <w:style w:type="paragraph" w:styleId="23">
    <w:name w:val="toc 1"/>
    <w:basedOn w:val="1"/>
    <w:next w:val="1"/>
    <w:autoRedefine/>
    <w:unhideWhenUsed/>
    <w:qFormat/>
    <w:uiPriority w:val="39"/>
    <w:pPr>
      <w:spacing w:after="57"/>
    </w:pPr>
  </w:style>
  <w:style w:type="paragraph" w:styleId="24">
    <w:name w:val="toc 4"/>
    <w:basedOn w:val="1"/>
    <w:next w:val="1"/>
    <w:autoRedefine/>
    <w:unhideWhenUsed/>
    <w:qFormat/>
    <w:uiPriority w:val="39"/>
    <w:pPr>
      <w:spacing w:after="57"/>
      <w:ind w:left="850"/>
    </w:pPr>
  </w:style>
  <w:style w:type="paragraph" w:styleId="25">
    <w:name w:val="Subtitle"/>
    <w:basedOn w:val="1"/>
    <w:next w:val="1"/>
    <w:link w:val="55"/>
    <w:autoRedefine/>
    <w:qFormat/>
    <w:uiPriority w:val="11"/>
    <w:pPr>
      <w:spacing w:before="200" w:after="200"/>
    </w:pPr>
    <w:rPr>
      <w:sz w:val="24"/>
      <w:szCs w:val="24"/>
    </w:rPr>
  </w:style>
  <w:style w:type="paragraph" w:styleId="26">
    <w:name w:val="footnote text"/>
    <w:basedOn w:val="1"/>
    <w:link w:val="62"/>
    <w:autoRedefine/>
    <w:semiHidden/>
    <w:unhideWhenUsed/>
    <w:qFormat/>
    <w:uiPriority w:val="99"/>
    <w:pPr>
      <w:spacing w:after="40"/>
    </w:pPr>
    <w:rPr>
      <w:sz w:val="18"/>
    </w:rPr>
  </w:style>
  <w:style w:type="paragraph" w:styleId="27">
    <w:name w:val="toc 6"/>
    <w:basedOn w:val="1"/>
    <w:next w:val="1"/>
    <w:autoRedefine/>
    <w:unhideWhenUsed/>
    <w:qFormat/>
    <w:uiPriority w:val="39"/>
    <w:pPr>
      <w:spacing w:after="57"/>
      <w:ind w:left="1417"/>
    </w:pPr>
  </w:style>
  <w:style w:type="paragraph" w:styleId="28">
    <w:name w:val="table of figures"/>
    <w:basedOn w:val="1"/>
    <w:next w:val="1"/>
    <w:autoRedefine/>
    <w:unhideWhenUsed/>
    <w:qFormat/>
    <w:uiPriority w:val="99"/>
  </w:style>
  <w:style w:type="paragraph" w:styleId="29">
    <w:name w:val="toc 2"/>
    <w:basedOn w:val="1"/>
    <w:next w:val="1"/>
    <w:autoRedefine/>
    <w:unhideWhenUsed/>
    <w:qFormat/>
    <w:uiPriority w:val="39"/>
    <w:pPr>
      <w:spacing w:after="57"/>
      <w:ind w:left="283"/>
    </w:pPr>
  </w:style>
  <w:style w:type="paragraph" w:styleId="30">
    <w:name w:val="toc 9"/>
    <w:basedOn w:val="1"/>
    <w:next w:val="1"/>
    <w:autoRedefine/>
    <w:unhideWhenUsed/>
    <w:qFormat/>
    <w:uiPriority w:val="39"/>
    <w:pPr>
      <w:spacing w:after="57"/>
      <w:ind w:left="2268"/>
    </w:pPr>
  </w:style>
  <w:style w:type="paragraph" w:styleId="31">
    <w:name w:val="Title"/>
    <w:basedOn w:val="1"/>
    <w:next w:val="1"/>
    <w:link w:val="54"/>
    <w:autoRedefine/>
    <w:qFormat/>
    <w:uiPriority w:val="10"/>
    <w:pPr>
      <w:spacing w:before="300" w:after="200"/>
      <w:contextualSpacing/>
    </w:pPr>
    <w:rPr>
      <w:sz w:val="48"/>
      <w:szCs w:val="48"/>
    </w:rPr>
  </w:style>
  <w:style w:type="paragraph" w:styleId="32">
    <w:name w:val="Body Text First Indent"/>
    <w:basedOn w:val="1"/>
    <w:autoRedefine/>
    <w:qFormat/>
    <w:uiPriority w:val="0"/>
    <w:pPr>
      <w:ind w:firstLine="420"/>
    </w:pPr>
    <w:rPr>
      <w:kern w:val="2"/>
      <w:szCs w:val="24"/>
    </w:rPr>
  </w:style>
  <w:style w:type="paragraph" w:styleId="33">
    <w:name w:val="Body Text First Indent 2"/>
    <w:basedOn w:val="15"/>
    <w:next w:val="1"/>
    <w:qFormat/>
    <w:uiPriority w:val="0"/>
    <w:pPr>
      <w:spacing w:after="0" w:line="360" w:lineRule="auto"/>
      <w:ind w:left="0" w:leftChars="0" w:firstLine="420" w:firstLineChars="200"/>
    </w:pPr>
    <w:rPr>
      <w:rFonts w:ascii="宋体" w:hAnsi="宋体" w:eastAsia="宋体" w:cs="Times New Roman"/>
      <w:szCs w:val="20"/>
    </w:rPr>
  </w:style>
  <w:style w:type="table" w:styleId="35">
    <w:name w:val="Table Grid"/>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7">
    <w:name w:val="endnote reference"/>
    <w:autoRedefine/>
    <w:semiHidden/>
    <w:unhideWhenUsed/>
    <w:qFormat/>
    <w:uiPriority w:val="99"/>
    <w:rPr>
      <w:vertAlign w:val="superscript"/>
    </w:rPr>
  </w:style>
  <w:style w:type="character" w:styleId="38">
    <w:name w:val="page number"/>
    <w:qFormat/>
    <w:uiPriority w:val="0"/>
  </w:style>
  <w:style w:type="character" w:styleId="39">
    <w:name w:val="Hyperlink"/>
    <w:autoRedefine/>
    <w:unhideWhenUsed/>
    <w:qFormat/>
    <w:uiPriority w:val="99"/>
    <w:rPr>
      <w:color w:val="0000FF" w:themeColor="hyperlink"/>
      <w:u w:val="single"/>
      <w14:textFill>
        <w14:solidFill>
          <w14:schemeClr w14:val="hlink"/>
        </w14:solidFill>
      </w14:textFill>
    </w:rPr>
  </w:style>
  <w:style w:type="character" w:styleId="40">
    <w:name w:val="annotation reference"/>
    <w:basedOn w:val="36"/>
    <w:autoRedefine/>
    <w:semiHidden/>
    <w:unhideWhenUsed/>
    <w:qFormat/>
    <w:uiPriority w:val="99"/>
    <w:rPr>
      <w:sz w:val="21"/>
      <w:szCs w:val="21"/>
    </w:rPr>
  </w:style>
  <w:style w:type="character" w:styleId="41">
    <w:name w:val="footnote reference"/>
    <w:autoRedefine/>
    <w:unhideWhenUsed/>
    <w:qFormat/>
    <w:uiPriority w:val="99"/>
    <w:rPr>
      <w:vertAlign w:val="superscript"/>
    </w:rPr>
  </w:style>
  <w:style w:type="paragraph" w:customStyle="1" w:styleId="42">
    <w:name w:val="首行缩进"/>
    <w:basedOn w:val="1"/>
    <w:autoRedefine/>
    <w:qFormat/>
    <w:uiPriority w:val="0"/>
    <w:pPr>
      <w:spacing w:line="360" w:lineRule="auto"/>
      <w:ind w:firstLine="420"/>
    </w:pPr>
    <w:rPr>
      <w:sz w:val="20"/>
    </w:rPr>
  </w:style>
  <w:style w:type="character" w:customStyle="1" w:styleId="43">
    <w:name w:val="标题 1 字符"/>
    <w:link w:val="2"/>
    <w:autoRedefine/>
    <w:qFormat/>
    <w:uiPriority w:val="9"/>
    <w:rPr>
      <w:rFonts w:ascii="Arial" w:hAnsi="Arial" w:eastAsia="Arial" w:cs="Arial"/>
      <w:sz w:val="40"/>
      <w:szCs w:val="40"/>
    </w:rPr>
  </w:style>
  <w:style w:type="character" w:customStyle="1" w:styleId="44">
    <w:name w:val="标题 2 字符"/>
    <w:link w:val="3"/>
    <w:autoRedefine/>
    <w:qFormat/>
    <w:uiPriority w:val="9"/>
    <w:rPr>
      <w:rFonts w:ascii="Arial" w:hAnsi="Arial" w:eastAsia="Arial" w:cs="Arial"/>
      <w:sz w:val="34"/>
    </w:rPr>
  </w:style>
  <w:style w:type="character" w:customStyle="1" w:styleId="45">
    <w:name w:val="标题 3 字符"/>
    <w:link w:val="4"/>
    <w:autoRedefine/>
    <w:qFormat/>
    <w:uiPriority w:val="9"/>
    <w:rPr>
      <w:rFonts w:ascii="Arial" w:hAnsi="Arial" w:eastAsia="Arial" w:cs="Arial"/>
      <w:sz w:val="30"/>
      <w:szCs w:val="30"/>
    </w:rPr>
  </w:style>
  <w:style w:type="character" w:customStyle="1" w:styleId="46">
    <w:name w:val="标题 4 字符"/>
    <w:link w:val="5"/>
    <w:autoRedefine/>
    <w:qFormat/>
    <w:uiPriority w:val="9"/>
    <w:rPr>
      <w:rFonts w:ascii="Arial" w:hAnsi="Arial" w:eastAsia="Arial" w:cs="Arial"/>
      <w:b/>
      <w:bCs/>
      <w:sz w:val="26"/>
      <w:szCs w:val="26"/>
    </w:rPr>
  </w:style>
  <w:style w:type="character" w:customStyle="1" w:styleId="47">
    <w:name w:val="标题 5 字符"/>
    <w:link w:val="6"/>
    <w:autoRedefine/>
    <w:qFormat/>
    <w:uiPriority w:val="9"/>
    <w:rPr>
      <w:rFonts w:ascii="Arial" w:hAnsi="Arial" w:eastAsia="Arial" w:cs="Arial"/>
      <w:b/>
      <w:bCs/>
      <w:sz w:val="24"/>
      <w:szCs w:val="24"/>
    </w:rPr>
  </w:style>
  <w:style w:type="character" w:customStyle="1" w:styleId="48">
    <w:name w:val="标题 6 字符"/>
    <w:link w:val="7"/>
    <w:autoRedefine/>
    <w:qFormat/>
    <w:uiPriority w:val="9"/>
    <w:rPr>
      <w:rFonts w:ascii="Arial" w:hAnsi="Arial" w:eastAsia="Arial" w:cs="Arial"/>
      <w:b/>
      <w:bCs/>
      <w:sz w:val="22"/>
      <w:szCs w:val="22"/>
    </w:rPr>
  </w:style>
  <w:style w:type="character" w:customStyle="1" w:styleId="49">
    <w:name w:val="标题 7 字符"/>
    <w:link w:val="8"/>
    <w:autoRedefine/>
    <w:qFormat/>
    <w:uiPriority w:val="9"/>
    <w:rPr>
      <w:rFonts w:ascii="Arial" w:hAnsi="Arial" w:eastAsia="Arial" w:cs="Arial"/>
      <w:b/>
      <w:bCs/>
      <w:i/>
      <w:iCs/>
      <w:sz w:val="22"/>
      <w:szCs w:val="22"/>
    </w:rPr>
  </w:style>
  <w:style w:type="character" w:customStyle="1" w:styleId="50">
    <w:name w:val="标题 8 字符"/>
    <w:link w:val="9"/>
    <w:autoRedefine/>
    <w:qFormat/>
    <w:uiPriority w:val="9"/>
    <w:rPr>
      <w:rFonts w:ascii="Arial" w:hAnsi="Arial" w:eastAsia="Arial" w:cs="Arial"/>
      <w:i/>
      <w:iCs/>
      <w:sz w:val="22"/>
      <w:szCs w:val="22"/>
    </w:rPr>
  </w:style>
  <w:style w:type="character" w:customStyle="1" w:styleId="51">
    <w:name w:val="标题 9 字符"/>
    <w:link w:val="10"/>
    <w:autoRedefine/>
    <w:qFormat/>
    <w:uiPriority w:val="9"/>
    <w:rPr>
      <w:rFonts w:ascii="Arial" w:hAnsi="Arial" w:eastAsia="Arial" w:cs="Arial"/>
      <w:i/>
      <w:iCs/>
      <w:sz w:val="21"/>
      <w:szCs w:val="21"/>
    </w:rPr>
  </w:style>
  <w:style w:type="paragraph" w:styleId="52">
    <w:name w:val="List Paragraph"/>
    <w:basedOn w:val="1"/>
    <w:autoRedefine/>
    <w:qFormat/>
    <w:uiPriority w:val="34"/>
    <w:pPr>
      <w:ind w:left="720"/>
      <w:contextualSpacing/>
    </w:pPr>
  </w:style>
  <w:style w:type="paragraph" w:styleId="53">
    <w:name w:val="No Spacing"/>
    <w:autoRedefine/>
    <w:qFormat/>
    <w:uiPriority w:val="1"/>
    <w:rPr>
      <w:rFonts w:ascii="Calibri" w:hAnsi="Calibri" w:eastAsia="宋体" w:cs="Times New Roman"/>
      <w:lang w:val="en-US" w:eastAsia="zh-CN" w:bidi="ar-SA"/>
    </w:rPr>
  </w:style>
  <w:style w:type="character" w:customStyle="1" w:styleId="54">
    <w:name w:val="标题 字符"/>
    <w:link w:val="31"/>
    <w:autoRedefine/>
    <w:qFormat/>
    <w:uiPriority w:val="10"/>
    <w:rPr>
      <w:sz w:val="48"/>
      <w:szCs w:val="48"/>
    </w:rPr>
  </w:style>
  <w:style w:type="character" w:customStyle="1" w:styleId="55">
    <w:name w:val="副标题 字符"/>
    <w:link w:val="25"/>
    <w:autoRedefine/>
    <w:qFormat/>
    <w:uiPriority w:val="11"/>
    <w:rPr>
      <w:sz w:val="24"/>
      <w:szCs w:val="24"/>
    </w:rPr>
  </w:style>
  <w:style w:type="paragraph" w:styleId="56">
    <w:name w:val="Quote"/>
    <w:basedOn w:val="1"/>
    <w:next w:val="1"/>
    <w:link w:val="57"/>
    <w:autoRedefine/>
    <w:qFormat/>
    <w:uiPriority w:val="29"/>
    <w:pPr>
      <w:ind w:left="720" w:right="720"/>
    </w:pPr>
    <w:rPr>
      <w:i/>
    </w:rPr>
  </w:style>
  <w:style w:type="character" w:customStyle="1" w:styleId="57">
    <w:name w:val="引用 字符"/>
    <w:link w:val="56"/>
    <w:autoRedefine/>
    <w:qFormat/>
    <w:uiPriority w:val="29"/>
    <w:rPr>
      <w:i/>
    </w:rPr>
  </w:style>
  <w:style w:type="paragraph" w:styleId="58">
    <w:name w:val="Intense Quote"/>
    <w:basedOn w:val="1"/>
    <w:next w:val="1"/>
    <w:link w:val="59"/>
    <w:autoRedefine/>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9">
    <w:name w:val="明显引用 字符"/>
    <w:link w:val="58"/>
    <w:autoRedefine/>
    <w:qFormat/>
    <w:uiPriority w:val="30"/>
    <w:rPr>
      <w:i/>
    </w:rPr>
  </w:style>
  <w:style w:type="character" w:customStyle="1" w:styleId="60">
    <w:name w:val="页眉 字符"/>
    <w:link w:val="22"/>
    <w:autoRedefine/>
    <w:qFormat/>
    <w:uiPriority w:val="99"/>
  </w:style>
  <w:style w:type="character" w:customStyle="1" w:styleId="61">
    <w:name w:val="页脚 字符"/>
    <w:link w:val="21"/>
    <w:autoRedefine/>
    <w:qFormat/>
    <w:uiPriority w:val="99"/>
  </w:style>
  <w:style w:type="character" w:customStyle="1" w:styleId="62">
    <w:name w:val="脚注文本 字符"/>
    <w:link w:val="26"/>
    <w:autoRedefine/>
    <w:qFormat/>
    <w:uiPriority w:val="99"/>
    <w:rPr>
      <w:sz w:val="18"/>
    </w:rPr>
  </w:style>
  <w:style w:type="character" w:customStyle="1" w:styleId="63">
    <w:name w:val="尾注文本 字符"/>
    <w:link w:val="20"/>
    <w:autoRedefine/>
    <w:qFormat/>
    <w:uiPriority w:val="99"/>
    <w:rPr>
      <w:sz w:val="20"/>
    </w:rPr>
  </w:style>
  <w:style w:type="paragraph" w:customStyle="1" w:styleId="64">
    <w:name w:val="标题 111"/>
    <w:basedOn w:val="1"/>
    <w:next w:val="1"/>
    <w:link w:val="76"/>
    <w:autoRedefine/>
    <w:qFormat/>
    <w:uiPriority w:val="9"/>
    <w:pPr>
      <w:keepNext/>
      <w:keepLines/>
      <w:spacing w:before="480" w:after="200"/>
      <w:outlineLvl w:val="0"/>
    </w:pPr>
    <w:rPr>
      <w:rFonts w:ascii="Arial" w:hAnsi="Arial" w:eastAsia="Arial"/>
      <w:sz w:val="40"/>
      <w:szCs w:val="40"/>
      <w:lang w:eastAsia="en-US"/>
    </w:rPr>
  </w:style>
  <w:style w:type="paragraph" w:customStyle="1" w:styleId="65">
    <w:name w:val="标题 211"/>
    <w:basedOn w:val="1"/>
    <w:next w:val="1"/>
    <w:link w:val="77"/>
    <w:autoRedefine/>
    <w:qFormat/>
    <w:uiPriority w:val="9"/>
    <w:pPr>
      <w:keepNext/>
      <w:keepLines/>
      <w:spacing w:before="360" w:after="200"/>
      <w:outlineLvl w:val="1"/>
    </w:pPr>
    <w:rPr>
      <w:rFonts w:ascii="Arial" w:hAnsi="Arial" w:eastAsia="Arial"/>
      <w:sz w:val="34"/>
      <w:szCs w:val="20"/>
      <w:lang w:eastAsia="en-US"/>
    </w:rPr>
  </w:style>
  <w:style w:type="paragraph" w:customStyle="1" w:styleId="66">
    <w:name w:val="标题 311"/>
    <w:basedOn w:val="1"/>
    <w:next w:val="1"/>
    <w:link w:val="78"/>
    <w:autoRedefine/>
    <w:qFormat/>
    <w:uiPriority w:val="9"/>
    <w:pPr>
      <w:keepNext/>
      <w:keepLines/>
      <w:spacing w:before="320" w:after="200"/>
      <w:outlineLvl w:val="2"/>
    </w:pPr>
    <w:rPr>
      <w:rFonts w:ascii="Arial" w:hAnsi="Arial" w:eastAsia="Arial"/>
      <w:sz w:val="30"/>
      <w:szCs w:val="30"/>
      <w:lang w:eastAsia="en-US"/>
    </w:rPr>
  </w:style>
  <w:style w:type="paragraph" w:customStyle="1" w:styleId="67">
    <w:name w:val="标题 411"/>
    <w:basedOn w:val="1"/>
    <w:next w:val="1"/>
    <w:link w:val="79"/>
    <w:autoRedefine/>
    <w:qFormat/>
    <w:uiPriority w:val="9"/>
    <w:pPr>
      <w:keepNext/>
      <w:keepLines/>
      <w:spacing w:before="320" w:after="200"/>
      <w:outlineLvl w:val="3"/>
    </w:pPr>
    <w:rPr>
      <w:rFonts w:ascii="Arial" w:hAnsi="Arial" w:eastAsia="Arial"/>
      <w:b/>
      <w:bCs/>
      <w:sz w:val="26"/>
      <w:szCs w:val="26"/>
      <w:lang w:eastAsia="en-US"/>
    </w:rPr>
  </w:style>
  <w:style w:type="paragraph" w:customStyle="1" w:styleId="68">
    <w:name w:val="标题 511"/>
    <w:basedOn w:val="1"/>
    <w:next w:val="1"/>
    <w:link w:val="80"/>
    <w:autoRedefine/>
    <w:qFormat/>
    <w:uiPriority w:val="9"/>
    <w:pPr>
      <w:keepNext/>
      <w:keepLines/>
      <w:spacing w:before="320" w:after="200"/>
      <w:outlineLvl w:val="4"/>
    </w:pPr>
    <w:rPr>
      <w:rFonts w:ascii="Arial" w:hAnsi="Arial" w:eastAsia="Arial"/>
      <w:b/>
      <w:bCs/>
      <w:sz w:val="24"/>
      <w:szCs w:val="24"/>
      <w:lang w:eastAsia="en-US"/>
    </w:rPr>
  </w:style>
  <w:style w:type="paragraph" w:customStyle="1" w:styleId="69">
    <w:name w:val="标题 611"/>
    <w:basedOn w:val="1"/>
    <w:next w:val="1"/>
    <w:link w:val="81"/>
    <w:autoRedefine/>
    <w:qFormat/>
    <w:uiPriority w:val="9"/>
    <w:pPr>
      <w:keepNext/>
      <w:keepLines/>
      <w:spacing w:before="320" w:after="200"/>
      <w:outlineLvl w:val="5"/>
    </w:pPr>
    <w:rPr>
      <w:rFonts w:ascii="Arial" w:hAnsi="Arial" w:eastAsia="Arial"/>
      <w:b/>
      <w:bCs/>
      <w:sz w:val="22"/>
      <w:szCs w:val="22"/>
      <w:lang w:eastAsia="en-US"/>
    </w:rPr>
  </w:style>
  <w:style w:type="paragraph" w:customStyle="1" w:styleId="70">
    <w:name w:val="标题 711"/>
    <w:basedOn w:val="1"/>
    <w:next w:val="1"/>
    <w:link w:val="82"/>
    <w:autoRedefine/>
    <w:qFormat/>
    <w:uiPriority w:val="9"/>
    <w:pPr>
      <w:keepNext/>
      <w:keepLines/>
      <w:spacing w:before="320" w:after="200"/>
      <w:outlineLvl w:val="6"/>
    </w:pPr>
    <w:rPr>
      <w:rFonts w:ascii="Arial" w:hAnsi="Arial" w:eastAsia="Arial"/>
      <w:b/>
      <w:bCs/>
      <w:i/>
      <w:iCs/>
      <w:sz w:val="22"/>
      <w:szCs w:val="22"/>
      <w:lang w:eastAsia="en-US"/>
    </w:rPr>
  </w:style>
  <w:style w:type="paragraph" w:customStyle="1" w:styleId="71">
    <w:name w:val="标题 811"/>
    <w:basedOn w:val="1"/>
    <w:next w:val="1"/>
    <w:link w:val="83"/>
    <w:autoRedefine/>
    <w:qFormat/>
    <w:uiPriority w:val="9"/>
    <w:pPr>
      <w:keepNext/>
      <w:keepLines/>
      <w:spacing w:before="320" w:after="200"/>
      <w:outlineLvl w:val="7"/>
    </w:pPr>
    <w:rPr>
      <w:rFonts w:ascii="Arial" w:hAnsi="Arial" w:eastAsia="Arial"/>
      <w:i/>
      <w:iCs/>
      <w:sz w:val="22"/>
      <w:szCs w:val="22"/>
      <w:lang w:eastAsia="en-US"/>
    </w:rPr>
  </w:style>
  <w:style w:type="paragraph" w:customStyle="1" w:styleId="72">
    <w:name w:val="标题 911"/>
    <w:basedOn w:val="1"/>
    <w:next w:val="1"/>
    <w:link w:val="84"/>
    <w:autoRedefine/>
    <w:qFormat/>
    <w:uiPriority w:val="9"/>
    <w:pPr>
      <w:keepNext/>
      <w:keepLines/>
      <w:spacing w:before="320" w:after="200"/>
      <w:outlineLvl w:val="8"/>
    </w:pPr>
    <w:rPr>
      <w:rFonts w:ascii="Arial" w:hAnsi="Arial" w:eastAsia="Arial"/>
      <w:i/>
      <w:iCs/>
      <w:lang w:eastAsia="en-US"/>
    </w:rPr>
  </w:style>
  <w:style w:type="character" w:customStyle="1" w:styleId="73">
    <w:name w:val="默认段落字体11"/>
    <w:autoRedefine/>
    <w:unhideWhenUsed/>
    <w:qFormat/>
    <w:uiPriority w:val="1"/>
  </w:style>
  <w:style w:type="table" w:customStyle="1" w:styleId="74">
    <w:name w:val="普通表格11"/>
    <w:autoRedefine/>
    <w:unhideWhenUsed/>
    <w:qFormat/>
    <w:uiPriority w:val="99"/>
    <w:rPr>
      <w:rFonts w:ascii="Calibri" w:hAnsi="Calibri"/>
      <w:sz w:val="21"/>
      <w:szCs w:val="22"/>
    </w:rPr>
    <w:tblPr>
      <w:tblCellMar>
        <w:top w:w="0" w:type="dxa"/>
        <w:left w:w="0" w:type="dxa"/>
        <w:bottom w:w="0" w:type="dxa"/>
        <w:right w:w="0" w:type="dxa"/>
      </w:tblCellMar>
    </w:tblPr>
  </w:style>
  <w:style w:type="paragraph" w:customStyle="1" w:styleId="75">
    <w:name w:val="正文文本12"/>
    <w:basedOn w:val="1"/>
    <w:autoRedefine/>
    <w:qFormat/>
    <w:uiPriority w:val="1"/>
    <w:pPr>
      <w:ind w:left="120"/>
    </w:pPr>
    <w:rPr>
      <w:rFonts w:ascii="宋体" w:hAnsi="宋体" w:cs="宋体"/>
      <w:lang w:val="zh-CN" w:bidi="zh-CN"/>
    </w:rPr>
  </w:style>
  <w:style w:type="character" w:customStyle="1" w:styleId="76">
    <w:name w:val="标题 1 Char"/>
    <w:link w:val="64"/>
    <w:autoRedefine/>
    <w:qFormat/>
    <w:uiPriority w:val="9"/>
    <w:rPr>
      <w:rFonts w:ascii="Arial" w:hAnsi="Arial" w:eastAsia="Arial" w:cs="Arial"/>
      <w:sz w:val="40"/>
      <w:szCs w:val="40"/>
    </w:rPr>
  </w:style>
  <w:style w:type="character" w:customStyle="1" w:styleId="77">
    <w:name w:val="标题 2 Char"/>
    <w:link w:val="65"/>
    <w:autoRedefine/>
    <w:qFormat/>
    <w:uiPriority w:val="9"/>
    <w:rPr>
      <w:rFonts w:ascii="Arial" w:hAnsi="Arial" w:eastAsia="Arial" w:cs="Arial"/>
      <w:sz w:val="34"/>
    </w:rPr>
  </w:style>
  <w:style w:type="character" w:customStyle="1" w:styleId="78">
    <w:name w:val="标题 3 Char"/>
    <w:link w:val="66"/>
    <w:autoRedefine/>
    <w:qFormat/>
    <w:uiPriority w:val="9"/>
    <w:rPr>
      <w:rFonts w:ascii="Arial" w:hAnsi="Arial" w:eastAsia="Arial" w:cs="Arial"/>
      <w:sz w:val="30"/>
      <w:szCs w:val="30"/>
    </w:rPr>
  </w:style>
  <w:style w:type="character" w:customStyle="1" w:styleId="79">
    <w:name w:val="标题 4 Char"/>
    <w:link w:val="67"/>
    <w:autoRedefine/>
    <w:qFormat/>
    <w:uiPriority w:val="9"/>
    <w:rPr>
      <w:rFonts w:ascii="Arial" w:hAnsi="Arial" w:eastAsia="Arial" w:cs="Arial"/>
      <w:b/>
      <w:bCs/>
      <w:sz w:val="26"/>
      <w:szCs w:val="26"/>
    </w:rPr>
  </w:style>
  <w:style w:type="character" w:customStyle="1" w:styleId="80">
    <w:name w:val="标题 5 Char"/>
    <w:link w:val="68"/>
    <w:autoRedefine/>
    <w:qFormat/>
    <w:uiPriority w:val="9"/>
    <w:rPr>
      <w:rFonts w:ascii="Arial" w:hAnsi="Arial" w:eastAsia="Arial" w:cs="Arial"/>
      <w:b/>
      <w:bCs/>
      <w:sz w:val="24"/>
      <w:szCs w:val="24"/>
    </w:rPr>
  </w:style>
  <w:style w:type="character" w:customStyle="1" w:styleId="81">
    <w:name w:val="标题 6 Char"/>
    <w:link w:val="69"/>
    <w:autoRedefine/>
    <w:qFormat/>
    <w:uiPriority w:val="9"/>
    <w:rPr>
      <w:rFonts w:ascii="Arial" w:hAnsi="Arial" w:eastAsia="Arial" w:cs="Arial"/>
      <w:b/>
      <w:bCs/>
      <w:sz w:val="22"/>
      <w:szCs w:val="22"/>
    </w:rPr>
  </w:style>
  <w:style w:type="character" w:customStyle="1" w:styleId="82">
    <w:name w:val="标题 7 Char"/>
    <w:link w:val="70"/>
    <w:autoRedefine/>
    <w:qFormat/>
    <w:uiPriority w:val="9"/>
    <w:rPr>
      <w:rFonts w:ascii="Arial" w:hAnsi="Arial" w:eastAsia="Arial" w:cs="Arial"/>
      <w:b/>
      <w:bCs/>
      <w:i/>
      <w:iCs/>
      <w:sz w:val="22"/>
      <w:szCs w:val="22"/>
    </w:rPr>
  </w:style>
  <w:style w:type="character" w:customStyle="1" w:styleId="83">
    <w:name w:val="标题 8 Char"/>
    <w:link w:val="71"/>
    <w:autoRedefine/>
    <w:qFormat/>
    <w:uiPriority w:val="9"/>
    <w:rPr>
      <w:rFonts w:ascii="Arial" w:hAnsi="Arial" w:eastAsia="Arial" w:cs="Arial"/>
      <w:i/>
      <w:iCs/>
      <w:sz w:val="22"/>
      <w:szCs w:val="22"/>
    </w:rPr>
  </w:style>
  <w:style w:type="character" w:customStyle="1" w:styleId="84">
    <w:name w:val="标题 9 Char"/>
    <w:link w:val="72"/>
    <w:autoRedefine/>
    <w:qFormat/>
    <w:uiPriority w:val="9"/>
    <w:rPr>
      <w:rFonts w:ascii="Arial" w:hAnsi="Arial" w:eastAsia="Arial" w:cs="Arial"/>
      <w:i/>
      <w:iCs/>
      <w:sz w:val="21"/>
      <w:szCs w:val="21"/>
    </w:rPr>
  </w:style>
  <w:style w:type="paragraph" w:customStyle="1" w:styleId="85">
    <w:name w:val="目录 711"/>
    <w:basedOn w:val="1"/>
    <w:next w:val="1"/>
    <w:autoRedefine/>
    <w:unhideWhenUsed/>
    <w:qFormat/>
    <w:uiPriority w:val="39"/>
    <w:pPr>
      <w:spacing w:after="57"/>
      <w:ind w:left="1701"/>
    </w:pPr>
  </w:style>
  <w:style w:type="paragraph" w:customStyle="1" w:styleId="86">
    <w:name w:val="题注1"/>
    <w:basedOn w:val="1"/>
    <w:next w:val="1"/>
    <w:autoRedefine/>
    <w:qFormat/>
    <w:uiPriority w:val="35"/>
    <w:pPr>
      <w:spacing w:line="276" w:lineRule="auto"/>
    </w:pPr>
    <w:rPr>
      <w:b/>
      <w:bCs/>
      <w:color w:val="4F81BD"/>
      <w:sz w:val="18"/>
      <w:szCs w:val="18"/>
    </w:rPr>
  </w:style>
  <w:style w:type="paragraph" w:customStyle="1" w:styleId="87">
    <w:name w:val="批注文字11"/>
    <w:basedOn w:val="1"/>
    <w:autoRedefine/>
    <w:unhideWhenUsed/>
    <w:qFormat/>
    <w:uiPriority w:val="99"/>
    <w:pPr>
      <w:jc w:val="left"/>
    </w:pPr>
  </w:style>
  <w:style w:type="paragraph" w:customStyle="1" w:styleId="88">
    <w:name w:val="目录 511"/>
    <w:basedOn w:val="1"/>
    <w:next w:val="1"/>
    <w:autoRedefine/>
    <w:unhideWhenUsed/>
    <w:qFormat/>
    <w:uiPriority w:val="39"/>
    <w:pPr>
      <w:spacing w:after="57"/>
      <w:ind w:left="1134"/>
    </w:pPr>
  </w:style>
  <w:style w:type="paragraph" w:customStyle="1" w:styleId="89">
    <w:name w:val="目录 311"/>
    <w:basedOn w:val="1"/>
    <w:next w:val="1"/>
    <w:autoRedefine/>
    <w:unhideWhenUsed/>
    <w:qFormat/>
    <w:uiPriority w:val="39"/>
    <w:pPr>
      <w:spacing w:after="57"/>
      <w:ind w:left="567"/>
    </w:pPr>
  </w:style>
  <w:style w:type="paragraph" w:customStyle="1" w:styleId="90">
    <w:name w:val="目录 811"/>
    <w:basedOn w:val="1"/>
    <w:next w:val="1"/>
    <w:autoRedefine/>
    <w:unhideWhenUsed/>
    <w:qFormat/>
    <w:uiPriority w:val="39"/>
    <w:pPr>
      <w:spacing w:after="57"/>
      <w:ind w:left="1984"/>
    </w:pPr>
  </w:style>
  <w:style w:type="paragraph" w:customStyle="1" w:styleId="91">
    <w:name w:val="尾注文本1"/>
    <w:basedOn w:val="1"/>
    <w:link w:val="92"/>
    <w:autoRedefine/>
    <w:unhideWhenUsed/>
    <w:qFormat/>
    <w:uiPriority w:val="99"/>
    <w:rPr>
      <w:rFonts w:ascii="Calibri" w:hAnsi="Calibri"/>
      <w:sz w:val="20"/>
      <w:szCs w:val="20"/>
      <w:lang w:eastAsia="en-US"/>
    </w:rPr>
  </w:style>
  <w:style w:type="character" w:customStyle="1" w:styleId="92">
    <w:name w:val="尾注文本 Char"/>
    <w:link w:val="91"/>
    <w:autoRedefine/>
    <w:qFormat/>
    <w:uiPriority w:val="99"/>
    <w:rPr>
      <w:sz w:val="20"/>
    </w:rPr>
  </w:style>
  <w:style w:type="paragraph" w:customStyle="1" w:styleId="93">
    <w:name w:val="页脚11"/>
    <w:basedOn w:val="1"/>
    <w:link w:val="94"/>
    <w:autoRedefine/>
    <w:unhideWhenUsed/>
    <w:qFormat/>
    <w:uiPriority w:val="99"/>
    <w:pPr>
      <w:tabs>
        <w:tab w:val="center" w:pos="7143"/>
        <w:tab w:val="right" w:pos="14287"/>
      </w:tabs>
    </w:pPr>
  </w:style>
  <w:style w:type="character" w:customStyle="1" w:styleId="94">
    <w:name w:val="页脚 Char"/>
    <w:link w:val="93"/>
    <w:autoRedefine/>
    <w:qFormat/>
    <w:uiPriority w:val="99"/>
  </w:style>
  <w:style w:type="paragraph" w:customStyle="1" w:styleId="95">
    <w:name w:val="页眉11"/>
    <w:basedOn w:val="1"/>
    <w:link w:val="96"/>
    <w:autoRedefine/>
    <w:unhideWhenUsed/>
    <w:qFormat/>
    <w:uiPriority w:val="99"/>
    <w:pPr>
      <w:tabs>
        <w:tab w:val="center" w:pos="7143"/>
        <w:tab w:val="right" w:pos="14287"/>
      </w:tabs>
    </w:pPr>
  </w:style>
  <w:style w:type="character" w:customStyle="1" w:styleId="96">
    <w:name w:val="页眉 Char"/>
    <w:link w:val="95"/>
    <w:autoRedefine/>
    <w:qFormat/>
    <w:uiPriority w:val="99"/>
  </w:style>
  <w:style w:type="paragraph" w:customStyle="1" w:styleId="97">
    <w:name w:val="目录 111"/>
    <w:basedOn w:val="1"/>
    <w:next w:val="1"/>
    <w:autoRedefine/>
    <w:unhideWhenUsed/>
    <w:qFormat/>
    <w:uiPriority w:val="39"/>
    <w:pPr>
      <w:spacing w:after="57"/>
    </w:pPr>
  </w:style>
  <w:style w:type="paragraph" w:customStyle="1" w:styleId="98">
    <w:name w:val="目录 411"/>
    <w:basedOn w:val="1"/>
    <w:next w:val="1"/>
    <w:autoRedefine/>
    <w:unhideWhenUsed/>
    <w:qFormat/>
    <w:uiPriority w:val="39"/>
    <w:pPr>
      <w:spacing w:after="57"/>
      <w:ind w:left="850"/>
    </w:pPr>
  </w:style>
  <w:style w:type="paragraph" w:customStyle="1" w:styleId="99">
    <w:name w:val="副标题1"/>
    <w:basedOn w:val="1"/>
    <w:next w:val="1"/>
    <w:link w:val="100"/>
    <w:qFormat/>
    <w:uiPriority w:val="11"/>
    <w:pPr>
      <w:spacing w:before="200" w:after="200"/>
    </w:pPr>
    <w:rPr>
      <w:rFonts w:ascii="Calibri" w:hAnsi="Calibri"/>
      <w:sz w:val="24"/>
      <w:szCs w:val="24"/>
      <w:lang w:eastAsia="en-US"/>
    </w:rPr>
  </w:style>
  <w:style w:type="character" w:customStyle="1" w:styleId="100">
    <w:name w:val="副标题 Char"/>
    <w:link w:val="99"/>
    <w:qFormat/>
    <w:uiPriority w:val="11"/>
    <w:rPr>
      <w:sz w:val="24"/>
      <w:szCs w:val="24"/>
    </w:rPr>
  </w:style>
  <w:style w:type="paragraph" w:customStyle="1" w:styleId="101">
    <w:name w:val="脚注文本1"/>
    <w:basedOn w:val="1"/>
    <w:link w:val="102"/>
    <w:unhideWhenUsed/>
    <w:qFormat/>
    <w:uiPriority w:val="99"/>
    <w:pPr>
      <w:spacing w:after="40"/>
    </w:pPr>
    <w:rPr>
      <w:rFonts w:ascii="Calibri" w:hAnsi="Calibri"/>
      <w:sz w:val="18"/>
      <w:szCs w:val="20"/>
      <w:lang w:eastAsia="en-US"/>
    </w:rPr>
  </w:style>
  <w:style w:type="character" w:customStyle="1" w:styleId="102">
    <w:name w:val="脚注文本 Char"/>
    <w:link w:val="101"/>
    <w:qFormat/>
    <w:uiPriority w:val="99"/>
    <w:rPr>
      <w:sz w:val="18"/>
    </w:rPr>
  </w:style>
  <w:style w:type="paragraph" w:customStyle="1" w:styleId="103">
    <w:name w:val="目录 611"/>
    <w:basedOn w:val="1"/>
    <w:next w:val="1"/>
    <w:autoRedefine/>
    <w:unhideWhenUsed/>
    <w:qFormat/>
    <w:uiPriority w:val="39"/>
    <w:pPr>
      <w:spacing w:after="57"/>
      <w:ind w:left="1417"/>
    </w:pPr>
  </w:style>
  <w:style w:type="paragraph" w:customStyle="1" w:styleId="104">
    <w:name w:val="图表目录11"/>
    <w:basedOn w:val="1"/>
    <w:next w:val="1"/>
    <w:autoRedefine/>
    <w:unhideWhenUsed/>
    <w:qFormat/>
    <w:uiPriority w:val="99"/>
  </w:style>
  <w:style w:type="paragraph" w:customStyle="1" w:styleId="105">
    <w:name w:val="目录 211"/>
    <w:basedOn w:val="1"/>
    <w:next w:val="1"/>
    <w:unhideWhenUsed/>
    <w:qFormat/>
    <w:uiPriority w:val="39"/>
    <w:pPr>
      <w:spacing w:after="57"/>
      <w:ind w:left="283"/>
    </w:pPr>
  </w:style>
  <w:style w:type="paragraph" w:customStyle="1" w:styleId="106">
    <w:name w:val="目录 911"/>
    <w:basedOn w:val="1"/>
    <w:next w:val="1"/>
    <w:unhideWhenUsed/>
    <w:qFormat/>
    <w:uiPriority w:val="39"/>
    <w:pPr>
      <w:spacing w:after="57"/>
      <w:ind w:left="2268"/>
    </w:pPr>
  </w:style>
  <w:style w:type="paragraph" w:customStyle="1" w:styleId="107">
    <w:name w:val="正文文本 211"/>
    <w:basedOn w:val="1"/>
    <w:qFormat/>
    <w:uiPriority w:val="99"/>
    <w:pPr>
      <w:jc w:val="center"/>
    </w:pPr>
    <w:rPr>
      <w:b/>
      <w:bCs/>
      <w:sz w:val="20"/>
      <w:szCs w:val="20"/>
    </w:rPr>
  </w:style>
  <w:style w:type="paragraph" w:customStyle="1" w:styleId="108">
    <w:name w:val="普通(网站)11"/>
    <w:basedOn w:val="1"/>
    <w:autoRedefine/>
    <w:unhideWhenUsed/>
    <w:qFormat/>
    <w:uiPriority w:val="99"/>
    <w:pPr>
      <w:spacing w:before="100" w:beforeAutospacing="1" w:after="100" w:afterAutospacing="1"/>
      <w:jc w:val="left"/>
    </w:pPr>
    <w:rPr>
      <w:sz w:val="24"/>
    </w:rPr>
  </w:style>
  <w:style w:type="paragraph" w:customStyle="1" w:styleId="109">
    <w:name w:val="标题11"/>
    <w:basedOn w:val="1"/>
    <w:next w:val="1"/>
    <w:link w:val="110"/>
    <w:qFormat/>
    <w:uiPriority w:val="10"/>
    <w:pPr>
      <w:spacing w:before="300" w:after="200"/>
      <w:contextualSpacing/>
    </w:pPr>
    <w:rPr>
      <w:rFonts w:ascii="Calibri" w:hAnsi="Calibri"/>
      <w:sz w:val="48"/>
      <w:szCs w:val="48"/>
      <w:lang w:eastAsia="en-US"/>
    </w:rPr>
  </w:style>
  <w:style w:type="character" w:customStyle="1" w:styleId="110">
    <w:name w:val="标题 Char"/>
    <w:link w:val="109"/>
    <w:autoRedefine/>
    <w:qFormat/>
    <w:uiPriority w:val="10"/>
    <w:rPr>
      <w:sz w:val="48"/>
      <w:szCs w:val="48"/>
    </w:rPr>
  </w:style>
  <w:style w:type="paragraph" w:customStyle="1" w:styleId="111">
    <w:name w:val="正文首行缩进11"/>
    <w:basedOn w:val="1"/>
    <w:autoRedefine/>
    <w:qFormat/>
    <w:uiPriority w:val="99"/>
    <w:pPr>
      <w:ind w:firstLine="420"/>
    </w:pPr>
  </w:style>
  <w:style w:type="table" w:customStyle="1" w:styleId="112">
    <w:name w:val="网格型11"/>
    <w:qFormat/>
    <w:uiPriority w:val="59"/>
    <w:tblPr>
      <w:tblCellMar>
        <w:top w:w="0" w:type="dxa"/>
        <w:left w:w="0" w:type="dxa"/>
        <w:bottom w:w="0" w:type="dxa"/>
        <w:right w:w="0" w:type="dxa"/>
      </w:tblCellMar>
    </w:tblPr>
  </w:style>
  <w:style w:type="character" w:customStyle="1" w:styleId="113">
    <w:name w:val="尾注引用1"/>
    <w:autoRedefine/>
    <w:unhideWhenUsed/>
    <w:qFormat/>
    <w:uiPriority w:val="99"/>
    <w:rPr>
      <w:vertAlign w:val="superscript"/>
    </w:rPr>
  </w:style>
  <w:style w:type="character" w:customStyle="1" w:styleId="114">
    <w:name w:val="超链接11"/>
    <w:autoRedefine/>
    <w:unhideWhenUsed/>
    <w:qFormat/>
    <w:uiPriority w:val="99"/>
    <w:rPr>
      <w:color w:val="0000FF"/>
      <w:u w:val="single"/>
    </w:rPr>
  </w:style>
  <w:style w:type="character" w:customStyle="1" w:styleId="115">
    <w:name w:val="脚注引用1"/>
    <w:unhideWhenUsed/>
    <w:qFormat/>
    <w:uiPriority w:val="99"/>
    <w:rPr>
      <w:vertAlign w:val="superscript"/>
    </w:rPr>
  </w:style>
  <w:style w:type="character" w:customStyle="1" w:styleId="116">
    <w:name w:val="Caption Char"/>
    <w:autoRedefine/>
    <w:qFormat/>
    <w:uiPriority w:val="99"/>
  </w:style>
  <w:style w:type="paragraph" w:customStyle="1" w:styleId="117">
    <w:name w:val="正文文本11"/>
    <w:basedOn w:val="1"/>
    <w:next w:val="118"/>
    <w:autoRedefine/>
    <w:qFormat/>
    <w:uiPriority w:val="0"/>
    <w:rPr>
      <w:rFonts w:ascii="楷体_GB2312" w:hAnsi="Arial" w:eastAsia="楷体_GB2312"/>
      <w:sz w:val="28"/>
      <w:szCs w:val="28"/>
    </w:rPr>
  </w:style>
  <w:style w:type="paragraph" w:customStyle="1" w:styleId="118">
    <w:name w:val="默认"/>
    <w:autoRedefine/>
    <w:qFormat/>
    <w:uiPriority w:val="0"/>
    <w:rPr>
      <w:rFonts w:ascii="Helvetica" w:hAnsi="Helvetica" w:eastAsia="Helvetica" w:cs="Helvetica"/>
      <w:color w:val="000000"/>
      <w:sz w:val="22"/>
      <w:szCs w:val="22"/>
      <w:lang w:val="en-US" w:eastAsia="zh-CN" w:bidi="ar-SA"/>
    </w:rPr>
  </w:style>
  <w:style w:type="character" w:customStyle="1" w:styleId="119">
    <w:name w:val="redfilefwwh"/>
    <w:basedOn w:val="120"/>
    <w:autoRedefine/>
    <w:qFormat/>
    <w:uiPriority w:val="0"/>
    <w:rPr>
      <w:color w:val="BA2636"/>
      <w:sz w:val="18"/>
      <w:szCs w:val="18"/>
    </w:rPr>
  </w:style>
  <w:style w:type="character" w:customStyle="1" w:styleId="120">
    <w:name w:val="默认段落字体1"/>
    <w:semiHidden/>
    <w:qFormat/>
    <w:uiPriority w:val="0"/>
  </w:style>
  <w:style w:type="paragraph" w:customStyle="1" w:styleId="121">
    <w:name w:val="正文文本1"/>
    <w:basedOn w:val="1"/>
    <w:autoRedefine/>
    <w:qFormat/>
    <w:uiPriority w:val="0"/>
    <w:rPr>
      <w:rFonts w:ascii="楷体_GB2312" w:hAnsi="Arial" w:eastAsia="楷体_GB2312"/>
      <w:sz w:val="28"/>
      <w:szCs w:val="28"/>
    </w:rPr>
  </w:style>
  <w:style w:type="paragraph" w:customStyle="1" w:styleId="122">
    <w:name w:val="引用1"/>
    <w:basedOn w:val="1"/>
    <w:next w:val="1"/>
    <w:link w:val="123"/>
    <w:qFormat/>
    <w:uiPriority w:val="29"/>
    <w:pPr>
      <w:ind w:left="720" w:right="720"/>
    </w:pPr>
    <w:rPr>
      <w:rFonts w:ascii="Calibri" w:hAnsi="Calibri"/>
      <w:i/>
      <w:sz w:val="20"/>
      <w:szCs w:val="20"/>
      <w:lang w:eastAsia="en-US"/>
    </w:rPr>
  </w:style>
  <w:style w:type="character" w:customStyle="1" w:styleId="123">
    <w:name w:val="引用 Char"/>
    <w:link w:val="122"/>
    <w:autoRedefine/>
    <w:qFormat/>
    <w:uiPriority w:val="29"/>
    <w:rPr>
      <w:i/>
    </w:rPr>
  </w:style>
  <w:style w:type="paragraph" w:customStyle="1" w:styleId="124">
    <w:name w:val="明显引用1"/>
    <w:basedOn w:val="1"/>
    <w:next w:val="1"/>
    <w:link w:val="125"/>
    <w:autoRedefine/>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rFonts w:ascii="Calibri" w:hAnsi="Calibri"/>
      <w:i/>
      <w:sz w:val="20"/>
      <w:szCs w:val="20"/>
      <w:lang w:eastAsia="en-US"/>
    </w:rPr>
  </w:style>
  <w:style w:type="character" w:customStyle="1" w:styleId="125">
    <w:name w:val="明显引用 Char"/>
    <w:link w:val="124"/>
    <w:qFormat/>
    <w:uiPriority w:val="30"/>
    <w:rPr>
      <w:i/>
    </w:rPr>
  </w:style>
  <w:style w:type="table" w:customStyle="1" w:styleId="126">
    <w:name w:val="Table Grid Light"/>
    <w:qFormat/>
    <w:uiPriority w:val="59"/>
    <w:tblPr>
      <w:tblCellMar>
        <w:top w:w="0" w:type="dxa"/>
        <w:left w:w="0" w:type="dxa"/>
        <w:bottom w:w="0" w:type="dxa"/>
        <w:right w:w="0" w:type="dxa"/>
      </w:tblCellMar>
    </w:tblPr>
  </w:style>
  <w:style w:type="table" w:customStyle="1" w:styleId="127">
    <w:name w:val="无格式表格 11"/>
    <w:qFormat/>
    <w:uiPriority w:val="59"/>
    <w:tblPr>
      <w:tblCellMar>
        <w:top w:w="0" w:type="dxa"/>
        <w:left w:w="0" w:type="dxa"/>
        <w:bottom w:w="0" w:type="dxa"/>
        <w:right w:w="0" w:type="dxa"/>
      </w:tblCellMar>
    </w:tblPr>
  </w:style>
  <w:style w:type="table" w:customStyle="1" w:styleId="128">
    <w:name w:val="无格式表格 21"/>
    <w:autoRedefine/>
    <w:qFormat/>
    <w:uiPriority w:val="59"/>
    <w:tblPr>
      <w:tblCellMar>
        <w:top w:w="0" w:type="dxa"/>
        <w:left w:w="0" w:type="dxa"/>
        <w:bottom w:w="0" w:type="dxa"/>
        <w:right w:w="0" w:type="dxa"/>
      </w:tblCellMar>
    </w:tblPr>
  </w:style>
  <w:style w:type="table" w:customStyle="1" w:styleId="129">
    <w:name w:val="无格式表格 31"/>
    <w:autoRedefine/>
    <w:qFormat/>
    <w:uiPriority w:val="99"/>
    <w:tblPr>
      <w:tblCellMar>
        <w:top w:w="0" w:type="dxa"/>
        <w:left w:w="0" w:type="dxa"/>
        <w:bottom w:w="0" w:type="dxa"/>
        <w:right w:w="0" w:type="dxa"/>
      </w:tblCellMar>
    </w:tblPr>
  </w:style>
  <w:style w:type="table" w:customStyle="1" w:styleId="130">
    <w:name w:val="无格式表格 41"/>
    <w:autoRedefine/>
    <w:qFormat/>
    <w:uiPriority w:val="99"/>
    <w:tblPr>
      <w:tblCellMar>
        <w:top w:w="0" w:type="dxa"/>
        <w:left w:w="0" w:type="dxa"/>
        <w:bottom w:w="0" w:type="dxa"/>
        <w:right w:w="0" w:type="dxa"/>
      </w:tblCellMar>
    </w:tblPr>
  </w:style>
  <w:style w:type="table" w:customStyle="1" w:styleId="131">
    <w:name w:val="无格式表格 51"/>
    <w:autoRedefine/>
    <w:qFormat/>
    <w:uiPriority w:val="99"/>
    <w:tblPr>
      <w:tblCellMar>
        <w:top w:w="0" w:type="dxa"/>
        <w:left w:w="0" w:type="dxa"/>
        <w:bottom w:w="0" w:type="dxa"/>
        <w:right w:w="0" w:type="dxa"/>
      </w:tblCellMar>
    </w:tblPr>
  </w:style>
  <w:style w:type="table" w:customStyle="1" w:styleId="132">
    <w:name w:val="网格表 1 浅色1"/>
    <w:qFormat/>
    <w:uiPriority w:val="99"/>
    <w:tblPr>
      <w:tblCellMar>
        <w:top w:w="0" w:type="dxa"/>
        <w:left w:w="0" w:type="dxa"/>
        <w:bottom w:w="0" w:type="dxa"/>
        <w:right w:w="0" w:type="dxa"/>
      </w:tblCellMar>
    </w:tblPr>
  </w:style>
  <w:style w:type="table" w:customStyle="1" w:styleId="133">
    <w:name w:val="Grid Table 1 Light - Accent 1"/>
    <w:qFormat/>
    <w:uiPriority w:val="99"/>
    <w:tblPr>
      <w:tblCellMar>
        <w:top w:w="0" w:type="dxa"/>
        <w:left w:w="0" w:type="dxa"/>
        <w:bottom w:w="0" w:type="dxa"/>
        <w:right w:w="0" w:type="dxa"/>
      </w:tblCellMar>
    </w:tblPr>
  </w:style>
  <w:style w:type="table" w:customStyle="1" w:styleId="134">
    <w:name w:val="Grid Table 1 Light - Accent 2"/>
    <w:autoRedefine/>
    <w:qFormat/>
    <w:uiPriority w:val="99"/>
    <w:tblPr>
      <w:tblCellMar>
        <w:top w:w="0" w:type="dxa"/>
        <w:left w:w="0" w:type="dxa"/>
        <w:bottom w:w="0" w:type="dxa"/>
        <w:right w:w="0" w:type="dxa"/>
      </w:tblCellMar>
    </w:tblPr>
  </w:style>
  <w:style w:type="table" w:customStyle="1" w:styleId="135">
    <w:name w:val="Grid Table 1 Light - Accent 3"/>
    <w:autoRedefine/>
    <w:qFormat/>
    <w:uiPriority w:val="99"/>
    <w:tblPr>
      <w:tblCellMar>
        <w:top w:w="0" w:type="dxa"/>
        <w:left w:w="0" w:type="dxa"/>
        <w:bottom w:w="0" w:type="dxa"/>
        <w:right w:w="0" w:type="dxa"/>
      </w:tblCellMar>
    </w:tblPr>
  </w:style>
  <w:style w:type="table" w:customStyle="1" w:styleId="136">
    <w:name w:val="Grid Table 1 Light - Accent 4"/>
    <w:qFormat/>
    <w:uiPriority w:val="99"/>
    <w:tblPr>
      <w:tblCellMar>
        <w:top w:w="0" w:type="dxa"/>
        <w:left w:w="0" w:type="dxa"/>
        <w:bottom w:w="0" w:type="dxa"/>
        <w:right w:w="0" w:type="dxa"/>
      </w:tblCellMar>
    </w:tblPr>
  </w:style>
  <w:style w:type="table" w:customStyle="1" w:styleId="137">
    <w:name w:val="Grid Table 1 Light - Accent 5"/>
    <w:autoRedefine/>
    <w:qFormat/>
    <w:uiPriority w:val="99"/>
    <w:tblPr>
      <w:tblCellMar>
        <w:top w:w="0" w:type="dxa"/>
        <w:left w:w="0" w:type="dxa"/>
        <w:bottom w:w="0" w:type="dxa"/>
        <w:right w:w="0" w:type="dxa"/>
      </w:tblCellMar>
    </w:tblPr>
  </w:style>
  <w:style w:type="table" w:customStyle="1" w:styleId="138">
    <w:name w:val="Grid Table 1 Light - Accent 6"/>
    <w:qFormat/>
    <w:uiPriority w:val="99"/>
    <w:tblPr>
      <w:tblCellMar>
        <w:top w:w="0" w:type="dxa"/>
        <w:left w:w="0" w:type="dxa"/>
        <w:bottom w:w="0" w:type="dxa"/>
        <w:right w:w="0" w:type="dxa"/>
      </w:tblCellMar>
    </w:tblPr>
  </w:style>
  <w:style w:type="table" w:customStyle="1" w:styleId="139">
    <w:name w:val="网格表 21"/>
    <w:autoRedefine/>
    <w:qFormat/>
    <w:uiPriority w:val="99"/>
    <w:tblPr>
      <w:tblCellMar>
        <w:top w:w="0" w:type="dxa"/>
        <w:left w:w="0" w:type="dxa"/>
        <w:bottom w:w="0" w:type="dxa"/>
        <w:right w:w="0" w:type="dxa"/>
      </w:tblCellMar>
    </w:tblPr>
  </w:style>
  <w:style w:type="table" w:customStyle="1" w:styleId="140">
    <w:name w:val="Grid Table 2 - Accent 1"/>
    <w:autoRedefine/>
    <w:qFormat/>
    <w:uiPriority w:val="99"/>
    <w:tblPr>
      <w:tblCellMar>
        <w:top w:w="0" w:type="dxa"/>
        <w:left w:w="0" w:type="dxa"/>
        <w:bottom w:w="0" w:type="dxa"/>
        <w:right w:w="0" w:type="dxa"/>
      </w:tblCellMar>
    </w:tblPr>
  </w:style>
  <w:style w:type="table" w:customStyle="1" w:styleId="141">
    <w:name w:val="Grid Table 2 - Accent 2"/>
    <w:autoRedefine/>
    <w:qFormat/>
    <w:uiPriority w:val="99"/>
    <w:tblPr>
      <w:tblCellMar>
        <w:top w:w="0" w:type="dxa"/>
        <w:left w:w="0" w:type="dxa"/>
        <w:bottom w:w="0" w:type="dxa"/>
        <w:right w:w="0" w:type="dxa"/>
      </w:tblCellMar>
    </w:tblPr>
  </w:style>
  <w:style w:type="table" w:customStyle="1" w:styleId="142">
    <w:name w:val="Grid Table 2 - Accent 3"/>
    <w:autoRedefine/>
    <w:qFormat/>
    <w:uiPriority w:val="99"/>
    <w:tblPr>
      <w:tblCellMar>
        <w:top w:w="0" w:type="dxa"/>
        <w:left w:w="0" w:type="dxa"/>
        <w:bottom w:w="0" w:type="dxa"/>
        <w:right w:w="0" w:type="dxa"/>
      </w:tblCellMar>
    </w:tblPr>
  </w:style>
  <w:style w:type="table" w:customStyle="1" w:styleId="143">
    <w:name w:val="Grid Table 2 - Accent 4"/>
    <w:autoRedefine/>
    <w:qFormat/>
    <w:uiPriority w:val="99"/>
    <w:tblPr>
      <w:tblCellMar>
        <w:top w:w="0" w:type="dxa"/>
        <w:left w:w="0" w:type="dxa"/>
        <w:bottom w:w="0" w:type="dxa"/>
        <w:right w:w="0" w:type="dxa"/>
      </w:tblCellMar>
    </w:tblPr>
  </w:style>
  <w:style w:type="table" w:customStyle="1" w:styleId="144">
    <w:name w:val="Grid Table 2 - Accent 5"/>
    <w:qFormat/>
    <w:uiPriority w:val="99"/>
    <w:tblPr>
      <w:tblCellMar>
        <w:top w:w="0" w:type="dxa"/>
        <w:left w:w="0" w:type="dxa"/>
        <w:bottom w:w="0" w:type="dxa"/>
        <w:right w:w="0" w:type="dxa"/>
      </w:tblCellMar>
    </w:tblPr>
  </w:style>
  <w:style w:type="table" w:customStyle="1" w:styleId="145">
    <w:name w:val="Grid Table 2 - Accent 6"/>
    <w:autoRedefine/>
    <w:qFormat/>
    <w:uiPriority w:val="99"/>
    <w:tblPr>
      <w:tblCellMar>
        <w:top w:w="0" w:type="dxa"/>
        <w:left w:w="0" w:type="dxa"/>
        <w:bottom w:w="0" w:type="dxa"/>
        <w:right w:w="0" w:type="dxa"/>
      </w:tblCellMar>
    </w:tblPr>
  </w:style>
  <w:style w:type="table" w:customStyle="1" w:styleId="146">
    <w:name w:val="网格表 31"/>
    <w:autoRedefine/>
    <w:qFormat/>
    <w:uiPriority w:val="99"/>
    <w:tblPr>
      <w:tblCellMar>
        <w:top w:w="0" w:type="dxa"/>
        <w:left w:w="0" w:type="dxa"/>
        <w:bottom w:w="0" w:type="dxa"/>
        <w:right w:w="0" w:type="dxa"/>
      </w:tblCellMar>
    </w:tblPr>
  </w:style>
  <w:style w:type="table" w:customStyle="1" w:styleId="147">
    <w:name w:val="Grid Table 3 - Accent 1"/>
    <w:autoRedefine/>
    <w:qFormat/>
    <w:uiPriority w:val="99"/>
    <w:tblPr>
      <w:tblCellMar>
        <w:top w:w="0" w:type="dxa"/>
        <w:left w:w="0" w:type="dxa"/>
        <w:bottom w:w="0" w:type="dxa"/>
        <w:right w:w="0" w:type="dxa"/>
      </w:tblCellMar>
    </w:tblPr>
  </w:style>
  <w:style w:type="table" w:customStyle="1" w:styleId="148">
    <w:name w:val="Grid Table 3 - Accent 2"/>
    <w:autoRedefine/>
    <w:qFormat/>
    <w:uiPriority w:val="99"/>
    <w:tblPr>
      <w:tblCellMar>
        <w:top w:w="0" w:type="dxa"/>
        <w:left w:w="0" w:type="dxa"/>
        <w:bottom w:w="0" w:type="dxa"/>
        <w:right w:w="0" w:type="dxa"/>
      </w:tblCellMar>
    </w:tblPr>
  </w:style>
  <w:style w:type="table" w:customStyle="1" w:styleId="149">
    <w:name w:val="Grid Table 3 - Accent 3"/>
    <w:autoRedefine/>
    <w:qFormat/>
    <w:uiPriority w:val="99"/>
    <w:tblPr>
      <w:tblCellMar>
        <w:top w:w="0" w:type="dxa"/>
        <w:left w:w="0" w:type="dxa"/>
        <w:bottom w:w="0" w:type="dxa"/>
        <w:right w:w="0" w:type="dxa"/>
      </w:tblCellMar>
    </w:tblPr>
  </w:style>
  <w:style w:type="table" w:customStyle="1" w:styleId="150">
    <w:name w:val="Grid Table 3 - Accent 4"/>
    <w:autoRedefine/>
    <w:qFormat/>
    <w:uiPriority w:val="99"/>
    <w:tblPr>
      <w:tblCellMar>
        <w:top w:w="0" w:type="dxa"/>
        <w:left w:w="0" w:type="dxa"/>
        <w:bottom w:w="0" w:type="dxa"/>
        <w:right w:w="0" w:type="dxa"/>
      </w:tblCellMar>
    </w:tblPr>
  </w:style>
  <w:style w:type="table" w:customStyle="1" w:styleId="151">
    <w:name w:val="Grid Table 3 - Accent 5"/>
    <w:autoRedefine/>
    <w:qFormat/>
    <w:uiPriority w:val="99"/>
    <w:tblPr>
      <w:tblCellMar>
        <w:top w:w="0" w:type="dxa"/>
        <w:left w:w="0" w:type="dxa"/>
        <w:bottom w:w="0" w:type="dxa"/>
        <w:right w:w="0" w:type="dxa"/>
      </w:tblCellMar>
    </w:tblPr>
  </w:style>
  <w:style w:type="table" w:customStyle="1" w:styleId="152">
    <w:name w:val="Grid Table 3 - Accent 6"/>
    <w:autoRedefine/>
    <w:qFormat/>
    <w:uiPriority w:val="99"/>
    <w:tblPr>
      <w:tblCellMar>
        <w:top w:w="0" w:type="dxa"/>
        <w:left w:w="0" w:type="dxa"/>
        <w:bottom w:w="0" w:type="dxa"/>
        <w:right w:w="0" w:type="dxa"/>
      </w:tblCellMar>
    </w:tblPr>
  </w:style>
  <w:style w:type="table" w:customStyle="1" w:styleId="153">
    <w:name w:val="网格表 41"/>
    <w:qFormat/>
    <w:uiPriority w:val="59"/>
    <w:tblPr>
      <w:tblCellMar>
        <w:top w:w="0" w:type="dxa"/>
        <w:left w:w="0" w:type="dxa"/>
        <w:bottom w:w="0" w:type="dxa"/>
        <w:right w:w="0" w:type="dxa"/>
      </w:tblCellMar>
    </w:tblPr>
  </w:style>
  <w:style w:type="table" w:customStyle="1" w:styleId="154">
    <w:name w:val="Grid Table 4 - Accent 1"/>
    <w:autoRedefine/>
    <w:qFormat/>
    <w:uiPriority w:val="59"/>
    <w:tblPr>
      <w:tblCellMar>
        <w:top w:w="0" w:type="dxa"/>
        <w:left w:w="0" w:type="dxa"/>
        <w:bottom w:w="0" w:type="dxa"/>
        <w:right w:w="0" w:type="dxa"/>
      </w:tblCellMar>
    </w:tblPr>
  </w:style>
  <w:style w:type="table" w:customStyle="1" w:styleId="155">
    <w:name w:val="Grid Table 4 - Accent 2"/>
    <w:autoRedefine/>
    <w:qFormat/>
    <w:uiPriority w:val="59"/>
    <w:tblPr>
      <w:tblCellMar>
        <w:top w:w="0" w:type="dxa"/>
        <w:left w:w="0" w:type="dxa"/>
        <w:bottom w:w="0" w:type="dxa"/>
        <w:right w:w="0" w:type="dxa"/>
      </w:tblCellMar>
    </w:tblPr>
  </w:style>
  <w:style w:type="table" w:customStyle="1" w:styleId="156">
    <w:name w:val="Grid Table 4 - Accent 3"/>
    <w:qFormat/>
    <w:uiPriority w:val="59"/>
    <w:tblPr>
      <w:tblCellMar>
        <w:top w:w="0" w:type="dxa"/>
        <w:left w:w="0" w:type="dxa"/>
        <w:bottom w:w="0" w:type="dxa"/>
        <w:right w:w="0" w:type="dxa"/>
      </w:tblCellMar>
    </w:tblPr>
  </w:style>
  <w:style w:type="table" w:customStyle="1" w:styleId="157">
    <w:name w:val="Grid Table 4 - Accent 4"/>
    <w:autoRedefine/>
    <w:qFormat/>
    <w:uiPriority w:val="59"/>
    <w:tblPr>
      <w:tblCellMar>
        <w:top w:w="0" w:type="dxa"/>
        <w:left w:w="0" w:type="dxa"/>
        <w:bottom w:w="0" w:type="dxa"/>
        <w:right w:w="0" w:type="dxa"/>
      </w:tblCellMar>
    </w:tblPr>
  </w:style>
  <w:style w:type="table" w:customStyle="1" w:styleId="158">
    <w:name w:val="Grid Table 4 - Accent 5"/>
    <w:autoRedefine/>
    <w:qFormat/>
    <w:uiPriority w:val="59"/>
    <w:tblPr>
      <w:tblCellMar>
        <w:top w:w="0" w:type="dxa"/>
        <w:left w:w="0" w:type="dxa"/>
        <w:bottom w:w="0" w:type="dxa"/>
        <w:right w:w="0" w:type="dxa"/>
      </w:tblCellMar>
    </w:tblPr>
  </w:style>
  <w:style w:type="table" w:customStyle="1" w:styleId="159">
    <w:name w:val="Grid Table 4 - Accent 6"/>
    <w:autoRedefine/>
    <w:qFormat/>
    <w:uiPriority w:val="59"/>
    <w:tblPr>
      <w:tblCellMar>
        <w:top w:w="0" w:type="dxa"/>
        <w:left w:w="0" w:type="dxa"/>
        <w:bottom w:w="0" w:type="dxa"/>
        <w:right w:w="0" w:type="dxa"/>
      </w:tblCellMar>
    </w:tblPr>
  </w:style>
  <w:style w:type="table" w:customStyle="1" w:styleId="160">
    <w:name w:val="网格表 5 深色1"/>
    <w:autoRedefine/>
    <w:qFormat/>
    <w:uiPriority w:val="99"/>
    <w:tblPr>
      <w:tblCellMar>
        <w:top w:w="0" w:type="dxa"/>
        <w:left w:w="0" w:type="dxa"/>
        <w:bottom w:w="0" w:type="dxa"/>
        <w:right w:w="0" w:type="dxa"/>
      </w:tblCellMar>
    </w:tblPr>
  </w:style>
  <w:style w:type="table" w:customStyle="1" w:styleId="161">
    <w:name w:val="Grid Table 5 Dark- Accent 1"/>
    <w:autoRedefine/>
    <w:qFormat/>
    <w:uiPriority w:val="99"/>
    <w:tblPr>
      <w:tblCellMar>
        <w:top w:w="0" w:type="dxa"/>
        <w:left w:w="0" w:type="dxa"/>
        <w:bottom w:w="0" w:type="dxa"/>
        <w:right w:w="0" w:type="dxa"/>
      </w:tblCellMar>
    </w:tblPr>
  </w:style>
  <w:style w:type="table" w:customStyle="1" w:styleId="162">
    <w:name w:val="Grid Table 5 Dark - Accent 2"/>
    <w:autoRedefine/>
    <w:qFormat/>
    <w:uiPriority w:val="99"/>
    <w:tblPr>
      <w:tblCellMar>
        <w:top w:w="0" w:type="dxa"/>
        <w:left w:w="0" w:type="dxa"/>
        <w:bottom w:w="0" w:type="dxa"/>
        <w:right w:w="0" w:type="dxa"/>
      </w:tblCellMar>
    </w:tblPr>
  </w:style>
  <w:style w:type="table" w:customStyle="1" w:styleId="163">
    <w:name w:val="Grid Table 5 Dark - Accent 3"/>
    <w:autoRedefine/>
    <w:qFormat/>
    <w:uiPriority w:val="99"/>
    <w:tblPr>
      <w:tblCellMar>
        <w:top w:w="0" w:type="dxa"/>
        <w:left w:w="0" w:type="dxa"/>
        <w:bottom w:w="0" w:type="dxa"/>
        <w:right w:w="0" w:type="dxa"/>
      </w:tblCellMar>
    </w:tblPr>
  </w:style>
  <w:style w:type="table" w:customStyle="1" w:styleId="164">
    <w:name w:val="Grid Table 5 Dark- Accent 4"/>
    <w:autoRedefine/>
    <w:qFormat/>
    <w:uiPriority w:val="99"/>
    <w:tblPr>
      <w:tblCellMar>
        <w:top w:w="0" w:type="dxa"/>
        <w:left w:w="0" w:type="dxa"/>
        <w:bottom w:w="0" w:type="dxa"/>
        <w:right w:w="0" w:type="dxa"/>
      </w:tblCellMar>
    </w:tblPr>
  </w:style>
  <w:style w:type="table" w:customStyle="1" w:styleId="165">
    <w:name w:val="Grid Table 5 Dark - Accent 5"/>
    <w:autoRedefine/>
    <w:qFormat/>
    <w:uiPriority w:val="99"/>
    <w:tblPr>
      <w:tblCellMar>
        <w:top w:w="0" w:type="dxa"/>
        <w:left w:w="0" w:type="dxa"/>
        <w:bottom w:w="0" w:type="dxa"/>
        <w:right w:w="0" w:type="dxa"/>
      </w:tblCellMar>
    </w:tblPr>
  </w:style>
  <w:style w:type="table" w:customStyle="1" w:styleId="166">
    <w:name w:val="Grid Table 5 Dark - Accent 6"/>
    <w:autoRedefine/>
    <w:qFormat/>
    <w:uiPriority w:val="99"/>
    <w:tblPr>
      <w:tblCellMar>
        <w:top w:w="0" w:type="dxa"/>
        <w:left w:w="0" w:type="dxa"/>
        <w:bottom w:w="0" w:type="dxa"/>
        <w:right w:w="0" w:type="dxa"/>
      </w:tblCellMar>
    </w:tblPr>
  </w:style>
  <w:style w:type="table" w:customStyle="1" w:styleId="167">
    <w:name w:val="网格表 6 彩色1"/>
    <w:autoRedefine/>
    <w:qFormat/>
    <w:uiPriority w:val="99"/>
    <w:tblPr>
      <w:tblCellMar>
        <w:top w:w="0" w:type="dxa"/>
        <w:left w:w="0" w:type="dxa"/>
        <w:bottom w:w="0" w:type="dxa"/>
        <w:right w:w="0" w:type="dxa"/>
      </w:tblCellMar>
    </w:tblPr>
  </w:style>
  <w:style w:type="table" w:customStyle="1" w:styleId="168">
    <w:name w:val="Grid Table 6 Colorful - Accent 1"/>
    <w:autoRedefine/>
    <w:qFormat/>
    <w:uiPriority w:val="99"/>
    <w:tblPr>
      <w:tblCellMar>
        <w:top w:w="0" w:type="dxa"/>
        <w:left w:w="0" w:type="dxa"/>
        <w:bottom w:w="0" w:type="dxa"/>
        <w:right w:w="0" w:type="dxa"/>
      </w:tblCellMar>
    </w:tblPr>
  </w:style>
  <w:style w:type="table" w:customStyle="1" w:styleId="169">
    <w:name w:val="Grid Table 6 Colorful - Accent 2"/>
    <w:autoRedefine/>
    <w:qFormat/>
    <w:uiPriority w:val="99"/>
    <w:tblPr>
      <w:tblCellMar>
        <w:top w:w="0" w:type="dxa"/>
        <w:left w:w="0" w:type="dxa"/>
        <w:bottom w:w="0" w:type="dxa"/>
        <w:right w:w="0" w:type="dxa"/>
      </w:tblCellMar>
    </w:tblPr>
  </w:style>
  <w:style w:type="table" w:customStyle="1" w:styleId="170">
    <w:name w:val="Grid Table 6 Colorful - Accent 3"/>
    <w:autoRedefine/>
    <w:qFormat/>
    <w:uiPriority w:val="99"/>
    <w:tblPr>
      <w:tblCellMar>
        <w:top w:w="0" w:type="dxa"/>
        <w:left w:w="0" w:type="dxa"/>
        <w:bottom w:w="0" w:type="dxa"/>
        <w:right w:w="0" w:type="dxa"/>
      </w:tblCellMar>
    </w:tblPr>
  </w:style>
  <w:style w:type="table" w:customStyle="1" w:styleId="171">
    <w:name w:val="Grid Table 6 Colorful - Accent 4"/>
    <w:autoRedefine/>
    <w:qFormat/>
    <w:uiPriority w:val="99"/>
    <w:tblPr>
      <w:tblCellMar>
        <w:top w:w="0" w:type="dxa"/>
        <w:left w:w="0" w:type="dxa"/>
        <w:bottom w:w="0" w:type="dxa"/>
        <w:right w:w="0" w:type="dxa"/>
      </w:tblCellMar>
    </w:tblPr>
  </w:style>
  <w:style w:type="table" w:customStyle="1" w:styleId="172">
    <w:name w:val="Grid Table 6 Colorful - Accent 5"/>
    <w:autoRedefine/>
    <w:qFormat/>
    <w:uiPriority w:val="99"/>
    <w:tblPr>
      <w:tblCellMar>
        <w:top w:w="0" w:type="dxa"/>
        <w:left w:w="0" w:type="dxa"/>
        <w:bottom w:w="0" w:type="dxa"/>
        <w:right w:w="0" w:type="dxa"/>
      </w:tblCellMar>
    </w:tblPr>
  </w:style>
  <w:style w:type="table" w:customStyle="1" w:styleId="173">
    <w:name w:val="Grid Table 6 Colorful - Accent 6"/>
    <w:autoRedefine/>
    <w:qFormat/>
    <w:uiPriority w:val="99"/>
    <w:tblPr>
      <w:tblCellMar>
        <w:top w:w="0" w:type="dxa"/>
        <w:left w:w="0" w:type="dxa"/>
        <w:bottom w:w="0" w:type="dxa"/>
        <w:right w:w="0" w:type="dxa"/>
      </w:tblCellMar>
    </w:tblPr>
  </w:style>
  <w:style w:type="table" w:customStyle="1" w:styleId="174">
    <w:name w:val="网格表 7 彩色1"/>
    <w:autoRedefine/>
    <w:qFormat/>
    <w:uiPriority w:val="99"/>
    <w:tblPr>
      <w:tblCellMar>
        <w:top w:w="0" w:type="dxa"/>
        <w:left w:w="0" w:type="dxa"/>
        <w:bottom w:w="0" w:type="dxa"/>
        <w:right w:w="0" w:type="dxa"/>
      </w:tblCellMar>
    </w:tblPr>
  </w:style>
  <w:style w:type="table" w:customStyle="1" w:styleId="175">
    <w:name w:val="Grid Table 7 Colorful - Accent 1"/>
    <w:autoRedefine/>
    <w:qFormat/>
    <w:uiPriority w:val="99"/>
    <w:tblPr>
      <w:tblCellMar>
        <w:top w:w="0" w:type="dxa"/>
        <w:left w:w="0" w:type="dxa"/>
        <w:bottom w:w="0" w:type="dxa"/>
        <w:right w:w="0" w:type="dxa"/>
      </w:tblCellMar>
    </w:tblPr>
  </w:style>
  <w:style w:type="table" w:customStyle="1" w:styleId="176">
    <w:name w:val="Grid Table 7 Colorful - Accent 2"/>
    <w:autoRedefine/>
    <w:qFormat/>
    <w:uiPriority w:val="99"/>
    <w:tblPr>
      <w:tblCellMar>
        <w:top w:w="0" w:type="dxa"/>
        <w:left w:w="0" w:type="dxa"/>
        <w:bottom w:w="0" w:type="dxa"/>
        <w:right w:w="0" w:type="dxa"/>
      </w:tblCellMar>
    </w:tblPr>
  </w:style>
  <w:style w:type="table" w:customStyle="1" w:styleId="177">
    <w:name w:val="Grid Table 7 Colorful - Accent 3"/>
    <w:autoRedefine/>
    <w:qFormat/>
    <w:uiPriority w:val="99"/>
    <w:tblPr>
      <w:tblCellMar>
        <w:top w:w="0" w:type="dxa"/>
        <w:left w:w="0" w:type="dxa"/>
        <w:bottom w:w="0" w:type="dxa"/>
        <w:right w:w="0" w:type="dxa"/>
      </w:tblCellMar>
    </w:tblPr>
  </w:style>
  <w:style w:type="table" w:customStyle="1" w:styleId="178">
    <w:name w:val="Grid Table 7 Colorful - Accent 4"/>
    <w:autoRedefine/>
    <w:qFormat/>
    <w:uiPriority w:val="99"/>
    <w:tblPr>
      <w:tblCellMar>
        <w:top w:w="0" w:type="dxa"/>
        <w:left w:w="0" w:type="dxa"/>
        <w:bottom w:w="0" w:type="dxa"/>
        <w:right w:w="0" w:type="dxa"/>
      </w:tblCellMar>
    </w:tblPr>
  </w:style>
  <w:style w:type="table" w:customStyle="1" w:styleId="179">
    <w:name w:val="Grid Table 7 Colorful - Accent 5"/>
    <w:autoRedefine/>
    <w:qFormat/>
    <w:uiPriority w:val="99"/>
    <w:tblPr>
      <w:tblCellMar>
        <w:top w:w="0" w:type="dxa"/>
        <w:left w:w="0" w:type="dxa"/>
        <w:bottom w:w="0" w:type="dxa"/>
        <w:right w:w="0" w:type="dxa"/>
      </w:tblCellMar>
    </w:tblPr>
  </w:style>
  <w:style w:type="table" w:customStyle="1" w:styleId="180">
    <w:name w:val="Grid Table 7 Colorful - Accent 6"/>
    <w:autoRedefine/>
    <w:qFormat/>
    <w:uiPriority w:val="99"/>
    <w:tblPr>
      <w:tblCellMar>
        <w:top w:w="0" w:type="dxa"/>
        <w:left w:w="0" w:type="dxa"/>
        <w:bottom w:w="0" w:type="dxa"/>
        <w:right w:w="0" w:type="dxa"/>
      </w:tblCellMar>
    </w:tblPr>
  </w:style>
  <w:style w:type="table" w:customStyle="1" w:styleId="181">
    <w:name w:val="清单表 1 浅色1"/>
    <w:autoRedefine/>
    <w:qFormat/>
    <w:uiPriority w:val="99"/>
    <w:tblPr>
      <w:tblCellMar>
        <w:top w:w="0" w:type="dxa"/>
        <w:left w:w="0" w:type="dxa"/>
        <w:bottom w:w="0" w:type="dxa"/>
        <w:right w:w="0" w:type="dxa"/>
      </w:tblCellMar>
    </w:tblPr>
  </w:style>
  <w:style w:type="table" w:customStyle="1" w:styleId="182">
    <w:name w:val="List Table 1 Light - Accent 1"/>
    <w:autoRedefine/>
    <w:qFormat/>
    <w:uiPriority w:val="99"/>
    <w:tblPr>
      <w:tblCellMar>
        <w:top w:w="0" w:type="dxa"/>
        <w:left w:w="0" w:type="dxa"/>
        <w:bottom w:w="0" w:type="dxa"/>
        <w:right w:w="0" w:type="dxa"/>
      </w:tblCellMar>
    </w:tblPr>
  </w:style>
  <w:style w:type="table" w:customStyle="1" w:styleId="183">
    <w:name w:val="List Table 1 Light - Accent 2"/>
    <w:autoRedefine/>
    <w:qFormat/>
    <w:uiPriority w:val="99"/>
    <w:tblPr>
      <w:tblCellMar>
        <w:top w:w="0" w:type="dxa"/>
        <w:left w:w="0" w:type="dxa"/>
        <w:bottom w:w="0" w:type="dxa"/>
        <w:right w:w="0" w:type="dxa"/>
      </w:tblCellMar>
    </w:tblPr>
  </w:style>
  <w:style w:type="table" w:customStyle="1" w:styleId="184">
    <w:name w:val="List Table 1 Light - Accent 3"/>
    <w:autoRedefine/>
    <w:qFormat/>
    <w:uiPriority w:val="99"/>
    <w:tblPr>
      <w:tblCellMar>
        <w:top w:w="0" w:type="dxa"/>
        <w:left w:w="0" w:type="dxa"/>
        <w:bottom w:w="0" w:type="dxa"/>
        <w:right w:w="0" w:type="dxa"/>
      </w:tblCellMar>
    </w:tblPr>
  </w:style>
  <w:style w:type="table" w:customStyle="1" w:styleId="185">
    <w:name w:val="List Table 1 Light - Accent 4"/>
    <w:autoRedefine/>
    <w:qFormat/>
    <w:uiPriority w:val="99"/>
    <w:tblPr>
      <w:tblCellMar>
        <w:top w:w="0" w:type="dxa"/>
        <w:left w:w="0" w:type="dxa"/>
        <w:bottom w:w="0" w:type="dxa"/>
        <w:right w:w="0" w:type="dxa"/>
      </w:tblCellMar>
    </w:tblPr>
  </w:style>
  <w:style w:type="table" w:customStyle="1" w:styleId="186">
    <w:name w:val="List Table 1 Light - Accent 5"/>
    <w:autoRedefine/>
    <w:qFormat/>
    <w:uiPriority w:val="99"/>
    <w:tblPr>
      <w:tblCellMar>
        <w:top w:w="0" w:type="dxa"/>
        <w:left w:w="0" w:type="dxa"/>
        <w:bottom w:w="0" w:type="dxa"/>
        <w:right w:w="0" w:type="dxa"/>
      </w:tblCellMar>
    </w:tblPr>
  </w:style>
  <w:style w:type="table" w:customStyle="1" w:styleId="187">
    <w:name w:val="List Table 1 Light - Accent 6"/>
    <w:autoRedefine/>
    <w:qFormat/>
    <w:uiPriority w:val="99"/>
    <w:tblPr>
      <w:tblCellMar>
        <w:top w:w="0" w:type="dxa"/>
        <w:left w:w="0" w:type="dxa"/>
        <w:bottom w:w="0" w:type="dxa"/>
        <w:right w:w="0" w:type="dxa"/>
      </w:tblCellMar>
    </w:tblPr>
  </w:style>
  <w:style w:type="table" w:customStyle="1" w:styleId="188">
    <w:name w:val="清单表 21"/>
    <w:autoRedefine/>
    <w:qFormat/>
    <w:uiPriority w:val="99"/>
    <w:tblPr>
      <w:tblCellMar>
        <w:top w:w="0" w:type="dxa"/>
        <w:left w:w="0" w:type="dxa"/>
        <w:bottom w:w="0" w:type="dxa"/>
        <w:right w:w="0" w:type="dxa"/>
      </w:tblCellMar>
    </w:tblPr>
  </w:style>
  <w:style w:type="table" w:customStyle="1" w:styleId="189">
    <w:name w:val="List Table 2 - Accent 1"/>
    <w:autoRedefine/>
    <w:qFormat/>
    <w:uiPriority w:val="99"/>
    <w:tblPr>
      <w:tblCellMar>
        <w:top w:w="0" w:type="dxa"/>
        <w:left w:w="0" w:type="dxa"/>
        <w:bottom w:w="0" w:type="dxa"/>
        <w:right w:w="0" w:type="dxa"/>
      </w:tblCellMar>
    </w:tblPr>
  </w:style>
  <w:style w:type="table" w:customStyle="1" w:styleId="190">
    <w:name w:val="List Table 2 - Accent 2"/>
    <w:autoRedefine/>
    <w:qFormat/>
    <w:uiPriority w:val="99"/>
    <w:tblPr>
      <w:tblCellMar>
        <w:top w:w="0" w:type="dxa"/>
        <w:left w:w="0" w:type="dxa"/>
        <w:bottom w:w="0" w:type="dxa"/>
        <w:right w:w="0" w:type="dxa"/>
      </w:tblCellMar>
    </w:tblPr>
  </w:style>
  <w:style w:type="table" w:customStyle="1" w:styleId="191">
    <w:name w:val="List Table 2 - Accent 3"/>
    <w:autoRedefine/>
    <w:qFormat/>
    <w:uiPriority w:val="99"/>
    <w:tblPr>
      <w:tblCellMar>
        <w:top w:w="0" w:type="dxa"/>
        <w:left w:w="0" w:type="dxa"/>
        <w:bottom w:w="0" w:type="dxa"/>
        <w:right w:w="0" w:type="dxa"/>
      </w:tblCellMar>
    </w:tblPr>
  </w:style>
  <w:style w:type="table" w:customStyle="1" w:styleId="192">
    <w:name w:val="List Table 2 - Accent 4"/>
    <w:autoRedefine/>
    <w:qFormat/>
    <w:uiPriority w:val="99"/>
    <w:tblPr>
      <w:tblCellMar>
        <w:top w:w="0" w:type="dxa"/>
        <w:left w:w="0" w:type="dxa"/>
        <w:bottom w:w="0" w:type="dxa"/>
        <w:right w:w="0" w:type="dxa"/>
      </w:tblCellMar>
    </w:tblPr>
  </w:style>
  <w:style w:type="table" w:customStyle="1" w:styleId="193">
    <w:name w:val="List Table 2 - Accent 5"/>
    <w:qFormat/>
    <w:uiPriority w:val="99"/>
    <w:tblPr>
      <w:tblCellMar>
        <w:top w:w="0" w:type="dxa"/>
        <w:left w:w="0" w:type="dxa"/>
        <w:bottom w:w="0" w:type="dxa"/>
        <w:right w:w="0" w:type="dxa"/>
      </w:tblCellMar>
    </w:tblPr>
  </w:style>
  <w:style w:type="table" w:customStyle="1" w:styleId="194">
    <w:name w:val="List Table 2 - Accent 6"/>
    <w:autoRedefine/>
    <w:qFormat/>
    <w:uiPriority w:val="99"/>
    <w:tblPr>
      <w:tblCellMar>
        <w:top w:w="0" w:type="dxa"/>
        <w:left w:w="0" w:type="dxa"/>
        <w:bottom w:w="0" w:type="dxa"/>
        <w:right w:w="0" w:type="dxa"/>
      </w:tblCellMar>
    </w:tblPr>
  </w:style>
  <w:style w:type="table" w:customStyle="1" w:styleId="195">
    <w:name w:val="清单表 31"/>
    <w:qFormat/>
    <w:uiPriority w:val="99"/>
    <w:tblPr>
      <w:tblCellMar>
        <w:top w:w="0" w:type="dxa"/>
        <w:left w:w="0" w:type="dxa"/>
        <w:bottom w:w="0" w:type="dxa"/>
        <w:right w:w="0" w:type="dxa"/>
      </w:tblCellMar>
    </w:tblPr>
  </w:style>
  <w:style w:type="table" w:customStyle="1" w:styleId="196">
    <w:name w:val="List Table 3 - Accent 1"/>
    <w:qFormat/>
    <w:uiPriority w:val="99"/>
    <w:tblPr>
      <w:tblCellMar>
        <w:top w:w="0" w:type="dxa"/>
        <w:left w:w="0" w:type="dxa"/>
        <w:bottom w:w="0" w:type="dxa"/>
        <w:right w:w="0" w:type="dxa"/>
      </w:tblCellMar>
    </w:tblPr>
  </w:style>
  <w:style w:type="table" w:customStyle="1" w:styleId="197">
    <w:name w:val="List Table 3 - Accent 2"/>
    <w:qFormat/>
    <w:uiPriority w:val="99"/>
    <w:tblPr>
      <w:tblCellMar>
        <w:top w:w="0" w:type="dxa"/>
        <w:left w:w="0" w:type="dxa"/>
        <w:bottom w:w="0" w:type="dxa"/>
        <w:right w:w="0" w:type="dxa"/>
      </w:tblCellMar>
    </w:tblPr>
  </w:style>
  <w:style w:type="table" w:customStyle="1" w:styleId="198">
    <w:name w:val="List Table 3 - Accent 3"/>
    <w:autoRedefine/>
    <w:qFormat/>
    <w:uiPriority w:val="99"/>
    <w:tblPr>
      <w:tblCellMar>
        <w:top w:w="0" w:type="dxa"/>
        <w:left w:w="0" w:type="dxa"/>
        <w:bottom w:w="0" w:type="dxa"/>
        <w:right w:w="0" w:type="dxa"/>
      </w:tblCellMar>
    </w:tblPr>
  </w:style>
  <w:style w:type="table" w:customStyle="1" w:styleId="199">
    <w:name w:val="List Table 3 - Accent 4"/>
    <w:qFormat/>
    <w:uiPriority w:val="99"/>
    <w:tblPr>
      <w:tblCellMar>
        <w:top w:w="0" w:type="dxa"/>
        <w:left w:w="0" w:type="dxa"/>
        <w:bottom w:w="0" w:type="dxa"/>
        <w:right w:w="0" w:type="dxa"/>
      </w:tblCellMar>
    </w:tblPr>
  </w:style>
  <w:style w:type="table" w:customStyle="1" w:styleId="200">
    <w:name w:val="List Table 3 - Accent 5"/>
    <w:autoRedefine/>
    <w:qFormat/>
    <w:uiPriority w:val="99"/>
    <w:tblPr>
      <w:tblCellMar>
        <w:top w:w="0" w:type="dxa"/>
        <w:left w:w="0" w:type="dxa"/>
        <w:bottom w:w="0" w:type="dxa"/>
        <w:right w:w="0" w:type="dxa"/>
      </w:tblCellMar>
    </w:tblPr>
  </w:style>
  <w:style w:type="table" w:customStyle="1" w:styleId="201">
    <w:name w:val="List Table 3 - Accent 6"/>
    <w:qFormat/>
    <w:uiPriority w:val="99"/>
    <w:tblPr>
      <w:tblCellMar>
        <w:top w:w="0" w:type="dxa"/>
        <w:left w:w="0" w:type="dxa"/>
        <w:bottom w:w="0" w:type="dxa"/>
        <w:right w:w="0" w:type="dxa"/>
      </w:tblCellMar>
    </w:tblPr>
  </w:style>
  <w:style w:type="table" w:customStyle="1" w:styleId="202">
    <w:name w:val="清单表 41"/>
    <w:autoRedefine/>
    <w:qFormat/>
    <w:uiPriority w:val="99"/>
    <w:tblPr>
      <w:tblCellMar>
        <w:top w:w="0" w:type="dxa"/>
        <w:left w:w="0" w:type="dxa"/>
        <w:bottom w:w="0" w:type="dxa"/>
        <w:right w:w="0" w:type="dxa"/>
      </w:tblCellMar>
    </w:tblPr>
  </w:style>
  <w:style w:type="table" w:customStyle="1" w:styleId="203">
    <w:name w:val="List Table 4 - Accent 1"/>
    <w:qFormat/>
    <w:uiPriority w:val="99"/>
    <w:tblPr>
      <w:tblCellMar>
        <w:top w:w="0" w:type="dxa"/>
        <w:left w:w="0" w:type="dxa"/>
        <w:bottom w:w="0" w:type="dxa"/>
        <w:right w:w="0" w:type="dxa"/>
      </w:tblCellMar>
    </w:tblPr>
  </w:style>
  <w:style w:type="table" w:customStyle="1" w:styleId="204">
    <w:name w:val="List Table 4 - Accent 2"/>
    <w:qFormat/>
    <w:uiPriority w:val="99"/>
    <w:tblPr>
      <w:tblCellMar>
        <w:top w:w="0" w:type="dxa"/>
        <w:left w:w="0" w:type="dxa"/>
        <w:bottom w:w="0" w:type="dxa"/>
        <w:right w:w="0" w:type="dxa"/>
      </w:tblCellMar>
    </w:tblPr>
  </w:style>
  <w:style w:type="table" w:customStyle="1" w:styleId="205">
    <w:name w:val="List Table 4 - Accent 3"/>
    <w:autoRedefine/>
    <w:qFormat/>
    <w:uiPriority w:val="99"/>
    <w:tblPr>
      <w:tblCellMar>
        <w:top w:w="0" w:type="dxa"/>
        <w:left w:w="0" w:type="dxa"/>
        <w:bottom w:w="0" w:type="dxa"/>
        <w:right w:w="0" w:type="dxa"/>
      </w:tblCellMar>
    </w:tblPr>
  </w:style>
  <w:style w:type="table" w:customStyle="1" w:styleId="206">
    <w:name w:val="List Table 4 - Accent 4"/>
    <w:autoRedefine/>
    <w:qFormat/>
    <w:uiPriority w:val="99"/>
    <w:tblPr>
      <w:tblCellMar>
        <w:top w:w="0" w:type="dxa"/>
        <w:left w:w="0" w:type="dxa"/>
        <w:bottom w:w="0" w:type="dxa"/>
        <w:right w:w="0" w:type="dxa"/>
      </w:tblCellMar>
    </w:tblPr>
  </w:style>
  <w:style w:type="table" w:customStyle="1" w:styleId="207">
    <w:name w:val="List Table 4 - Accent 5"/>
    <w:qFormat/>
    <w:uiPriority w:val="99"/>
    <w:tblPr>
      <w:tblCellMar>
        <w:top w:w="0" w:type="dxa"/>
        <w:left w:w="0" w:type="dxa"/>
        <w:bottom w:w="0" w:type="dxa"/>
        <w:right w:w="0" w:type="dxa"/>
      </w:tblCellMar>
    </w:tblPr>
  </w:style>
  <w:style w:type="table" w:customStyle="1" w:styleId="208">
    <w:name w:val="List Table 4 - Accent 6"/>
    <w:autoRedefine/>
    <w:qFormat/>
    <w:uiPriority w:val="99"/>
    <w:tblPr>
      <w:tblCellMar>
        <w:top w:w="0" w:type="dxa"/>
        <w:left w:w="0" w:type="dxa"/>
        <w:bottom w:w="0" w:type="dxa"/>
        <w:right w:w="0" w:type="dxa"/>
      </w:tblCellMar>
    </w:tblPr>
  </w:style>
  <w:style w:type="table" w:customStyle="1" w:styleId="209">
    <w:name w:val="清单表 5 深色1"/>
    <w:autoRedefine/>
    <w:qFormat/>
    <w:uiPriority w:val="99"/>
    <w:tblPr>
      <w:tblCellMar>
        <w:top w:w="0" w:type="dxa"/>
        <w:left w:w="0" w:type="dxa"/>
        <w:bottom w:w="0" w:type="dxa"/>
        <w:right w:w="0" w:type="dxa"/>
      </w:tblCellMar>
    </w:tblPr>
  </w:style>
  <w:style w:type="table" w:customStyle="1" w:styleId="210">
    <w:name w:val="List Table 5 Dark - Accent 1"/>
    <w:autoRedefine/>
    <w:qFormat/>
    <w:uiPriority w:val="99"/>
    <w:tblPr>
      <w:tblCellMar>
        <w:top w:w="0" w:type="dxa"/>
        <w:left w:w="0" w:type="dxa"/>
        <w:bottom w:w="0" w:type="dxa"/>
        <w:right w:w="0" w:type="dxa"/>
      </w:tblCellMar>
    </w:tblPr>
  </w:style>
  <w:style w:type="table" w:customStyle="1" w:styleId="211">
    <w:name w:val="List Table 5 Dark - Accent 2"/>
    <w:autoRedefine/>
    <w:qFormat/>
    <w:uiPriority w:val="99"/>
    <w:tblPr>
      <w:tblCellMar>
        <w:top w:w="0" w:type="dxa"/>
        <w:left w:w="0" w:type="dxa"/>
        <w:bottom w:w="0" w:type="dxa"/>
        <w:right w:w="0" w:type="dxa"/>
      </w:tblCellMar>
    </w:tblPr>
  </w:style>
  <w:style w:type="table" w:customStyle="1" w:styleId="212">
    <w:name w:val="List Table 5 Dark - Accent 3"/>
    <w:autoRedefine/>
    <w:qFormat/>
    <w:uiPriority w:val="99"/>
    <w:tblPr>
      <w:tblCellMar>
        <w:top w:w="0" w:type="dxa"/>
        <w:left w:w="0" w:type="dxa"/>
        <w:bottom w:w="0" w:type="dxa"/>
        <w:right w:w="0" w:type="dxa"/>
      </w:tblCellMar>
    </w:tblPr>
  </w:style>
  <w:style w:type="table" w:customStyle="1" w:styleId="213">
    <w:name w:val="List Table 5 Dark - Accent 4"/>
    <w:autoRedefine/>
    <w:qFormat/>
    <w:uiPriority w:val="99"/>
    <w:tblPr>
      <w:tblCellMar>
        <w:top w:w="0" w:type="dxa"/>
        <w:left w:w="0" w:type="dxa"/>
        <w:bottom w:w="0" w:type="dxa"/>
        <w:right w:w="0" w:type="dxa"/>
      </w:tblCellMar>
    </w:tblPr>
  </w:style>
  <w:style w:type="table" w:customStyle="1" w:styleId="214">
    <w:name w:val="List Table 5 Dark - Accent 5"/>
    <w:autoRedefine/>
    <w:qFormat/>
    <w:uiPriority w:val="99"/>
    <w:tblPr>
      <w:tblCellMar>
        <w:top w:w="0" w:type="dxa"/>
        <w:left w:w="0" w:type="dxa"/>
        <w:bottom w:w="0" w:type="dxa"/>
        <w:right w:w="0" w:type="dxa"/>
      </w:tblCellMar>
    </w:tblPr>
  </w:style>
  <w:style w:type="table" w:customStyle="1" w:styleId="215">
    <w:name w:val="List Table 5 Dark - Accent 6"/>
    <w:qFormat/>
    <w:uiPriority w:val="99"/>
    <w:tblPr>
      <w:tblCellMar>
        <w:top w:w="0" w:type="dxa"/>
        <w:left w:w="0" w:type="dxa"/>
        <w:bottom w:w="0" w:type="dxa"/>
        <w:right w:w="0" w:type="dxa"/>
      </w:tblCellMar>
    </w:tblPr>
  </w:style>
  <w:style w:type="table" w:customStyle="1" w:styleId="216">
    <w:name w:val="清单表 6 彩色1"/>
    <w:autoRedefine/>
    <w:qFormat/>
    <w:uiPriority w:val="99"/>
    <w:tblPr>
      <w:tblCellMar>
        <w:top w:w="0" w:type="dxa"/>
        <w:left w:w="0" w:type="dxa"/>
        <w:bottom w:w="0" w:type="dxa"/>
        <w:right w:w="0" w:type="dxa"/>
      </w:tblCellMar>
    </w:tblPr>
  </w:style>
  <w:style w:type="table" w:customStyle="1" w:styleId="217">
    <w:name w:val="List Table 6 Colorful - Accent 1"/>
    <w:qFormat/>
    <w:uiPriority w:val="99"/>
    <w:tblPr>
      <w:tblCellMar>
        <w:top w:w="0" w:type="dxa"/>
        <w:left w:w="0" w:type="dxa"/>
        <w:bottom w:w="0" w:type="dxa"/>
        <w:right w:w="0" w:type="dxa"/>
      </w:tblCellMar>
    </w:tblPr>
  </w:style>
  <w:style w:type="table" w:customStyle="1" w:styleId="218">
    <w:name w:val="List Table 6 Colorful - Accent 2"/>
    <w:qFormat/>
    <w:uiPriority w:val="99"/>
    <w:tblPr>
      <w:tblCellMar>
        <w:top w:w="0" w:type="dxa"/>
        <w:left w:w="0" w:type="dxa"/>
        <w:bottom w:w="0" w:type="dxa"/>
        <w:right w:w="0" w:type="dxa"/>
      </w:tblCellMar>
    </w:tblPr>
  </w:style>
  <w:style w:type="table" w:customStyle="1" w:styleId="219">
    <w:name w:val="List Table 6 Colorful - Accent 3"/>
    <w:qFormat/>
    <w:uiPriority w:val="99"/>
    <w:tblPr>
      <w:tblCellMar>
        <w:top w:w="0" w:type="dxa"/>
        <w:left w:w="0" w:type="dxa"/>
        <w:bottom w:w="0" w:type="dxa"/>
        <w:right w:w="0" w:type="dxa"/>
      </w:tblCellMar>
    </w:tblPr>
  </w:style>
  <w:style w:type="table" w:customStyle="1" w:styleId="220">
    <w:name w:val="List Table 6 Colorful - Accent 4"/>
    <w:autoRedefine/>
    <w:qFormat/>
    <w:uiPriority w:val="99"/>
    <w:tblPr>
      <w:tblCellMar>
        <w:top w:w="0" w:type="dxa"/>
        <w:left w:w="0" w:type="dxa"/>
        <w:bottom w:w="0" w:type="dxa"/>
        <w:right w:w="0" w:type="dxa"/>
      </w:tblCellMar>
    </w:tblPr>
  </w:style>
  <w:style w:type="table" w:customStyle="1" w:styleId="221">
    <w:name w:val="List Table 6 Colorful - Accent 5"/>
    <w:qFormat/>
    <w:uiPriority w:val="99"/>
    <w:tblPr>
      <w:tblCellMar>
        <w:top w:w="0" w:type="dxa"/>
        <w:left w:w="0" w:type="dxa"/>
        <w:bottom w:w="0" w:type="dxa"/>
        <w:right w:w="0" w:type="dxa"/>
      </w:tblCellMar>
    </w:tblPr>
  </w:style>
  <w:style w:type="table" w:customStyle="1" w:styleId="222">
    <w:name w:val="List Table 6 Colorful - Accent 6"/>
    <w:autoRedefine/>
    <w:qFormat/>
    <w:uiPriority w:val="99"/>
    <w:tblPr>
      <w:tblCellMar>
        <w:top w:w="0" w:type="dxa"/>
        <w:left w:w="0" w:type="dxa"/>
        <w:bottom w:w="0" w:type="dxa"/>
        <w:right w:w="0" w:type="dxa"/>
      </w:tblCellMar>
    </w:tblPr>
  </w:style>
  <w:style w:type="table" w:customStyle="1" w:styleId="223">
    <w:name w:val="清单表 7 彩色1"/>
    <w:autoRedefine/>
    <w:qFormat/>
    <w:uiPriority w:val="99"/>
    <w:tblPr>
      <w:tblCellMar>
        <w:top w:w="0" w:type="dxa"/>
        <w:left w:w="0" w:type="dxa"/>
        <w:bottom w:w="0" w:type="dxa"/>
        <w:right w:w="0" w:type="dxa"/>
      </w:tblCellMar>
    </w:tblPr>
  </w:style>
  <w:style w:type="table" w:customStyle="1" w:styleId="224">
    <w:name w:val="List Table 7 Colorful - Accent 1"/>
    <w:autoRedefine/>
    <w:qFormat/>
    <w:uiPriority w:val="99"/>
    <w:tblPr>
      <w:tblCellMar>
        <w:top w:w="0" w:type="dxa"/>
        <w:left w:w="0" w:type="dxa"/>
        <w:bottom w:w="0" w:type="dxa"/>
        <w:right w:w="0" w:type="dxa"/>
      </w:tblCellMar>
    </w:tblPr>
  </w:style>
  <w:style w:type="table" w:customStyle="1" w:styleId="225">
    <w:name w:val="List Table 7 Colorful - Accent 2"/>
    <w:qFormat/>
    <w:uiPriority w:val="99"/>
    <w:tblPr>
      <w:tblCellMar>
        <w:top w:w="0" w:type="dxa"/>
        <w:left w:w="0" w:type="dxa"/>
        <w:bottom w:w="0" w:type="dxa"/>
        <w:right w:w="0" w:type="dxa"/>
      </w:tblCellMar>
    </w:tblPr>
  </w:style>
  <w:style w:type="table" w:customStyle="1" w:styleId="226">
    <w:name w:val="List Table 7 Colorful - Accent 3"/>
    <w:autoRedefine/>
    <w:qFormat/>
    <w:uiPriority w:val="99"/>
    <w:tblPr>
      <w:tblCellMar>
        <w:top w:w="0" w:type="dxa"/>
        <w:left w:w="0" w:type="dxa"/>
        <w:bottom w:w="0" w:type="dxa"/>
        <w:right w:w="0" w:type="dxa"/>
      </w:tblCellMar>
    </w:tblPr>
  </w:style>
  <w:style w:type="table" w:customStyle="1" w:styleId="227">
    <w:name w:val="List Table 7 Colorful - Accent 4"/>
    <w:autoRedefine/>
    <w:qFormat/>
    <w:uiPriority w:val="99"/>
    <w:tblPr>
      <w:tblCellMar>
        <w:top w:w="0" w:type="dxa"/>
        <w:left w:w="0" w:type="dxa"/>
        <w:bottom w:w="0" w:type="dxa"/>
        <w:right w:w="0" w:type="dxa"/>
      </w:tblCellMar>
    </w:tblPr>
  </w:style>
  <w:style w:type="table" w:customStyle="1" w:styleId="228">
    <w:name w:val="List Table 7 Colorful - Accent 5"/>
    <w:autoRedefine/>
    <w:qFormat/>
    <w:uiPriority w:val="99"/>
    <w:tblPr>
      <w:tblCellMar>
        <w:top w:w="0" w:type="dxa"/>
        <w:left w:w="0" w:type="dxa"/>
        <w:bottom w:w="0" w:type="dxa"/>
        <w:right w:w="0" w:type="dxa"/>
      </w:tblCellMar>
    </w:tblPr>
  </w:style>
  <w:style w:type="table" w:customStyle="1" w:styleId="229">
    <w:name w:val="List Table 7 Colorful - Accent 6"/>
    <w:qFormat/>
    <w:uiPriority w:val="99"/>
    <w:tblPr>
      <w:tblCellMar>
        <w:top w:w="0" w:type="dxa"/>
        <w:left w:w="0" w:type="dxa"/>
        <w:bottom w:w="0" w:type="dxa"/>
        <w:right w:w="0" w:type="dxa"/>
      </w:tblCellMar>
    </w:tblPr>
  </w:style>
  <w:style w:type="table" w:customStyle="1" w:styleId="230">
    <w:name w:val="Lined - Accent"/>
    <w:autoRedefine/>
    <w:qFormat/>
    <w:uiPriority w:val="99"/>
    <w:rPr>
      <w:color w:val="404040"/>
    </w:rPr>
    <w:tblPr>
      <w:tblCellMar>
        <w:top w:w="0" w:type="dxa"/>
        <w:left w:w="0" w:type="dxa"/>
        <w:bottom w:w="0" w:type="dxa"/>
        <w:right w:w="0" w:type="dxa"/>
      </w:tblCellMar>
    </w:tblPr>
  </w:style>
  <w:style w:type="table" w:customStyle="1" w:styleId="231">
    <w:name w:val="Lined - Accent 1"/>
    <w:qFormat/>
    <w:uiPriority w:val="99"/>
    <w:rPr>
      <w:color w:val="404040"/>
    </w:rPr>
    <w:tblPr>
      <w:tblCellMar>
        <w:top w:w="0" w:type="dxa"/>
        <w:left w:w="0" w:type="dxa"/>
        <w:bottom w:w="0" w:type="dxa"/>
        <w:right w:w="0" w:type="dxa"/>
      </w:tblCellMar>
    </w:tblPr>
  </w:style>
  <w:style w:type="table" w:customStyle="1" w:styleId="232">
    <w:name w:val="Lined - Accent 2"/>
    <w:autoRedefine/>
    <w:qFormat/>
    <w:uiPriority w:val="99"/>
    <w:rPr>
      <w:color w:val="404040"/>
    </w:rPr>
    <w:tblPr>
      <w:tblCellMar>
        <w:top w:w="0" w:type="dxa"/>
        <w:left w:w="0" w:type="dxa"/>
        <w:bottom w:w="0" w:type="dxa"/>
        <w:right w:w="0" w:type="dxa"/>
      </w:tblCellMar>
    </w:tblPr>
  </w:style>
  <w:style w:type="table" w:customStyle="1" w:styleId="233">
    <w:name w:val="Lined - Accent 3"/>
    <w:qFormat/>
    <w:uiPriority w:val="99"/>
    <w:rPr>
      <w:color w:val="404040"/>
    </w:rPr>
    <w:tblPr>
      <w:tblCellMar>
        <w:top w:w="0" w:type="dxa"/>
        <w:left w:w="0" w:type="dxa"/>
        <w:bottom w:w="0" w:type="dxa"/>
        <w:right w:w="0" w:type="dxa"/>
      </w:tblCellMar>
    </w:tblPr>
  </w:style>
  <w:style w:type="table" w:customStyle="1" w:styleId="234">
    <w:name w:val="Lined - Accent 4"/>
    <w:autoRedefine/>
    <w:qFormat/>
    <w:uiPriority w:val="99"/>
    <w:rPr>
      <w:color w:val="404040"/>
    </w:rPr>
    <w:tblPr>
      <w:tblCellMar>
        <w:top w:w="0" w:type="dxa"/>
        <w:left w:w="0" w:type="dxa"/>
        <w:bottom w:w="0" w:type="dxa"/>
        <w:right w:w="0" w:type="dxa"/>
      </w:tblCellMar>
    </w:tblPr>
  </w:style>
  <w:style w:type="table" w:customStyle="1" w:styleId="235">
    <w:name w:val="Lined - Accent 5"/>
    <w:qFormat/>
    <w:uiPriority w:val="99"/>
    <w:rPr>
      <w:color w:val="404040"/>
    </w:rPr>
    <w:tblPr>
      <w:tblCellMar>
        <w:top w:w="0" w:type="dxa"/>
        <w:left w:w="0" w:type="dxa"/>
        <w:bottom w:w="0" w:type="dxa"/>
        <w:right w:w="0" w:type="dxa"/>
      </w:tblCellMar>
    </w:tblPr>
  </w:style>
  <w:style w:type="table" w:customStyle="1" w:styleId="236">
    <w:name w:val="Lined - Accent 6"/>
    <w:autoRedefine/>
    <w:qFormat/>
    <w:uiPriority w:val="99"/>
    <w:rPr>
      <w:color w:val="404040"/>
    </w:rPr>
    <w:tblPr>
      <w:tblCellMar>
        <w:top w:w="0" w:type="dxa"/>
        <w:left w:w="0" w:type="dxa"/>
        <w:bottom w:w="0" w:type="dxa"/>
        <w:right w:w="0" w:type="dxa"/>
      </w:tblCellMar>
    </w:tblPr>
  </w:style>
  <w:style w:type="table" w:customStyle="1" w:styleId="237">
    <w:name w:val="Bordered &amp; Lined - Accent"/>
    <w:autoRedefine/>
    <w:qFormat/>
    <w:uiPriority w:val="99"/>
    <w:rPr>
      <w:color w:val="404040"/>
    </w:rPr>
    <w:tblPr>
      <w:tblCellMar>
        <w:top w:w="0" w:type="dxa"/>
        <w:left w:w="0" w:type="dxa"/>
        <w:bottom w:w="0" w:type="dxa"/>
        <w:right w:w="0" w:type="dxa"/>
      </w:tblCellMar>
    </w:tblPr>
  </w:style>
  <w:style w:type="table" w:customStyle="1" w:styleId="238">
    <w:name w:val="Bordered &amp; Lined - Accent 1"/>
    <w:autoRedefine/>
    <w:qFormat/>
    <w:uiPriority w:val="99"/>
    <w:rPr>
      <w:color w:val="404040"/>
    </w:rPr>
    <w:tblPr>
      <w:tblCellMar>
        <w:top w:w="0" w:type="dxa"/>
        <w:left w:w="0" w:type="dxa"/>
        <w:bottom w:w="0" w:type="dxa"/>
        <w:right w:w="0" w:type="dxa"/>
      </w:tblCellMar>
    </w:tblPr>
  </w:style>
  <w:style w:type="table" w:customStyle="1" w:styleId="239">
    <w:name w:val="Bordered &amp; Lined - Accent 2"/>
    <w:autoRedefine/>
    <w:qFormat/>
    <w:uiPriority w:val="99"/>
    <w:rPr>
      <w:color w:val="404040"/>
    </w:rPr>
    <w:tblPr>
      <w:tblCellMar>
        <w:top w:w="0" w:type="dxa"/>
        <w:left w:w="0" w:type="dxa"/>
        <w:bottom w:w="0" w:type="dxa"/>
        <w:right w:w="0" w:type="dxa"/>
      </w:tblCellMar>
    </w:tblPr>
  </w:style>
  <w:style w:type="table" w:customStyle="1" w:styleId="240">
    <w:name w:val="Bordered &amp; Lined - Accent 3"/>
    <w:autoRedefine/>
    <w:qFormat/>
    <w:uiPriority w:val="99"/>
    <w:rPr>
      <w:color w:val="404040"/>
    </w:rPr>
    <w:tblPr>
      <w:tblCellMar>
        <w:top w:w="0" w:type="dxa"/>
        <w:left w:w="0" w:type="dxa"/>
        <w:bottom w:w="0" w:type="dxa"/>
        <w:right w:w="0" w:type="dxa"/>
      </w:tblCellMar>
    </w:tblPr>
  </w:style>
  <w:style w:type="table" w:customStyle="1" w:styleId="241">
    <w:name w:val="Bordered &amp; Lined - Accent 4"/>
    <w:qFormat/>
    <w:uiPriority w:val="99"/>
    <w:rPr>
      <w:color w:val="404040"/>
    </w:rPr>
    <w:tblPr>
      <w:tblCellMar>
        <w:top w:w="0" w:type="dxa"/>
        <w:left w:w="0" w:type="dxa"/>
        <w:bottom w:w="0" w:type="dxa"/>
        <w:right w:w="0" w:type="dxa"/>
      </w:tblCellMar>
    </w:tblPr>
  </w:style>
  <w:style w:type="table" w:customStyle="1" w:styleId="242">
    <w:name w:val="Bordered &amp; Lined - Accent 5"/>
    <w:autoRedefine/>
    <w:qFormat/>
    <w:uiPriority w:val="99"/>
    <w:rPr>
      <w:color w:val="404040"/>
    </w:rPr>
    <w:tblPr>
      <w:tblCellMar>
        <w:top w:w="0" w:type="dxa"/>
        <w:left w:w="0" w:type="dxa"/>
        <w:bottom w:w="0" w:type="dxa"/>
        <w:right w:w="0" w:type="dxa"/>
      </w:tblCellMar>
    </w:tblPr>
  </w:style>
  <w:style w:type="table" w:customStyle="1" w:styleId="243">
    <w:name w:val="Bordered &amp; Lined - Accent 6"/>
    <w:autoRedefine/>
    <w:qFormat/>
    <w:uiPriority w:val="99"/>
    <w:rPr>
      <w:color w:val="404040"/>
    </w:rPr>
    <w:tblPr>
      <w:tblCellMar>
        <w:top w:w="0" w:type="dxa"/>
        <w:left w:w="0" w:type="dxa"/>
        <w:bottom w:w="0" w:type="dxa"/>
        <w:right w:w="0" w:type="dxa"/>
      </w:tblCellMar>
    </w:tblPr>
  </w:style>
  <w:style w:type="table" w:customStyle="1" w:styleId="244">
    <w:name w:val="Bordered"/>
    <w:qFormat/>
    <w:uiPriority w:val="99"/>
    <w:tblPr>
      <w:tblCellMar>
        <w:top w:w="0" w:type="dxa"/>
        <w:left w:w="0" w:type="dxa"/>
        <w:bottom w:w="0" w:type="dxa"/>
        <w:right w:w="0" w:type="dxa"/>
      </w:tblCellMar>
    </w:tblPr>
  </w:style>
  <w:style w:type="table" w:customStyle="1" w:styleId="245">
    <w:name w:val="Bordered - Accent 1"/>
    <w:qFormat/>
    <w:uiPriority w:val="99"/>
    <w:tblPr>
      <w:tblCellMar>
        <w:top w:w="0" w:type="dxa"/>
        <w:left w:w="0" w:type="dxa"/>
        <w:bottom w:w="0" w:type="dxa"/>
        <w:right w:w="0" w:type="dxa"/>
      </w:tblCellMar>
    </w:tblPr>
  </w:style>
  <w:style w:type="table" w:customStyle="1" w:styleId="246">
    <w:name w:val="Bordered - Accent 2"/>
    <w:autoRedefine/>
    <w:qFormat/>
    <w:uiPriority w:val="99"/>
    <w:tblPr>
      <w:tblCellMar>
        <w:top w:w="0" w:type="dxa"/>
        <w:left w:w="0" w:type="dxa"/>
        <w:bottom w:w="0" w:type="dxa"/>
        <w:right w:w="0" w:type="dxa"/>
      </w:tblCellMar>
    </w:tblPr>
  </w:style>
  <w:style w:type="table" w:customStyle="1" w:styleId="247">
    <w:name w:val="Bordered - Accent 3"/>
    <w:autoRedefine/>
    <w:qFormat/>
    <w:uiPriority w:val="99"/>
    <w:tblPr>
      <w:tblCellMar>
        <w:top w:w="0" w:type="dxa"/>
        <w:left w:w="0" w:type="dxa"/>
        <w:bottom w:w="0" w:type="dxa"/>
        <w:right w:w="0" w:type="dxa"/>
      </w:tblCellMar>
    </w:tblPr>
  </w:style>
  <w:style w:type="table" w:customStyle="1" w:styleId="248">
    <w:name w:val="Bordered - Accent 4"/>
    <w:autoRedefine/>
    <w:qFormat/>
    <w:uiPriority w:val="99"/>
    <w:tblPr>
      <w:tblCellMar>
        <w:top w:w="0" w:type="dxa"/>
        <w:left w:w="0" w:type="dxa"/>
        <w:bottom w:w="0" w:type="dxa"/>
        <w:right w:w="0" w:type="dxa"/>
      </w:tblCellMar>
    </w:tblPr>
  </w:style>
  <w:style w:type="table" w:customStyle="1" w:styleId="249">
    <w:name w:val="Bordered - Accent 5"/>
    <w:autoRedefine/>
    <w:qFormat/>
    <w:uiPriority w:val="99"/>
    <w:tblPr>
      <w:tblCellMar>
        <w:top w:w="0" w:type="dxa"/>
        <w:left w:w="0" w:type="dxa"/>
        <w:bottom w:w="0" w:type="dxa"/>
        <w:right w:w="0" w:type="dxa"/>
      </w:tblCellMar>
    </w:tblPr>
  </w:style>
  <w:style w:type="table" w:customStyle="1" w:styleId="250">
    <w:name w:val="Bordered - Accent 6"/>
    <w:autoRedefine/>
    <w:qFormat/>
    <w:uiPriority w:val="99"/>
    <w:tblPr>
      <w:tblCellMar>
        <w:top w:w="0" w:type="dxa"/>
        <w:left w:w="0" w:type="dxa"/>
        <w:bottom w:w="0" w:type="dxa"/>
        <w:right w:w="0" w:type="dxa"/>
      </w:tblCellMar>
    </w:tblPr>
  </w:style>
  <w:style w:type="paragraph" w:customStyle="1" w:styleId="251">
    <w:name w:val="TOC 标题1"/>
    <w:autoRedefine/>
    <w:unhideWhenUsed/>
    <w:qFormat/>
    <w:uiPriority w:val="39"/>
    <w:rPr>
      <w:rFonts w:ascii="Times New Roman" w:hAnsi="Times New Roman" w:eastAsia="宋体" w:cs="Times New Roman"/>
      <w:lang w:val="en-US" w:eastAsia="zh-CN" w:bidi="ar-SA"/>
    </w:rPr>
  </w:style>
  <w:style w:type="paragraph" w:customStyle="1" w:styleId="252">
    <w:name w:val="标题 11"/>
    <w:basedOn w:val="1"/>
    <w:next w:val="1"/>
    <w:autoRedefine/>
    <w:qFormat/>
    <w:uiPriority w:val="0"/>
    <w:pPr>
      <w:keepNext/>
      <w:jc w:val="center"/>
      <w:outlineLvl w:val="0"/>
    </w:pPr>
    <w:rPr>
      <w:rFonts w:ascii="楷体_GB2312" w:eastAsia="楷体_GB2312"/>
      <w:sz w:val="28"/>
      <w:szCs w:val="28"/>
    </w:rPr>
  </w:style>
  <w:style w:type="paragraph" w:customStyle="1" w:styleId="253">
    <w:name w:val="标题 21"/>
    <w:basedOn w:val="1"/>
    <w:next w:val="254"/>
    <w:autoRedefine/>
    <w:qFormat/>
    <w:uiPriority w:val="0"/>
    <w:pPr>
      <w:keepNext/>
      <w:keepLines/>
      <w:spacing w:before="260" w:after="260" w:line="416" w:lineRule="auto"/>
      <w:jc w:val="center"/>
      <w:outlineLvl w:val="1"/>
    </w:pPr>
    <w:rPr>
      <w:rFonts w:ascii="Arial" w:hAnsi="Arial" w:eastAsia="幼圆" w:cs="Arial"/>
      <w:b/>
      <w:bCs/>
      <w:sz w:val="44"/>
      <w:szCs w:val="44"/>
    </w:rPr>
  </w:style>
  <w:style w:type="paragraph" w:customStyle="1" w:styleId="254">
    <w:name w:val="正文缩进1"/>
    <w:basedOn w:val="1"/>
    <w:link w:val="255"/>
    <w:autoRedefine/>
    <w:qFormat/>
    <w:uiPriority w:val="0"/>
    <w:pPr>
      <w:ind w:firstLine="420"/>
    </w:pPr>
    <w:rPr>
      <w:rFonts w:ascii="Calibri" w:hAnsi="Calibri"/>
      <w:lang w:eastAsia="en-US"/>
    </w:rPr>
  </w:style>
  <w:style w:type="character" w:customStyle="1" w:styleId="255">
    <w:name w:val="正文缩进 Char"/>
    <w:link w:val="254"/>
    <w:autoRedefine/>
    <w:qFormat/>
    <w:uiPriority w:val="0"/>
    <w:rPr>
      <w:sz w:val="21"/>
      <w:szCs w:val="21"/>
    </w:rPr>
  </w:style>
  <w:style w:type="paragraph" w:customStyle="1" w:styleId="256">
    <w:name w:val="标题 31"/>
    <w:basedOn w:val="1"/>
    <w:next w:val="254"/>
    <w:qFormat/>
    <w:uiPriority w:val="0"/>
    <w:pPr>
      <w:keepNext/>
      <w:keepLines/>
      <w:spacing w:before="260" w:after="260" w:line="416" w:lineRule="auto"/>
      <w:outlineLvl w:val="2"/>
    </w:pPr>
    <w:rPr>
      <w:b/>
      <w:bCs/>
      <w:sz w:val="32"/>
      <w:szCs w:val="32"/>
    </w:rPr>
  </w:style>
  <w:style w:type="paragraph" w:customStyle="1" w:styleId="257">
    <w:name w:val="标题 41"/>
    <w:basedOn w:val="1"/>
    <w:next w:val="254"/>
    <w:qFormat/>
    <w:uiPriority w:val="0"/>
    <w:pPr>
      <w:keepNext/>
      <w:keepLines/>
      <w:spacing w:before="280" w:after="290" w:line="376" w:lineRule="auto"/>
      <w:outlineLvl w:val="3"/>
    </w:pPr>
    <w:rPr>
      <w:rFonts w:ascii="Arial" w:hAnsi="Arial" w:eastAsia="黑体" w:cs="Arial"/>
      <w:b/>
      <w:bCs/>
      <w:sz w:val="28"/>
      <w:szCs w:val="28"/>
    </w:rPr>
  </w:style>
  <w:style w:type="paragraph" w:customStyle="1" w:styleId="258">
    <w:name w:val="标题 51"/>
    <w:basedOn w:val="1"/>
    <w:next w:val="254"/>
    <w:autoRedefine/>
    <w:qFormat/>
    <w:uiPriority w:val="0"/>
    <w:pPr>
      <w:keepNext/>
      <w:outlineLvl w:val="4"/>
    </w:pPr>
    <w:rPr>
      <w:rFonts w:ascii="宋体"/>
      <w:color w:val="000000"/>
      <w:sz w:val="28"/>
      <w:szCs w:val="28"/>
    </w:rPr>
  </w:style>
  <w:style w:type="paragraph" w:customStyle="1" w:styleId="259">
    <w:name w:val="标题 61"/>
    <w:basedOn w:val="1"/>
    <w:next w:val="1"/>
    <w:autoRedefine/>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customStyle="1" w:styleId="260">
    <w:name w:val="标题 71"/>
    <w:basedOn w:val="1"/>
    <w:next w:val="1"/>
    <w:qFormat/>
    <w:uiPriority w:val="0"/>
    <w:pPr>
      <w:keepNext/>
      <w:keepLines/>
      <w:numPr>
        <w:ilvl w:val="6"/>
        <w:numId w:val="1"/>
      </w:numPr>
      <w:spacing w:before="240" w:after="64" w:line="320" w:lineRule="auto"/>
      <w:outlineLvl w:val="6"/>
    </w:pPr>
    <w:rPr>
      <w:b/>
      <w:bCs/>
      <w:sz w:val="24"/>
      <w:szCs w:val="24"/>
    </w:rPr>
  </w:style>
  <w:style w:type="paragraph" w:customStyle="1" w:styleId="261">
    <w:name w:val="标题 81"/>
    <w:basedOn w:val="1"/>
    <w:next w:val="1"/>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customStyle="1" w:styleId="262">
    <w:name w:val="标题 91"/>
    <w:basedOn w:val="1"/>
    <w:next w:val="1"/>
    <w:autoRedefine/>
    <w:qFormat/>
    <w:uiPriority w:val="0"/>
    <w:pPr>
      <w:keepNext/>
      <w:keepLines/>
      <w:numPr>
        <w:ilvl w:val="8"/>
        <w:numId w:val="1"/>
      </w:numPr>
      <w:spacing w:before="240" w:after="64" w:line="320" w:lineRule="auto"/>
      <w:outlineLvl w:val="8"/>
    </w:pPr>
    <w:rPr>
      <w:rFonts w:ascii="Arial" w:hAnsi="Arial" w:eastAsia="黑体"/>
    </w:rPr>
  </w:style>
  <w:style w:type="table" w:customStyle="1" w:styleId="263">
    <w:name w:val="普通表格1"/>
    <w:semiHidden/>
    <w:qFormat/>
    <w:uiPriority w:val="0"/>
    <w:tblPr>
      <w:tblCellMar>
        <w:top w:w="0" w:type="dxa"/>
        <w:left w:w="0" w:type="dxa"/>
        <w:bottom w:w="0" w:type="dxa"/>
        <w:right w:w="0" w:type="dxa"/>
      </w:tblCellMar>
    </w:tblPr>
  </w:style>
  <w:style w:type="paragraph" w:customStyle="1" w:styleId="264">
    <w:name w:val="列表 31"/>
    <w:basedOn w:val="1"/>
    <w:qFormat/>
    <w:uiPriority w:val="0"/>
    <w:pPr>
      <w:ind w:left="100" w:hanging="200"/>
    </w:pPr>
  </w:style>
  <w:style w:type="paragraph" w:customStyle="1" w:styleId="265">
    <w:name w:val="目录 71"/>
    <w:basedOn w:val="1"/>
    <w:next w:val="1"/>
    <w:semiHidden/>
    <w:qFormat/>
    <w:uiPriority w:val="0"/>
    <w:pPr>
      <w:ind w:left="1260"/>
      <w:jc w:val="left"/>
    </w:pPr>
  </w:style>
  <w:style w:type="paragraph" w:customStyle="1" w:styleId="266">
    <w:name w:val="文档结构图1"/>
    <w:basedOn w:val="1"/>
    <w:semiHidden/>
    <w:qFormat/>
    <w:uiPriority w:val="0"/>
    <w:pPr>
      <w:shd w:val="clear" w:color="auto" w:fill="000080"/>
    </w:pPr>
  </w:style>
  <w:style w:type="paragraph" w:customStyle="1" w:styleId="267">
    <w:name w:val="批注文字1"/>
    <w:basedOn w:val="1"/>
    <w:semiHidden/>
    <w:qFormat/>
    <w:uiPriority w:val="0"/>
    <w:pPr>
      <w:jc w:val="left"/>
    </w:pPr>
  </w:style>
  <w:style w:type="paragraph" w:customStyle="1" w:styleId="268">
    <w:name w:val="正文文本 31"/>
    <w:basedOn w:val="1"/>
    <w:qFormat/>
    <w:uiPriority w:val="0"/>
    <w:rPr>
      <w:rFonts w:ascii="仿宋_GB2312" w:hAnsi="Arial" w:eastAsia="仿宋_GB2312"/>
      <w:sz w:val="32"/>
      <w:szCs w:val="32"/>
    </w:rPr>
  </w:style>
  <w:style w:type="paragraph" w:customStyle="1" w:styleId="269">
    <w:name w:val="正文文本缩进1"/>
    <w:basedOn w:val="1"/>
    <w:autoRedefine/>
    <w:qFormat/>
    <w:uiPriority w:val="0"/>
    <w:pPr>
      <w:ind w:firstLine="645"/>
    </w:pPr>
    <w:rPr>
      <w:rFonts w:ascii="楷体_GB2312" w:eastAsia="楷体_GB2312"/>
      <w:sz w:val="32"/>
      <w:szCs w:val="32"/>
    </w:rPr>
  </w:style>
  <w:style w:type="paragraph" w:customStyle="1" w:styleId="270">
    <w:name w:val="列表 21"/>
    <w:basedOn w:val="1"/>
    <w:autoRedefine/>
    <w:qFormat/>
    <w:uiPriority w:val="0"/>
    <w:pPr>
      <w:ind w:left="100" w:hanging="200"/>
    </w:pPr>
  </w:style>
  <w:style w:type="paragraph" w:customStyle="1" w:styleId="271">
    <w:name w:val="目录 51"/>
    <w:basedOn w:val="1"/>
    <w:next w:val="1"/>
    <w:autoRedefine/>
    <w:semiHidden/>
    <w:qFormat/>
    <w:uiPriority w:val="0"/>
    <w:pPr>
      <w:ind w:left="840"/>
      <w:jc w:val="left"/>
    </w:pPr>
  </w:style>
  <w:style w:type="paragraph" w:customStyle="1" w:styleId="272">
    <w:name w:val="目录 31"/>
    <w:basedOn w:val="1"/>
    <w:next w:val="1"/>
    <w:autoRedefine/>
    <w:semiHidden/>
    <w:qFormat/>
    <w:uiPriority w:val="0"/>
    <w:pPr>
      <w:ind w:left="420"/>
      <w:jc w:val="left"/>
    </w:pPr>
    <w:rPr>
      <w:i/>
      <w:iCs/>
      <w:szCs w:val="24"/>
    </w:rPr>
  </w:style>
  <w:style w:type="paragraph" w:customStyle="1" w:styleId="273">
    <w:name w:val="纯文本1"/>
    <w:basedOn w:val="1"/>
    <w:link w:val="274"/>
    <w:qFormat/>
    <w:uiPriority w:val="0"/>
    <w:rPr>
      <w:rFonts w:ascii="宋体" w:hAnsi="Courier New"/>
      <w:lang w:eastAsia="en-US"/>
    </w:rPr>
  </w:style>
  <w:style w:type="character" w:customStyle="1" w:styleId="274">
    <w:name w:val="纯文本 Char"/>
    <w:link w:val="273"/>
    <w:autoRedefine/>
    <w:qFormat/>
    <w:uiPriority w:val="0"/>
    <w:rPr>
      <w:rFonts w:ascii="宋体" w:hAnsi="Courier New" w:cs="Courier New"/>
      <w:sz w:val="21"/>
      <w:szCs w:val="21"/>
    </w:rPr>
  </w:style>
  <w:style w:type="paragraph" w:customStyle="1" w:styleId="275">
    <w:name w:val="目录 81"/>
    <w:basedOn w:val="1"/>
    <w:next w:val="1"/>
    <w:autoRedefine/>
    <w:semiHidden/>
    <w:qFormat/>
    <w:uiPriority w:val="0"/>
    <w:pPr>
      <w:ind w:left="1470"/>
      <w:jc w:val="left"/>
    </w:pPr>
  </w:style>
  <w:style w:type="paragraph" w:customStyle="1" w:styleId="276">
    <w:name w:val="日期1"/>
    <w:basedOn w:val="1"/>
    <w:next w:val="1"/>
    <w:autoRedefine/>
    <w:qFormat/>
    <w:uiPriority w:val="0"/>
    <w:rPr>
      <w:sz w:val="24"/>
      <w:szCs w:val="24"/>
    </w:rPr>
  </w:style>
  <w:style w:type="paragraph" w:customStyle="1" w:styleId="277">
    <w:name w:val="正文文本缩进 21"/>
    <w:basedOn w:val="1"/>
    <w:autoRedefine/>
    <w:qFormat/>
    <w:uiPriority w:val="0"/>
    <w:pPr>
      <w:ind w:left="630" w:firstLine="645"/>
    </w:pPr>
    <w:rPr>
      <w:rFonts w:ascii="Arial" w:hAnsi="Arial" w:eastAsia="仿宋_GB2312" w:cs="Arial"/>
      <w:sz w:val="32"/>
      <w:szCs w:val="32"/>
    </w:rPr>
  </w:style>
  <w:style w:type="paragraph" w:customStyle="1" w:styleId="278">
    <w:name w:val="批注框文本1"/>
    <w:basedOn w:val="1"/>
    <w:semiHidden/>
    <w:qFormat/>
    <w:uiPriority w:val="0"/>
    <w:rPr>
      <w:sz w:val="18"/>
      <w:szCs w:val="18"/>
    </w:rPr>
  </w:style>
  <w:style w:type="paragraph" w:customStyle="1" w:styleId="279">
    <w:name w:val="页脚1"/>
    <w:basedOn w:val="1"/>
    <w:autoRedefine/>
    <w:qFormat/>
    <w:uiPriority w:val="0"/>
    <w:pPr>
      <w:tabs>
        <w:tab w:val="center" w:pos="4153"/>
        <w:tab w:val="right" w:pos="8306"/>
      </w:tabs>
      <w:jc w:val="left"/>
    </w:pPr>
    <w:rPr>
      <w:sz w:val="18"/>
      <w:szCs w:val="18"/>
    </w:rPr>
  </w:style>
  <w:style w:type="paragraph" w:customStyle="1" w:styleId="280">
    <w:name w:val="页眉1"/>
    <w:basedOn w:val="1"/>
    <w:autoRedefine/>
    <w:qFormat/>
    <w:uiPriority w:val="0"/>
    <w:pPr>
      <w:pBdr>
        <w:bottom w:val="single" w:color="000000" w:sz="6" w:space="1"/>
      </w:pBdr>
      <w:tabs>
        <w:tab w:val="center" w:pos="4153"/>
        <w:tab w:val="right" w:pos="8306"/>
      </w:tabs>
      <w:jc w:val="center"/>
    </w:pPr>
    <w:rPr>
      <w:sz w:val="18"/>
      <w:szCs w:val="18"/>
    </w:rPr>
  </w:style>
  <w:style w:type="paragraph" w:customStyle="1" w:styleId="281">
    <w:name w:val="目录 11"/>
    <w:basedOn w:val="1"/>
    <w:next w:val="1"/>
    <w:autoRedefine/>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282">
    <w:name w:val="目录 41"/>
    <w:basedOn w:val="1"/>
    <w:next w:val="1"/>
    <w:autoRedefine/>
    <w:semiHidden/>
    <w:qFormat/>
    <w:uiPriority w:val="0"/>
    <w:pPr>
      <w:ind w:left="630"/>
      <w:jc w:val="left"/>
    </w:pPr>
  </w:style>
  <w:style w:type="paragraph" w:customStyle="1" w:styleId="283">
    <w:name w:val="列表1"/>
    <w:basedOn w:val="1"/>
    <w:autoRedefine/>
    <w:qFormat/>
    <w:uiPriority w:val="0"/>
    <w:pPr>
      <w:ind w:left="200" w:hanging="200"/>
    </w:pPr>
  </w:style>
  <w:style w:type="paragraph" w:customStyle="1" w:styleId="284">
    <w:name w:val="目录 61"/>
    <w:basedOn w:val="1"/>
    <w:next w:val="1"/>
    <w:autoRedefine/>
    <w:semiHidden/>
    <w:qFormat/>
    <w:uiPriority w:val="0"/>
    <w:pPr>
      <w:ind w:left="1050"/>
      <w:jc w:val="left"/>
    </w:pPr>
  </w:style>
  <w:style w:type="paragraph" w:customStyle="1" w:styleId="285">
    <w:name w:val="正文文本缩进 31"/>
    <w:basedOn w:val="1"/>
    <w:autoRedefine/>
    <w:qFormat/>
    <w:uiPriority w:val="0"/>
    <w:pPr>
      <w:ind w:left="645" w:firstLine="645"/>
    </w:pPr>
    <w:rPr>
      <w:rFonts w:ascii="Arial" w:hAnsi="Arial" w:eastAsia="仿宋_GB2312" w:cs="Arial"/>
      <w:color w:val="FFFF00"/>
      <w:sz w:val="32"/>
      <w:szCs w:val="32"/>
    </w:rPr>
  </w:style>
  <w:style w:type="paragraph" w:customStyle="1" w:styleId="286">
    <w:name w:val="图表目录1"/>
    <w:basedOn w:val="1"/>
    <w:next w:val="1"/>
    <w:autoRedefine/>
    <w:semiHidden/>
    <w:qFormat/>
    <w:uiPriority w:val="0"/>
    <w:pPr>
      <w:ind w:left="840" w:hanging="420"/>
    </w:pPr>
  </w:style>
  <w:style w:type="paragraph" w:customStyle="1" w:styleId="287">
    <w:name w:val="目录 21"/>
    <w:basedOn w:val="1"/>
    <w:next w:val="1"/>
    <w:autoRedefine/>
    <w:semiHidden/>
    <w:qFormat/>
    <w:uiPriority w:val="0"/>
    <w:pPr>
      <w:ind w:left="210"/>
      <w:jc w:val="left"/>
    </w:pPr>
    <w:rPr>
      <w:smallCaps/>
      <w:szCs w:val="24"/>
    </w:rPr>
  </w:style>
  <w:style w:type="paragraph" w:customStyle="1" w:styleId="288">
    <w:name w:val="目录 91"/>
    <w:basedOn w:val="1"/>
    <w:next w:val="1"/>
    <w:autoRedefine/>
    <w:semiHidden/>
    <w:qFormat/>
    <w:uiPriority w:val="0"/>
    <w:pPr>
      <w:ind w:left="1680"/>
      <w:jc w:val="left"/>
    </w:pPr>
  </w:style>
  <w:style w:type="paragraph" w:customStyle="1" w:styleId="289">
    <w:name w:val="正文文本 21"/>
    <w:basedOn w:val="1"/>
    <w:autoRedefine/>
    <w:qFormat/>
    <w:uiPriority w:val="0"/>
    <w:pPr>
      <w:widowControl/>
      <w:jc w:val="center"/>
    </w:pPr>
    <w:rPr>
      <w:rFonts w:ascii="楷体_GB2312" w:eastAsia="楷体_GB2312"/>
      <w:sz w:val="28"/>
      <w:szCs w:val="28"/>
    </w:rPr>
  </w:style>
  <w:style w:type="paragraph" w:customStyle="1" w:styleId="290">
    <w:name w:val="普通(网站)1"/>
    <w:basedOn w:val="1"/>
    <w:autoRedefine/>
    <w:qFormat/>
    <w:uiPriority w:val="99"/>
    <w:pPr>
      <w:widowControl/>
      <w:spacing w:before="100" w:beforeAutospacing="1" w:after="100" w:afterAutospacing="1"/>
      <w:jc w:val="left"/>
    </w:pPr>
    <w:rPr>
      <w:rFonts w:ascii="宋体" w:hAnsi="宋体" w:cs="宋体"/>
      <w:sz w:val="24"/>
      <w:szCs w:val="24"/>
    </w:rPr>
  </w:style>
  <w:style w:type="paragraph" w:customStyle="1" w:styleId="291">
    <w:name w:val="索引 11"/>
    <w:basedOn w:val="1"/>
    <w:next w:val="1"/>
    <w:autoRedefine/>
    <w:semiHidden/>
    <w:qFormat/>
    <w:uiPriority w:val="0"/>
    <w:pPr>
      <w:spacing w:line="240" w:lineRule="atLeast"/>
    </w:pPr>
    <w:rPr>
      <w:b/>
      <w:bCs/>
    </w:rPr>
  </w:style>
  <w:style w:type="paragraph" w:customStyle="1" w:styleId="292">
    <w:name w:val="批注主题1"/>
    <w:basedOn w:val="267"/>
    <w:next w:val="267"/>
    <w:autoRedefine/>
    <w:semiHidden/>
    <w:qFormat/>
    <w:uiPriority w:val="0"/>
    <w:rPr>
      <w:b/>
      <w:bCs/>
    </w:rPr>
  </w:style>
  <w:style w:type="paragraph" w:customStyle="1" w:styleId="293">
    <w:name w:val="正文首行缩进1"/>
    <w:basedOn w:val="1"/>
    <w:autoRedefine/>
    <w:qFormat/>
    <w:uiPriority w:val="0"/>
    <w:pPr>
      <w:spacing w:line="360" w:lineRule="auto"/>
      <w:ind w:firstLine="200"/>
    </w:pPr>
    <w:rPr>
      <w:rFonts w:ascii="仿宋_GB2312" w:eastAsia="仿宋_GB2312"/>
      <w:sz w:val="30"/>
      <w:szCs w:val="30"/>
    </w:rPr>
  </w:style>
  <w:style w:type="paragraph" w:customStyle="1" w:styleId="294">
    <w:name w:val="正文首行缩进 21"/>
    <w:basedOn w:val="269"/>
    <w:autoRedefine/>
    <w:qFormat/>
    <w:uiPriority w:val="0"/>
    <w:pPr>
      <w:spacing w:line="360" w:lineRule="auto"/>
      <w:ind w:firstLine="420"/>
    </w:pPr>
    <w:rPr>
      <w:rFonts w:ascii="宋体" w:hAnsi="宋体" w:eastAsia="宋体"/>
      <w:sz w:val="21"/>
      <w:szCs w:val="20"/>
    </w:rPr>
  </w:style>
  <w:style w:type="table" w:customStyle="1" w:styleId="295">
    <w:name w:val="网格型1"/>
    <w:basedOn w:val="263"/>
    <w:autoRedefine/>
    <w:qFormat/>
    <w:uiPriority w:val="0"/>
    <w:pPr>
      <w:widowControl w:val="0"/>
      <w:jc w:val="both"/>
    </w:pPr>
  </w:style>
  <w:style w:type="character" w:customStyle="1" w:styleId="296">
    <w:name w:val="要点1"/>
    <w:autoRedefine/>
    <w:qFormat/>
    <w:uiPriority w:val="0"/>
    <w:rPr>
      <w:b/>
      <w:bCs/>
    </w:rPr>
  </w:style>
  <w:style w:type="character" w:customStyle="1" w:styleId="297">
    <w:name w:val="页码1"/>
    <w:basedOn w:val="120"/>
    <w:autoRedefine/>
    <w:qFormat/>
    <w:uiPriority w:val="0"/>
  </w:style>
  <w:style w:type="character" w:customStyle="1" w:styleId="298">
    <w:name w:val="已访问的超链接1"/>
    <w:basedOn w:val="120"/>
    <w:autoRedefine/>
    <w:qFormat/>
    <w:uiPriority w:val="0"/>
    <w:rPr>
      <w:rFonts w:hint="eastAsia" w:ascii="微软雅黑" w:hAnsi="微软雅黑" w:eastAsia="微软雅黑" w:cs="微软雅黑"/>
      <w:color w:val="02396F"/>
      <w:u w:val="single"/>
    </w:rPr>
  </w:style>
  <w:style w:type="character" w:customStyle="1" w:styleId="299">
    <w:name w:val="超链接1"/>
    <w:basedOn w:val="120"/>
    <w:autoRedefine/>
    <w:qFormat/>
    <w:uiPriority w:val="0"/>
    <w:rPr>
      <w:rFonts w:hint="eastAsia" w:ascii="微软雅黑" w:hAnsi="微软雅黑" w:eastAsia="微软雅黑" w:cs="微软雅黑"/>
      <w:color w:val="02396F"/>
      <w:u w:val="single"/>
    </w:rPr>
  </w:style>
  <w:style w:type="character" w:customStyle="1" w:styleId="300">
    <w:name w:val="批注引用1"/>
    <w:autoRedefine/>
    <w:semiHidden/>
    <w:qFormat/>
    <w:uiPriority w:val="0"/>
    <w:rPr>
      <w:sz w:val="21"/>
      <w:szCs w:val="21"/>
    </w:rPr>
  </w:style>
  <w:style w:type="character" w:customStyle="1" w:styleId="301">
    <w:name w:val="font5 Char"/>
    <w:autoRedefine/>
    <w:qFormat/>
    <w:uiPriority w:val="0"/>
    <w:rPr>
      <w:rFonts w:ascii="宋体" w:hAnsi="宋体" w:eastAsia="宋体"/>
      <w:sz w:val="28"/>
      <w:szCs w:val="28"/>
      <w:lang w:val="en-US" w:eastAsia="zh-CN" w:bidi="ar-SA"/>
    </w:rPr>
  </w:style>
  <w:style w:type="character" w:customStyle="1" w:styleId="302">
    <w:name w:val="二级目录 Char"/>
    <w:link w:val="303"/>
    <w:autoRedefine/>
    <w:qFormat/>
    <w:uiPriority w:val="0"/>
    <w:rPr>
      <w:b/>
      <w:sz w:val="30"/>
      <w:szCs w:val="28"/>
    </w:rPr>
  </w:style>
  <w:style w:type="paragraph" w:customStyle="1" w:styleId="303">
    <w:name w:val="二级目录"/>
    <w:next w:val="1"/>
    <w:link w:val="302"/>
    <w:autoRedefine/>
    <w:qFormat/>
    <w:uiPriority w:val="0"/>
    <w:pPr>
      <w:tabs>
        <w:tab w:val="left" w:pos="907"/>
        <w:tab w:val="left" w:pos="1145"/>
      </w:tabs>
      <w:ind w:left="907" w:hanging="907"/>
      <w:outlineLvl w:val="1"/>
    </w:pPr>
    <w:rPr>
      <w:rFonts w:ascii="Times New Roman" w:hAnsi="Times New Roman" w:eastAsia="宋体" w:cs="Times New Roman"/>
      <w:b/>
      <w:sz w:val="30"/>
      <w:szCs w:val="28"/>
      <w:lang w:val="en-US" w:eastAsia="zh-CN" w:bidi="ar-SA"/>
    </w:rPr>
  </w:style>
  <w:style w:type="character" w:customStyle="1" w:styleId="304">
    <w:name w:val="列出段落 Char"/>
    <w:link w:val="305"/>
    <w:autoRedefine/>
    <w:qFormat/>
    <w:uiPriority w:val="0"/>
    <w:rPr>
      <w:rFonts w:ascii="Calibri" w:hAnsi="Calibri"/>
      <w:sz w:val="24"/>
      <w:szCs w:val="24"/>
      <w:lang w:eastAsia="en-US" w:bidi="en-US"/>
    </w:rPr>
  </w:style>
  <w:style w:type="paragraph" w:customStyle="1" w:styleId="305">
    <w:name w:val="列出段落1"/>
    <w:basedOn w:val="1"/>
    <w:link w:val="304"/>
    <w:autoRedefine/>
    <w:qFormat/>
    <w:uiPriority w:val="0"/>
    <w:pPr>
      <w:widowControl/>
      <w:ind w:left="720"/>
      <w:contextualSpacing/>
      <w:jc w:val="left"/>
    </w:pPr>
    <w:rPr>
      <w:rFonts w:ascii="Calibri" w:hAnsi="Calibri"/>
      <w:sz w:val="24"/>
      <w:szCs w:val="24"/>
      <w:lang w:eastAsia="en-US" w:bidi="en-US"/>
    </w:rPr>
  </w:style>
  <w:style w:type="paragraph" w:customStyle="1" w:styleId="306">
    <w:name w:val="Body Text(ch)"/>
    <w:basedOn w:val="1"/>
    <w:next w:val="121"/>
    <w:autoRedefine/>
    <w:qFormat/>
    <w:uiPriority w:val="0"/>
    <w:pPr>
      <w:spacing w:after="120"/>
    </w:pPr>
    <w:rPr>
      <w:rFonts w:ascii="宋体" w:hAnsi="Arial"/>
      <w:bCs/>
      <w:iCs/>
      <w:szCs w:val="24"/>
    </w:rPr>
  </w:style>
  <w:style w:type="paragraph" w:customStyle="1" w:styleId="307">
    <w:name w:val="xl27"/>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sz w:val="24"/>
      <w:szCs w:val="24"/>
    </w:rPr>
  </w:style>
  <w:style w:type="paragraph" w:customStyle="1" w:styleId="308">
    <w:name w:val="xl2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sz w:val="24"/>
      <w:szCs w:val="24"/>
    </w:rPr>
  </w:style>
  <w:style w:type="paragraph" w:customStyle="1" w:styleId="309">
    <w:name w:val="Char"/>
    <w:basedOn w:val="1"/>
    <w:autoRedefine/>
    <w:qFormat/>
    <w:uiPriority w:val="0"/>
    <w:pPr>
      <w:tabs>
        <w:tab w:val="left" w:pos="360"/>
      </w:tabs>
      <w:ind w:firstLine="200"/>
    </w:pPr>
    <w:rPr>
      <w:sz w:val="28"/>
      <w:szCs w:val="30"/>
    </w:rPr>
  </w:style>
  <w:style w:type="paragraph" w:customStyle="1" w:styleId="310">
    <w:name w:val="Char1"/>
    <w:basedOn w:val="266"/>
    <w:autoRedefine/>
    <w:qFormat/>
    <w:uiPriority w:val="0"/>
    <w:rPr>
      <w:rFonts w:ascii="Tahoma" w:hAnsi="Tahoma"/>
      <w:sz w:val="24"/>
      <w:szCs w:val="24"/>
    </w:rPr>
  </w:style>
  <w:style w:type="paragraph" w:customStyle="1" w:styleId="311">
    <w:name w:val="普通正文"/>
    <w:basedOn w:val="1"/>
    <w:link w:val="312"/>
    <w:autoRedefine/>
    <w:qFormat/>
    <w:uiPriority w:val="0"/>
    <w:pPr>
      <w:spacing w:before="120" w:after="120" w:line="360" w:lineRule="auto"/>
      <w:ind w:firstLine="480"/>
      <w:jc w:val="left"/>
    </w:pPr>
    <w:rPr>
      <w:rFonts w:ascii="Arial" w:hAnsi="Arial"/>
      <w:sz w:val="24"/>
      <w:szCs w:val="24"/>
      <w:lang w:eastAsia="en-US"/>
    </w:rPr>
  </w:style>
  <w:style w:type="character" w:customStyle="1" w:styleId="312">
    <w:name w:val="普通正文 Char"/>
    <w:link w:val="311"/>
    <w:autoRedefine/>
    <w:qFormat/>
    <w:uiPriority w:val="0"/>
    <w:rPr>
      <w:rFonts w:ascii="Arial" w:hAnsi="Arial"/>
      <w:sz w:val="24"/>
      <w:szCs w:val="24"/>
    </w:rPr>
  </w:style>
  <w:style w:type="paragraph" w:customStyle="1" w:styleId="313">
    <w:name w:val="table_lines"/>
    <w:basedOn w:val="1"/>
    <w:qFormat/>
    <w:uiPriority w:val="0"/>
    <w:pPr>
      <w:widowControl/>
      <w:jc w:val="left"/>
    </w:pPr>
    <w:rPr>
      <w:sz w:val="20"/>
      <w:szCs w:val="20"/>
      <w:lang w:val="de-DE" w:eastAsia="de-DE"/>
    </w:rPr>
  </w:style>
  <w:style w:type="paragraph" w:customStyle="1" w:styleId="314">
    <w:name w:val="附录1"/>
    <w:autoRedefine/>
    <w:qFormat/>
    <w:uiPriority w:val="0"/>
    <w:pPr>
      <w:numPr>
        <w:ilvl w:val="0"/>
        <w:numId w:val="2"/>
      </w:numPr>
      <w:spacing w:before="240" w:line="600" w:lineRule="atLeast"/>
    </w:pPr>
    <w:rPr>
      <w:rFonts w:ascii="Times New Roman" w:hAnsi="Times New Roman" w:eastAsia="宋体" w:cs="Times New Roman"/>
      <w:b/>
      <w:i/>
      <w:sz w:val="28"/>
      <w:lang w:val="en-US" w:eastAsia="zh-CN" w:bidi="ar-SA"/>
    </w:rPr>
  </w:style>
  <w:style w:type="paragraph" w:customStyle="1" w:styleId="315">
    <w:name w:val="font7"/>
    <w:basedOn w:val="1"/>
    <w:autoRedefine/>
    <w:qFormat/>
    <w:uiPriority w:val="0"/>
    <w:pPr>
      <w:widowControl/>
      <w:spacing w:before="100" w:beforeAutospacing="1" w:after="100" w:afterAutospacing="1"/>
      <w:jc w:val="left"/>
    </w:pPr>
    <w:rPr>
      <w:rFonts w:hint="eastAsia" w:ascii="宋体" w:hAnsi="宋体"/>
      <w:sz w:val="18"/>
      <w:szCs w:val="18"/>
    </w:rPr>
  </w:style>
  <w:style w:type="paragraph" w:customStyle="1" w:styleId="316">
    <w:name w:val="Char Char Char Char"/>
    <w:basedOn w:val="266"/>
    <w:autoRedefine/>
    <w:qFormat/>
    <w:uiPriority w:val="0"/>
    <w:pPr>
      <w:spacing w:line="360" w:lineRule="auto"/>
    </w:pPr>
    <w:rPr>
      <w:rFonts w:ascii="Tahoma" w:hAnsi="Tahoma"/>
      <w:sz w:val="24"/>
      <w:szCs w:val="24"/>
    </w:rPr>
  </w:style>
  <w:style w:type="paragraph" w:customStyle="1" w:styleId="317">
    <w:name w:val="列出段落"/>
    <w:basedOn w:val="1"/>
    <w:autoRedefine/>
    <w:qFormat/>
    <w:uiPriority w:val="0"/>
    <w:pPr>
      <w:widowControl/>
      <w:ind w:left="720"/>
      <w:contextualSpacing/>
      <w:jc w:val="left"/>
    </w:pPr>
    <w:rPr>
      <w:rFonts w:ascii="Calibri" w:hAnsi="Calibri"/>
      <w:sz w:val="24"/>
      <w:szCs w:val="24"/>
      <w:lang w:eastAsia="en-US" w:bidi="en-US"/>
    </w:rPr>
  </w:style>
  <w:style w:type="paragraph" w:customStyle="1" w:styleId="318">
    <w:name w:val="4"/>
    <w:basedOn w:val="1"/>
    <w:next w:val="285"/>
    <w:autoRedefine/>
    <w:qFormat/>
    <w:uiPriority w:val="0"/>
    <w:pPr>
      <w:spacing w:line="360" w:lineRule="auto"/>
      <w:ind w:firstLine="420"/>
    </w:pPr>
    <w:rPr>
      <w:color w:val="FF0000"/>
      <w:sz w:val="24"/>
      <w:szCs w:val="24"/>
    </w:rPr>
  </w:style>
  <w:style w:type="paragraph" w:customStyle="1" w:styleId="319">
    <w:name w:val="普通 (Web)"/>
    <w:basedOn w:val="1"/>
    <w:autoRedefine/>
    <w:qFormat/>
    <w:uiPriority w:val="0"/>
    <w:pPr>
      <w:widowControl/>
      <w:spacing w:before="100" w:beforeAutospacing="1" w:after="100" w:afterAutospacing="1"/>
      <w:jc w:val="left"/>
    </w:pPr>
    <w:rPr>
      <w:rFonts w:ascii="宋体" w:hAnsi="宋体"/>
      <w:sz w:val="24"/>
      <w:szCs w:val="24"/>
    </w:rPr>
  </w:style>
  <w:style w:type="paragraph" w:customStyle="1" w:styleId="320">
    <w:name w:val="Char Char Char Char Char Char Char Char Char Char"/>
    <w:basedOn w:val="1"/>
    <w:autoRedefine/>
    <w:qFormat/>
    <w:uiPriority w:val="0"/>
    <w:pPr>
      <w:spacing w:line="360" w:lineRule="auto"/>
    </w:pPr>
    <w:rPr>
      <w:sz w:val="24"/>
      <w:szCs w:val="20"/>
    </w:rPr>
  </w:style>
  <w:style w:type="paragraph" w:customStyle="1" w:styleId="321">
    <w:name w:val="样式1"/>
    <w:basedOn w:val="1"/>
    <w:autoRedefine/>
    <w:qFormat/>
    <w:uiPriority w:val="0"/>
    <w:pPr>
      <w:numPr>
        <w:ilvl w:val="0"/>
        <w:numId w:val="3"/>
      </w:numPr>
    </w:pPr>
    <w:rPr>
      <w:rFonts w:ascii="宋体" w:hAnsi="宋体"/>
    </w:rPr>
  </w:style>
  <w:style w:type="paragraph" w:customStyle="1" w:styleId="322">
    <w:name w:val="font6"/>
    <w:basedOn w:val="1"/>
    <w:autoRedefine/>
    <w:qFormat/>
    <w:uiPriority w:val="0"/>
    <w:pPr>
      <w:widowControl/>
      <w:spacing w:before="100" w:beforeAutospacing="1" w:after="100" w:afterAutospacing="1"/>
      <w:jc w:val="left"/>
    </w:pPr>
    <w:rPr>
      <w:rFonts w:hint="eastAsia" w:ascii="宋体" w:hAnsi="宋体"/>
      <w:sz w:val="28"/>
      <w:szCs w:val="28"/>
      <w:u w:val="single"/>
    </w:rPr>
  </w:style>
  <w:style w:type="paragraph" w:customStyle="1" w:styleId="323">
    <w:name w:val="xl25"/>
    <w:basedOn w:val="1"/>
    <w:autoRedefine/>
    <w:qFormat/>
    <w:uiPriority w:val="0"/>
    <w:pPr>
      <w:widowControl/>
      <w:spacing w:before="100" w:beforeAutospacing="1" w:after="100" w:afterAutospacing="1"/>
      <w:jc w:val="center"/>
    </w:pPr>
    <w:rPr>
      <w:rFonts w:ascii="Arial Unicode MS" w:hAnsi="Arial Unicode MS" w:eastAsia="Arial Unicode MS" w:cs="Arial Unicode MS"/>
      <w:sz w:val="24"/>
      <w:szCs w:val="24"/>
    </w:rPr>
  </w:style>
  <w:style w:type="paragraph" w:customStyle="1" w:styleId="324">
    <w:name w:val="图标"/>
    <w:basedOn w:val="1"/>
    <w:next w:val="1"/>
    <w:autoRedefine/>
    <w:qFormat/>
    <w:uiPriority w:val="0"/>
    <w:pPr>
      <w:tabs>
        <w:tab w:val="left" w:pos="567"/>
        <w:tab w:val="left" w:pos="840"/>
      </w:tabs>
      <w:spacing w:before="120" w:after="120" w:line="320" w:lineRule="atLeast"/>
      <w:ind w:left="840" w:hanging="420"/>
      <w:jc w:val="center"/>
    </w:pPr>
    <w:rPr>
      <w:rFonts w:eastAsia="仿宋_GB2312"/>
      <w:sz w:val="24"/>
      <w:szCs w:val="20"/>
    </w:rPr>
  </w:style>
  <w:style w:type="paragraph" w:customStyle="1" w:styleId="325">
    <w:name w:val="标题3"/>
    <w:basedOn w:val="1"/>
    <w:next w:val="1"/>
    <w:autoRedefine/>
    <w:qFormat/>
    <w:uiPriority w:val="0"/>
    <w:pPr>
      <w:spacing w:line="590" w:lineRule="atLeast"/>
      <w:ind w:firstLine="624"/>
    </w:pPr>
    <w:rPr>
      <w:rFonts w:ascii="方正黑体_GBK" w:eastAsia="方正黑体_GBK"/>
      <w:sz w:val="32"/>
      <w:szCs w:val="32"/>
    </w:rPr>
  </w:style>
  <w:style w:type="paragraph" w:customStyle="1" w:styleId="326">
    <w:name w:val="xl24"/>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sz w:val="24"/>
      <w:szCs w:val="24"/>
    </w:rPr>
  </w:style>
  <w:style w:type="paragraph" w:customStyle="1" w:styleId="327">
    <w:name w:val="xl29"/>
    <w:basedOn w:val="1"/>
    <w:autoRedefine/>
    <w:qFormat/>
    <w:uiPriority w:val="0"/>
    <w:pPr>
      <w:widowControl/>
      <w:pBdr>
        <w:left w:val="single" w:color="000000" w:sz="4" w:space="0"/>
        <w:bottom w:val="single" w:color="000000" w:sz="4" w:space="0"/>
      </w:pBdr>
      <w:spacing w:before="100" w:beforeAutospacing="1" w:after="100" w:afterAutospacing="1"/>
      <w:jc w:val="left"/>
    </w:pPr>
    <w:rPr>
      <w:rFonts w:ascii="宋体" w:hAnsi="宋体"/>
      <w:sz w:val="24"/>
      <w:szCs w:val="24"/>
    </w:rPr>
  </w:style>
  <w:style w:type="paragraph" w:customStyle="1" w:styleId="328">
    <w:name w:val="Char Char Char Char Char Char Char Char"/>
    <w:basedOn w:val="1"/>
    <w:autoRedefine/>
    <w:qFormat/>
    <w:uiPriority w:val="0"/>
    <w:pPr>
      <w:widowControl/>
      <w:spacing w:after="160" w:line="240" w:lineRule="exact"/>
      <w:jc w:val="left"/>
    </w:pPr>
    <w:rPr>
      <w:rFonts w:ascii="Verdana" w:hAnsi="Verdana"/>
      <w:sz w:val="20"/>
      <w:szCs w:val="20"/>
      <w:lang w:eastAsia="en-US"/>
    </w:rPr>
  </w:style>
  <w:style w:type="paragraph" w:customStyle="1" w:styleId="329">
    <w:name w:val="xl28"/>
    <w:basedOn w:val="1"/>
    <w:autoRedefine/>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宋体" w:hAnsi="宋体"/>
      <w:sz w:val="24"/>
      <w:szCs w:val="24"/>
    </w:rPr>
  </w:style>
  <w:style w:type="paragraph" w:customStyle="1" w:styleId="330">
    <w:name w:val="Char Char Char Char Char Char Char Char1"/>
    <w:basedOn w:val="1"/>
    <w:autoRedefine/>
    <w:qFormat/>
    <w:uiPriority w:val="0"/>
    <w:pPr>
      <w:widowControl/>
      <w:spacing w:after="160" w:line="240" w:lineRule="exact"/>
      <w:jc w:val="left"/>
    </w:pPr>
    <w:rPr>
      <w:rFonts w:ascii="Verdana" w:hAnsi="Verdana"/>
      <w:sz w:val="20"/>
      <w:szCs w:val="20"/>
      <w:lang w:eastAsia="en-US"/>
    </w:rPr>
  </w:style>
  <w:style w:type="paragraph" w:customStyle="1" w:styleId="331">
    <w:name w:val="xl30"/>
    <w:basedOn w:val="1"/>
    <w:autoRedefine/>
    <w:qFormat/>
    <w:uiPriority w:val="0"/>
    <w:pPr>
      <w:widowControl/>
      <w:spacing w:before="100" w:beforeAutospacing="1" w:after="100" w:afterAutospacing="1"/>
      <w:jc w:val="center"/>
    </w:pPr>
    <w:rPr>
      <w:rFonts w:ascii="宋体" w:hAnsi="宋体"/>
      <w:b/>
      <w:bCs/>
      <w:sz w:val="36"/>
      <w:szCs w:val="36"/>
    </w:rPr>
  </w:style>
  <w:style w:type="paragraph" w:customStyle="1" w:styleId="332">
    <w:name w:val="Char Char Char Char1"/>
    <w:basedOn w:val="266"/>
    <w:autoRedefine/>
    <w:qFormat/>
    <w:uiPriority w:val="0"/>
    <w:pPr>
      <w:spacing w:line="360" w:lineRule="auto"/>
    </w:pPr>
    <w:rPr>
      <w:rFonts w:ascii="Tahoma" w:hAnsi="Tahoma"/>
      <w:sz w:val="24"/>
      <w:szCs w:val="24"/>
    </w:rPr>
  </w:style>
  <w:style w:type="paragraph" w:customStyle="1" w:styleId="333">
    <w:name w:val="table_1stline"/>
    <w:basedOn w:val="1"/>
    <w:autoRedefine/>
    <w:qFormat/>
    <w:uiPriority w:val="0"/>
    <w:pPr>
      <w:widowControl/>
      <w:spacing w:before="120"/>
      <w:jc w:val="left"/>
    </w:pPr>
    <w:rPr>
      <w:bCs/>
      <w:sz w:val="20"/>
      <w:szCs w:val="20"/>
      <w:lang w:val="de-DE" w:eastAsia="de-DE"/>
    </w:rPr>
  </w:style>
  <w:style w:type="paragraph" w:customStyle="1" w:styleId="334">
    <w:name w:val="font5"/>
    <w:basedOn w:val="1"/>
    <w:autoRedefine/>
    <w:qFormat/>
    <w:uiPriority w:val="0"/>
    <w:pPr>
      <w:widowControl/>
      <w:spacing w:before="100" w:beforeAutospacing="1" w:after="100" w:afterAutospacing="1"/>
      <w:jc w:val="left"/>
    </w:pPr>
    <w:rPr>
      <w:rFonts w:hint="eastAsia" w:ascii="宋体" w:hAnsi="宋体"/>
      <w:sz w:val="28"/>
      <w:szCs w:val="28"/>
    </w:rPr>
  </w:style>
  <w:style w:type="paragraph" w:customStyle="1" w:styleId="335">
    <w:name w:val="标题1"/>
    <w:basedOn w:val="1"/>
    <w:next w:val="1"/>
    <w:autoRedefine/>
    <w:qFormat/>
    <w:uiPriority w:val="0"/>
    <w:pPr>
      <w:tabs>
        <w:tab w:val="left" w:pos="9193"/>
        <w:tab w:val="left" w:pos="9827"/>
      </w:tabs>
      <w:spacing w:line="700" w:lineRule="atLeast"/>
      <w:jc w:val="center"/>
    </w:pPr>
    <w:rPr>
      <w:rFonts w:ascii="方正小标宋_GBK" w:eastAsia="方正小标宋_GBK"/>
      <w:sz w:val="44"/>
      <w:szCs w:val="20"/>
    </w:rPr>
  </w:style>
  <w:style w:type="paragraph" w:customStyle="1" w:styleId="336">
    <w:name w:val="修订1"/>
    <w:autoRedefine/>
    <w:semiHidden/>
    <w:qFormat/>
    <w:uiPriority w:val="99"/>
    <w:rPr>
      <w:rFonts w:ascii="Times New Roman" w:hAnsi="Times New Roman" w:eastAsia="宋体" w:cs="Times New Roman"/>
      <w:sz w:val="21"/>
      <w:szCs w:val="21"/>
      <w:lang w:val="en-US" w:eastAsia="zh-CN" w:bidi="ar-SA"/>
    </w:rPr>
  </w:style>
  <w:style w:type="paragraph" w:customStyle="1" w:styleId="337">
    <w:name w:val="无间隔1"/>
    <w:autoRedefine/>
    <w:qFormat/>
    <w:uiPriority w:val="99"/>
    <w:pPr>
      <w:widowControl w:val="0"/>
      <w:jc w:val="both"/>
    </w:pPr>
    <w:rPr>
      <w:rFonts w:ascii="Times New Roman" w:hAnsi="Times New Roman" w:eastAsia="宋体" w:cs="Times New Roman"/>
      <w:sz w:val="21"/>
      <w:szCs w:val="21"/>
      <w:lang w:val="en-US" w:eastAsia="zh-CN" w:bidi="ar-SA"/>
    </w:rPr>
  </w:style>
  <w:style w:type="character" w:customStyle="1" w:styleId="338">
    <w:name w:val="font21"/>
    <w:autoRedefine/>
    <w:qFormat/>
    <w:uiPriority w:val="0"/>
    <w:rPr>
      <w:rFonts w:hint="eastAsia" w:ascii="微软雅黑" w:hAnsi="微软雅黑" w:eastAsia="微软雅黑" w:cs="微软雅黑"/>
      <w:color w:val="000000"/>
      <w:sz w:val="18"/>
      <w:szCs w:val="18"/>
      <w:u w:val="none"/>
    </w:rPr>
  </w:style>
  <w:style w:type="character" w:customStyle="1" w:styleId="339">
    <w:name w:val="prev2"/>
    <w:basedOn w:val="120"/>
    <w:autoRedefine/>
    <w:qFormat/>
    <w:uiPriority w:val="0"/>
    <w:rPr>
      <w:rFonts w:ascii="微软雅黑" w:hAnsi="微软雅黑" w:eastAsia="微软雅黑" w:cs="微软雅黑"/>
      <w:sz w:val="21"/>
      <w:szCs w:val="21"/>
    </w:rPr>
  </w:style>
  <w:style w:type="character" w:customStyle="1" w:styleId="340">
    <w:name w:val="next"/>
    <w:basedOn w:val="120"/>
    <w:autoRedefine/>
    <w:qFormat/>
    <w:uiPriority w:val="0"/>
    <w:rPr>
      <w:rFonts w:hint="eastAsia" w:ascii="微软雅黑" w:hAnsi="微软雅黑" w:eastAsia="微软雅黑" w:cs="微软雅黑"/>
      <w:sz w:val="21"/>
      <w:szCs w:val="21"/>
    </w:rPr>
  </w:style>
  <w:style w:type="character" w:customStyle="1" w:styleId="341">
    <w:name w:val="next1"/>
    <w:basedOn w:val="120"/>
    <w:autoRedefine/>
    <w:qFormat/>
    <w:uiPriority w:val="0"/>
    <w:rPr>
      <w:color w:val="888888"/>
    </w:rPr>
  </w:style>
  <w:style w:type="character" w:customStyle="1" w:styleId="342">
    <w:name w:val="gjfg"/>
    <w:basedOn w:val="120"/>
    <w:autoRedefine/>
    <w:qFormat/>
    <w:uiPriority w:val="0"/>
  </w:style>
  <w:style w:type="character" w:customStyle="1" w:styleId="343">
    <w:name w:val="displayarti"/>
    <w:basedOn w:val="120"/>
    <w:autoRedefine/>
    <w:qFormat/>
    <w:uiPriority w:val="0"/>
    <w:rPr>
      <w:color w:val="FFFFFF"/>
      <w:shd w:val="clear" w:color="auto" w:fill="A00000"/>
    </w:rPr>
  </w:style>
  <w:style w:type="character" w:customStyle="1" w:styleId="344">
    <w:name w:val="qxdate"/>
    <w:basedOn w:val="120"/>
    <w:autoRedefine/>
    <w:qFormat/>
    <w:uiPriority w:val="0"/>
    <w:rPr>
      <w:color w:val="333333"/>
      <w:sz w:val="18"/>
      <w:szCs w:val="18"/>
    </w:rPr>
  </w:style>
  <w:style w:type="character" w:customStyle="1" w:styleId="345">
    <w:name w:val="cfdate"/>
    <w:basedOn w:val="120"/>
    <w:autoRedefine/>
    <w:qFormat/>
    <w:uiPriority w:val="0"/>
    <w:rPr>
      <w:color w:val="333333"/>
      <w:sz w:val="18"/>
      <w:szCs w:val="18"/>
    </w:rPr>
  </w:style>
  <w:style w:type="character" w:customStyle="1" w:styleId="346">
    <w:name w:val="redfilenumber"/>
    <w:basedOn w:val="120"/>
    <w:autoRedefine/>
    <w:qFormat/>
    <w:uiPriority w:val="0"/>
    <w:rPr>
      <w:color w:val="BA2636"/>
      <w:sz w:val="18"/>
      <w:szCs w:val="18"/>
    </w:rPr>
  </w:style>
  <w:style w:type="paragraph" w:customStyle="1" w:styleId="347">
    <w:name w:val="批注框文本2"/>
    <w:basedOn w:val="1"/>
    <w:link w:val="348"/>
    <w:autoRedefine/>
    <w:semiHidden/>
    <w:unhideWhenUsed/>
    <w:qFormat/>
    <w:uiPriority w:val="99"/>
    <w:rPr>
      <w:sz w:val="18"/>
      <w:szCs w:val="18"/>
    </w:rPr>
  </w:style>
  <w:style w:type="character" w:customStyle="1" w:styleId="348">
    <w:name w:val="批注框文本 Char"/>
    <w:basedOn w:val="73"/>
    <w:link w:val="347"/>
    <w:autoRedefine/>
    <w:semiHidden/>
    <w:qFormat/>
    <w:uiPriority w:val="99"/>
    <w:rPr>
      <w:rFonts w:ascii="Times New Roman" w:hAnsi="Times New Roman"/>
      <w:sz w:val="18"/>
      <w:szCs w:val="18"/>
    </w:rPr>
  </w:style>
  <w:style w:type="paragraph" w:customStyle="1" w:styleId="349">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sz w:val="24"/>
      <w:szCs w:val="24"/>
    </w:rPr>
  </w:style>
  <w:style w:type="paragraph" w:customStyle="1" w:styleId="350">
    <w:name w:val="WPSOffice手动目录 1"/>
    <w:autoRedefine/>
    <w:qFormat/>
    <w:uiPriority w:val="0"/>
    <w:rPr>
      <w:rFonts w:ascii="Times New Roman" w:hAnsi="Times New Roman" w:eastAsia="宋体" w:cs="Times New Roman"/>
      <w:lang w:val="en-US" w:eastAsia="zh-CN" w:bidi="ar-SA"/>
    </w:rPr>
  </w:style>
  <w:style w:type="character" w:customStyle="1" w:styleId="351">
    <w:name w:val="NormalCharacter"/>
    <w:qFormat/>
    <w:uiPriority w:val="0"/>
  </w:style>
  <w:style w:type="character" w:customStyle="1" w:styleId="352">
    <w:name w:val="Page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658E8A-2CDA-4F1D-A247-F6F13CB21BC6}">
  <ds:schemaRefs/>
</ds:datastoreItem>
</file>

<file path=docProps/app.xml><?xml version="1.0" encoding="utf-8"?>
<Properties xmlns="http://schemas.openxmlformats.org/officeDocument/2006/extended-properties" xmlns:vt="http://schemas.openxmlformats.org/officeDocument/2006/docPropsVTypes">
  <Template>Normal.dotm</Template>
  <Company>Micro</Company>
  <Pages>40</Pages>
  <Words>15013</Words>
  <Characters>16102</Characters>
  <Lines>121</Lines>
  <Paragraphs>34</Paragraphs>
  <TotalTime>32</TotalTime>
  <ScaleCrop>false</ScaleCrop>
  <LinksUpToDate>false</LinksUpToDate>
  <CharactersWithSpaces>17110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2023-01-06T06:20:00Z</dcterms:created>
  <dc:creator>政府采</dc:creator>
  <cp:lastModifiedBy>Joyce</cp:lastModifiedBy>
  <dcterms:modified xsi:type="dcterms:W3CDTF">2026-05-14T08:03:27Z</dcterms:modified>
  <dc:title>江苏卫生信息</dc:title>
  <cp:revision>339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D5544622CF6F4CD2AFF178EE477DC2E4_13</vt:lpwstr>
  </property>
  <property fmtid="{D5CDD505-2E9C-101B-9397-08002B2CF9AE}" pid="4" name="KSOTemplateDocerSaveRecord">
    <vt:lpwstr>eyJoZGlkIjoiNDM1MjE5ZDY3MmU0MTk5ODk5YTY5MmRlMjMwNGNkMDIiLCJ1c2VySWQiOiIyODA0NDE3MTYifQ==</vt:lpwstr>
  </property>
  <property fmtid="{D5CDD505-2E9C-101B-9397-08002B2CF9AE}" pid="5" name="MSIP_Label_defa4170-0d19-0005-0004-bc88714345d2_Enabled">
    <vt:lpwstr>true</vt:lpwstr>
  </property>
  <property fmtid="{D5CDD505-2E9C-101B-9397-08002B2CF9AE}" pid="6" name="MSIP_Label_defa4170-0d19-0005-0004-bc88714345d2_SetDate">
    <vt:lpwstr>2025-01-14T01:48:28Z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cd73f787-84d6-4af6-86fa-67a616c9266d</vt:lpwstr>
  </property>
  <property fmtid="{D5CDD505-2E9C-101B-9397-08002B2CF9AE}" pid="10" name="MSIP_Label_defa4170-0d19-0005-0004-bc88714345d2_ActionId">
    <vt:lpwstr>a8ca9998-5d1b-480a-b71c-ec957c936fd3</vt:lpwstr>
  </property>
  <property fmtid="{D5CDD505-2E9C-101B-9397-08002B2CF9AE}" pid="11" name="MSIP_Label_defa4170-0d19-0005-0004-bc88714345d2_ContentBits">
    <vt:lpwstr>0</vt:lpwstr>
  </property>
</Properties>
</file>