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CAA6">
      <w:pPr>
        <w:spacing w:line="360" w:lineRule="auto"/>
        <w:rPr>
          <w:rFonts w:hint="eastAsia"/>
          <w:color w:val="auto"/>
          <w:highlight w:val="none"/>
        </w:rPr>
      </w:pPr>
    </w:p>
    <w:p w14:paraId="6EC03508">
      <w:pPr>
        <w:spacing w:line="360" w:lineRule="auto"/>
        <w:rPr>
          <w:rFonts w:ascii="宋体" w:hAnsi="宋体"/>
          <w:color w:val="auto"/>
          <w:szCs w:val="21"/>
          <w:highlight w:val="none"/>
        </w:rPr>
      </w:pPr>
    </w:p>
    <w:p w14:paraId="3210C60F">
      <w:pPr>
        <w:spacing w:line="360" w:lineRule="auto"/>
        <w:rPr>
          <w:rFonts w:ascii="宋体" w:hAnsi="宋体"/>
          <w:color w:val="auto"/>
          <w:szCs w:val="21"/>
          <w:highlight w:val="none"/>
        </w:rPr>
      </w:pPr>
    </w:p>
    <w:p w14:paraId="28B599BD">
      <w:pPr>
        <w:spacing w:line="360" w:lineRule="auto"/>
        <w:rPr>
          <w:rFonts w:ascii="宋体" w:hAnsi="宋体"/>
          <w:b/>
          <w:color w:val="auto"/>
          <w:sz w:val="48"/>
          <w:szCs w:val="48"/>
          <w:highlight w:val="none"/>
        </w:rPr>
      </w:pPr>
    </w:p>
    <w:p w14:paraId="2DE94A25">
      <w:pPr>
        <w:pStyle w:val="202"/>
        <w:spacing w:line="360" w:lineRule="auto"/>
        <w:rPr>
          <w:rFonts w:hint="eastAsia"/>
          <w:color w:val="auto"/>
          <w:highlight w:val="none"/>
        </w:rPr>
      </w:pPr>
    </w:p>
    <w:p w14:paraId="2648ECAA">
      <w:pPr>
        <w:spacing w:line="360" w:lineRule="auto"/>
        <w:jc w:val="center"/>
        <w:rPr>
          <w:rFonts w:hint="eastAsia" w:ascii="宋体" w:hAnsi="宋体"/>
          <w:b/>
          <w:color w:val="auto"/>
          <w:sz w:val="36"/>
          <w:szCs w:val="36"/>
          <w:highlight w:val="none"/>
          <w:lang w:eastAsia="zh-CN"/>
        </w:rPr>
      </w:pPr>
      <w:bookmarkStart w:id="0" w:name="OLE_LINK15"/>
      <w:bookmarkStart w:id="1" w:name="OLE_LINK12"/>
      <w:bookmarkStart w:id="2" w:name="OLE_LINK11"/>
      <w:bookmarkStart w:id="3" w:name="OLE_LINK13"/>
      <w:bookmarkStart w:id="4" w:name="OLE_LINK17"/>
      <w:bookmarkStart w:id="5" w:name="OLE_LINK16"/>
      <w:bookmarkStart w:id="6" w:name="OLE_LINK27"/>
      <w:r>
        <w:rPr>
          <w:rFonts w:hint="eastAsia" w:ascii="宋体" w:hAnsi="宋体"/>
          <w:b/>
          <w:color w:val="auto"/>
          <w:sz w:val="36"/>
          <w:szCs w:val="36"/>
          <w:highlight w:val="none"/>
          <w:lang w:eastAsia="zh-CN"/>
        </w:rPr>
        <w:t>南京江北新区（原浦口区）2026年度环境监测服务项目</w:t>
      </w:r>
      <w:bookmarkEnd w:id="0"/>
      <w:bookmarkEnd w:id="1"/>
      <w:bookmarkEnd w:id="2"/>
      <w:bookmarkEnd w:id="3"/>
      <w:bookmarkEnd w:id="4"/>
      <w:bookmarkEnd w:id="5"/>
      <w:bookmarkEnd w:id="6"/>
    </w:p>
    <w:p w14:paraId="274E1C92">
      <w:pPr>
        <w:spacing w:line="360" w:lineRule="auto"/>
        <w:jc w:val="center"/>
        <w:rPr>
          <w:rFonts w:ascii="宋体" w:hAnsi="宋体"/>
          <w:b/>
          <w:color w:val="auto"/>
          <w:sz w:val="48"/>
          <w:szCs w:val="48"/>
          <w:highlight w:val="none"/>
        </w:rPr>
      </w:pPr>
    </w:p>
    <w:p w14:paraId="1D65775B">
      <w:pPr>
        <w:spacing w:line="360" w:lineRule="auto"/>
        <w:jc w:val="center"/>
        <w:rPr>
          <w:rFonts w:ascii="宋体" w:hAnsi="宋体"/>
          <w:b/>
          <w:color w:val="auto"/>
          <w:sz w:val="48"/>
          <w:szCs w:val="48"/>
          <w:highlight w:val="none"/>
        </w:rPr>
      </w:pPr>
    </w:p>
    <w:p w14:paraId="5363AC52">
      <w:pPr>
        <w:spacing w:line="360" w:lineRule="auto"/>
        <w:jc w:val="center"/>
        <w:rPr>
          <w:rFonts w:ascii="宋体" w:hAnsi="宋体"/>
          <w:b/>
          <w:color w:val="auto"/>
          <w:sz w:val="48"/>
          <w:szCs w:val="48"/>
          <w:highlight w:val="none"/>
        </w:rPr>
      </w:pPr>
      <w:r>
        <w:rPr>
          <w:rFonts w:ascii="宋体" w:hAnsi="宋体"/>
          <w:b/>
          <w:color w:val="auto"/>
          <w:sz w:val="48"/>
          <w:szCs w:val="48"/>
          <w:highlight w:val="none"/>
        </w:rPr>
        <w:t>公开招标文件</w:t>
      </w:r>
    </w:p>
    <w:p w14:paraId="29137538">
      <w:pPr>
        <w:spacing w:line="360" w:lineRule="auto"/>
        <w:jc w:val="center"/>
        <w:rPr>
          <w:rFonts w:hint="eastAsia" w:ascii="宋体" w:hAnsi="宋体" w:eastAsia="宋体"/>
          <w:color w:val="auto"/>
          <w:sz w:val="28"/>
          <w:szCs w:val="28"/>
          <w:highlight w:val="none"/>
          <w:lang w:eastAsia="zh-CN"/>
        </w:rPr>
      </w:pPr>
      <w:r>
        <w:rPr>
          <w:rFonts w:ascii="宋体" w:hAnsi="宋体"/>
          <w:color w:val="auto"/>
          <w:sz w:val="28"/>
          <w:szCs w:val="28"/>
          <w:highlight w:val="none"/>
        </w:rPr>
        <w:t>项目编号</w:t>
      </w:r>
      <w:r>
        <w:rPr>
          <w:rFonts w:hint="eastAsia" w:ascii="宋体" w:hAnsi="宋体"/>
          <w:color w:val="auto"/>
          <w:sz w:val="28"/>
          <w:szCs w:val="28"/>
          <w:highlight w:val="none"/>
        </w:rPr>
        <w:t>：NJYX-FW-2026009</w:t>
      </w:r>
    </w:p>
    <w:p w14:paraId="40165644">
      <w:pPr>
        <w:pStyle w:val="202"/>
        <w:spacing w:line="360" w:lineRule="auto"/>
        <w:ind w:left="0" w:firstLine="3213"/>
        <w:rPr>
          <w:rFonts w:hint="eastAsia"/>
          <w:b/>
          <w:color w:val="auto"/>
          <w:sz w:val="32"/>
          <w:szCs w:val="32"/>
          <w:highlight w:val="none"/>
        </w:rPr>
      </w:pPr>
    </w:p>
    <w:p w14:paraId="434F352A">
      <w:pPr>
        <w:spacing w:line="360" w:lineRule="auto"/>
        <w:rPr>
          <w:rFonts w:hint="eastAsia" w:ascii="宋体" w:hAnsi="宋体"/>
          <w:color w:val="auto"/>
          <w:sz w:val="48"/>
          <w:szCs w:val="48"/>
          <w:highlight w:val="none"/>
        </w:rPr>
      </w:pPr>
    </w:p>
    <w:p w14:paraId="58D7CBC6">
      <w:pPr>
        <w:spacing w:line="360" w:lineRule="auto"/>
        <w:rPr>
          <w:rFonts w:hint="eastAsia" w:ascii="宋体" w:hAnsi="宋体"/>
          <w:color w:val="auto"/>
          <w:szCs w:val="21"/>
          <w:highlight w:val="none"/>
        </w:rPr>
      </w:pPr>
    </w:p>
    <w:p w14:paraId="0A50C6A2">
      <w:pPr>
        <w:spacing w:line="360" w:lineRule="auto"/>
        <w:rPr>
          <w:rFonts w:ascii="宋体" w:hAnsi="宋体"/>
          <w:color w:val="auto"/>
          <w:sz w:val="32"/>
          <w:szCs w:val="32"/>
          <w:highlight w:val="none"/>
        </w:rPr>
      </w:pPr>
    </w:p>
    <w:p w14:paraId="279C7947">
      <w:pPr>
        <w:pStyle w:val="202"/>
        <w:spacing w:line="360" w:lineRule="auto"/>
        <w:rPr>
          <w:color w:val="auto"/>
          <w:highlight w:val="none"/>
        </w:rPr>
      </w:pPr>
    </w:p>
    <w:p w14:paraId="6EEC0EC3">
      <w:pPr>
        <w:spacing w:line="360" w:lineRule="auto"/>
        <w:rPr>
          <w:color w:val="auto"/>
          <w:highlight w:val="none"/>
        </w:rPr>
      </w:pPr>
    </w:p>
    <w:p w14:paraId="71F4A733">
      <w:pPr>
        <w:pStyle w:val="202"/>
        <w:spacing w:line="360" w:lineRule="auto"/>
        <w:rPr>
          <w:color w:val="auto"/>
          <w:highlight w:val="none"/>
        </w:rPr>
      </w:pPr>
    </w:p>
    <w:p w14:paraId="6BB2EE7C">
      <w:pPr>
        <w:spacing w:line="360" w:lineRule="auto"/>
        <w:rPr>
          <w:color w:val="auto"/>
          <w:highlight w:val="none"/>
        </w:rPr>
      </w:pPr>
    </w:p>
    <w:p w14:paraId="51CD1E11">
      <w:pPr>
        <w:pStyle w:val="202"/>
        <w:spacing w:line="360" w:lineRule="auto"/>
        <w:rPr>
          <w:color w:val="auto"/>
          <w:highlight w:val="none"/>
        </w:rPr>
      </w:pPr>
    </w:p>
    <w:p w14:paraId="58A9DC7C">
      <w:pPr>
        <w:spacing w:line="360" w:lineRule="auto"/>
        <w:rPr>
          <w:color w:val="auto"/>
          <w:highlight w:val="none"/>
        </w:rPr>
      </w:pPr>
    </w:p>
    <w:p w14:paraId="2C4C3A77">
      <w:pPr>
        <w:pStyle w:val="202"/>
        <w:spacing w:line="360" w:lineRule="auto"/>
        <w:ind w:left="0"/>
        <w:rPr>
          <w:rFonts w:hint="eastAsia"/>
          <w:color w:val="auto"/>
          <w:highlight w:val="none"/>
        </w:rPr>
      </w:pPr>
    </w:p>
    <w:p w14:paraId="30BA28BE">
      <w:pPr>
        <w:spacing w:line="360" w:lineRule="auto"/>
        <w:rPr>
          <w:rFonts w:hint="eastAsia" w:ascii="宋体" w:hAnsi="宋体"/>
          <w:color w:val="auto"/>
          <w:sz w:val="32"/>
          <w:szCs w:val="32"/>
          <w:highlight w:val="none"/>
        </w:rPr>
      </w:pPr>
      <w:r>
        <w:rPr>
          <w:rFonts w:hint="eastAsia" w:ascii="宋体" w:hAnsi="宋体"/>
          <w:color w:val="auto"/>
          <w:sz w:val="32"/>
          <w:szCs w:val="32"/>
          <w:highlight w:val="none"/>
        </w:rPr>
        <w:t>采购人：南京市浦口生态环境监测监控中心</w:t>
      </w:r>
    </w:p>
    <w:p w14:paraId="25F2E0E4">
      <w:pPr>
        <w:spacing w:line="360" w:lineRule="auto"/>
        <w:rPr>
          <w:rFonts w:hint="eastAsia" w:ascii="宋体" w:hAnsi="宋体" w:eastAsia="宋体"/>
          <w:color w:val="auto"/>
          <w:sz w:val="32"/>
          <w:szCs w:val="32"/>
          <w:highlight w:val="none"/>
          <w:lang w:eastAsia="zh-CN"/>
        </w:rPr>
      </w:pPr>
      <w:r>
        <w:rPr>
          <w:rFonts w:hint="eastAsia" w:ascii="宋体" w:hAnsi="宋体"/>
          <w:color w:val="auto"/>
          <w:sz w:val="32"/>
          <w:szCs w:val="32"/>
          <w:highlight w:val="none"/>
        </w:rPr>
        <w:t>采购代理单位：南京越鑫</w:t>
      </w:r>
      <w:r>
        <w:rPr>
          <w:rFonts w:hint="eastAsia" w:ascii="宋体" w:hAnsi="宋体"/>
          <w:color w:val="auto"/>
          <w:sz w:val="32"/>
          <w:szCs w:val="32"/>
          <w:highlight w:val="none"/>
          <w:lang w:val="en-US" w:eastAsia="zh-CN"/>
        </w:rPr>
        <w:t>项目管理咨询有限</w:t>
      </w:r>
      <w:r>
        <w:rPr>
          <w:rFonts w:hint="eastAsia" w:ascii="宋体" w:hAnsi="宋体"/>
          <w:color w:val="auto"/>
          <w:sz w:val="32"/>
          <w:szCs w:val="32"/>
          <w:highlight w:val="none"/>
          <w:lang w:eastAsia="zh-CN"/>
        </w:rPr>
        <w:t>公司</w:t>
      </w:r>
    </w:p>
    <w:p w14:paraId="4131BD98">
      <w:pPr>
        <w:spacing w:line="360" w:lineRule="auto"/>
        <w:rPr>
          <w:rFonts w:ascii="宋体" w:hAnsi="宋体"/>
          <w:color w:val="auto"/>
          <w:sz w:val="32"/>
          <w:szCs w:val="32"/>
          <w:highlight w:val="none"/>
        </w:rPr>
      </w:pPr>
      <w:r>
        <w:rPr>
          <w:rFonts w:hint="eastAsia" w:ascii="宋体" w:hAnsi="宋体"/>
          <w:color w:val="auto"/>
          <w:sz w:val="32"/>
          <w:szCs w:val="32"/>
          <w:highlight w:val="none"/>
        </w:rPr>
        <w:t>日期：二〇二</w:t>
      </w:r>
      <w:r>
        <w:rPr>
          <w:rFonts w:hint="eastAsia" w:ascii="宋体" w:hAnsi="宋体"/>
          <w:color w:val="auto"/>
          <w:sz w:val="32"/>
          <w:szCs w:val="32"/>
          <w:highlight w:val="none"/>
          <w:lang w:val="en-US" w:eastAsia="zh-CN"/>
        </w:rPr>
        <w:t>六</w:t>
      </w:r>
      <w:r>
        <w:rPr>
          <w:rFonts w:hint="eastAsia" w:ascii="宋体" w:hAnsi="宋体"/>
          <w:color w:val="auto"/>
          <w:sz w:val="32"/>
          <w:szCs w:val="32"/>
          <w:highlight w:val="none"/>
        </w:rPr>
        <w:t>年</w:t>
      </w:r>
      <w:r>
        <w:rPr>
          <w:rFonts w:hint="eastAsia" w:ascii="宋体" w:hAnsi="宋体"/>
          <w:color w:val="auto"/>
          <w:sz w:val="32"/>
          <w:szCs w:val="32"/>
          <w:highlight w:val="none"/>
          <w:lang w:val="en-US" w:eastAsia="zh-CN"/>
        </w:rPr>
        <w:t>四</w:t>
      </w:r>
      <w:r>
        <w:rPr>
          <w:rFonts w:hint="eastAsia" w:ascii="宋体" w:hAnsi="宋体"/>
          <w:color w:val="auto"/>
          <w:sz w:val="32"/>
          <w:szCs w:val="32"/>
          <w:highlight w:val="none"/>
        </w:rPr>
        <w:t>月</w:t>
      </w:r>
      <w:r>
        <w:rPr>
          <w:rFonts w:hint="eastAsia" w:ascii="宋体" w:hAnsi="宋体"/>
          <w:color w:val="auto"/>
          <w:sz w:val="32"/>
          <w:szCs w:val="32"/>
          <w:highlight w:val="none"/>
          <w:lang w:val="en-US" w:eastAsia="zh-CN"/>
        </w:rPr>
        <w:t>九</w:t>
      </w:r>
      <w:r>
        <w:rPr>
          <w:rFonts w:hint="eastAsia" w:ascii="宋体" w:hAnsi="宋体"/>
          <w:color w:val="auto"/>
          <w:sz w:val="32"/>
          <w:szCs w:val="32"/>
          <w:highlight w:val="none"/>
        </w:rPr>
        <w:t>日</w:t>
      </w:r>
    </w:p>
    <w:p w14:paraId="45958C58">
      <w:pPr>
        <w:spacing w:line="360" w:lineRule="auto"/>
        <w:rPr>
          <w:rFonts w:ascii="宋体" w:hAnsi="宋体"/>
          <w:color w:val="auto"/>
          <w:szCs w:val="21"/>
          <w:highlight w:val="none"/>
        </w:rPr>
      </w:pPr>
      <w:bookmarkStart w:id="7" w:name="_Toc44660250"/>
    </w:p>
    <w:p w14:paraId="11108834">
      <w:pPr>
        <w:pStyle w:val="202"/>
        <w:spacing w:line="360" w:lineRule="auto"/>
        <w:ind w:left="0"/>
        <w:rPr>
          <w:rFonts w:hint="eastAsia" w:ascii="宋体" w:hAnsi="宋体"/>
          <w:color w:val="auto"/>
          <w:szCs w:val="21"/>
          <w:highlight w:val="none"/>
        </w:rPr>
      </w:pPr>
    </w:p>
    <w:p w14:paraId="453B6332">
      <w:pPr>
        <w:pStyle w:val="448"/>
        <w:spacing w:line="360" w:lineRule="auto"/>
        <w:jc w:val="center"/>
        <w:rPr>
          <w:rFonts w:ascii="宋体" w:hAnsi="宋体"/>
          <w:b/>
          <w:color w:val="auto"/>
          <w:highlight w:val="none"/>
        </w:rPr>
      </w:pPr>
      <w:r>
        <w:rPr>
          <w:rFonts w:ascii="宋体" w:hAnsi="宋体"/>
          <w:b/>
          <w:color w:val="auto"/>
          <w:highlight w:val="none"/>
          <w:lang w:val="zh-CN"/>
        </w:rPr>
        <w:t>目录</w:t>
      </w:r>
    </w:p>
    <w:p w14:paraId="70C35346">
      <w:pPr>
        <w:pStyle w:val="243"/>
        <w:tabs>
          <w:tab w:val="right" w:leader="dot" w:pos="9060"/>
        </w:tabs>
        <w:spacing w:line="360" w:lineRule="auto"/>
        <w:rPr>
          <w:rFonts w:ascii="宋体" w:hAnsi="宋体"/>
          <w:caps w:val="0"/>
          <w:color w:val="auto"/>
          <w:sz w:val="32"/>
          <w:szCs w:val="32"/>
          <w:highlight w:val="none"/>
        </w:rPr>
      </w:pPr>
      <w:r>
        <w:rPr>
          <w:rFonts w:ascii="宋体" w:hAnsi="宋体"/>
          <w:color w:val="auto"/>
          <w:sz w:val="32"/>
          <w:szCs w:val="32"/>
          <w:highlight w:val="none"/>
        </w:rPr>
        <w:fldChar w:fldCharType="begin"/>
      </w:r>
      <w:r>
        <w:rPr>
          <w:rFonts w:ascii="宋体" w:hAnsi="宋体"/>
          <w:color w:val="auto"/>
          <w:sz w:val="32"/>
          <w:szCs w:val="32"/>
          <w:highlight w:val="none"/>
        </w:rPr>
        <w:instrText xml:space="preserve"> TOC \o "1-3" \h \z \u </w:instrText>
      </w:r>
      <w:r>
        <w:rPr>
          <w:rFonts w:ascii="宋体" w:hAnsi="宋体"/>
          <w:color w:val="auto"/>
          <w:sz w:val="32"/>
          <w:szCs w:val="32"/>
          <w:highlight w:val="none"/>
        </w:rPr>
        <w:fldChar w:fldCharType="separate"/>
      </w:r>
      <w:r>
        <w:rPr>
          <w:rFonts w:ascii="宋体" w:hAnsi="宋体"/>
          <w:color w:val="auto"/>
          <w:sz w:val="32"/>
          <w:szCs w:val="32"/>
          <w:highlight w:val="none"/>
        </w:rPr>
        <w:fldChar w:fldCharType="begin"/>
      </w:r>
      <w:r>
        <w:rPr>
          <w:rStyle w:val="275"/>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"_Toc55479004"</w:instrText>
      </w:r>
      <w:r>
        <w:rPr>
          <w:rStyle w:val="275"/>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75"/>
          <w:rFonts w:hint="eastAsia" w:ascii="宋体" w:hAnsi="宋体"/>
          <w:bCs/>
          <w:color w:val="auto"/>
          <w:sz w:val="32"/>
          <w:szCs w:val="32"/>
          <w:highlight w:val="none"/>
          <w:lang w:val="zh-CN"/>
        </w:rPr>
        <w:t>第一章</w:t>
      </w:r>
      <w:r>
        <w:rPr>
          <w:rStyle w:val="275"/>
          <w:rFonts w:ascii="宋体" w:hAnsi="宋体"/>
          <w:bCs/>
          <w:color w:val="auto"/>
          <w:sz w:val="32"/>
          <w:szCs w:val="32"/>
          <w:highlight w:val="none"/>
          <w:lang w:val="zh-CN"/>
        </w:rPr>
        <w:t xml:space="preserve"> </w:t>
      </w:r>
      <w:r>
        <w:rPr>
          <w:rStyle w:val="275"/>
          <w:rFonts w:hint="eastAsia" w:ascii="宋体" w:hAnsi="宋体"/>
          <w:bCs/>
          <w:color w:val="auto"/>
          <w:sz w:val="32"/>
          <w:szCs w:val="32"/>
          <w:highlight w:val="none"/>
          <w:lang w:val="zh-CN"/>
        </w:rPr>
        <w:t>公开招标公告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_Toc55479004 \h </w:instrText>
      </w:r>
      <w:r>
        <w:rPr>
          <w:rFonts w:ascii="宋体" w:hAnsi="宋体"/>
          <w:color w:val="auto"/>
          <w:sz w:val="32"/>
          <w:szCs w:val="32"/>
          <w:highlight w:val="none"/>
        </w:rPr>
        <w:fldChar w:fldCharType="separate"/>
      </w:r>
      <w:r>
        <w:rPr>
          <w:rFonts w:ascii="宋体" w:hAnsi="宋体"/>
          <w:color w:val="auto"/>
          <w:sz w:val="32"/>
          <w:szCs w:val="32"/>
          <w:highlight w:val="none"/>
        </w:rPr>
        <w:t>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05DE5CF8">
      <w:pPr>
        <w:pStyle w:val="243"/>
        <w:tabs>
          <w:tab w:val="right" w:leader="dot" w:pos="9060"/>
        </w:tabs>
        <w:spacing w:line="360" w:lineRule="auto"/>
        <w:rPr>
          <w:rFonts w:ascii="宋体" w:hAnsi="宋体"/>
          <w:caps w:val="0"/>
          <w:color w:val="auto"/>
          <w:sz w:val="32"/>
          <w:szCs w:val="32"/>
          <w:highlight w:val="none"/>
        </w:rPr>
      </w:pPr>
      <w:r>
        <w:rPr>
          <w:rFonts w:ascii="宋体" w:hAnsi="宋体"/>
          <w:color w:val="auto"/>
          <w:sz w:val="32"/>
          <w:szCs w:val="32"/>
          <w:highlight w:val="none"/>
        </w:rPr>
        <w:fldChar w:fldCharType="begin"/>
      </w:r>
      <w:r>
        <w:rPr>
          <w:rStyle w:val="275"/>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"_Toc55479005"</w:instrText>
      </w:r>
      <w:r>
        <w:rPr>
          <w:rStyle w:val="275"/>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75"/>
          <w:rFonts w:hint="eastAsia" w:ascii="宋体" w:hAnsi="宋体"/>
          <w:bCs/>
          <w:color w:val="auto"/>
          <w:sz w:val="32"/>
          <w:szCs w:val="32"/>
          <w:highlight w:val="none"/>
          <w:lang w:val="zh-CN"/>
        </w:rPr>
        <w:t>第二章</w:t>
      </w:r>
      <w:r>
        <w:rPr>
          <w:rStyle w:val="275"/>
          <w:rFonts w:ascii="宋体" w:hAnsi="宋体"/>
          <w:bCs/>
          <w:color w:val="auto"/>
          <w:sz w:val="32"/>
          <w:szCs w:val="32"/>
          <w:highlight w:val="none"/>
          <w:lang w:val="zh-CN"/>
        </w:rPr>
        <w:t xml:space="preserve"> </w:t>
      </w:r>
      <w:r>
        <w:rPr>
          <w:rStyle w:val="275"/>
          <w:rFonts w:hint="eastAsia" w:ascii="宋体" w:hAnsi="宋体"/>
          <w:bCs/>
          <w:color w:val="auto"/>
          <w:sz w:val="32"/>
          <w:szCs w:val="32"/>
          <w:highlight w:val="none"/>
          <w:lang w:val="zh-CN"/>
        </w:rPr>
        <w:t>投标人须知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_Toc55479005 \h </w:instrText>
      </w:r>
      <w:r>
        <w:rPr>
          <w:rFonts w:ascii="宋体" w:hAnsi="宋体"/>
          <w:color w:val="auto"/>
          <w:sz w:val="32"/>
          <w:szCs w:val="32"/>
          <w:highlight w:val="none"/>
        </w:rPr>
        <w:fldChar w:fldCharType="separate"/>
      </w:r>
      <w:r>
        <w:rPr>
          <w:rFonts w:ascii="宋体" w:hAnsi="宋体"/>
          <w:color w:val="auto"/>
          <w:sz w:val="32"/>
          <w:szCs w:val="32"/>
          <w:highlight w:val="none"/>
        </w:rPr>
        <w:t>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3EFC8BED">
      <w:pPr>
        <w:pStyle w:val="243"/>
        <w:tabs>
          <w:tab w:val="right" w:leader="dot" w:pos="9060"/>
        </w:tabs>
        <w:spacing w:line="360" w:lineRule="auto"/>
        <w:rPr>
          <w:rFonts w:ascii="宋体" w:hAnsi="宋体"/>
          <w:caps w:val="0"/>
          <w:color w:val="auto"/>
          <w:sz w:val="32"/>
          <w:szCs w:val="32"/>
          <w:highlight w:val="none"/>
        </w:rPr>
      </w:pPr>
      <w:r>
        <w:rPr>
          <w:rFonts w:ascii="宋体" w:hAnsi="宋体"/>
          <w:color w:val="auto"/>
          <w:sz w:val="32"/>
          <w:szCs w:val="32"/>
          <w:highlight w:val="none"/>
        </w:rPr>
        <w:fldChar w:fldCharType="begin"/>
      </w:r>
      <w:r>
        <w:rPr>
          <w:rStyle w:val="275"/>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"_Toc55479011"</w:instrText>
      </w:r>
      <w:r>
        <w:rPr>
          <w:rStyle w:val="275"/>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75"/>
          <w:rFonts w:hint="eastAsia" w:ascii="宋体" w:hAnsi="宋体"/>
          <w:bCs/>
          <w:color w:val="auto"/>
          <w:sz w:val="32"/>
          <w:szCs w:val="32"/>
          <w:highlight w:val="none"/>
          <w:lang w:val="zh-CN"/>
        </w:rPr>
        <w:t>第三章</w:t>
      </w:r>
      <w:r>
        <w:rPr>
          <w:rStyle w:val="275"/>
          <w:rFonts w:ascii="宋体" w:hAnsi="宋体"/>
          <w:bCs/>
          <w:color w:val="auto"/>
          <w:sz w:val="32"/>
          <w:szCs w:val="32"/>
          <w:highlight w:val="none"/>
          <w:lang w:val="zh-CN"/>
        </w:rPr>
        <w:t xml:space="preserve"> </w:t>
      </w:r>
      <w:r>
        <w:rPr>
          <w:rStyle w:val="275"/>
          <w:rFonts w:hint="eastAsia" w:ascii="宋体" w:hAnsi="宋体"/>
          <w:bCs/>
          <w:color w:val="auto"/>
          <w:sz w:val="32"/>
          <w:szCs w:val="32"/>
          <w:highlight w:val="none"/>
          <w:lang w:val="zh-CN"/>
        </w:rPr>
        <w:t>评标标准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_Toc55479011 \h </w:instrText>
      </w:r>
      <w:r>
        <w:rPr>
          <w:rFonts w:ascii="宋体" w:hAnsi="宋体"/>
          <w:color w:val="auto"/>
          <w:sz w:val="32"/>
          <w:szCs w:val="32"/>
          <w:highlight w:val="none"/>
        </w:rPr>
        <w:fldChar w:fldCharType="separate"/>
      </w:r>
      <w:r>
        <w:rPr>
          <w:rFonts w:ascii="宋体" w:hAnsi="宋体"/>
          <w:color w:val="auto"/>
          <w:sz w:val="32"/>
          <w:szCs w:val="32"/>
          <w:highlight w:val="none"/>
        </w:rPr>
        <w:t>15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E6031F4">
      <w:pPr>
        <w:pStyle w:val="243"/>
        <w:tabs>
          <w:tab w:val="right" w:leader="dot" w:pos="9060"/>
        </w:tabs>
        <w:spacing w:line="360" w:lineRule="auto"/>
        <w:rPr>
          <w:rFonts w:ascii="宋体" w:hAnsi="宋体"/>
          <w:caps w:val="0"/>
          <w:color w:val="auto"/>
          <w:sz w:val="32"/>
          <w:szCs w:val="32"/>
          <w:highlight w:val="none"/>
        </w:rPr>
      </w:pPr>
      <w:r>
        <w:rPr>
          <w:rFonts w:ascii="宋体" w:hAnsi="宋体"/>
          <w:color w:val="auto"/>
          <w:sz w:val="32"/>
          <w:szCs w:val="32"/>
          <w:highlight w:val="none"/>
        </w:rPr>
        <w:fldChar w:fldCharType="begin"/>
      </w:r>
      <w:r>
        <w:rPr>
          <w:rStyle w:val="275"/>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"_Toc55479012"</w:instrText>
      </w:r>
      <w:r>
        <w:rPr>
          <w:rStyle w:val="275"/>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75"/>
          <w:rFonts w:hint="eastAsia" w:ascii="宋体" w:hAnsi="宋体"/>
          <w:bCs/>
          <w:color w:val="auto"/>
          <w:sz w:val="32"/>
          <w:szCs w:val="32"/>
          <w:highlight w:val="none"/>
          <w:lang w:val="zh-CN"/>
        </w:rPr>
        <w:t>第四章</w:t>
      </w:r>
      <w:r>
        <w:rPr>
          <w:rStyle w:val="275"/>
          <w:rFonts w:ascii="宋体" w:hAnsi="宋体"/>
          <w:bCs/>
          <w:color w:val="auto"/>
          <w:sz w:val="32"/>
          <w:szCs w:val="32"/>
          <w:highlight w:val="none"/>
          <w:lang w:val="zh-CN"/>
        </w:rPr>
        <w:t xml:space="preserve"> </w:t>
      </w:r>
      <w:r>
        <w:rPr>
          <w:rStyle w:val="275"/>
          <w:rFonts w:hint="eastAsia" w:ascii="宋体" w:hAnsi="宋体"/>
          <w:bCs/>
          <w:color w:val="auto"/>
          <w:sz w:val="32"/>
          <w:szCs w:val="32"/>
          <w:highlight w:val="none"/>
          <w:lang w:val="zh-CN"/>
        </w:rPr>
        <w:t>采购需求及标准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_Toc55479012 \h </w:instrText>
      </w:r>
      <w:r>
        <w:rPr>
          <w:rFonts w:ascii="宋体" w:hAnsi="宋体"/>
          <w:color w:val="auto"/>
          <w:sz w:val="32"/>
          <w:szCs w:val="32"/>
          <w:highlight w:val="none"/>
        </w:rPr>
        <w:fldChar w:fldCharType="separate"/>
      </w:r>
      <w:r>
        <w:rPr>
          <w:rFonts w:ascii="宋体" w:hAnsi="宋体"/>
          <w:color w:val="auto"/>
          <w:sz w:val="32"/>
          <w:szCs w:val="32"/>
          <w:highlight w:val="none"/>
        </w:rPr>
        <w:t>19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B090811">
      <w:pPr>
        <w:pStyle w:val="243"/>
        <w:tabs>
          <w:tab w:val="left" w:pos="1134"/>
          <w:tab w:val="right" w:leader="dot" w:pos="9060"/>
        </w:tabs>
        <w:spacing w:line="360" w:lineRule="auto"/>
        <w:rPr>
          <w:rFonts w:ascii="宋体" w:hAnsi="宋体"/>
          <w:caps w:val="0"/>
          <w:color w:val="auto"/>
          <w:sz w:val="32"/>
          <w:szCs w:val="32"/>
          <w:highlight w:val="none"/>
        </w:rPr>
      </w:pPr>
      <w:r>
        <w:rPr>
          <w:rFonts w:ascii="宋体" w:hAnsi="宋体"/>
          <w:color w:val="auto"/>
          <w:sz w:val="32"/>
          <w:szCs w:val="32"/>
          <w:highlight w:val="none"/>
        </w:rPr>
        <w:fldChar w:fldCharType="begin"/>
      </w:r>
      <w:r>
        <w:rPr>
          <w:rStyle w:val="275"/>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"_Toc55479020"</w:instrText>
      </w:r>
      <w:r>
        <w:rPr>
          <w:rStyle w:val="275"/>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75"/>
          <w:rFonts w:hint="eastAsia" w:ascii="宋体" w:hAnsi="宋体"/>
          <w:bCs/>
          <w:color w:val="auto"/>
          <w:sz w:val="32"/>
          <w:szCs w:val="32"/>
          <w:highlight w:val="none"/>
          <w:lang w:val="zh-CN"/>
        </w:rPr>
        <w:t>第五章 合同条款</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_Toc55479020 \h </w:instrText>
      </w:r>
      <w:r>
        <w:rPr>
          <w:rFonts w:ascii="宋体" w:hAnsi="宋体"/>
          <w:color w:val="auto"/>
          <w:sz w:val="32"/>
          <w:szCs w:val="32"/>
          <w:highlight w:val="none"/>
        </w:rPr>
        <w:fldChar w:fldCharType="separate"/>
      </w:r>
      <w:r>
        <w:rPr>
          <w:rFonts w:ascii="宋体" w:hAnsi="宋体"/>
          <w:color w:val="auto"/>
          <w:sz w:val="32"/>
          <w:szCs w:val="32"/>
          <w:highlight w:val="none"/>
        </w:rPr>
        <w:t>23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0114F355">
      <w:pPr>
        <w:pStyle w:val="243"/>
        <w:tabs>
          <w:tab w:val="right" w:leader="dot" w:pos="9060"/>
        </w:tabs>
        <w:spacing w:line="360" w:lineRule="auto"/>
        <w:rPr>
          <w:rFonts w:ascii="宋体" w:hAnsi="宋体"/>
          <w:caps w:val="0"/>
          <w:color w:val="auto"/>
          <w:sz w:val="32"/>
          <w:szCs w:val="32"/>
          <w:highlight w:val="none"/>
        </w:rPr>
      </w:pPr>
      <w:r>
        <w:rPr>
          <w:rFonts w:ascii="宋体" w:hAnsi="宋体"/>
          <w:color w:val="auto"/>
          <w:sz w:val="32"/>
          <w:szCs w:val="32"/>
          <w:highlight w:val="none"/>
        </w:rPr>
        <w:fldChar w:fldCharType="begin"/>
      </w:r>
      <w:r>
        <w:rPr>
          <w:rStyle w:val="275"/>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"_Toc55479021"</w:instrText>
      </w:r>
      <w:r>
        <w:rPr>
          <w:rStyle w:val="275"/>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75"/>
          <w:rFonts w:hint="eastAsia" w:ascii="宋体" w:hAnsi="宋体"/>
          <w:bCs/>
          <w:color w:val="auto"/>
          <w:sz w:val="32"/>
          <w:szCs w:val="32"/>
          <w:highlight w:val="none"/>
          <w:lang w:val="zh-CN"/>
        </w:rPr>
        <w:t>第六章</w:t>
      </w:r>
      <w:r>
        <w:rPr>
          <w:rStyle w:val="275"/>
          <w:rFonts w:ascii="宋体" w:hAnsi="宋体"/>
          <w:bCs/>
          <w:color w:val="auto"/>
          <w:sz w:val="32"/>
          <w:szCs w:val="32"/>
          <w:highlight w:val="none"/>
          <w:lang w:val="zh-CN"/>
        </w:rPr>
        <w:t xml:space="preserve"> </w:t>
      </w:r>
      <w:r>
        <w:rPr>
          <w:rStyle w:val="275"/>
          <w:rFonts w:hint="eastAsia" w:ascii="宋体" w:hAnsi="宋体"/>
          <w:bCs/>
          <w:color w:val="auto"/>
          <w:sz w:val="32"/>
          <w:szCs w:val="32"/>
          <w:highlight w:val="none"/>
          <w:lang w:val="zh-CN"/>
        </w:rPr>
        <w:t>投标文件格式及附件</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_Toc55479021 \h </w:instrText>
      </w:r>
      <w:r>
        <w:rPr>
          <w:rFonts w:ascii="宋体" w:hAnsi="宋体"/>
          <w:color w:val="auto"/>
          <w:sz w:val="32"/>
          <w:szCs w:val="32"/>
          <w:highlight w:val="none"/>
        </w:rPr>
        <w:fldChar w:fldCharType="separate"/>
      </w:r>
      <w:r>
        <w:rPr>
          <w:rFonts w:ascii="宋体" w:hAnsi="宋体"/>
          <w:color w:val="auto"/>
          <w:sz w:val="32"/>
          <w:szCs w:val="32"/>
          <w:highlight w:val="none"/>
        </w:rPr>
        <w:t>27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1DB8314">
      <w:pPr>
        <w:spacing w:line="360" w:lineRule="auto"/>
        <w:rPr>
          <w:rFonts w:ascii="宋体" w:hAnsi="宋体"/>
          <w:color w:val="auto"/>
          <w:szCs w:val="21"/>
          <w:highlight w:val="none"/>
        </w:rPr>
      </w:pPr>
      <w:r>
        <w:rPr>
          <w:rFonts w:ascii="宋体" w:hAnsi="宋体"/>
          <w:b/>
          <w:bCs/>
          <w:color w:val="auto"/>
          <w:sz w:val="32"/>
          <w:szCs w:val="32"/>
          <w:highlight w:val="none"/>
          <w:lang w:val="zh-CN"/>
        </w:rPr>
        <w:fldChar w:fldCharType="end"/>
      </w:r>
    </w:p>
    <w:p w14:paraId="2BDB92ED">
      <w:pPr>
        <w:pStyle w:val="202"/>
        <w:spacing w:line="360" w:lineRule="auto"/>
        <w:rPr>
          <w:rFonts w:hint="eastAsia" w:ascii="宋体" w:hAnsi="宋体"/>
          <w:color w:val="auto"/>
          <w:szCs w:val="21"/>
          <w:highlight w:val="none"/>
        </w:rPr>
        <w:sectPr>
          <w:headerReference r:id="rId3" w:type="default"/>
          <w:footerReference r:id="rId4" w:type="default"/>
          <w:footerReference r:id="rId5" w:type="even"/>
          <w:pgSz w:w="11906" w:h="16838"/>
          <w:pgMar w:top="1418" w:right="1418" w:bottom="1418" w:left="1418" w:header="851" w:footer="680" w:gutter="0"/>
          <w:cols w:space="720" w:num="1"/>
          <w:docGrid w:linePitch="360" w:charSpace="0"/>
        </w:sectPr>
      </w:pPr>
    </w:p>
    <w:p w14:paraId="3786E288">
      <w:pPr>
        <w:tabs>
          <w:tab w:val="left" w:pos="426"/>
        </w:tabs>
        <w:spacing w:line="360" w:lineRule="auto"/>
        <w:jc w:val="center"/>
        <w:outlineLvl w:val="0"/>
        <w:rPr>
          <w:rFonts w:hint="eastAsia" w:ascii="宋体" w:hAnsi="宋体"/>
          <w:b/>
          <w:bCs/>
          <w:color w:val="auto"/>
          <w:sz w:val="32"/>
          <w:szCs w:val="32"/>
          <w:highlight w:val="none"/>
          <w:lang w:val="zh-CN"/>
        </w:rPr>
      </w:pPr>
      <w:bookmarkStart w:id="8" w:name="_Toc55479004"/>
      <w:r>
        <w:rPr>
          <w:rFonts w:hint="eastAsia" w:ascii="宋体" w:hAnsi="宋体"/>
          <w:b/>
          <w:bCs/>
          <w:color w:val="auto"/>
          <w:sz w:val="32"/>
          <w:szCs w:val="32"/>
          <w:highlight w:val="none"/>
          <w:lang w:val="zh-CN"/>
        </w:rPr>
        <w:t>第一章 公开招标公告</w:t>
      </w:r>
      <w:bookmarkEnd w:id="7"/>
      <w:bookmarkEnd w:id="8"/>
    </w:p>
    <w:p w14:paraId="66F06A15">
      <w:pPr>
        <w:spacing w:line="360" w:lineRule="auto"/>
        <w:rPr>
          <w:rFonts w:ascii="宋体" w:hAnsi="宋体"/>
          <w:color w:val="auto"/>
          <w:szCs w:val="21"/>
          <w:highlight w:val="none"/>
        </w:rPr>
      </w:pPr>
      <w:bookmarkStart w:id="9" w:name="_Toc28359089"/>
      <w:bookmarkStart w:id="10" w:name="_Toc28359012"/>
      <w:bookmarkStart w:id="11" w:name="_Toc35393798"/>
      <w:bookmarkStart w:id="12" w:name="_Toc35393629"/>
      <w:r>
        <w:rPr>
          <w:rFonts w:ascii="宋体" w:hAnsi="宋体"/>
          <w:color w:val="auto"/>
          <w:szCs w:val="21"/>
          <w:highlight w:val="none"/>
        </w:rPr>
        <w:t>项目概况</w:t>
      </w:r>
    </w:p>
    <w:p w14:paraId="77808BD0">
      <w:pPr>
        <w:spacing w:line="360" w:lineRule="auto"/>
        <w:ind w:firstLine="420"/>
        <w:rPr>
          <w:rFonts w:ascii="宋体" w:hAnsi="宋体"/>
          <w:color w:val="auto"/>
          <w:szCs w:val="21"/>
          <w:highlight w:val="none"/>
        </w:rPr>
      </w:pPr>
      <w:r>
        <w:rPr>
          <w:rFonts w:hint="eastAsia" w:ascii="宋体" w:hAnsi="宋体"/>
          <w:color w:val="auto"/>
          <w:szCs w:val="21"/>
          <w:highlight w:val="none"/>
          <w:lang w:eastAsia="zh-CN"/>
        </w:rPr>
        <w:t>南京江北新区（原浦口区）2026年度环境监测服务项目</w:t>
      </w:r>
      <w:r>
        <w:rPr>
          <w:rFonts w:hint="eastAsia" w:ascii="宋体" w:hAnsi="宋体"/>
          <w:color w:val="auto"/>
          <w:szCs w:val="21"/>
          <w:highlight w:val="none"/>
        </w:rPr>
        <w:t>的潜在投标人应在</w:t>
      </w:r>
      <w:r>
        <w:rPr>
          <w:rFonts w:hint="eastAsia" w:ascii="宋体" w:hAnsi="宋体"/>
          <w:color w:val="auto"/>
          <w:szCs w:val="21"/>
          <w:highlight w:val="none"/>
          <w:lang w:val="en-US" w:eastAsia="zh-CN"/>
        </w:rPr>
        <w:t>南京市公共采购信息网</w:t>
      </w:r>
      <w:r>
        <w:rPr>
          <w:rFonts w:hint="eastAsia" w:ascii="宋体" w:hAnsi="宋体"/>
          <w:color w:val="auto"/>
          <w:szCs w:val="21"/>
          <w:highlight w:val="none"/>
        </w:rPr>
        <w:t>获取招标文件，并于</w:t>
      </w:r>
      <w:r>
        <w:rPr>
          <w:rFonts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w:t>
      </w:r>
      <w:r>
        <w:rPr>
          <w:rFonts w:hint="eastAsia" w:ascii="宋体" w:hAnsi="宋体"/>
          <w:color w:val="auto"/>
          <w:szCs w:val="21"/>
          <w:highlight w:val="none"/>
          <w:lang w:val="en-US" w:eastAsia="zh-CN"/>
        </w:rPr>
        <w:t>15时0</w:t>
      </w:r>
      <w:r>
        <w:rPr>
          <w:rFonts w:ascii="宋体" w:hAnsi="宋体"/>
          <w:color w:val="auto"/>
          <w:szCs w:val="21"/>
          <w:highlight w:val="none"/>
        </w:rPr>
        <w:t>0</w:t>
      </w:r>
      <w:r>
        <w:rPr>
          <w:rFonts w:hint="eastAsia" w:ascii="宋体" w:hAnsi="宋体"/>
          <w:color w:val="auto"/>
          <w:szCs w:val="21"/>
          <w:highlight w:val="none"/>
        </w:rPr>
        <w:t>分（北京时间）前提交投标文件。</w:t>
      </w:r>
    </w:p>
    <w:p w14:paraId="23AABA2C">
      <w:pPr>
        <w:spacing w:line="360" w:lineRule="auto"/>
        <w:rPr>
          <w:rFonts w:ascii="宋体" w:hAnsi="宋体"/>
          <w:color w:val="auto"/>
          <w:szCs w:val="21"/>
          <w:highlight w:val="none"/>
        </w:rPr>
      </w:pPr>
      <w:r>
        <w:rPr>
          <w:rFonts w:hint="eastAsia" w:ascii="宋体" w:hAnsi="宋体"/>
          <w:color w:val="auto"/>
          <w:szCs w:val="21"/>
          <w:highlight w:val="none"/>
        </w:rPr>
        <w:t>一、项目基本情况</w:t>
      </w:r>
      <w:bookmarkEnd w:id="9"/>
      <w:bookmarkEnd w:id="10"/>
      <w:bookmarkEnd w:id="11"/>
      <w:bookmarkEnd w:id="12"/>
    </w:p>
    <w:p w14:paraId="16B16308">
      <w:pPr>
        <w:spacing w:line="360" w:lineRule="auto"/>
        <w:ind w:firstLine="420"/>
        <w:rPr>
          <w:rFonts w:hint="eastAsia" w:ascii="宋体" w:hAnsi="宋体" w:eastAsia="宋体"/>
          <w:color w:val="auto"/>
          <w:szCs w:val="21"/>
          <w:highlight w:val="none"/>
          <w:lang w:eastAsia="zh-CN"/>
        </w:rPr>
      </w:pPr>
      <w:bookmarkStart w:id="13" w:name="_Toc35393630"/>
      <w:bookmarkStart w:id="14" w:name="_Toc35393799"/>
      <w:bookmarkStart w:id="15" w:name="_Toc28359013"/>
      <w:bookmarkStart w:id="16" w:name="_Toc28359090"/>
      <w:r>
        <w:rPr>
          <w:rFonts w:hint="eastAsia" w:ascii="宋体" w:hAnsi="宋体"/>
          <w:color w:val="auto"/>
          <w:szCs w:val="21"/>
          <w:highlight w:val="none"/>
        </w:rPr>
        <w:t>1.项目编号：</w:t>
      </w:r>
      <w:r>
        <w:rPr>
          <w:rFonts w:hint="eastAsia" w:ascii="宋体" w:hAnsi="宋体"/>
          <w:color w:val="auto"/>
          <w:szCs w:val="21"/>
          <w:highlight w:val="none"/>
          <w:lang w:eastAsia="zh-CN"/>
        </w:rPr>
        <w:t>NJYX-FW-2026009</w:t>
      </w:r>
    </w:p>
    <w:p w14:paraId="116F8D4D">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2.项目名称：</w:t>
      </w:r>
      <w:r>
        <w:rPr>
          <w:rFonts w:hint="eastAsia" w:ascii="宋体" w:hAnsi="宋体"/>
          <w:color w:val="auto"/>
          <w:szCs w:val="21"/>
          <w:highlight w:val="none"/>
          <w:lang w:eastAsia="zh-CN"/>
        </w:rPr>
        <w:t>南京江北新区（原浦口区）2026年度环境监测服务项目</w:t>
      </w:r>
    </w:p>
    <w:p w14:paraId="47BBE76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3.采购方式：公开招标</w:t>
      </w:r>
    </w:p>
    <w:p w14:paraId="30AE899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4.预算金额：</w:t>
      </w:r>
      <w:r>
        <w:rPr>
          <w:rFonts w:hint="eastAsia" w:ascii="宋体" w:hAnsi="宋体"/>
          <w:color w:val="auto"/>
          <w:szCs w:val="21"/>
          <w:highlight w:val="none"/>
          <w:lang w:val="en-US" w:eastAsia="zh-CN"/>
        </w:rPr>
        <w:t>70</w:t>
      </w:r>
      <w:r>
        <w:rPr>
          <w:rFonts w:hint="eastAsia" w:ascii="宋体" w:hAnsi="宋体"/>
          <w:color w:val="auto"/>
          <w:szCs w:val="21"/>
          <w:highlight w:val="none"/>
        </w:rPr>
        <w:t>万元</w:t>
      </w:r>
    </w:p>
    <w:p w14:paraId="58656615">
      <w:pPr>
        <w:spacing w:line="360" w:lineRule="auto"/>
        <w:ind w:firstLine="420"/>
        <w:rPr>
          <w:rFonts w:ascii="宋体" w:hAnsi="宋体"/>
          <w:color w:val="auto"/>
          <w:szCs w:val="21"/>
          <w:highlight w:val="none"/>
        </w:rPr>
      </w:pPr>
      <w:r>
        <w:rPr>
          <w:rFonts w:hint="eastAsia" w:ascii="宋体" w:hAnsi="宋体"/>
          <w:color w:val="auto"/>
          <w:szCs w:val="21"/>
          <w:highlight w:val="none"/>
        </w:rPr>
        <w:t>5.最高限价：</w:t>
      </w:r>
    </w:p>
    <w:tbl>
      <w:tblPr>
        <w:tblStyle w:val="37"/>
        <w:tblW w:w="99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48"/>
        <w:gridCol w:w="1809"/>
        <w:gridCol w:w="1103"/>
        <w:gridCol w:w="6120"/>
      </w:tblGrid>
      <w:tr w14:paraId="39619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948" w:type="dxa"/>
            <w:noWrap w:val="0"/>
            <w:tcMar>
              <w:top w:w="0" w:type="dxa"/>
              <w:left w:w="108" w:type="dxa"/>
              <w:bottom w:w="0" w:type="dxa"/>
              <w:right w:w="108" w:type="dxa"/>
            </w:tcMar>
            <w:vAlign w:val="center"/>
          </w:tcPr>
          <w:p w14:paraId="31BFB6B8">
            <w:pPr>
              <w:spacing w:after="0" w:line="24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采购</w:t>
            </w:r>
          </w:p>
          <w:p w14:paraId="0DF7F1B9">
            <w:pPr>
              <w:spacing w:after="0" w:line="24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包号</w:t>
            </w:r>
          </w:p>
        </w:tc>
        <w:tc>
          <w:tcPr>
            <w:tcW w:w="1809" w:type="dxa"/>
            <w:noWrap w:val="0"/>
            <w:tcMar>
              <w:top w:w="0" w:type="dxa"/>
              <w:left w:w="108" w:type="dxa"/>
              <w:bottom w:w="0" w:type="dxa"/>
              <w:right w:w="108" w:type="dxa"/>
            </w:tcMar>
            <w:vAlign w:val="center"/>
          </w:tcPr>
          <w:p w14:paraId="62D01617">
            <w:pPr>
              <w:spacing w:after="0" w:line="24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监测项目</w:t>
            </w:r>
          </w:p>
        </w:tc>
        <w:tc>
          <w:tcPr>
            <w:tcW w:w="1103" w:type="dxa"/>
            <w:noWrap w:val="0"/>
            <w:tcMar>
              <w:top w:w="0" w:type="dxa"/>
              <w:left w:w="108" w:type="dxa"/>
              <w:bottom w:w="0" w:type="dxa"/>
              <w:right w:w="108" w:type="dxa"/>
            </w:tcMar>
            <w:vAlign w:val="center"/>
          </w:tcPr>
          <w:p w14:paraId="504E0896">
            <w:pPr>
              <w:spacing w:after="0" w:line="240" w:lineRule="auto"/>
              <w:jc w:val="center"/>
              <w:rPr>
                <w:rFonts w:hint="eastAsia" w:ascii="宋体" w:hAnsi="宋体"/>
                <w:color w:val="auto"/>
                <w:szCs w:val="21"/>
                <w:highlight w:val="none"/>
                <w:lang w:eastAsia="zh-CN"/>
              </w:rPr>
            </w:pPr>
            <w:bookmarkStart w:id="17" w:name="OLE_LINK6"/>
            <w:r>
              <w:rPr>
                <w:rFonts w:hint="eastAsia" w:ascii="宋体" w:hAnsi="宋体"/>
                <w:color w:val="auto"/>
                <w:szCs w:val="21"/>
                <w:highlight w:val="none"/>
                <w:lang w:eastAsia="zh-CN"/>
              </w:rPr>
              <w:t>预算金额</w:t>
            </w:r>
            <w:bookmarkEnd w:id="17"/>
          </w:p>
        </w:tc>
        <w:tc>
          <w:tcPr>
            <w:tcW w:w="6120" w:type="dxa"/>
            <w:noWrap w:val="0"/>
            <w:tcMar>
              <w:top w:w="0" w:type="dxa"/>
              <w:left w:w="108" w:type="dxa"/>
              <w:bottom w:w="0" w:type="dxa"/>
              <w:right w:w="108" w:type="dxa"/>
            </w:tcMar>
            <w:vAlign w:val="center"/>
          </w:tcPr>
          <w:p w14:paraId="4EC5DB52">
            <w:pPr>
              <w:spacing w:after="0" w:line="24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最高限价</w:t>
            </w:r>
          </w:p>
        </w:tc>
      </w:tr>
      <w:tr w14:paraId="4298E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7" w:hRule="atLeast"/>
        </w:trPr>
        <w:tc>
          <w:tcPr>
            <w:tcW w:w="948" w:type="dxa"/>
            <w:noWrap w:val="0"/>
            <w:tcMar>
              <w:top w:w="0" w:type="dxa"/>
              <w:left w:w="108" w:type="dxa"/>
              <w:bottom w:w="0" w:type="dxa"/>
              <w:right w:w="108" w:type="dxa"/>
            </w:tcMar>
            <w:vAlign w:val="center"/>
          </w:tcPr>
          <w:p w14:paraId="27234E5D">
            <w:pPr>
              <w:spacing w:after="0" w:line="240" w:lineRule="auto"/>
              <w:rPr>
                <w:rFonts w:hint="eastAsia" w:ascii="宋体" w:hAnsi="宋体"/>
                <w:color w:val="auto"/>
                <w:szCs w:val="21"/>
                <w:highlight w:val="none"/>
                <w:lang w:eastAsia="zh-CN"/>
              </w:rPr>
            </w:pPr>
            <w:bookmarkStart w:id="18" w:name="OLE_LINK5"/>
            <w:r>
              <w:rPr>
                <w:rFonts w:hint="eastAsia" w:ascii="宋体" w:hAnsi="宋体"/>
                <w:color w:val="auto"/>
                <w:szCs w:val="21"/>
                <w:highlight w:val="none"/>
                <w:lang w:eastAsia="zh-CN"/>
              </w:rPr>
              <w:t>包一</w:t>
            </w:r>
          </w:p>
        </w:tc>
        <w:tc>
          <w:tcPr>
            <w:tcW w:w="1809" w:type="dxa"/>
            <w:noWrap w:val="0"/>
            <w:tcMar>
              <w:top w:w="0" w:type="dxa"/>
              <w:left w:w="108" w:type="dxa"/>
              <w:bottom w:w="0" w:type="dxa"/>
              <w:right w:w="108" w:type="dxa"/>
            </w:tcMar>
            <w:vAlign w:val="center"/>
          </w:tcPr>
          <w:p w14:paraId="40EC428F">
            <w:pPr>
              <w:spacing w:after="0" w:line="240" w:lineRule="auto"/>
              <w:rPr>
                <w:rFonts w:hint="eastAsia" w:ascii="宋体" w:hAnsi="宋体"/>
                <w:color w:val="auto"/>
                <w:szCs w:val="21"/>
                <w:highlight w:val="none"/>
                <w:lang w:eastAsia="zh-CN"/>
              </w:rPr>
            </w:pPr>
            <w:r>
              <w:rPr>
                <w:rFonts w:hint="eastAsia" w:ascii="宋体" w:hAnsi="宋体" w:cs="宋体"/>
                <w:color w:val="auto"/>
                <w:sz w:val="21"/>
                <w:szCs w:val="21"/>
                <w:highlight w:val="none"/>
                <w:lang w:val="en-US" w:eastAsia="zh-CN"/>
              </w:rPr>
              <w:t>浦口</w:t>
            </w:r>
            <w:r>
              <w:rPr>
                <w:rFonts w:hint="eastAsia" w:ascii="宋体" w:hAnsi="宋体" w:eastAsia="宋体" w:cs="宋体"/>
                <w:color w:val="auto"/>
                <w:sz w:val="21"/>
                <w:szCs w:val="21"/>
                <w:highlight w:val="none"/>
                <w:lang w:val="en-US" w:eastAsia="zh-CN"/>
              </w:rPr>
              <w:t>区污染源监督监测及临时性监测</w:t>
            </w:r>
          </w:p>
        </w:tc>
        <w:tc>
          <w:tcPr>
            <w:tcW w:w="1103" w:type="dxa"/>
            <w:noWrap w:val="0"/>
            <w:tcMar>
              <w:top w:w="0" w:type="dxa"/>
              <w:left w:w="108" w:type="dxa"/>
              <w:bottom w:w="0" w:type="dxa"/>
              <w:right w:w="108" w:type="dxa"/>
            </w:tcMar>
            <w:vAlign w:val="center"/>
          </w:tcPr>
          <w:p w14:paraId="1C50B979">
            <w:pPr>
              <w:spacing w:after="0" w:line="240" w:lineRule="auto"/>
              <w:rPr>
                <w:rFonts w:hint="eastAsia" w:ascii="宋体" w:hAnsi="宋体"/>
                <w:color w:val="auto"/>
                <w:szCs w:val="21"/>
                <w:highlight w:val="none"/>
                <w:lang w:eastAsia="zh-CN"/>
              </w:rPr>
            </w:pPr>
            <w:r>
              <w:rPr>
                <w:rFonts w:hint="eastAsia" w:ascii="宋体" w:hAnsi="宋体"/>
                <w:color w:val="auto"/>
                <w:szCs w:val="21"/>
                <w:highlight w:val="none"/>
                <w:lang w:val="en-US" w:eastAsia="zh-CN"/>
              </w:rPr>
              <w:t>45</w:t>
            </w:r>
            <w:r>
              <w:rPr>
                <w:rFonts w:hint="eastAsia" w:ascii="宋体" w:hAnsi="宋体"/>
                <w:color w:val="auto"/>
                <w:szCs w:val="21"/>
                <w:highlight w:val="none"/>
                <w:lang w:eastAsia="zh-CN"/>
              </w:rPr>
              <w:t>万元</w:t>
            </w:r>
          </w:p>
        </w:tc>
        <w:tc>
          <w:tcPr>
            <w:tcW w:w="6120" w:type="dxa"/>
            <w:vMerge w:val="restart"/>
            <w:noWrap w:val="0"/>
            <w:tcMar>
              <w:top w:w="0" w:type="dxa"/>
              <w:left w:w="108" w:type="dxa"/>
              <w:bottom w:w="0" w:type="dxa"/>
              <w:right w:w="108" w:type="dxa"/>
            </w:tcMar>
            <w:vAlign w:val="center"/>
          </w:tcPr>
          <w:p w14:paraId="08CB96D2">
            <w:pPr>
              <w:spacing w:after="0" w:line="240" w:lineRule="auto"/>
              <w:rPr>
                <w:rFonts w:hint="eastAsia" w:ascii="宋体" w:hAnsi="宋体"/>
                <w:color w:val="auto"/>
                <w:szCs w:val="21"/>
                <w:highlight w:val="none"/>
                <w:lang w:eastAsia="zh-CN"/>
              </w:rPr>
            </w:pPr>
            <w:bookmarkStart w:id="19" w:name="OLE_LINK14"/>
            <w:r>
              <w:rPr>
                <w:rFonts w:hint="eastAsia" w:ascii="宋体" w:hAnsi="宋体"/>
                <w:color w:val="auto"/>
                <w:szCs w:val="21"/>
                <w:highlight w:val="none"/>
                <w:lang w:eastAsia="zh-CN"/>
              </w:rPr>
              <w:t>最高限价：80%，超过最高限价按无效投标处理。投标</w:t>
            </w:r>
            <w:r>
              <w:rPr>
                <w:rFonts w:hint="eastAsia" w:ascii="宋体" w:hAnsi="宋体"/>
                <w:color w:val="auto"/>
                <w:szCs w:val="21"/>
                <w:highlight w:val="none"/>
                <w:lang w:val="en-US" w:eastAsia="zh-CN"/>
              </w:rPr>
              <w:t>报价</w:t>
            </w:r>
            <w:r>
              <w:rPr>
                <w:rFonts w:hint="eastAsia" w:ascii="宋体" w:hAnsi="宋体"/>
                <w:color w:val="auto"/>
                <w:szCs w:val="21"/>
                <w:highlight w:val="none"/>
                <w:lang w:eastAsia="zh-CN"/>
              </w:rPr>
              <w:t>折扣率以《江苏省环境检测专业服务收费管理办法》和《江苏省环境检测专业服务收费标准》（苏价费〔2006〕397号）（附件2）为基础，总费用包括采样费、样品前处理费、样品分析费、报告编制费等，不接受任何形式的加收费用或其他费用。每项目最终结算费用由南京市浦口生态环境监测监控中心核算，组成为（采样费+样品前处理费+样品分析费+报告编制费+人员车辆费）×投标</w:t>
            </w:r>
            <w:r>
              <w:rPr>
                <w:rFonts w:hint="eastAsia" w:ascii="宋体" w:hAnsi="宋体"/>
                <w:color w:val="auto"/>
                <w:szCs w:val="21"/>
                <w:highlight w:val="none"/>
                <w:lang w:val="en-US" w:eastAsia="zh-CN"/>
              </w:rPr>
              <w:t>报价</w:t>
            </w:r>
            <w:r>
              <w:rPr>
                <w:rFonts w:hint="eastAsia" w:ascii="宋体" w:hAnsi="宋体"/>
                <w:color w:val="auto"/>
                <w:szCs w:val="21"/>
                <w:highlight w:val="none"/>
                <w:lang w:eastAsia="zh-CN"/>
              </w:rPr>
              <w:t>折扣率。</w:t>
            </w:r>
          </w:p>
          <w:p w14:paraId="543E26DF">
            <w:pPr>
              <w:spacing w:after="0" w:line="240" w:lineRule="auto"/>
              <w:rPr>
                <w:rFonts w:hint="eastAsia" w:ascii="宋体" w:hAnsi="宋体"/>
                <w:color w:val="auto"/>
                <w:szCs w:val="21"/>
                <w:highlight w:val="none"/>
                <w:lang w:eastAsia="zh-CN"/>
              </w:rPr>
            </w:pPr>
            <w:bookmarkStart w:id="20" w:name="OLE_LINK18"/>
            <w:r>
              <w:rPr>
                <w:rFonts w:hint="eastAsia" w:ascii="宋体" w:hAnsi="宋体"/>
                <w:color w:val="auto"/>
                <w:szCs w:val="21"/>
                <w:highlight w:val="none"/>
                <w:lang w:eastAsia="zh-CN"/>
              </w:rPr>
              <w:t>注：浦口区环境质量监测包含人员车辆费。人员车辆费指监测日当日出动的所有人员及车辆费用总和，该费用不超过500元（计算折扣前），相同监测日期，人员、车辆仅结算一次。</w:t>
            </w:r>
            <w:bookmarkEnd w:id="19"/>
            <w:bookmarkEnd w:id="20"/>
          </w:p>
          <w:p w14:paraId="28F02A2D">
            <w:pPr>
              <w:spacing w:after="0" w:line="240" w:lineRule="auto"/>
              <w:ind w:firstLine="420"/>
              <w:rPr>
                <w:rFonts w:hint="eastAsia" w:ascii="宋体" w:hAnsi="宋体"/>
                <w:color w:val="auto"/>
                <w:szCs w:val="21"/>
                <w:highlight w:val="none"/>
                <w:lang w:eastAsia="zh-CN"/>
              </w:rPr>
            </w:pPr>
          </w:p>
        </w:tc>
      </w:tr>
      <w:tr w14:paraId="2C2F8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8" w:hRule="atLeast"/>
        </w:trPr>
        <w:tc>
          <w:tcPr>
            <w:tcW w:w="948" w:type="dxa"/>
            <w:noWrap w:val="0"/>
            <w:tcMar>
              <w:top w:w="0" w:type="dxa"/>
              <w:left w:w="108" w:type="dxa"/>
              <w:bottom w:w="0" w:type="dxa"/>
              <w:right w:w="108" w:type="dxa"/>
            </w:tcMar>
            <w:vAlign w:val="center"/>
          </w:tcPr>
          <w:p w14:paraId="631EE7A4">
            <w:pPr>
              <w:spacing w:after="0" w:line="24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包二</w:t>
            </w:r>
          </w:p>
        </w:tc>
        <w:tc>
          <w:tcPr>
            <w:tcW w:w="1809" w:type="dxa"/>
            <w:noWrap w:val="0"/>
            <w:tcMar>
              <w:top w:w="0" w:type="dxa"/>
              <w:left w:w="108" w:type="dxa"/>
              <w:bottom w:w="0" w:type="dxa"/>
              <w:right w:w="108" w:type="dxa"/>
            </w:tcMar>
            <w:vAlign w:val="center"/>
          </w:tcPr>
          <w:p w14:paraId="03128C24">
            <w:pPr>
              <w:spacing w:after="0" w:line="240" w:lineRule="auto"/>
              <w:rPr>
                <w:rFonts w:hint="eastAsia" w:ascii="宋体" w:hAnsi="宋体"/>
                <w:color w:val="auto"/>
                <w:szCs w:val="21"/>
                <w:highlight w:val="none"/>
                <w:lang w:eastAsia="zh-CN"/>
              </w:rPr>
            </w:pPr>
            <w:r>
              <w:rPr>
                <w:rFonts w:hint="eastAsia" w:ascii="宋体" w:hAnsi="宋体" w:eastAsia="宋体" w:cs="宋体"/>
                <w:color w:val="auto"/>
                <w:sz w:val="21"/>
                <w:szCs w:val="21"/>
                <w:highlight w:val="none"/>
                <w:lang w:val="en-US" w:eastAsia="zh-CN"/>
              </w:rPr>
              <w:t>浦口区环境质量监测及临时性监测</w:t>
            </w:r>
          </w:p>
        </w:tc>
        <w:tc>
          <w:tcPr>
            <w:tcW w:w="1103" w:type="dxa"/>
            <w:noWrap w:val="0"/>
            <w:tcMar>
              <w:top w:w="0" w:type="dxa"/>
              <w:left w:w="108" w:type="dxa"/>
              <w:bottom w:w="0" w:type="dxa"/>
              <w:right w:w="108" w:type="dxa"/>
            </w:tcMar>
            <w:vAlign w:val="center"/>
          </w:tcPr>
          <w:p w14:paraId="25C18020">
            <w:pPr>
              <w:spacing w:after="0" w:line="240" w:lineRule="auto"/>
              <w:rPr>
                <w:rFonts w:hint="eastAsia" w:ascii="宋体" w:hAnsi="宋体"/>
                <w:color w:val="auto"/>
                <w:szCs w:val="21"/>
                <w:highlight w:val="none"/>
                <w:lang w:eastAsia="zh-CN"/>
              </w:rPr>
            </w:pPr>
            <w:r>
              <w:rPr>
                <w:rFonts w:hint="eastAsia" w:ascii="宋体" w:hAnsi="宋体"/>
                <w:color w:val="auto"/>
                <w:szCs w:val="21"/>
                <w:highlight w:val="none"/>
                <w:lang w:val="en-US" w:eastAsia="zh-CN"/>
              </w:rPr>
              <w:t>25</w:t>
            </w:r>
            <w:r>
              <w:rPr>
                <w:rFonts w:hint="eastAsia" w:ascii="宋体" w:hAnsi="宋体"/>
                <w:color w:val="auto"/>
                <w:szCs w:val="21"/>
                <w:highlight w:val="none"/>
                <w:lang w:eastAsia="zh-CN"/>
              </w:rPr>
              <w:t>万元</w:t>
            </w:r>
          </w:p>
          <w:bookmarkEnd w:id="18"/>
        </w:tc>
        <w:tc>
          <w:tcPr>
            <w:tcW w:w="6120" w:type="dxa"/>
            <w:vMerge w:val="continue"/>
            <w:noWrap w:val="0"/>
          </w:tcPr>
          <w:p w14:paraId="648E6BEB">
            <w:pPr>
              <w:spacing w:after="0" w:line="240" w:lineRule="auto"/>
              <w:rPr>
                <w:color w:val="auto"/>
                <w:highlight w:val="none"/>
              </w:rPr>
            </w:pPr>
          </w:p>
        </w:tc>
      </w:tr>
    </w:tbl>
    <w:p w14:paraId="65102998">
      <w:pPr>
        <w:pStyle w:val="202"/>
        <w:rPr>
          <w:rFonts w:hint="eastAsia"/>
          <w:b/>
          <w:bCs/>
          <w:color w:val="auto"/>
          <w:highlight w:val="none"/>
        </w:rPr>
      </w:pPr>
    </w:p>
    <w:p w14:paraId="19A3BF75">
      <w:pPr>
        <w:spacing w:line="360" w:lineRule="auto"/>
        <w:ind w:firstLine="420"/>
        <w:rPr>
          <w:rFonts w:ascii="宋体" w:hAnsi="宋体"/>
          <w:color w:val="auto"/>
          <w:szCs w:val="21"/>
          <w:highlight w:val="none"/>
        </w:rPr>
      </w:pPr>
      <w:r>
        <w:rPr>
          <w:rFonts w:hint="eastAsia" w:ascii="宋体" w:hAnsi="宋体"/>
          <w:color w:val="auto"/>
          <w:szCs w:val="21"/>
          <w:highlight w:val="none"/>
        </w:rPr>
        <w:t>6.采购需求：</w:t>
      </w:r>
      <w:bookmarkStart w:id="21" w:name="OLE_LINK2"/>
      <w:bookmarkStart w:id="22" w:name="OLE_LINK1"/>
      <w:r>
        <w:rPr>
          <w:rFonts w:hint="eastAsia" w:ascii="宋体" w:hAnsi="宋体"/>
          <w:color w:val="auto"/>
          <w:szCs w:val="21"/>
          <w:highlight w:val="none"/>
          <w:lang w:eastAsia="zh-CN"/>
        </w:rPr>
        <w:t>南京江北新区（原浦口区）2026年度环境监测服务项目</w:t>
      </w:r>
      <w:r>
        <w:rPr>
          <w:rFonts w:hint="eastAsia" w:ascii="宋体" w:hAnsi="宋体"/>
          <w:color w:val="auto"/>
          <w:szCs w:val="21"/>
          <w:highlight w:val="none"/>
        </w:rPr>
        <w:t>，具体详见采购文件第四章。</w:t>
      </w:r>
      <w:bookmarkEnd w:id="21"/>
      <w:bookmarkEnd w:id="22"/>
    </w:p>
    <w:p w14:paraId="57260799">
      <w:pPr>
        <w:spacing w:line="360" w:lineRule="auto"/>
        <w:ind w:firstLine="420"/>
        <w:rPr>
          <w:rFonts w:ascii="宋体" w:hAnsi="宋体"/>
          <w:color w:val="auto"/>
          <w:szCs w:val="21"/>
          <w:highlight w:val="none"/>
        </w:rPr>
      </w:pPr>
      <w:r>
        <w:rPr>
          <w:rFonts w:hint="eastAsia" w:ascii="宋体" w:hAnsi="宋体"/>
          <w:color w:val="auto"/>
          <w:szCs w:val="21"/>
          <w:highlight w:val="none"/>
        </w:rPr>
        <w:t>7.合同履行期限：</w:t>
      </w:r>
      <w:r>
        <w:rPr>
          <w:rFonts w:hint="eastAsia" w:ascii="宋体" w:hAnsi="宋体"/>
          <w:color w:val="auto"/>
          <w:szCs w:val="21"/>
          <w:highlight w:val="none"/>
          <w:lang w:val="en-US" w:eastAsia="zh-CN"/>
        </w:rPr>
        <w:t>签订合同至2027年3月31日</w:t>
      </w:r>
      <w:r>
        <w:rPr>
          <w:rFonts w:hint="eastAsia" w:ascii="宋体" w:hAnsi="宋体"/>
          <w:color w:val="auto"/>
          <w:szCs w:val="21"/>
          <w:highlight w:val="none"/>
        </w:rPr>
        <w:t>。</w:t>
      </w:r>
    </w:p>
    <w:p w14:paraId="53201181">
      <w:pPr>
        <w:spacing w:line="360" w:lineRule="auto"/>
        <w:ind w:firstLine="420"/>
        <w:rPr>
          <w:rFonts w:ascii="宋体" w:hAnsi="宋体"/>
          <w:color w:val="auto"/>
          <w:szCs w:val="21"/>
          <w:highlight w:val="none"/>
        </w:rPr>
      </w:pPr>
      <w:r>
        <w:rPr>
          <w:rFonts w:hint="eastAsia" w:ascii="宋体" w:hAnsi="宋体"/>
          <w:color w:val="auto"/>
          <w:szCs w:val="21"/>
          <w:highlight w:val="none"/>
        </w:rPr>
        <w:t>8.本项目不接受联合体投标。</w:t>
      </w:r>
    </w:p>
    <w:p w14:paraId="7D3F6F47">
      <w:pPr>
        <w:spacing w:line="360" w:lineRule="auto"/>
        <w:rPr>
          <w:rFonts w:hint="eastAsia" w:ascii="宋体" w:hAnsi="宋体"/>
          <w:color w:val="auto"/>
          <w:szCs w:val="21"/>
          <w:highlight w:val="none"/>
        </w:rPr>
      </w:pPr>
      <w:r>
        <w:rPr>
          <w:rFonts w:hint="eastAsia" w:ascii="宋体" w:hAnsi="宋体"/>
          <w:color w:val="auto"/>
          <w:szCs w:val="21"/>
          <w:highlight w:val="none"/>
        </w:rPr>
        <w:t>二、申请人的资格要求：</w:t>
      </w:r>
      <w:bookmarkEnd w:id="13"/>
      <w:bookmarkEnd w:id="14"/>
      <w:bookmarkEnd w:id="15"/>
      <w:bookmarkEnd w:id="16"/>
    </w:p>
    <w:p w14:paraId="49D5DCBC">
      <w:pPr>
        <w:spacing w:line="360" w:lineRule="auto"/>
        <w:ind w:firstLine="420"/>
        <w:rPr>
          <w:rFonts w:hint="eastAsia" w:ascii="宋体" w:hAnsi="宋体"/>
          <w:color w:val="auto"/>
          <w:highlight w:val="none"/>
        </w:rPr>
      </w:pPr>
      <w:bookmarkStart w:id="23" w:name="_Toc35393631"/>
      <w:bookmarkStart w:id="24" w:name="_Toc28359014"/>
      <w:bookmarkStart w:id="25" w:name="_Toc35393800"/>
      <w:bookmarkStart w:id="26" w:name="_Toc28359091"/>
      <w:r>
        <w:rPr>
          <w:rFonts w:ascii="宋体" w:hAnsi="宋体"/>
          <w:color w:val="auto"/>
          <w:highlight w:val="none"/>
        </w:rPr>
        <w:t>（一）</w:t>
      </w:r>
      <w:r>
        <w:rPr>
          <w:rFonts w:hint="eastAsia" w:ascii="宋体" w:hAnsi="宋体"/>
          <w:color w:val="auto"/>
          <w:highlight w:val="none"/>
        </w:rPr>
        <w:t xml:space="preserve">满足《中华人民共和国政府采购法》第二十二条规定： </w:t>
      </w:r>
    </w:p>
    <w:p w14:paraId="43F412DC">
      <w:pPr>
        <w:spacing w:line="360" w:lineRule="auto"/>
        <w:ind w:firstLine="420"/>
        <w:rPr>
          <w:rFonts w:hint="eastAsia" w:ascii="宋体" w:hAnsi="宋体"/>
          <w:color w:val="auto"/>
          <w:highlight w:val="none"/>
        </w:rPr>
      </w:pPr>
      <w:r>
        <w:rPr>
          <w:rFonts w:hint="eastAsia" w:ascii="宋体" w:hAnsi="宋体"/>
          <w:color w:val="auto"/>
          <w:highlight w:val="none"/>
        </w:rPr>
        <w:t>1.法人或者其他组织的营业执照等证明文件，自然人的身份证明。</w:t>
      </w:r>
    </w:p>
    <w:p w14:paraId="7D05894C">
      <w:pPr>
        <w:spacing w:line="360" w:lineRule="auto"/>
        <w:ind w:firstLine="420"/>
        <w:rPr>
          <w:rFonts w:hint="eastAsia" w:ascii="宋体" w:hAnsi="宋体"/>
          <w:color w:val="auto"/>
          <w:highlight w:val="none"/>
        </w:rPr>
      </w:pPr>
      <w:r>
        <w:rPr>
          <w:rFonts w:hint="eastAsia" w:ascii="宋体" w:hAnsi="宋体"/>
          <w:color w:val="auto"/>
          <w:highlight w:val="none"/>
        </w:rPr>
        <w:t>2.上一年度的财务状况报告（成立不满一年不需提供）。</w:t>
      </w:r>
    </w:p>
    <w:p w14:paraId="58797C0F">
      <w:pPr>
        <w:spacing w:line="360" w:lineRule="auto"/>
        <w:ind w:firstLine="420"/>
        <w:rPr>
          <w:rFonts w:hint="eastAsia" w:ascii="宋体" w:hAnsi="宋体"/>
          <w:color w:val="auto"/>
          <w:highlight w:val="none"/>
        </w:rPr>
      </w:pPr>
      <w:r>
        <w:rPr>
          <w:rFonts w:hint="eastAsia" w:ascii="宋体" w:hAnsi="宋体"/>
          <w:color w:val="auto"/>
          <w:highlight w:val="none"/>
        </w:rPr>
        <w:t>3.依法缴纳税收和社会保障资金的相关材料。</w:t>
      </w:r>
    </w:p>
    <w:p w14:paraId="40A80848">
      <w:pPr>
        <w:spacing w:line="360" w:lineRule="auto"/>
        <w:ind w:firstLine="420"/>
        <w:rPr>
          <w:rFonts w:hint="eastAsia" w:ascii="宋体" w:hAnsi="宋体"/>
          <w:color w:val="auto"/>
          <w:highlight w:val="none"/>
        </w:rPr>
      </w:pPr>
      <w:r>
        <w:rPr>
          <w:rFonts w:hint="eastAsia" w:ascii="宋体" w:hAnsi="宋体"/>
          <w:color w:val="auto"/>
          <w:highlight w:val="none"/>
        </w:rPr>
        <w:t>4.具备履行合同所必需的设备和专业技术能力的书面声明。</w:t>
      </w:r>
    </w:p>
    <w:p w14:paraId="6433705D">
      <w:pPr>
        <w:spacing w:line="360" w:lineRule="auto"/>
        <w:ind w:firstLine="420"/>
        <w:rPr>
          <w:rFonts w:hint="eastAsia" w:ascii="宋体" w:hAnsi="宋体"/>
          <w:color w:val="auto"/>
          <w:highlight w:val="none"/>
        </w:rPr>
      </w:pPr>
      <w:r>
        <w:rPr>
          <w:rFonts w:hint="eastAsia" w:ascii="宋体" w:hAnsi="宋体"/>
          <w:color w:val="auto"/>
          <w:highlight w:val="none"/>
        </w:rPr>
        <w:t>5.参加政府采购活动前3年内在经营活动中没有重大违法记录的书面声明。</w:t>
      </w:r>
    </w:p>
    <w:p w14:paraId="1C3CD4B3">
      <w:pPr>
        <w:spacing w:line="360" w:lineRule="auto"/>
        <w:ind w:firstLine="420"/>
        <w:rPr>
          <w:rFonts w:hint="eastAsia" w:ascii="宋体" w:hAnsi="宋体"/>
          <w:color w:val="auto"/>
          <w:highlight w:val="none"/>
        </w:rPr>
      </w:pPr>
      <w:r>
        <w:rPr>
          <w:rFonts w:hint="eastAsia" w:ascii="宋体" w:hAnsi="宋体"/>
          <w:color w:val="auto"/>
          <w:highlight w:val="none"/>
        </w:rPr>
        <w:t>（二）落实政府采购政策需满足的资格要求：</w:t>
      </w:r>
    </w:p>
    <w:p w14:paraId="164DE4DF">
      <w:pPr>
        <w:spacing w:line="360" w:lineRule="auto"/>
        <w:ind w:firstLine="420"/>
        <w:rPr>
          <w:rFonts w:hint="eastAsia" w:ascii="宋体" w:hAnsi="宋体"/>
          <w:color w:val="auto"/>
          <w:highlight w:val="none"/>
        </w:rPr>
      </w:pPr>
      <w:r>
        <w:rPr>
          <w:rFonts w:hint="eastAsia" w:ascii="宋体" w:hAnsi="宋体"/>
          <w:color w:val="auto"/>
          <w:highlight w:val="none"/>
        </w:rPr>
        <w:t>按照采用以下第</w:t>
      </w:r>
      <w:r>
        <w:rPr>
          <w:rFonts w:hint="eastAsia" w:ascii="宋体" w:hAnsi="宋体"/>
          <w:color w:val="auto"/>
          <w:highlight w:val="none"/>
          <w:lang w:eastAsia="zh-CN"/>
        </w:rPr>
        <w:t>（</w:t>
      </w:r>
      <w:r>
        <w:rPr>
          <w:rFonts w:hint="eastAsia" w:ascii="宋体" w:hAnsi="宋体"/>
          <w:color w:val="auto"/>
          <w:highlight w:val="none"/>
        </w:rPr>
        <w:t>4</w:t>
      </w:r>
      <w:r>
        <w:rPr>
          <w:rFonts w:hint="eastAsia" w:ascii="宋体" w:hAnsi="宋体"/>
          <w:color w:val="auto"/>
          <w:highlight w:val="none"/>
          <w:lang w:eastAsia="zh-CN"/>
        </w:rPr>
        <w:t>）</w:t>
      </w:r>
      <w:r>
        <w:rPr>
          <w:rFonts w:hint="eastAsia" w:ascii="宋体" w:hAnsi="宋体"/>
          <w:color w:val="auto"/>
          <w:highlight w:val="none"/>
        </w:rPr>
        <w:t>种方式落实政府采购促进中小企业发展的要求：</w:t>
      </w:r>
    </w:p>
    <w:p w14:paraId="0541E5A7">
      <w:pPr>
        <w:spacing w:line="360" w:lineRule="auto"/>
        <w:ind w:firstLine="420"/>
        <w:rPr>
          <w:rFonts w:hint="eastAsia" w:ascii="宋体" w:hAnsi="宋体"/>
          <w:color w:val="auto"/>
          <w:highlight w:val="none"/>
        </w:rPr>
      </w:pPr>
      <w:r>
        <w:rPr>
          <w:rFonts w:hint="eastAsia" w:ascii="宋体" w:hAnsi="宋体"/>
          <w:color w:val="auto"/>
          <w:highlight w:val="none"/>
        </w:rPr>
        <w:t>（1）本项目整体专门面向中小企业采购服务。</w:t>
      </w:r>
    </w:p>
    <w:p w14:paraId="1D256043">
      <w:pPr>
        <w:spacing w:line="360" w:lineRule="auto"/>
        <w:ind w:firstLine="420"/>
        <w:rPr>
          <w:rFonts w:hint="eastAsia" w:ascii="宋体" w:hAnsi="宋体"/>
          <w:color w:val="auto"/>
          <w:highlight w:val="none"/>
        </w:rPr>
      </w:pPr>
      <w:r>
        <w:rPr>
          <w:rFonts w:hint="eastAsia" w:ascii="宋体" w:hAnsi="宋体"/>
          <w:color w:val="auto"/>
          <w:highlight w:val="none"/>
        </w:rPr>
        <w:t>（2）本项目整体专门面向小微企业采购服务。</w:t>
      </w:r>
    </w:p>
    <w:p w14:paraId="4711D959">
      <w:pPr>
        <w:spacing w:line="360" w:lineRule="auto"/>
        <w:ind w:firstLine="420"/>
        <w:rPr>
          <w:rFonts w:hint="eastAsia" w:ascii="宋体" w:hAnsi="宋体"/>
          <w:color w:val="auto"/>
          <w:highlight w:val="none"/>
        </w:rPr>
      </w:pPr>
      <w:r>
        <w:rPr>
          <w:rFonts w:hint="eastAsia" w:ascii="宋体" w:hAnsi="宋体"/>
          <w:color w:val="auto"/>
          <w:highlight w:val="none"/>
        </w:rPr>
        <w:t>（3）本项目通过以下第种方式预留部分采购份额采购中小企业服务：</w:t>
      </w:r>
    </w:p>
    <w:p w14:paraId="0D531F7E">
      <w:pPr>
        <w:spacing w:line="360" w:lineRule="auto"/>
        <w:ind w:firstLine="420"/>
        <w:rPr>
          <w:rFonts w:hint="eastAsia" w:ascii="宋体" w:hAnsi="宋体"/>
          <w:color w:val="auto"/>
          <w:highlight w:val="none"/>
        </w:rPr>
      </w:pPr>
      <w:r>
        <w:rPr>
          <w:rFonts w:hint="eastAsia" w:ascii="宋体" w:hAnsi="宋体"/>
          <w:color w:val="auto"/>
          <w:highlight w:val="none"/>
        </w:rPr>
        <w:t>①本项目要求供应商以联合体形式参加，企业合同金额应当达到的比例为%。</w:t>
      </w:r>
    </w:p>
    <w:p w14:paraId="4669125E">
      <w:pPr>
        <w:spacing w:line="360" w:lineRule="auto"/>
        <w:ind w:firstLine="420"/>
        <w:rPr>
          <w:rFonts w:hint="eastAsia" w:ascii="宋体" w:hAnsi="宋体"/>
          <w:color w:val="auto"/>
          <w:highlight w:val="none"/>
        </w:rPr>
      </w:pPr>
      <w:r>
        <w:rPr>
          <w:rFonts w:hint="eastAsia" w:ascii="宋体" w:hAnsi="宋体"/>
          <w:color w:val="auto"/>
          <w:highlight w:val="none"/>
        </w:rPr>
        <w:t>②本项目要求供应商进行合同分包，企业合同金额应当达到的比例为%。</w:t>
      </w:r>
    </w:p>
    <w:p w14:paraId="31D8BB5F">
      <w:pPr>
        <w:spacing w:line="360" w:lineRule="auto"/>
        <w:ind w:firstLine="420"/>
        <w:rPr>
          <w:rFonts w:ascii="宋体" w:hAnsi="宋体"/>
          <w:color w:val="auto"/>
          <w:highlight w:val="none"/>
        </w:rPr>
      </w:pPr>
      <w:r>
        <w:rPr>
          <w:rFonts w:hint="eastAsia" w:ascii="宋体" w:hAnsi="宋体"/>
          <w:color w:val="auto"/>
          <w:highlight w:val="none"/>
        </w:rPr>
        <w:t>（4）本项目为非预留份额的采购项目或采购包，执行价格扣除优惠政策，具体详见采购文件。</w:t>
      </w:r>
    </w:p>
    <w:p w14:paraId="4A4814E2">
      <w:pPr>
        <w:spacing w:line="360" w:lineRule="auto"/>
        <w:ind w:firstLine="420"/>
        <w:rPr>
          <w:rFonts w:ascii="宋体" w:hAnsi="宋体"/>
          <w:color w:val="auto"/>
          <w:szCs w:val="21"/>
          <w:highlight w:val="none"/>
        </w:rPr>
      </w:pPr>
      <w:r>
        <w:rPr>
          <w:rFonts w:ascii="宋体" w:hAnsi="宋体"/>
          <w:color w:val="auto"/>
          <w:szCs w:val="21"/>
          <w:highlight w:val="none"/>
        </w:rPr>
        <w:t>（三）</w:t>
      </w:r>
      <w:r>
        <w:rPr>
          <w:rFonts w:hint="eastAsia" w:ascii="宋体" w:hAnsi="宋体"/>
          <w:color w:val="auto"/>
          <w:szCs w:val="21"/>
          <w:highlight w:val="none"/>
        </w:rPr>
        <w:t>采购人根据采购项目的特殊要求规定的特定条件：无</w:t>
      </w:r>
    </w:p>
    <w:p w14:paraId="1DDA44DB">
      <w:pPr>
        <w:spacing w:line="360" w:lineRule="auto"/>
        <w:ind w:firstLine="420"/>
        <w:rPr>
          <w:rFonts w:hint="eastAsia" w:ascii="宋体" w:hAnsi="宋体"/>
          <w:color w:val="auto"/>
          <w:szCs w:val="21"/>
          <w:highlight w:val="none"/>
        </w:rPr>
      </w:pPr>
      <w:r>
        <w:rPr>
          <w:rFonts w:ascii="宋体" w:hAnsi="宋体"/>
          <w:color w:val="auto"/>
          <w:szCs w:val="21"/>
          <w:highlight w:val="none"/>
        </w:rPr>
        <w:t>（四）</w:t>
      </w:r>
      <w:r>
        <w:rPr>
          <w:rFonts w:hint="eastAsia" w:ascii="宋体" w:hAnsi="宋体"/>
          <w:color w:val="auto"/>
          <w:szCs w:val="21"/>
          <w:highlight w:val="none"/>
        </w:rPr>
        <w:t>拒绝下述供应商参加本次采购活动：</w:t>
      </w:r>
    </w:p>
    <w:p w14:paraId="72B68BE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供应商单位负责人为同一人或者存在直接控股、管理关系的不同供应商，不得参加同一合同项下的采购活动。</w:t>
      </w:r>
    </w:p>
    <w:p w14:paraId="1D16E4E6">
      <w:pPr>
        <w:spacing w:line="360" w:lineRule="auto"/>
        <w:ind w:firstLine="42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凡为采购项目提供整体设计、规范编制或者项目管理、监理、检测等服务的供应商，不得再参加本项目的采购活动。</w:t>
      </w:r>
    </w:p>
    <w:p w14:paraId="154A4669">
      <w:pPr>
        <w:spacing w:line="360" w:lineRule="auto"/>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拒绝列入失信被执行人、重大税收违法案件当事人名单、政府采购严重违法失信行为记录名单中的供应商参加本项目的采购活动。采购人或代理机构通过“信用中国”网站（www.creditchina.gov.cn）、“中国政府采购网”网站（www.ccgp.gov.cn）等渠道查询供应商信用记录并保存。（提供查阅记录截图并加盖企业公章</w:t>
      </w:r>
      <w:r>
        <w:rPr>
          <w:rFonts w:hint="eastAsia" w:ascii="宋体" w:hAnsi="宋体"/>
          <w:color w:val="auto"/>
          <w:szCs w:val="21"/>
          <w:highlight w:val="none"/>
          <w:lang w:val="en-US" w:eastAsia="zh-CN"/>
        </w:rPr>
        <w:t>编制至投标文件</w:t>
      </w:r>
      <w:r>
        <w:rPr>
          <w:rFonts w:hint="eastAsia" w:ascii="宋体" w:hAnsi="宋体"/>
          <w:color w:val="auto"/>
          <w:szCs w:val="21"/>
          <w:highlight w:val="none"/>
        </w:rPr>
        <w:t>）</w:t>
      </w:r>
    </w:p>
    <w:p w14:paraId="7E11B32D">
      <w:pPr>
        <w:spacing w:line="360" w:lineRule="auto"/>
        <w:rPr>
          <w:rFonts w:ascii="宋体" w:hAnsi="宋体"/>
          <w:color w:val="auto"/>
          <w:szCs w:val="21"/>
          <w:highlight w:val="none"/>
        </w:rPr>
      </w:pPr>
      <w:r>
        <w:rPr>
          <w:rFonts w:hint="eastAsia" w:ascii="宋体" w:hAnsi="宋体"/>
          <w:color w:val="auto"/>
          <w:szCs w:val="21"/>
          <w:highlight w:val="none"/>
        </w:rPr>
        <w:t>三、获取招标文件</w:t>
      </w:r>
      <w:bookmarkEnd w:id="23"/>
      <w:bookmarkEnd w:id="24"/>
      <w:bookmarkEnd w:id="25"/>
      <w:bookmarkEnd w:id="26"/>
    </w:p>
    <w:p w14:paraId="1D2CD801">
      <w:pPr>
        <w:spacing w:line="360" w:lineRule="auto"/>
        <w:ind w:firstLine="420"/>
        <w:rPr>
          <w:rFonts w:hint="default" w:ascii="宋体" w:hAnsi="宋体" w:eastAsia="宋体"/>
          <w:color w:val="auto"/>
          <w:highlight w:val="none"/>
          <w:lang w:val="en-US" w:eastAsia="zh-CN"/>
        </w:rPr>
      </w:pPr>
      <w:bookmarkStart w:id="27" w:name="_Toc28359015"/>
      <w:bookmarkStart w:id="28" w:name="_Toc28359092"/>
      <w:bookmarkStart w:id="29" w:name="_Toc35393801"/>
      <w:bookmarkStart w:id="30" w:name="_Toc35393632"/>
      <w:r>
        <w:rPr>
          <w:rFonts w:hint="eastAsia" w:ascii="宋体" w:hAnsi="宋体"/>
          <w:color w:val="auto"/>
          <w:highlight w:val="none"/>
        </w:rPr>
        <w:t>时间：</w:t>
      </w:r>
      <w:r>
        <w:rPr>
          <w:rFonts w:hint="eastAsia" w:ascii="宋体" w:hAnsi="宋体"/>
          <w:color w:val="auto"/>
          <w:highlight w:val="none"/>
          <w:lang w:val="en-US" w:eastAsia="zh-CN"/>
        </w:rPr>
        <w:t>2026年4月9日9时00分至2026年4月16日17时00分</w:t>
      </w:r>
    </w:p>
    <w:p w14:paraId="746FEFAE">
      <w:pPr>
        <w:spacing w:line="360" w:lineRule="auto"/>
        <w:ind w:firstLine="420"/>
        <w:rPr>
          <w:rFonts w:hint="default" w:ascii="宋体" w:hAnsi="宋体" w:eastAsia="宋体"/>
          <w:color w:val="auto"/>
          <w:highlight w:val="none"/>
          <w:lang w:val="en-US" w:eastAsia="zh-CN"/>
        </w:rPr>
      </w:pPr>
      <w:r>
        <w:rPr>
          <w:rFonts w:hint="eastAsia" w:ascii="宋体" w:hAnsi="宋体"/>
          <w:color w:val="auto"/>
          <w:highlight w:val="none"/>
        </w:rPr>
        <w:t>方式：</w:t>
      </w:r>
      <w:r>
        <w:rPr>
          <w:rFonts w:hint="eastAsia" w:ascii="宋体" w:hAnsi="宋体"/>
          <w:color w:val="auto"/>
          <w:highlight w:val="none"/>
          <w:lang w:val="en-US" w:eastAsia="zh-CN"/>
        </w:rPr>
        <w:t>有意参加本项目投标的单位可在招标文件获取时间内，将营业执照副本扫描件、授权委托书原件扫描件、法人和授权委托人身份证扫描件加盖公章发送至1834554685@qq.com获取招标文件。</w:t>
      </w:r>
    </w:p>
    <w:p w14:paraId="2A23F369">
      <w:pPr>
        <w:spacing w:line="360" w:lineRule="auto"/>
        <w:ind w:firstLine="420"/>
        <w:rPr>
          <w:rFonts w:hint="eastAsia" w:ascii="宋体" w:hAnsi="宋体"/>
          <w:color w:val="auto"/>
          <w:highlight w:val="none"/>
        </w:rPr>
      </w:pPr>
      <w:r>
        <w:rPr>
          <w:rFonts w:ascii="宋体" w:hAnsi="宋体"/>
          <w:color w:val="auto"/>
          <w:highlight w:val="none"/>
        </w:rPr>
        <w:t>售价：</w:t>
      </w:r>
      <w:r>
        <w:rPr>
          <w:rFonts w:hint="eastAsia" w:ascii="宋体" w:hAnsi="宋体"/>
          <w:color w:val="auto"/>
          <w:highlight w:val="none"/>
        </w:rPr>
        <w:t>0元。</w:t>
      </w:r>
    </w:p>
    <w:p w14:paraId="2A712103">
      <w:pPr>
        <w:spacing w:line="360" w:lineRule="auto"/>
        <w:rPr>
          <w:rFonts w:ascii="宋体" w:hAnsi="宋体"/>
          <w:color w:val="auto"/>
          <w:szCs w:val="21"/>
          <w:highlight w:val="none"/>
        </w:rPr>
      </w:pPr>
      <w:r>
        <w:rPr>
          <w:rFonts w:hint="eastAsia" w:ascii="宋体" w:hAnsi="宋体"/>
          <w:color w:val="auto"/>
          <w:szCs w:val="21"/>
          <w:highlight w:val="none"/>
        </w:rPr>
        <w:t>四、</w:t>
      </w:r>
      <w:bookmarkEnd w:id="27"/>
      <w:bookmarkEnd w:id="28"/>
      <w:bookmarkEnd w:id="29"/>
      <w:bookmarkEnd w:id="30"/>
      <w:r>
        <w:rPr>
          <w:rFonts w:hint="eastAsia" w:ascii="宋体" w:hAnsi="宋体"/>
          <w:color w:val="auto"/>
          <w:szCs w:val="21"/>
          <w:highlight w:val="none"/>
        </w:rPr>
        <w:t>提交投标文件截止时间</w:t>
      </w:r>
    </w:p>
    <w:p w14:paraId="3258F98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1.截止时间：202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w:t>
      </w:r>
      <w:r>
        <w:rPr>
          <w:rFonts w:hint="eastAsia" w:ascii="宋体" w:hAnsi="宋体"/>
          <w:color w:val="auto"/>
          <w:szCs w:val="21"/>
          <w:highlight w:val="none"/>
          <w:lang w:val="en-US" w:eastAsia="zh-CN"/>
        </w:rPr>
        <w:t>15时00</w:t>
      </w:r>
      <w:r>
        <w:rPr>
          <w:rFonts w:hint="eastAsia" w:ascii="宋体" w:hAnsi="宋体"/>
          <w:color w:val="auto"/>
          <w:szCs w:val="21"/>
          <w:highlight w:val="none"/>
        </w:rPr>
        <w:t>分（北京时间）</w:t>
      </w:r>
    </w:p>
    <w:p w14:paraId="17140C72">
      <w:pPr>
        <w:spacing w:line="360" w:lineRule="auto"/>
        <w:ind w:firstLine="420"/>
        <w:rPr>
          <w:rFonts w:hint="default" w:ascii="宋体" w:hAnsi="宋体"/>
          <w:color w:val="auto"/>
          <w:szCs w:val="21"/>
          <w:highlight w:val="none"/>
          <w:lang w:val="en-US"/>
        </w:rPr>
      </w:pPr>
      <w:r>
        <w:rPr>
          <w:rFonts w:hint="eastAsia" w:ascii="宋体" w:hAnsi="宋体"/>
          <w:color w:val="auto"/>
          <w:szCs w:val="21"/>
          <w:highlight w:val="none"/>
        </w:rPr>
        <w:t>2.地点：</w:t>
      </w:r>
      <w:r>
        <w:rPr>
          <w:rFonts w:hint="eastAsia" w:ascii="宋体" w:hAnsi="宋体"/>
          <w:color w:val="auto"/>
          <w:highlight w:val="none"/>
          <w:lang w:val="en-US" w:eastAsia="zh-CN"/>
        </w:rPr>
        <w:t>南京市江宁区绿都大道31号都荟天地城C4幢508室会议室</w:t>
      </w:r>
    </w:p>
    <w:p w14:paraId="038DD475">
      <w:pPr>
        <w:spacing w:line="360" w:lineRule="auto"/>
        <w:rPr>
          <w:rFonts w:ascii="宋体" w:hAnsi="宋体"/>
          <w:color w:val="auto"/>
          <w:szCs w:val="21"/>
          <w:highlight w:val="none"/>
        </w:rPr>
      </w:pPr>
      <w:bookmarkStart w:id="31" w:name="_Toc35393802"/>
      <w:bookmarkStart w:id="32" w:name="_Toc28359016"/>
      <w:bookmarkStart w:id="33" w:name="_Toc28359093"/>
      <w:bookmarkStart w:id="34" w:name="_Toc35393633"/>
      <w:r>
        <w:rPr>
          <w:rFonts w:hint="eastAsia" w:ascii="宋体" w:hAnsi="宋体"/>
          <w:color w:val="auto"/>
          <w:szCs w:val="21"/>
          <w:highlight w:val="none"/>
        </w:rPr>
        <w:t>五、</w:t>
      </w:r>
      <w:bookmarkEnd w:id="31"/>
      <w:bookmarkEnd w:id="32"/>
      <w:bookmarkEnd w:id="33"/>
      <w:bookmarkEnd w:id="34"/>
      <w:r>
        <w:rPr>
          <w:rFonts w:hint="eastAsia" w:ascii="宋体" w:hAnsi="宋体"/>
          <w:color w:val="auto"/>
          <w:szCs w:val="21"/>
          <w:highlight w:val="none"/>
        </w:rPr>
        <w:t>开标时间和地点</w:t>
      </w:r>
    </w:p>
    <w:p w14:paraId="366815B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1.时间：202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w:t>
      </w:r>
      <w:r>
        <w:rPr>
          <w:rFonts w:hint="eastAsia" w:ascii="宋体" w:hAnsi="宋体"/>
          <w:color w:val="auto"/>
          <w:szCs w:val="21"/>
          <w:highlight w:val="none"/>
          <w:lang w:val="en-US" w:eastAsia="zh-CN"/>
        </w:rPr>
        <w:t>15时00</w:t>
      </w:r>
      <w:r>
        <w:rPr>
          <w:rFonts w:hint="eastAsia" w:ascii="宋体" w:hAnsi="宋体"/>
          <w:color w:val="auto"/>
          <w:szCs w:val="21"/>
          <w:highlight w:val="none"/>
        </w:rPr>
        <w:t>分（北京时间）</w:t>
      </w:r>
    </w:p>
    <w:p w14:paraId="5F58B239">
      <w:pPr>
        <w:spacing w:line="360" w:lineRule="auto"/>
        <w:ind w:firstLine="420"/>
        <w:rPr>
          <w:rFonts w:ascii="宋体" w:hAnsi="宋体"/>
          <w:color w:val="auto"/>
          <w:szCs w:val="21"/>
          <w:highlight w:val="none"/>
        </w:rPr>
      </w:pPr>
      <w:r>
        <w:rPr>
          <w:rFonts w:hint="eastAsia" w:ascii="宋体" w:hAnsi="宋体"/>
          <w:color w:val="auto"/>
          <w:szCs w:val="21"/>
          <w:highlight w:val="none"/>
        </w:rPr>
        <w:t>2.地点：</w:t>
      </w:r>
      <w:bookmarkStart w:id="35" w:name="_Toc28359094"/>
      <w:bookmarkStart w:id="36" w:name="_Toc35393803"/>
      <w:bookmarkStart w:id="37" w:name="_Toc28359017"/>
      <w:bookmarkStart w:id="38" w:name="_Toc35393634"/>
      <w:r>
        <w:rPr>
          <w:rFonts w:hint="eastAsia" w:ascii="宋体" w:hAnsi="宋体"/>
          <w:color w:val="auto"/>
          <w:highlight w:val="none"/>
          <w:lang w:val="en-US" w:eastAsia="zh-CN"/>
        </w:rPr>
        <w:t>南京市江宁区绿都大道31号都荟天地城C4幢508室会议室</w:t>
      </w:r>
    </w:p>
    <w:p w14:paraId="12A03EA3">
      <w:pPr>
        <w:spacing w:line="360" w:lineRule="auto"/>
        <w:rPr>
          <w:rFonts w:ascii="宋体" w:hAnsi="宋体"/>
          <w:color w:val="auto"/>
          <w:szCs w:val="21"/>
          <w:highlight w:val="none"/>
        </w:rPr>
      </w:pPr>
      <w:r>
        <w:rPr>
          <w:rFonts w:hint="eastAsia" w:ascii="宋体" w:hAnsi="宋体"/>
          <w:color w:val="auto"/>
          <w:szCs w:val="21"/>
          <w:highlight w:val="none"/>
        </w:rPr>
        <w:t>六、公告期限</w:t>
      </w:r>
      <w:bookmarkEnd w:id="35"/>
      <w:bookmarkEnd w:id="36"/>
      <w:bookmarkEnd w:id="37"/>
      <w:bookmarkEnd w:id="38"/>
    </w:p>
    <w:p w14:paraId="3479599C">
      <w:pPr>
        <w:spacing w:line="360" w:lineRule="auto"/>
        <w:ind w:firstLine="420"/>
        <w:rPr>
          <w:rFonts w:ascii="宋体" w:hAnsi="宋体"/>
          <w:color w:val="auto"/>
          <w:szCs w:val="21"/>
          <w:highlight w:val="none"/>
        </w:rPr>
      </w:pPr>
      <w:r>
        <w:rPr>
          <w:rFonts w:hint="eastAsia" w:ascii="宋体" w:hAnsi="宋体"/>
          <w:color w:val="auto"/>
          <w:szCs w:val="21"/>
          <w:highlight w:val="none"/>
        </w:rPr>
        <w:t>自本公告发布之日起</w:t>
      </w:r>
      <w:r>
        <w:rPr>
          <w:rFonts w:ascii="宋体" w:hAnsi="宋体"/>
          <w:color w:val="auto"/>
          <w:szCs w:val="21"/>
          <w:highlight w:val="none"/>
        </w:rPr>
        <w:t>5</w:t>
      </w:r>
      <w:r>
        <w:rPr>
          <w:rFonts w:hint="eastAsia" w:ascii="宋体" w:hAnsi="宋体"/>
          <w:color w:val="auto"/>
          <w:szCs w:val="21"/>
          <w:highlight w:val="none"/>
        </w:rPr>
        <w:t>个工作日。</w:t>
      </w:r>
    </w:p>
    <w:p w14:paraId="37FF0CE6">
      <w:pPr>
        <w:spacing w:line="360" w:lineRule="auto"/>
        <w:rPr>
          <w:rFonts w:hint="eastAsia" w:ascii="宋体" w:hAnsi="宋体"/>
          <w:color w:val="auto"/>
          <w:highlight w:val="none"/>
        </w:rPr>
      </w:pPr>
      <w:bookmarkStart w:id="39" w:name="_Toc35393804"/>
      <w:bookmarkStart w:id="40" w:name="_Toc35393635"/>
      <w:r>
        <w:rPr>
          <w:rFonts w:hint="eastAsia" w:ascii="宋体" w:hAnsi="宋体"/>
          <w:color w:val="auto"/>
          <w:highlight w:val="none"/>
        </w:rPr>
        <w:t>七、其他补充事宜</w:t>
      </w:r>
      <w:bookmarkEnd w:id="39"/>
      <w:bookmarkEnd w:id="40"/>
    </w:p>
    <w:p w14:paraId="4D8BA620">
      <w:pPr>
        <w:spacing w:line="360" w:lineRule="auto"/>
        <w:ind w:firstLine="420"/>
        <w:rPr>
          <w:rFonts w:hint="eastAsia" w:ascii="宋体" w:hAnsi="宋体"/>
          <w:color w:val="auto"/>
          <w:highlight w:val="none"/>
        </w:rPr>
      </w:pPr>
      <w:r>
        <w:rPr>
          <w:rFonts w:hint="eastAsia" w:ascii="宋体" w:hAnsi="宋体"/>
          <w:color w:val="auto"/>
          <w:highlight w:val="none"/>
        </w:rPr>
        <w:t>1.本项目不组织集中勘察及答疑，投标人如对采购需求有疑问，请咨询采购单位联系人。</w:t>
      </w:r>
    </w:p>
    <w:p w14:paraId="77C79D6C">
      <w:pPr>
        <w:spacing w:line="360" w:lineRule="auto"/>
        <w:ind w:firstLine="420"/>
        <w:rPr>
          <w:rFonts w:hint="eastAsia" w:ascii="宋体" w:hAnsi="宋体"/>
          <w:color w:val="auto"/>
          <w:highlight w:val="none"/>
        </w:rPr>
      </w:pPr>
      <w:r>
        <w:rPr>
          <w:rFonts w:hint="eastAsia" w:ascii="宋体" w:hAnsi="宋体"/>
          <w:color w:val="auto"/>
          <w:highlight w:val="none"/>
        </w:rPr>
        <w:t>2.每个投标人可参加上述</w:t>
      </w:r>
      <w:r>
        <w:rPr>
          <w:rFonts w:hint="eastAsia" w:ascii="宋体" w:hAnsi="宋体"/>
          <w:color w:val="auto"/>
          <w:highlight w:val="none"/>
          <w:lang w:val="en-US" w:eastAsia="zh-CN"/>
        </w:rPr>
        <w:t>2</w:t>
      </w:r>
      <w:r>
        <w:rPr>
          <w:rFonts w:hint="eastAsia" w:ascii="宋体" w:hAnsi="宋体"/>
          <w:color w:val="auto"/>
          <w:highlight w:val="none"/>
        </w:rPr>
        <w:t>个采购包中的一个或者多个采购包，但最多只能中标一个采购包，开、评标时顺序为：包1→包2。同时投多个采购包的投标人如在前一采购包被确定为中标人，可以继续参加后续采购包的评审，但不能再中标其他采购包，如同时在后续采购包排名第一，则招标人在后续采购包中可以确定排名第二的中标候选人为中标人。</w:t>
      </w:r>
    </w:p>
    <w:p w14:paraId="5FA2924D">
      <w:pPr>
        <w:spacing w:line="360" w:lineRule="auto"/>
        <w:ind w:firstLine="420"/>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.采购项目需要落实的政府采购政策：</w:t>
      </w:r>
    </w:p>
    <w:p w14:paraId="74E144DE">
      <w:pPr>
        <w:spacing w:line="360" w:lineRule="auto"/>
        <w:ind w:firstLine="420"/>
        <w:rPr>
          <w:rFonts w:hint="eastAsia" w:ascii="宋体" w:hAnsi="宋体"/>
          <w:color w:val="auto"/>
          <w:highlight w:val="none"/>
        </w:rPr>
      </w:pPr>
      <w:bookmarkStart w:id="41" w:name="OLE_LINK9"/>
      <w:bookmarkStart w:id="42" w:name="OLE_LINK10"/>
      <w:r>
        <w:rPr>
          <w:rFonts w:hint="eastAsia" w:ascii="宋体" w:hAnsi="宋体"/>
          <w:color w:val="auto"/>
          <w:highlight w:val="none"/>
        </w:rPr>
        <w:t>（1）《政府采购促进中小企业发展管理办法》</w:t>
      </w:r>
    </w:p>
    <w:p w14:paraId="5CE036EB">
      <w:pPr>
        <w:spacing w:line="360" w:lineRule="auto"/>
        <w:ind w:firstLine="420"/>
        <w:rPr>
          <w:rFonts w:hint="eastAsia" w:ascii="宋体" w:hAnsi="宋体"/>
          <w:color w:val="auto"/>
          <w:highlight w:val="none"/>
        </w:rPr>
      </w:pPr>
      <w:r>
        <w:rPr>
          <w:rFonts w:hint="eastAsia" w:ascii="宋体" w:hAnsi="宋体"/>
          <w:color w:val="auto"/>
          <w:highlight w:val="none"/>
        </w:rPr>
        <w:t>（2）《关于政府采购支持监狱企业发展有关问题的通知》</w:t>
      </w:r>
    </w:p>
    <w:p w14:paraId="2DE9C0B1">
      <w:pPr>
        <w:spacing w:line="360" w:lineRule="auto"/>
        <w:ind w:firstLine="420"/>
        <w:rPr>
          <w:rFonts w:hint="eastAsia" w:ascii="宋体" w:hAnsi="宋体"/>
          <w:color w:val="auto"/>
          <w:highlight w:val="none"/>
        </w:rPr>
      </w:pPr>
      <w:r>
        <w:rPr>
          <w:rFonts w:hint="eastAsia" w:ascii="宋体" w:hAnsi="宋体"/>
          <w:color w:val="auto"/>
          <w:highlight w:val="none"/>
        </w:rPr>
        <w:t>（3）《关于促进残疾人就业政府采购政策的通知》</w:t>
      </w:r>
    </w:p>
    <w:p w14:paraId="2E180D05">
      <w:pPr>
        <w:spacing w:line="360" w:lineRule="auto"/>
        <w:ind w:firstLine="420"/>
        <w:rPr>
          <w:rFonts w:hint="eastAsia" w:ascii="宋体" w:hAnsi="宋体"/>
          <w:color w:val="auto"/>
          <w:highlight w:val="none"/>
        </w:rPr>
      </w:pPr>
      <w:r>
        <w:rPr>
          <w:rFonts w:hint="eastAsia" w:ascii="宋体" w:hAnsi="宋体"/>
          <w:color w:val="auto"/>
          <w:highlight w:val="none"/>
        </w:rPr>
        <w:t>（4）《关于调整优化节能产品、环境标志产品政府采购执行机制的通知》</w:t>
      </w:r>
    </w:p>
    <w:p w14:paraId="6DACCB50">
      <w:pPr>
        <w:spacing w:line="360" w:lineRule="auto"/>
        <w:ind w:firstLine="420"/>
        <w:rPr>
          <w:rFonts w:hint="eastAsia" w:ascii="宋体" w:hAnsi="宋体"/>
          <w:color w:val="auto"/>
          <w:highlight w:val="none"/>
        </w:rPr>
      </w:pPr>
      <w:r>
        <w:rPr>
          <w:rFonts w:hint="eastAsia" w:ascii="宋体" w:hAnsi="宋体"/>
          <w:color w:val="auto"/>
          <w:highlight w:val="none"/>
        </w:rPr>
        <w:t>（5）《关于做好政府采购支持企业发展有关事项的通知》</w:t>
      </w:r>
      <w:bookmarkEnd w:id="41"/>
      <w:bookmarkEnd w:id="42"/>
    </w:p>
    <w:p w14:paraId="7600C865">
      <w:pPr>
        <w:spacing w:line="360" w:lineRule="auto"/>
        <w:ind w:firstLine="42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.供应商诚信档案管理</w:t>
      </w:r>
    </w:p>
    <w:p w14:paraId="7B3DE30D">
      <w:pPr>
        <w:spacing w:line="360" w:lineRule="auto"/>
        <w:ind w:firstLine="420"/>
        <w:rPr>
          <w:rFonts w:hint="eastAsia" w:ascii="宋体" w:hAnsi="宋体"/>
          <w:color w:val="auto"/>
          <w:highlight w:val="none"/>
        </w:rPr>
      </w:pPr>
      <w:r>
        <w:rPr>
          <w:rFonts w:hint="eastAsia" w:ascii="宋体" w:hAnsi="宋体"/>
          <w:color w:val="auto"/>
          <w:highlight w:val="none"/>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 （</w:t>
      </w:r>
      <w:bookmarkStart w:id="43" w:name="OLE_LINK3"/>
      <w:bookmarkStart w:id="44" w:name="OLE_LINK4"/>
      <w:r>
        <w:rPr>
          <w:rFonts w:hint="eastAsia" w:ascii="宋体" w:hAnsi="宋体"/>
          <w:color w:val="auto"/>
          <w:highlight w:val="none"/>
        </w:rPr>
        <w:t>https://njgc.jfh.com</w:t>
      </w:r>
      <w:bookmarkEnd w:id="43"/>
      <w:bookmarkEnd w:id="44"/>
      <w:r>
        <w:rPr>
          <w:rFonts w:hint="eastAsia" w:ascii="宋体" w:hAnsi="宋体"/>
          <w:color w:val="auto"/>
          <w:highlight w:val="none"/>
        </w:rPr>
        <w:t>）“南京市政府采购供应商诚信档案”供应商入口登录，然后在“信用记录”模块页面点击“信用记录打印”下载本单位《南京市政府采购供应商信用记录表暨信用承诺书》，由法人代表签字</w:t>
      </w:r>
      <w:r>
        <w:rPr>
          <w:rFonts w:hint="eastAsia" w:ascii="宋体" w:hAnsi="宋体"/>
          <w:color w:val="auto"/>
          <w:highlight w:val="none"/>
          <w:lang w:eastAsia="zh-CN"/>
        </w:rPr>
        <w:t>并加</w:t>
      </w:r>
      <w:r>
        <w:rPr>
          <w:rFonts w:hint="eastAsia" w:ascii="宋体" w:hAnsi="宋体"/>
          <w:color w:val="auto"/>
          <w:highlight w:val="none"/>
        </w:rPr>
        <w:t>盖单位公章，随</w:t>
      </w:r>
      <w:r>
        <w:rPr>
          <w:rFonts w:hint="eastAsia" w:ascii="宋体" w:hAnsi="宋体"/>
          <w:color w:val="auto"/>
          <w:highlight w:val="none"/>
          <w:lang w:eastAsia="zh-CN"/>
        </w:rPr>
        <w:t>投标文件</w:t>
      </w:r>
      <w:r>
        <w:rPr>
          <w:rFonts w:hint="eastAsia" w:ascii="宋体" w:hAnsi="宋体"/>
          <w:color w:val="auto"/>
          <w:highlight w:val="none"/>
        </w:rPr>
        <w:t>一并递交。在政府采购资格审查环节，供应商只需提供书面《南京市政府采购供应商信用记录表暨信用承诺书》，即可替代以下证明材料：</w:t>
      </w:r>
    </w:p>
    <w:p w14:paraId="6CE8EF6E">
      <w:pPr>
        <w:spacing w:line="360" w:lineRule="auto"/>
        <w:ind w:firstLine="420"/>
        <w:rPr>
          <w:rFonts w:hint="eastAsia" w:ascii="宋体" w:hAnsi="宋体"/>
          <w:color w:val="auto"/>
          <w:highlight w:val="none"/>
        </w:rPr>
      </w:pPr>
      <w:r>
        <w:rPr>
          <w:rFonts w:hint="eastAsia" w:ascii="宋体" w:hAnsi="宋体"/>
          <w:color w:val="auto"/>
          <w:highlight w:val="none"/>
        </w:rPr>
        <w:t xml:space="preserve">（1）符合国家相关规定的财务状况报告； </w:t>
      </w:r>
    </w:p>
    <w:p w14:paraId="3EEE4D53">
      <w:pPr>
        <w:spacing w:line="360" w:lineRule="auto"/>
        <w:ind w:firstLine="420"/>
        <w:rPr>
          <w:rFonts w:hint="eastAsia" w:ascii="宋体" w:hAnsi="宋体"/>
          <w:color w:val="auto"/>
          <w:highlight w:val="none"/>
        </w:rPr>
      </w:pPr>
      <w:r>
        <w:rPr>
          <w:rFonts w:hint="eastAsia" w:ascii="宋体" w:hAnsi="宋体"/>
          <w:color w:val="auto"/>
          <w:highlight w:val="none"/>
        </w:rPr>
        <w:t xml:space="preserve">（2）依法缴纳税收的证明材料； </w:t>
      </w:r>
    </w:p>
    <w:p w14:paraId="2CF07576">
      <w:pPr>
        <w:spacing w:line="360" w:lineRule="auto"/>
        <w:ind w:firstLine="420"/>
        <w:rPr>
          <w:rFonts w:hint="eastAsia" w:ascii="宋体" w:hAnsi="宋体"/>
          <w:color w:val="auto"/>
          <w:highlight w:val="none"/>
        </w:rPr>
      </w:pPr>
      <w:r>
        <w:rPr>
          <w:rFonts w:hint="eastAsia" w:ascii="宋体" w:hAnsi="宋体"/>
          <w:color w:val="auto"/>
          <w:highlight w:val="none"/>
        </w:rPr>
        <w:t xml:space="preserve">（3）依法缴纳社会保障资金的证明材料； </w:t>
      </w:r>
    </w:p>
    <w:p w14:paraId="41668B36">
      <w:pPr>
        <w:spacing w:line="360" w:lineRule="auto"/>
        <w:ind w:firstLine="420"/>
        <w:rPr>
          <w:rFonts w:hint="eastAsia" w:ascii="宋体" w:hAnsi="宋体"/>
          <w:color w:val="auto"/>
          <w:highlight w:val="none"/>
        </w:rPr>
      </w:pPr>
      <w:r>
        <w:rPr>
          <w:rFonts w:hint="eastAsia" w:ascii="宋体" w:hAnsi="宋体"/>
          <w:color w:val="auto"/>
          <w:highlight w:val="none"/>
        </w:rPr>
        <w:t xml:space="preserve">（4）具备履行政府采购合同所必需的设备和专业技术能力的证明材料； </w:t>
      </w:r>
    </w:p>
    <w:p w14:paraId="272872D9">
      <w:pPr>
        <w:spacing w:line="360" w:lineRule="auto"/>
        <w:ind w:firstLine="420"/>
        <w:rPr>
          <w:rFonts w:hint="eastAsia" w:ascii="宋体" w:hAnsi="宋体"/>
          <w:color w:val="auto"/>
          <w:highlight w:val="none"/>
        </w:rPr>
      </w:pPr>
      <w:r>
        <w:rPr>
          <w:rFonts w:hint="eastAsia" w:ascii="宋体" w:hAnsi="宋体"/>
          <w:color w:val="auto"/>
          <w:highlight w:val="none"/>
        </w:rPr>
        <w:t xml:space="preserve">（5）参加政府采购活动前三年内在经营活动中没有重大违法记录的证明材料； </w:t>
      </w:r>
    </w:p>
    <w:p w14:paraId="190054CB">
      <w:pPr>
        <w:spacing w:line="360" w:lineRule="auto"/>
        <w:ind w:firstLine="420"/>
        <w:rPr>
          <w:rFonts w:hint="eastAsia" w:ascii="宋体" w:hAnsi="宋体"/>
          <w:color w:val="auto"/>
          <w:highlight w:val="none"/>
        </w:rPr>
      </w:pPr>
      <w:r>
        <w:rPr>
          <w:rFonts w:hint="eastAsia" w:ascii="宋体" w:hAnsi="宋体"/>
          <w:color w:val="auto"/>
          <w:highlight w:val="none"/>
        </w:rPr>
        <w:t xml:space="preserve">（6）未被列入失信被执行人、重大税收违法失信主体、政府采购严重违法失信行为记录名单的证明材料。 </w:t>
      </w:r>
    </w:p>
    <w:p w14:paraId="03AA2D45">
      <w:pPr>
        <w:spacing w:line="360" w:lineRule="auto"/>
        <w:ind w:firstLine="420"/>
        <w:rPr>
          <w:rFonts w:hint="eastAsia" w:ascii="宋体" w:hAnsi="宋体"/>
          <w:color w:val="auto"/>
          <w:highlight w:val="none"/>
        </w:rPr>
      </w:pPr>
      <w:r>
        <w:rPr>
          <w:rFonts w:hint="eastAsia" w:ascii="宋体" w:hAnsi="宋体"/>
          <w:color w:val="auto"/>
          <w:highlight w:val="none"/>
        </w:rPr>
        <w:t xml:space="preserve">供应商在中标（成交）后，应按采购文件要求，将上述由信用承诺书替代的证明材料提交采购人或采购代理机构核验。经核验无误后，由采购人或采购代理机构发出中标（成交）通知书。 </w:t>
      </w:r>
    </w:p>
    <w:p w14:paraId="3AF26AB5">
      <w:pPr>
        <w:spacing w:line="360" w:lineRule="auto"/>
        <w:ind w:firstLine="420"/>
        <w:rPr>
          <w:rFonts w:hint="eastAsia" w:ascii="宋体" w:hAnsi="宋体"/>
          <w:color w:val="auto"/>
          <w:highlight w:val="none"/>
        </w:rPr>
      </w:pPr>
      <w:r>
        <w:rPr>
          <w:rFonts w:hint="eastAsia" w:ascii="宋体" w:hAnsi="宋体"/>
          <w:color w:val="auto"/>
          <w:highlight w:val="none"/>
        </w:rPr>
        <w:t xml:space="preserve">供应商涉及以下情形的，不适用信用承诺： </w:t>
      </w:r>
    </w:p>
    <w:p w14:paraId="682BE5B9">
      <w:pPr>
        <w:spacing w:line="360" w:lineRule="auto"/>
        <w:ind w:firstLine="420"/>
        <w:rPr>
          <w:rFonts w:hint="eastAsia" w:ascii="宋体" w:hAnsi="宋体"/>
          <w:color w:val="auto"/>
          <w:highlight w:val="none"/>
        </w:rPr>
      </w:pPr>
      <w:r>
        <w:rPr>
          <w:rFonts w:hint="eastAsia" w:ascii="宋体" w:hAnsi="宋体"/>
          <w:color w:val="auto"/>
          <w:highlight w:val="none"/>
        </w:rPr>
        <w:t xml:space="preserve">（1）供应商被列入严重失信主体名单； </w:t>
      </w:r>
    </w:p>
    <w:p w14:paraId="56AB5AF3">
      <w:pPr>
        <w:spacing w:line="360" w:lineRule="auto"/>
        <w:ind w:firstLine="420"/>
        <w:rPr>
          <w:rFonts w:hint="eastAsia" w:ascii="宋体" w:hAnsi="宋体"/>
          <w:color w:val="auto"/>
          <w:highlight w:val="none"/>
        </w:rPr>
      </w:pPr>
      <w:r>
        <w:rPr>
          <w:rFonts w:hint="eastAsia" w:ascii="宋体" w:hAnsi="宋体"/>
          <w:color w:val="auto"/>
          <w:highlight w:val="none"/>
        </w:rPr>
        <w:t xml:space="preserve">（2）被相关监管部门作出行政处罚且尚在处罚有效期内； </w:t>
      </w:r>
    </w:p>
    <w:p w14:paraId="7FD3533C">
      <w:pPr>
        <w:spacing w:line="360" w:lineRule="auto"/>
        <w:ind w:firstLine="420"/>
        <w:rPr>
          <w:rFonts w:hint="eastAsia" w:ascii="宋体" w:hAnsi="宋体"/>
          <w:color w:val="auto"/>
          <w:highlight w:val="none"/>
        </w:rPr>
      </w:pPr>
      <w:r>
        <w:rPr>
          <w:rFonts w:hint="eastAsia" w:ascii="宋体" w:hAnsi="宋体"/>
          <w:color w:val="auto"/>
          <w:highlight w:val="none"/>
        </w:rPr>
        <w:t xml:space="preserve">（3）其他法律、行政法规规定的不适用信用承诺的情形。 </w:t>
      </w:r>
    </w:p>
    <w:p w14:paraId="35D64680">
      <w:pPr>
        <w:spacing w:line="360" w:lineRule="auto"/>
        <w:ind w:firstLine="420"/>
        <w:rPr>
          <w:rFonts w:hint="eastAsia" w:ascii="宋体" w:hAnsi="宋体"/>
          <w:color w:val="auto"/>
          <w:highlight w:val="none"/>
        </w:rPr>
      </w:pPr>
      <w:r>
        <w:rPr>
          <w:rFonts w:hint="eastAsia" w:ascii="宋体" w:hAnsi="宋体"/>
          <w:color w:val="auto"/>
          <w:highlight w:val="none"/>
        </w:rPr>
        <w:t>供应商对信用承诺内容的真实性、合法性、有效性负责。如作出虚假信用承诺，视同为“提供虚假材料谋取中标、成交”的违法行为。</w:t>
      </w:r>
    </w:p>
    <w:p w14:paraId="4BBB075D">
      <w:pPr>
        <w:spacing w:line="360" w:lineRule="auto"/>
        <w:rPr>
          <w:rFonts w:ascii="宋体" w:hAnsi="宋体"/>
          <w:color w:val="auto"/>
          <w:highlight w:val="none"/>
        </w:rPr>
      </w:pPr>
      <w:bookmarkStart w:id="45" w:name="_Toc28359095"/>
      <w:bookmarkStart w:id="46" w:name="_Toc28359018"/>
      <w:bookmarkStart w:id="47" w:name="_Toc35393805"/>
      <w:bookmarkStart w:id="48" w:name="_Toc35393636"/>
      <w:r>
        <w:rPr>
          <w:rFonts w:hint="eastAsia" w:ascii="宋体" w:hAnsi="宋体"/>
          <w:color w:val="auto"/>
          <w:highlight w:val="none"/>
        </w:rPr>
        <w:t>八、凡对本次采购提出询问，请按</w:t>
      </w:r>
      <w:r>
        <w:rPr>
          <w:rFonts w:ascii="宋体" w:hAnsi="宋体"/>
          <w:color w:val="auto"/>
          <w:highlight w:val="none"/>
        </w:rPr>
        <w:t>以下方式</w:t>
      </w:r>
      <w:r>
        <w:rPr>
          <w:rFonts w:hint="eastAsia" w:ascii="宋体" w:hAnsi="宋体"/>
          <w:color w:val="auto"/>
          <w:highlight w:val="none"/>
        </w:rPr>
        <w:t>联系。</w:t>
      </w:r>
      <w:bookmarkEnd w:id="45"/>
      <w:bookmarkEnd w:id="46"/>
      <w:bookmarkEnd w:id="47"/>
      <w:bookmarkEnd w:id="48"/>
    </w:p>
    <w:p w14:paraId="12DF7EDC">
      <w:pPr>
        <w:spacing w:line="360" w:lineRule="auto"/>
        <w:ind w:firstLine="420"/>
        <w:rPr>
          <w:rFonts w:ascii="宋体" w:hAnsi="宋体"/>
          <w:color w:val="auto"/>
          <w:highlight w:val="none"/>
        </w:rPr>
      </w:pPr>
      <w:bookmarkStart w:id="49" w:name="_Toc28359019"/>
      <w:bookmarkStart w:id="50" w:name="_Toc35393637"/>
      <w:bookmarkStart w:id="51" w:name="_Toc35393806"/>
      <w:bookmarkStart w:id="52" w:name="_Toc28359096"/>
      <w:r>
        <w:rPr>
          <w:rFonts w:hint="eastAsia" w:ascii="宋体" w:hAnsi="宋体"/>
          <w:color w:val="auto"/>
          <w:highlight w:val="none"/>
        </w:rPr>
        <w:t>1.采购人信息</w:t>
      </w:r>
      <w:bookmarkEnd w:id="49"/>
      <w:bookmarkEnd w:id="50"/>
      <w:bookmarkEnd w:id="51"/>
      <w:bookmarkEnd w:id="52"/>
    </w:p>
    <w:p w14:paraId="35B31614">
      <w:pPr>
        <w:spacing w:line="360" w:lineRule="auto"/>
        <w:ind w:firstLine="420"/>
        <w:rPr>
          <w:rFonts w:ascii="宋体" w:hAnsi="宋体"/>
          <w:color w:val="auto"/>
          <w:highlight w:val="none"/>
        </w:rPr>
      </w:pPr>
      <w:r>
        <w:rPr>
          <w:rFonts w:hint="eastAsia" w:ascii="宋体" w:hAnsi="宋体"/>
          <w:color w:val="auto"/>
          <w:highlight w:val="none"/>
        </w:rPr>
        <w:t>名称：南京市浦口生态环境监测监控中心　　　　　　　　　　　　</w:t>
      </w:r>
    </w:p>
    <w:p w14:paraId="1AD9BAE2">
      <w:pPr>
        <w:spacing w:line="360" w:lineRule="auto"/>
        <w:ind w:firstLine="420"/>
        <w:rPr>
          <w:rFonts w:ascii="宋体" w:hAnsi="宋体"/>
          <w:color w:val="auto"/>
          <w:highlight w:val="none"/>
        </w:rPr>
      </w:pPr>
      <w:r>
        <w:rPr>
          <w:rFonts w:hint="eastAsia" w:ascii="宋体" w:hAnsi="宋体"/>
          <w:color w:val="auto"/>
          <w:highlight w:val="none"/>
        </w:rPr>
        <w:t>地址：南京市浦口区雨合路20号</w:t>
      </w:r>
      <w:r>
        <w:rPr>
          <w:rFonts w:hint="eastAsia" w:ascii="宋体" w:hAnsi="宋体"/>
          <w:color w:val="auto"/>
          <w:highlight w:val="none"/>
          <w:lang w:val="en-US" w:eastAsia="zh-CN"/>
        </w:rPr>
        <w:t>16层</w:t>
      </w:r>
      <w:r>
        <w:rPr>
          <w:rFonts w:hint="eastAsia" w:ascii="宋体" w:hAnsi="宋体"/>
          <w:color w:val="auto"/>
          <w:highlight w:val="none"/>
        </w:rPr>
        <w:t>　　　　　　　　　　　</w:t>
      </w:r>
    </w:p>
    <w:p w14:paraId="64CC7AA3">
      <w:pPr>
        <w:spacing w:line="360" w:lineRule="auto"/>
        <w:ind w:firstLine="420"/>
        <w:rPr>
          <w:rFonts w:hint="default" w:ascii="宋体" w:hAnsi="宋体" w:eastAsia="宋体"/>
          <w:color w:val="auto"/>
          <w:highlight w:val="none"/>
          <w:lang w:val="en-US" w:eastAsia="zh-CN"/>
        </w:rPr>
      </w:pPr>
      <w:r>
        <w:rPr>
          <w:rFonts w:hint="eastAsia" w:ascii="宋体" w:hAnsi="宋体"/>
          <w:color w:val="auto"/>
          <w:highlight w:val="none"/>
        </w:rPr>
        <w:t>联系人：</w:t>
      </w:r>
      <w:r>
        <w:rPr>
          <w:rFonts w:hint="eastAsia" w:ascii="宋体" w:hAnsi="宋体"/>
          <w:color w:val="auto"/>
          <w:highlight w:val="none"/>
          <w:lang w:val="en-US" w:eastAsia="zh-CN"/>
        </w:rPr>
        <w:t>杨主任</w:t>
      </w:r>
    </w:p>
    <w:p w14:paraId="35D4DC5D">
      <w:pPr>
        <w:spacing w:line="360" w:lineRule="auto"/>
        <w:ind w:firstLine="420"/>
        <w:rPr>
          <w:rFonts w:ascii="宋体" w:hAnsi="宋体"/>
          <w:color w:val="auto"/>
          <w:highlight w:val="none"/>
        </w:rPr>
      </w:pPr>
      <w:r>
        <w:rPr>
          <w:rFonts w:hint="eastAsia" w:ascii="宋体" w:hAnsi="宋体"/>
          <w:color w:val="auto"/>
          <w:highlight w:val="none"/>
        </w:rPr>
        <w:t>联系方式：</w:t>
      </w:r>
      <w:bookmarkStart w:id="53" w:name="_Toc28359097"/>
      <w:bookmarkStart w:id="54" w:name="_Toc35393807"/>
      <w:bookmarkStart w:id="55" w:name="_Toc35393638"/>
      <w:bookmarkStart w:id="56" w:name="_Toc28359020"/>
      <w:r>
        <w:rPr>
          <w:rFonts w:hint="eastAsia" w:ascii="宋体" w:hAnsi="宋体"/>
          <w:color w:val="auto"/>
          <w:highlight w:val="none"/>
        </w:rPr>
        <w:t>025</w:t>
      </w:r>
      <w:r>
        <w:rPr>
          <w:rFonts w:hint="eastAsia" w:ascii="宋体" w:hAnsi="宋体"/>
          <w:color w:val="auto"/>
          <w:highlight w:val="none"/>
          <w:lang w:val="en-US" w:eastAsia="zh-CN"/>
        </w:rPr>
        <w:t>-</w:t>
      </w:r>
      <w:r>
        <w:rPr>
          <w:rFonts w:hint="eastAsia" w:ascii="宋体" w:hAnsi="宋体"/>
          <w:color w:val="auto"/>
          <w:highlight w:val="none"/>
        </w:rPr>
        <w:t>58888402</w:t>
      </w:r>
    </w:p>
    <w:p w14:paraId="36A64CD5">
      <w:pPr>
        <w:spacing w:line="360" w:lineRule="auto"/>
        <w:ind w:firstLine="420"/>
        <w:rPr>
          <w:rFonts w:ascii="宋体" w:hAnsi="宋体"/>
          <w:color w:val="auto"/>
          <w:highlight w:val="none"/>
        </w:rPr>
      </w:pPr>
      <w:r>
        <w:rPr>
          <w:rFonts w:hint="eastAsia" w:ascii="宋体" w:hAnsi="宋体"/>
          <w:color w:val="auto"/>
          <w:highlight w:val="none"/>
        </w:rPr>
        <w:t>2.采购代理机构信息</w:t>
      </w:r>
      <w:bookmarkEnd w:id="53"/>
      <w:bookmarkEnd w:id="54"/>
      <w:bookmarkEnd w:id="55"/>
      <w:bookmarkEnd w:id="56"/>
    </w:p>
    <w:p w14:paraId="0A47BBFB">
      <w:pPr>
        <w:spacing w:line="360" w:lineRule="auto"/>
        <w:ind w:firstLine="420"/>
        <w:rPr>
          <w:rFonts w:hint="eastAsia" w:ascii="宋体" w:hAnsi="宋体" w:eastAsia="宋体"/>
          <w:color w:val="auto"/>
          <w:highlight w:val="none"/>
          <w:lang w:eastAsia="zh-CN"/>
        </w:rPr>
      </w:pPr>
      <w:r>
        <w:rPr>
          <w:rFonts w:hint="eastAsia" w:ascii="宋体" w:hAnsi="宋体"/>
          <w:color w:val="auto"/>
          <w:highlight w:val="none"/>
        </w:rPr>
        <w:t>名称：</w:t>
      </w:r>
      <w:r>
        <w:rPr>
          <w:rFonts w:hint="eastAsia" w:ascii="宋体" w:hAnsi="宋体"/>
          <w:color w:val="auto"/>
          <w:highlight w:val="none"/>
          <w:lang w:eastAsia="zh-CN"/>
        </w:rPr>
        <w:t>南京越鑫项目管理咨询有限公司</w:t>
      </w:r>
    </w:p>
    <w:p w14:paraId="10CF63BB">
      <w:pPr>
        <w:spacing w:line="360" w:lineRule="auto"/>
        <w:ind w:firstLine="420"/>
        <w:rPr>
          <w:rFonts w:hint="eastAsia" w:ascii="宋体" w:hAnsi="宋体" w:eastAsia="宋体"/>
          <w:color w:val="auto"/>
          <w:highlight w:val="none"/>
          <w:lang w:eastAsia="zh-CN"/>
        </w:rPr>
      </w:pPr>
      <w:r>
        <w:rPr>
          <w:rFonts w:hint="eastAsia" w:ascii="宋体" w:hAnsi="宋体"/>
          <w:color w:val="auto"/>
          <w:highlight w:val="none"/>
        </w:rPr>
        <w:t>地址：</w:t>
      </w:r>
      <w:r>
        <w:rPr>
          <w:rFonts w:hint="eastAsia" w:ascii="宋体" w:hAnsi="宋体"/>
          <w:color w:val="auto"/>
          <w:highlight w:val="none"/>
          <w:lang w:eastAsia="zh-CN"/>
        </w:rPr>
        <w:t>南京市江宁区绿都大道31号都荟天地城C4幢508室</w:t>
      </w:r>
    </w:p>
    <w:p w14:paraId="4262D4AA">
      <w:pPr>
        <w:widowControl/>
        <w:spacing w:line="360" w:lineRule="auto"/>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val="en-US" w:eastAsia="zh-CN"/>
        </w:rPr>
        <w:t>邢工</w:t>
      </w:r>
    </w:p>
    <w:p w14:paraId="71C67C62">
      <w:pPr>
        <w:widowControl/>
        <w:spacing w:line="360" w:lineRule="auto"/>
        <w:ind w:firstLine="420"/>
        <w:jc w:val="left"/>
        <w:rPr>
          <w:color w:val="auto"/>
          <w:highlight w:val="none"/>
        </w:rPr>
      </w:pPr>
      <w:r>
        <w:rPr>
          <w:rFonts w:hint="eastAsia" w:ascii="宋体" w:hAnsi="宋体"/>
          <w:color w:val="auto"/>
          <w:highlight w:val="none"/>
        </w:rPr>
        <w:t>联系方式：</w:t>
      </w:r>
      <w:r>
        <w:rPr>
          <w:rFonts w:hint="eastAsia" w:ascii="宋体" w:hAnsi="宋体"/>
          <w:color w:val="auto"/>
          <w:highlight w:val="none"/>
          <w:lang w:val="en-US" w:eastAsia="zh-CN"/>
        </w:rPr>
        <w:t>17826032096</w:t>
      </w:r>
    </w:p>
    <w:p w14:paraId="2A8801EC">
      <w:pPr>
        <w:rPr>
          <w:rFonts w:hint="eastAsia" w:ascii="宋体" w:hAnsi="宋体"/>
          <w:b/>
          <w:bCs/>
          <w:color w:val="auto"/>
          <w:sz w:val="32"/>
          <w:szCs w:val="32"/>
          <w:highlight w:val="none"/>
          <w:lang w:val="zh-CN"/>
        </w:rPr>
      </w:pPr>
      <w:bookmarkStart w:id="57" w:name="_Toc55479005"/>
      <w:bookmarkStart w:id="58" w:name="_Toc44660251"/>
      <w:r>
        <w:rPr>
          <w:rFonts w:hint="eastAsia" w:ascii="宋体" w:hAnsi="宋体"/>
          <w:b/>
          <w:bCs/>
          <w:color w:val="auto"/>
          <w:sz w:val="32"/>
          <w:szCs w:val="32"/>
          <w:highlight w:val="none"/>
          <w:lang w:val="zh-CN"/>
        </w:rPr>
        <w:br w:type="page" w:clear="all"/>
      </w:r>
    </w:p>
    <w:p w14:paraId="512D8B11">
      <w:pPr>
        <w:spacing w:line="360" w:lineRule="auto"/>
        <w:jc w:val="center"/>
        <w:outlineLvl w:val="0"/>
        <w:rPr>
          <w:rFonts w:ascii="宋体" w:hAnsi="宋体"/>
          <w:b/>
          <w:bCs/>
          <w:color w:val="auto"/>
          <w:sz w:val="32"/>
          <w:szCs w:val="32"/>
          <w:highlight w:val="none"/>
          <w:lang w:val="zh-CN"/>
        </w:rPr>
      </w:pPr>
      <w:r>
        <w:rPr>
          <w:rFonts w:hint="eastAsia" w:ascii="宋体" w:hAnsi="宋体"/>
          <w:b/>
          <w:bCs/>
          <w:color w:val="auto"/>
          <w:sz w:val="32"/>
          <w:szCs w:val="32"/>
          <w:highlight w:val="none"/>
          <w:lang w:val="zh-CN"/>
        </w:rPr>
        <w:t>第二章 投标人须知</w:t>
      </w:r>
      <w:bookmarkEnd w:id="57"/>
      <w:bookmarkEnd w:id="58"/>
    </w:p>
    <w:p w14:paraId="3C1A9AE3">
      <w:pPr>
        <w:spacing w:line="360" w:lineRule="auto"/>
        <w:ind w:firstLine="420"/>
        <w:outlineLvl w:val="0"/>
        <w:rPr>
          <w:rFonts w:hint="eastAsia" w:ascii="宋体" w:hAnsi="宋体"/>
          <w:b/>
          <w:color w:val="auto"/>
          <w:szCs w:val="21"/>
          <w:highlight w:val="none"/>
          <w:lang w:val="zh-CN"/>
        </w:rPr>
      </w:pPr>
      <w:bookmarkStart w:id="59" w:name="_Toc55479006"/>
      <w:r>
        <w:rPr>
          <w:rFonts w:hint="eastAsia" w:ascii="宋体" w:hAnsi="宋体"/>
          <w:b/>
          <w:color w:val="auto"/>
          <w:szCs w:val="21"/>
          <w:highlight w:val="none"/>
          <w:lang w:val="zh-CN"/>
        </w:rPr>
        <w:t>一、总则</w:t>
      </w:r>
      <w:bookmarkEnd w:id="59"/>
    </w:p>
    <w:p w14:paraId="0EC3FE87">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适用法律</w:t>
      </w:r>
      <w:r>
        <w:rPr>
          <w:rFonts w:hint="eastAsia" w:ascii="宋体" w:hAnsi="宋体"/>
          <w:color w:val="auto"/>
          <w:szCs w:val="21"/>
          <w:highlight w:val="none"/>
          <w:lang w:val="zh-CN"/>
        </w:rPr>
        <w:t>：</w:t>
      </w:r>
    </w:p>
    <w:p w14:paraId="6EC794C2">
      <w:pPr>
        <w:spacing w:line="360" w:lineRule="auto"/>
        <w:ind w:firstLine="420"/>
        <w:rPr>
          <w:rFonts w:ascii="宋体" w:hAnsi="宋体"/>
          <w:color w:val="auto"/>
          <w:szCs w:val="21"/>
          <w:highlight w:val="none"/>
          <w:lang w:val="zh-CN"/>
        </w:rPr>
      </w:pPr>
      <w:r>
        <w:rPr>
          <w:rFonts w:ascii="宋体" w:hAnsi="宋体"/>
          <w:color w:val="auto"/>
          <w:szCs w:val="21"/>
          <w:highlight w:val="none"/>
          <w:lang w:val="zh-CN"/>
        </w:rPr>
        <w:t>1.1</w:t>
      </w:r>
      <w:r>
        <w:rPr>
          <w:rStyle w:val="279"/>
          <w:color w:val="auto"/>
          <w:sz w:val="21"/>
          <w:szCs w:val="21"/>
          <w:highlight w:val="none"/>
        </w:rPr>
        <w:t>《中华人民共和国政府采购法》《中华人民共和国政府采购法实施条例》《政府采购货物和服务招标投标管理办法》等有关法律、规章和</w:t>
      </w:r>
      <w:r>
        <w:rPr>
          <w:rStyle w:val="279"/>
          <w:color w:val="auto"/>
          <w:sz w:val="21"/>
          <w:szCs w:val="21"/>
          <w:highlight w:val="none"/>
          <w:lang w:eastAsia="zh-CN"/>
        </w:rPr>
        <w:t>规定</w:t>
      </w:r>
      <w:r>
        <w:rPr>
          <w:rStyle w:val="279"/>
          <w:color w:val="auto"/>
          <w:sz w:val="21"/>
          <w:szCs w:val="21"/>
          <w:highlight w:val="none"/>
        </w:rPr>
        <w:t>。</w:t>
      </w:r>
    </w:p>
    <w:p w14:paraId="715A4366">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2.定义</w:t>
      </w:r>
    </w:p>
    <w:p w14:paraId="7A3B9968">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2.</w:t>
      </w:r>
      <w:r>
        <w:rPr>
          <w:rFonts w:hint="eastAsia" w:ascii="宋体" w:hAnsi="宋体"/>
          <w:color w:val="auto"/>
          <w:szCs w:val="21"/>
          <w:highlight w:val="none"/>
          <w:lang w:val="zh-CN"/>
        </w:rPr>
        <w:t>1“投标人”“供应商”</w:t>
      </w:r>
      <w:r>
        <w:rPr>
          <w:rFonts w:hint="eastAsia" w:ascii="宋体" w:hAnsi="宋体"/>
          <w:color w:val="auto"/>
          <w:szCs w:val="21"/>
          <w:highlight w:val="none"/>
        </w:rPr>
        <w:t>是指参加投标竞争，并符合招标文件规定资格条件的法人、其他组织或者自然人。</w:t>
      </w:r>
    </w:p>
    <w:p w14:paraId="56713271">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2.</w:t>
      </w:r>
      <w:r>
        <w:rPr>
          <w:rFonts w:hint="eastAsia" w:ascii="宋体" w:hAnsi="宋体"/>
          <w:color w:val="auto"/>
          <w:szCs w:val="21"/>
          <w:highlight w:val="none"/>
          <w:lang w:val="zh-CN"/>
        </w:rPr>
        <w:t>2“货物、服务和工程”指本招标文件中所述产品及相关货物、服务和工程。</w:t>
      </w:r>
    </w:p>
    <w:p w14:paraId="483D8C32">
      <w:pPr>
        <w:spacing w:line="360" w:lineRule="auto"/>
        <w:ind w:firstLine="420"/>
        <w:rPr>
          <w:rFonts w:ascii="宋体" w:hAnsi="宋体"/>
          <w:color w:val="auto"/>
          <w:szCs w:val="21"/>
          <w:highlight w:val="none"/>
          <w:lang w:val="zh-CN"/>
        </w:rPr>
      </w:pPr>
      <w:r>
        <w:rPr>
          <w:rFonts w:ascii="宋体" w:hAnsi="宋体"/>
          <w:color w:val="auto"/>
          <w:szCs w:val="21"/>
          <w:highlight w:val="none"/>
          <w:lang w:val="zh-CN"/>
        </w:rPr>
        <w:t>2.</w:t>
      </w:r>
      <w:r>
        <w:rPr>
          <w:rFonts w:hint="eastAsia" w:ascii="宋体" w:hAnsi="宋体"/>
          <w:color w:val="auto"/>
          <w:szCs w:val="21"/>
          <w:highlight w:val="none"/>
          <w:lang w:val="zh-CN"/>
        </w:rPr>
        <w:t>3“用户或使用单位”是指使用服务的单位。</w:t>
      </w:r>
    </w:p>
    <w:p w14:paraId="222DE32B">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3.政策功能</w:t>
      </w:r>
    </w:p>
    <w:p w14:paraId="030FE0EA">
      <w:pPr>
        <w:spacing w:line="360" w:lineRule="auto"/>
        <w:ind w:firstLine="420"/>
        <w:rPr>
          <w:rFonts w:ascii="宋体" w:hAnsi="宋体"/>
          <w:color w:val="auto"/>
          <w:highlight w:val="none"/>
          <w:lang w:val="zh-CN"/>
        </w:rPr>
      </w:pPr>
      <w:r>
        <w:rPr>
          <w:rFonts w:hint="eastAsia" w:ascii="宋体" w:hAnsi="宋体"/>
          <w:color w:val="auto"/>
          <w:highlight w:val="none"/>
          <w:lang w:val="zh-CN"/>
        </w:rPr>
        <w:t>3.1 政府采购促进中小企业发展，在政府采购活动中，供应商提供的货物、工程或者服务</w:t>
      </w:r>
    </w:p>
    <w:p w14:paraId="3B767863">
      <w:pPr>
        <w:spacing w:line="360" w:lineRule="auto"/>
        <w:rPr>
          <w:rFonts w:hint="eastAsia" w:ascii="宋体" w:hAnsi="宋体"/>
          <w:color w:val="auto"/>
          <w:highlight w:val="none"/>
          <w:lang w:val="zh-CN"/>
        </w:rPr>
      </w:pPr>
      <w:r>
        <w:rPr>
          <w:rFonts w:hint="eastAsia" w:ascii="宋体" w:hAnsi="宋体"/>
          <w:color w:val="auto"/>
          <w:highlight w:val="none"/>
          <w:lang w:val="zh-CN"/>
        </w:rPr>
        <w:t>符合下列情形的，享受中小企业扶持政策：</w:t>
      </w:r>
    </w:p>
    <w:p w14:paraId="28B1A48C">
      <w:pPr>
        <w:spacing w:line="360" w:lineRule="auto"/>
        <w:ind w:firstLine="420"/>
        <w:rPr>
          <w:rFonts w:hint="eastAsia" w:ascii="宋体" w:hAnsi="宋体"/>
          <w:color w:val="auto"/>
          <w:highlight w:val="none"/>
          <w:lang w:val="zh-CN"/>
        </w:rPr>
      </w:pPr>
      <w:r>
        <w:rPr>
          <w:rFonts w:hint="eastAsia" w:ascii="宋体" w:hAnsi="宋体"/>
          <w:color w:val="auto"/>
          <w:highlight w:val="none"/>
          <w:lang w:val="zh-CN"/>
        </w:rPr>
        <w:t>（1）在货物采购项目中，货物由中小企业制造，即货物由中小企业生产且使用该中小</w:t>
      </w:r>
      <w:r>
        <w:rPr>
          <w:rFonts w:hint="eastAsia" w:ascii="宋体" w:hAnsi="宋体"/>
          <w:color w:val="auto"/>
          <w:highlight w:val="none"/>
        </w:rPr>
        <w:t>企业</w:t>
      </w:r>
      <w:r>
        <w:rPr>
          <w:rFonts w:hint="eastAsia" w:ascii="宋体" w:hAnsi="宋体"/>
          <w:color w:val="auto"/>
          <w:highlight w:val="none"/>
          <w:lang w:val="zh-CN"/>
        </w:rPr>
        <w:t>商号或者注册商标；</w:t>
      </w:r>
    </w:p>
    <w:p w14:paraId="475D5FEF">
      <w:pPr>
        <w:spacing w:line="360" w:lineRule="auto"/>
        <w:ind w:firstLine="420"/>
        <w:rPr>
          <w:rFonts w:hint="eastAsia" w:ascii="宋体" w:hAnsi="宋体"/>
          <w:color w:val="auto"/>
          <w:highlight w:val="none"/>
          <w:lang w:val="zh-CN"/>
        </w:rPr>
      </w:pPr>
      <w:r>
        <w:rPr>
          <w:rFonts w:hint="eastAsia" w:ascii="宋体" w:hAnsi="宋体"/>
          <w:color w:val="auto"/>
          <w:highlight w:val="none"/>
          <w:lang w:val="zh-CN"/>
        </w:rPr>
        <w:t>（2）在工程采购项目中，工程由中小企业承建，即工程施工单位为中小企业；</w:t>
      </w:r>
    </w:p>
    <w:p w14:paraId="54DCD49D">
      <w:pPr>
        <w:spacing w:line="360" w:lineRule="auto"/>
        <w:ind w:firstLine="420"/>
        <w:rPr>
          <w:rFonts w:hint="eastAsia" w:ascii="宋体" w:hAnsi="宋体"/>
          <w:color w:val="auto"/>
          <w:highlight w:val="none"/>
          <w:lang w:val="zh-CN"/>
        </w:rPr>
      </w:pPr>
      <w:r>
        <w:rPr>
          <w:rFonts w:hint="eastAsia" w:ascii="宋体" w:hAnsi="宋体"/>
          <w:color w:val="auto"/>
          <w:highlight w:val="none"/>
          <w:lang w:val="zh-CN"/>
        </w:rPr>
        <w:t>（3）在服务采购项目中，服务由中小企业承接，即提供服务的人员为中小企业依照《中华人民共和国劳动合同法》规定订立劳动合同的从业人员。</w:t>
      </w:r>
    </w:p>
    <w:p w14:paraId="252E5EBC">
      <w:pPr>
        <w:spacing w:line="360" w:lineRule="auto"/>
        <w:ind w:firstLine="630"/>
        <w:rPr>
          <w:rFonts w:hint="eastAsia" w:ascii="宋体" w:hAnsi="宋体"/>
          <w:color w:val="auto"/>
          <w:highlight w:val="none"/>
          <w:lang w:val="zh-CN"/>
        </w:rPr>
      </w:pPr>
      <w:r>
        <w:rPr>
          <w:rFonts w:hint="eastAsia" w:ascii="宋体" w:hAnsi="宋体"/>
          <w:color w:val="auto"/>
          <w:highlight w:val="none"/>
          <w:lang w:val="zh-CN"/>
        </w:rPr>
        <w:t>在货物采购项目中，供应商提供的货物既有中小企业制造的，也有大型企业制造的，不享受中小企业扶持政策。</w:t>
      </w:r>
    </w:p>
    <w:p w14:paraId="26B0B258">
      <w:pPr>
        <w:spacing w:line="360" w:lineRule="auto"/>
        <w:ind w:firstLine="630"/>
        <w:rPr>
          <w:rFonts w:hint="eastAsia" w:ascii="宋体" w:hAnsi="宋体"/>
          <w:color w:val="auto"/>
          <w:highlight w:val="none"/>
          <w:lang w:val="zh-CN"/>
        </w:rPr>
      </w:pPr>
      <w:r>
        <w:rPr>
          <w:rFonts w:hint="eastAsia" w:ascii="宋体" w:hAnsi="宋体"/>
          <w:color w:val="auto"/>
          <w:highlight w:val="none"/>
          <w:lang w:val="zh-CN"/>
        </w:rPr>
        <w:t>以联合体形式参加政府采购活动，联合体各方均为中小企业的，联合体视同中小企业。其</w:t>
      </w:r>
    </w:p>
    <w:p w14:paraId="3E5B8BDD">
      <w:pPr>
        <w:spacing w:line="360" w:lineRule="auto"/>
        <w:rPr>
          <w:rFonts w:hint="eastAsia" w:ascii="宋体" w:hAnsi="宋体"/>
          <w:color w:val="auto"/>
          <w:highlight w:val="none"/>
          <w:lang w:val="zh-CN"/>
        </w:rPr>
      </w:pPr>
      <w:r>
        <w:rPr>
          <w:rFonts w:hint="eastAsia" w:ascii="宋体" w:hAnsi="宋体"/>
          <w:color w:val="auto"/>
          <w:highlight w:val="none"/>
          <w:lang w:val="zh-CN"/>
        </w:rPr>
        <w:t>中，联合体各方均为小微企业的，联合体视同小微企业。</w:t>
      </w:r>
    </w:p>
    <w:p w14:paraId="150D2D92">
      <w:pPr>
        <w:spacing w:line="360" w:lineRule="auto"/>
        <w:ind w:firstLine="630"/>
        <w:rPr>
          <w:rFonts w:hint="eastAsia" w:ascii="宋体" w:hAnsi="宋体"/>
          <w:color w:val="auto"/>
          <w:highlight w:val="none"/>
          <w:lang w:val="zh-CN"/>
        </w:rPr>
      </w:pPr>
      <w:r>
        <w:rPr>
          <w:rFonts w:hint="eastAsia" w:ascii="宋体" w:hAnsi="宋体"/>
          <w:color w:val="auto"/>
          <w:highlight w:val="none"/>
          <w:lang w:val="zh-CN"/>
        </w:rPr>
        <w:t>中小企业供应商参加政府采购活动，应当出具《中小企业声明函》（格式见附件），否</w:t>
      </w:r>
    </w:p>
    <w:p w14:paraId="5387D2C1">
      <w:pPr>
        <w:spacing w:line="360" w:lineRule="auto"/>
        <w:rPr>
          <w:rFonts w:hint="eastAsia" w:ascii="宋体" w:hAnsi="宋体"/>
          <w:color w:val="auto"/>
          <w:highlight w:val="none"/>
          <w:lang w:val="zh-CN"/>
        </w:rPr>
      </w:pPr>
      <w:r>
        <w:rPr>
          <w:rFonts w:hint="eastAsia" w:ascii="宋体" w:hAnsi="宋体"/>
          <w:color w:val="auto"/>
          <w:highlight w:val="none"/>
          <w:lang w:val="zh-CN"/>
        </w:rPr>
        <w:t>则不得享受相关中小企业扶持政策。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w:t>
      </w:r>
    </w:p>
    <w:p w14:paraId="60B0BBB6">
      <w:pPr>
        <w:spacing w:line="360" w:lineRule="auto"/>
        <w:rPr>
          <w:rFonts w:hint="eastAsia" w:ascii="宋体" w:hAnsi="宋体"/>
          <w:color w:val="auto"/>
          <w:highlight w:val="none"/>
          <w:lang w:val="zh-CN"/>
        </w:rPr>
      </w:pPr>
      <w:r>
        <w:rPr>
          <w:rFonts w:hint="eastAsia" w:ascii="宋体" w:hAnsi="宋体"/>
          <w:color w:val="auto"/>
          <w:highlight w:val="none"/>
          <w:lang w:val="zh-CN"/>
        </w:rPr>
        <w:t>213号）确定的中型企业、小型企业和微型企业，但与大企业的负责人为同一人，或者与大企业存在直接控股、管理关系的除外。符合中小企业划分标准的个体工商户，在政府采购活动中视同中小企业</w:t>
      </w:r>
      <w:r>
        <w:rPr>
          <w:rFonts w:hint="eastAsia" w:ascii="宋体" w:hAnsi="宋体"/>
          <w:color w:val="auto"/>
          <w:szCs w:val="21"/>
          <w:highlight w:val="none"/>
          <w:lang w:val="zh-CN"/>
        </w:rPr>
        <w:t>。</w:t>
      </w:r>
    </w:p>
    <w:p w14:paraId="1B7F5296">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5DAB9DE9">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14:paraId="00AE98D4">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3.4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586A4CDD">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3.5提供的产品属于信息安全产品的，供应商应当选择经国家认证的信息安全产品投标，并提供由中国信息安全认证中心按国家标准认证颁发的有效认证证书复印件。</w:t>
      </w:r>
    </w:p>
    <w:p w14:paraId="4867BD6F">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3.6提供的产品属于政府强制采购节能产品的，供应商应当选择依据国家标准中二级能效（水效）指标认证的节能产品投标，并提供有效的节能产品认证证书复印件。</w:t>
      </w:r>
    </w:p>
    <w:p w14:paraId="3718FDC9">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3.7提供的产品属于环境标志产品的，供应商应当选择依据相关标准的最新版本认证的环境标志产品投标，并提供有效的环境标志产品认证证书复印件。</w:t>
      </w:r>
    </w:p>
    <w:p w14:paraId="24D1A22D">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3.8根据财库〔2011〕59号文规定，如为信息系统项目，受托为整体采购项目或者其中分项目的前期工作提供设计、编制规范、进行管理等服务的供应商不得再参加该分项目的采购活动。但属于《中华人民共和国政府采购法》第三十一条规定的单一来源方式采购情形的，不适用本条。</w:t>
      </w:r>
    </w:p>
    <w:p w14:paraId="3F206D42">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3.9为推进社会信用体系建设，根据财政部等政策要求，在政府采购活动中查询、使用信用记录，推进政府采购领域联合惩戒工作。在政府采购活动中，通过“信用中国”“中国政府采购网”等渠道查询相关主体信用记录，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D1529BF">
      <w:pPr>
        <w:spacing w:line="360" w:lineRule="auto"/>
        <w:ind w:firstLine="420"/>
        <w:outlineLvl w:val="0"/>
        <w:rPr>
          <w:rFonts w:ascii="宋体" w:hAnsi="宋体"/>
          <w:b/>
          <w:color w:val="auto"/>
          <w:szCs w:val="21"/>
          <w:highlight w:val="none"/>
          <w:lang w:val="zh-CN"/>
        </w:rPr>
      </w:pPr>
      <w:bookmarkStart w:id="60" w:name="_Toc55479007"/>
      <w:r>
        <w:rPr>
          <w:rFonts w:ascii="宋体" w:hAnsi="宋体"/>
          <w:b/>
          <w:color w:val="auto"/>
          <w:szCs w:val="21"/>
          <w:highlight w:val="none"/>
          <w:lang w:val="zh-CN"/>
        </w:rPr>
        <w:t>二</w:t>
      </w:r>
      <w:r>
        <w:rPr>
          <w:rFonts w:hint="eastAsia" w:ascii="宋体" w:hAnsi="宋体"/>
          <w:b/>
          <w:color w:val="auto"/>
          <w:szCs w:val="21"/>
          <w:highlight w:val="none"/>
          <w:lang w:val="zh-CN"/>
        </w:rPr>
        <w:t>、</w:t>
      </w:r>
      <w:r>
        <w:rPr>
          <w:rFonts w:ascii="宋体" w:hAnsi="宋体"/>
          <w:b/>
          <w:color w:val="auto"/>
          <w:szCs w:val="21"/>
          <w:highlight w:val="none"/>
          <w:lang w:val="zh-CN"/>
        </w:rPr>
        <w:t>招标文件</w:t>
      </w:r>
      <w:bookmarkEnd w:id="60"/>
    </w:p>
    <w:p w14:paraId="4D734595">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4.招标文件组成</w:t>
      </w:r>
    </w:p>
    <w:p w14:paraId="373AC886">
      <w:pPr>
        <w:spacing w:line="360" w:lineRule="auto"/>
        <w:ind w:firstLine="426"/>
        <w:rPr>
          <w:rFonts w:ascii="宋体" w:hAnsi="宋体"/>
          <w:color w:val="auto"/>
          <w:szCs w:val="21"/>
          <w:highlight w:val="none"/>
          <w:lang w:val="zh-CN"/>
        </w:rPr>
      </w:pPr>
      <w:r>
        <w:rPr>
          <w:rFonts w:hint="eastAsia" w:ascii="宋体" w:hAnsi="宋体"/>
          <w:color w:val="auto"/>
          <w:szCs w:val="21"/>
          <w:highlight w:val="none"/>
          <w:lang w:val="zh-CN"/>
        </w:rPr>
        <w:t>4</w:t>
      </w:r>
      <w:r>
        <w:rPr>
          <w:rFonts w:ascii="宋体" w:hAnsi="宋体"/>
          <w:color w:val="auto"/>
          <w:szCs w:val="21"/>
          <w:highlight w:val="none"/>
          <w:lang w:val="zh-CN"/>
        </w:rPr>
        <w:t>.1</w:t>
      </w:r>
      <w:r>
        <w:rPr>
          <w:rFonts w:hint="eastAsia" w:ascii="宋体" w:hAnsi="宋体"/>
          <w:color w:val="auto"/>
          <w:szCs w:val="21"/>
          <w:highlight w:val="none"/>
          <w:lang w:val="zh-CN"/>
        </w:rPr>
        <w:t xml:space="preserve"> 招标文件的组成部分：</w:t>
      </w:r>
    </w:p>
    <w:p w14:paraId="114271AD">
      <w:pPr>
        <w:spacing w:line="360" w:lineRule="auto"/>
        <w:ind w:firstLine="426"/>
        <w:rPr>
          <w:rFonts w:hint="eastAsia" w:ascii="宋体" w:hAnsi="宋体"/>
          <w:color w:val="auto"/>
          <w:szCs w:val="21"/>
          <w:highlight w:val="none"/>
          <w:lang w:val="zh-CN"/>
        </w:rPr>
      </w:pPr>
      <w:r>
        <w:rPr>
          <w:rFonts w:hint="eastAsia" w:ascii="宋体" w:hAnsi="宋体"/>
          <w:color w:val="auto"/>
          <w:szCs w:val="21"/>
          <w:highlight w:val="none"/>
          <w:lang w:val="zh-CN"/>
        </w:rPr>
        <w:t>第一章 公开招标公告</w:t>
      </w:r>
    </w:p>
    <w:p w14:paraId="6319EFF1">
      <w:pPr>
        <w:spacing w:line="360" w:lineRule="auto"/>
        <w:ind w:firstLine="426"/>
        <w:rPr>
          <w:rFonts w:hint="eastAsia" w:ascii="宋体" w:hAnsi="宋体"/>
          <w:color w:val="auto"/>
          <w:szCs w:val="21"/>
          <w:highlight w:val="none"/>
          <w:lang w:val="zh-CN"/>
        </w:rPr>
      </w:pPr>
      <w:r>
        <w:rPr>
          <w:rFonts w:hint="eastAsia" w:ascii="宋体" w:hAnsi="宋体"/>
          <w:color w:val="auto"/>
          <w:szCs w:val="21"/>
          <w:highlight w:val="none"/>
          <w:lang w:val="zh-CN"/>
        </w:rPr>
        <w:t xml:space="preserve">第二章 投标人须知 </w:t>
      </w:r>
    </w:p>
    <w:p w14:paraId="5EA09010">
      <w:pPr>
        <w:spacing w:line="360" w:lineRule="auto"/>
        <w:ind w:firstLine="426"/>
        <w:rPr>
          <w:rFonts w:hint="eastAsia" w:ascii="宋体" w:hAnsi="宋体"/>
          <w:color w:val="auto"/>
          <w:szCs w:val="21"/>
          <w:highlight w:val="none"/>
          <w:lang w:val="zh-CN"/>
        </w:rPr>
      </w:pPr>
      <w:r>
        <w:rPr>
          <w:rFonts w:hint="eastAsia" w:ascii="宋体" w:hAnsi="宋体"/>
          <w:color w:val="auto"/>
          <w:szCs w:val="21"/>
          <w:highlight w:val="none"/>
          <w:lang w:val="zh-CN"/>
        </w:rPr>
        <w:t>第三章 评标标准</w:t>
      </w:r>
    </w:p>
    <w:p w14:paraId="5E874757">
      <w:pPr>
        <w:spacing w:line="360" w:lineRule="auto"/>
        <w:ind w:firstLine="426"/>
        <w:rPr>
          <w:rFonts w:hint="eastAsia" w:ascii="宋体" w:hAnsi="宋体"/>
          <w:color w:val="auto"/>
          <w:szCs w:val="21"/>
          <w:highlight w:val="none"/>
          <w:lang w:val="zh-CN"/>
        </w:rPr>
      </w:pPr>
      <w:r>
        <w:rPr>
          <w:rFonts w:hint="eastAsia" w:ascii="宋体" w:hAnsi="宋体"/>
          <w:color w:val="auto"/>
          <w:szCs w:val="21"/>
          <w:highlight w:val="none"/>
          <w:lang w:val="zh-CN"/>
        </w:rPr>
        <w:t xml:space="preserve">第四章 采购需求及标准 </w:t>
      </w:r>
    </w:p>
    <w:p w14:paraId="47EB113D">
      <w:pPr>
        <w:spacing w:line="360" w:lineRule="auto"/>
        <w:ind w:firstLine="426"/>
        <w:rPr>
          <w:rFonts w:hint="eastAsia" w:ascii="宋体" w:hAnsi="宋体"/>
          <w:color w:val="auto"/>
          <w:szCs w:val="21"/>
          <w:highlight w:val="none"/>
          <w:lang w:val="zh-CN"/>
        </w:rPr>
      </w:pPr>
      <w:r>
        <w:rPr>
          <w:rFonts w:hint="eastAsia" w:ascii="宋体" w:hAnsi="宋体"/>
          <w:color w:val="auto"/>
          <w:szCs w:val="21"/>
          <w:highlight w:val="none"/>
          <w:lang w:val="zh-CN"/>
        </w:rPr>
        <w:t>第五章 合同条款</w:t>
      </w:r>
    </w:p>
    <w:p w14:paraId="76461AC6">
      <w:pPr>
        <w:spacing w:line="360" w:lineRule="auto"/>
        <w:ind w:firstLine="426"/>
        <w:rPr>
          <w:rFonts w:hint="eastAsia" w:ascii="宋体" w:hAnsi="宋体"/>
          <w:color w:val="auto"/>
          <w:szCs w:val="21"/>
          <w:highlight w:val="none"/>
          <w:lang w:val="zh-CN"/>
        </w:rPr>
      </w:pPr>
      <w:r>
        <w:rPr>
          <w:rFonts w:hint="eastAsia" w:ascii="宋体" w:hAnsi="宋体"/>
          <w:color w:val="auto"/>
          <w:szCs w:val="21"/>
          <w:highlight w:val="none"/>
          <w:lang w:val="zh-CN"/>
        </w:rPr>
        <w:t xml:space="preserve">第六章 投标文件格式及附件 </w:t>
      </w:r>
    </w:p>
    <w:p w14:paraId="6EABC492">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4.2 招标的最小单位是包。招标货物数量及技术要求中未分包的，投标人对要求提供的货物不得部分投标；招标货物数量及技术要求中已经分包的，应当以包为单位投标。</w:t>
      </w:r>
    </w:p>
    <w:p w14:paraId="4BEC2F86">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4.3 招标文件如果要求供应商提交备选投标方案的，供应商可以提交备选方案，否则，不接受备选方案。</w:t>
      </w:r>
    </w:p>
    <w:p w14:paraId="58592A8C">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5.招标文件的澄清修改</w:t>
      </w:r>
    </w:p>
    <w:p w14:paraId="37B76208">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5.1 采购人或采购代理机构对已发出的招标文件进行必要澄清或者修改的，将在招标文件要求提交投标文件截止时间十五日前，在原招标公告媒体发布更正公告，该澄清或者修改的内容为招标文件的组成部分。</w:t>
      </w:r>
    </w:p>
    <w:p w14:paraId="6B55F2B1">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5.2 采购人或采购代理机构在招标文件要求提交投标文件截止时间前，有权决定延长投标截止时间和开标时间，并在原采购信息发布媒体上发布变更公告。</w:t>
      </w:r>
    </w:p>
    <w:p w14:paraId="4FBF46A2">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5.3 投标人应在投标截止时间前关注原采购信息发布媒体上有关本招标项目有无变更公告。</w:t>
      </w:r>
    </w:p>
    <w:p w14:paraId="2AE301A6">
      <w:pPr>
        <w:spacing w:line="360" w:lineRule="auto"/>
        <w:ind w:firstLine="420"/>
        <w:outlineLvl w:val="0"/>
        <w:rPr>
          <w:rFonts w:hint="eastAsia" w:ascii="宋体" w:hAnsi="宋体"/>
          <w:b/>
          <w:color w:val="auto"/>
          <w:szCs w:val="21"/>
          <w:highlight w:val="none"/>
          <w:lang w:val="zh-CN"/>
        </w:rPr>
      </w:pPr>
      <w:bookmarkStart w:id="61" w:name="_Toc55479008"/>
      <w:r>
        <w:rPr>
          <w:rFonts w:hint="eastAsia" w:ascii="宋体" w:hAnsi="宋体"/>
          <w:b/>
          <w:color w:val="auto"/>
          <w:szCs w:val="21"/>
          <w:highlight w:val="none"/>
          <w:lang w:val="zh-CN"/>
        </w:rPr>
        <w:t>三、投标文件的语言、计量单位、货币和编制</w:t>
      </w:r>
      <w:bookmarkEnd w:id="61"/>
    </w:p>
    <w:p w14:paraId="6E4E8E66">
      <w:pPr>
        <w:spacing w:line="360" w:lineRule="auto"/>
        <w:ind w:firstLine="420"/>
        <w:rPr>
          <w:rFonts w:hint="eastAsia" w:ascii="宋体" w:hAnsi="宋体"/>
          <w:bCs/>
          <w:color w:val="auto"/>
          <w:szCs w:val="21"/>
          <w:highlight w:val="none"/>
          <w:lang w:val="zh-CN"/>
        </w:rPr>
      </w:pPr>
      <w:r>
        <w:rPr>
          <w:rFonts w:ascii="宋体" w:hAnsi="宋体"/>
          <w:bCs/>
          <w:color w:val="auto"/>
          <w:szCs w:val="21"/>
          <w:highlight w:val="none"/>
          <w:lang w:val="zh-CN"/>
        </w:rPr>
        <w:t xml:space="preserve">6.1 </w:t>
      </w:r>
      <w:r>
        <w:rPr>
          <w:rFonts w:hint="eastAsia" w:ascii="宋体" w:hAnsi="宋体"/>
          <w:color w:val="auto"/>
          <w:szCs w:val="21"/>
          <w:highlight w:val="none"/>
          <w:lang w:val="zh-CN"/>
        </w:rPr>
        <w:t>投标人应当按照招标文件的要求编制投标文件，并对其提交的投标文件真实性、合法性承担法律责任。</w:t>
      </w:r>
    </w:p>
    <w:p w14:paraId="5F7B3F49">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6</w:t>
      </w:r>
      <w:r>
        <w:rPr>
          <w:rFonts w:ascii="宋体" w:hAnsi="宋体"/>
          <w:color w:val="auto"/>
          <w:szCs w:val="21"/>
          <w:highlight w:val="none"/>
          <w:lang w:val="zh-CN"/>
        </w:rPr>
        <w:t xml:space="preserve">.2 </w:t>
      </w:r>
      <w:r>
        <w:rPr>
          <w:rFonts w:hint="eastAsia" w:ascii="宋体" w:hAnsi="宋体"/>
          <w:color w:val="auto"/>
          <w:szCs w:val="21"/>
          <w:highlight w:val="none"/>
          <w:lang w:val="zh-CN"/>
        </w:rPr>
        <w:t>提交的投标文件、技术文件和资料以及投标人与代理机构就有关投标的所有来往函电均应使用中文。投标文件中若有英文或其他语言文字的资料，应提供相应的中文翻译资料。对不同文本投标文件的解释发生异议的，以中文文本为准。</w:t>
      </w:r>
    </w:p>
    <w:p w14:paraId="31FFA70E">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6</w:t>
      </w:r>
      <w:r>
        <w:rPr>
          <w:rFonts w:ascii="宋体" w:hAnsi="宋体"/>
          <w:color w:val="auto"/>
          <w:szCs w:val="21"/>
          <w:highlight w:val="none"/>
          <w:lang w:val="zh-CN"/>
        </w:rPr>
        <w:t xml:space="preserve">.3 </w:t>
      </w:r>
      <w:r>
        <w:rPr>
          <w:rFonts w:hint="eastAsia" w:ascii="宋体" w:hAnsi="宋体"/>
          <w:color w:val="auto"/>
          <w:szCs w:val="21"/>
          <w:highlight w:val="none"/>
          <w:lang w:val="zh-CN"/>
        </w:rPr>
        <w:t>投标人所使用的计量单位应为国家法定计量单位。</w:t>
      </w:r>
    </w:p>
    <w:p w14:paraId="65E3FEE0">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6</w:t>
      </w:r>
      <w:r>
        <w:rPr>
          <w:rFonts w:ascii="宋体" w:hAnsi="宋体"/>
          <w:color w:val="auto"/>
          <w:szCs w:val="21"/>
          <w:highlight w:val="none"/>
          <w:lang w:val="zh-CN"/>
        </w:rPr>
        <w:t xml:space="preserve">.4 </w:t>
      </w:r>
      <w:r>
        <w:rPr>
          <w:rFonts w:hint="eastAsia" w:ascii="宋体" w:hAnsi="宋体"/>
          <w:color w:val="auto"/>
          <w:szCs w:val="21"/>
          <w:highlight w:val="none"/>
          <w:lang w:val="zh-CN"/>
        </w:rPr>
        <w:t>投标人应用人民币报价。</w:t>
      </w:r>
    </w:p>
    <w:p w14:paraId="705AF4EA">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6</w:t>
      </w:r>
      <w:r>
        <w:rPr>
          <w:rFonts w:ascii="宋体" w:hAnsi="宋体"/>
          <w:color w:val="auto"/>
          <w:szCs w:val="21"/>
          <w:highlight w:val="none"/>
          <w:lang w:val="zh-CN"/>
        </w:rPr>
        <w:t xml:space="preserve">.5 </w:t>
      </w:r>
      <w:r>
        <w:rPr>
          <w:rFonts w:hint="eastAsia" w:ascii="宋体" w:hAnsi="宋体"/>
          <w:color w:val="auto"/>
          <w:szCs w:val="21"/>
          <w:highlight w:val="none"/>
          <w:lang w:val="zh-CN"/>
        </w:rPr>
        <w:t>投标文件应字迹清楚、内容齐全、不得涂改。如有修改，修改处须有投标人公章或法定代表人或其授权代表签字。</w:t>
      </w:r>
    </w:p>
    <w:p w14:paraId="39D9FDB9">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6</w:t>
      </w:r>
      <w:r>
        <w:rPr>
          <w:rFonts w:ascii="宋体" w:hAnsi="宋体"/>
          <w:color w:val="auto"/>
          <w:szCs w:val="21"/>
          <w:highlight w:val="none"/>
          <w:lang w:val="zh-CN"/>
        </w:rPr>
        <w:t xml:space="preserve">.6 </w:t>
      </w:r>
      <w:r>
        <w:rPr>
          <w:rFonts w:hint="eastAsia" w:ascii="宋体" w:hAnsi="宋体"/>
          <w:color w:val="auto"/>
          <w:szCs w:val="21"/>
          <w:highlight w:val="none"/>
          <w:lang w:val="zh-CN"/>
        </w:rPr>
        <w:t>投标文件应按照招标文件规定的顺序，统一用</w:t>
      </w:r>
      <w:r>
        <w:rPr>
          <w:rFonts w:ascii="宋体" w:hAnsi="宋体"/>
          <w:color w:val="auto"/>
          <w:szCs w:val="21"/>
          <w:highlight w:val="none"/>
          <w:lang w:val="zh-CN"/>
        </w:rPr>
        <w:t>A4</w:t>
      </w:r>
      <w:r>
        <w:rPr>
          <w:rFonts w:hint="eastAsia" w:ascii="宋体" w:hAnsi="宋体"/>
          <w:color w:val="auto"/>
          <w:szCs w:val="21"/>
          <w:highlight w:val="none"/>
          <w:lang w:val="zh-CN"/>
        </w:rPr>
        <w:t>规格幅面打印、装订成册并编制目录，由于编排混乱导致投标文件被误读或查找不到，责任由投标人承担。</w:t>
      </w:r>
    </w:p>
    <w:p w14:paraId="425E7714">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6</w:t>
      </w:r>
      <w:r>
        <w:rPr>
          <w:rFonts w:ascii="宋体" w:hAnsi="宋体"/>
          <w:color w:val="auto"/>
          <w:szCs w:val="21"/>
          <w:highlight w:val="none"/>
          <w:lang w:val="zh-CN"/>
        </w:rPr>
        <w:t xml:space="preserve">.7 </w:t>
      </w:r>
      <w:r>
        <w:rPr>
          <w:rFonts w:hint="eastAsia" w:ascii="宋体" w:hAnsi="宋体"/>
          <w:color w:val="auto"/>
          <w:szCs w:val="21"/>
          <w:highlight w:val="none"/>
          <w:lang w:val="zh-CN"/>
        </w:rPr>
        <w:t>投标人应在投标文件中写清相应的项目编号、项目名称、投标人名称、地址、电话、传真等。</w:t>
      </w:r>
    </w:p>
    <w:p w14:paraId="0DFDCB9F">
      <w:pPr>
        <w:spacing w:line="360" w:lineRule="auto"/>
        <w:ind w:firstLine="420"/>
        <w:rPr>
          <w:rFonts w:ascii="宋体" w:hAnsi="宋体"/>
          <w:bCs/>
          <w:color w:val="auto"/>
          <w:szCs w:val="21"/>
          <w:highlight w:val="none"/>
          <w:lang w:val="zh-CN"/>
        </w:rPr>
      </w:pPr>
      <w:r>
        <w:rPr>
          <w:rFonts w:hint="eastAsia" w:ascii="宋体" w:hAnsi="宋体"/>
          <w:color w:val="auto"/>
          <w:szCs w:val="21"/>
          <w:highlight w:val="none"/>
          <w:lang w:val="zh-CN"/>
        </w:rPr>
        <w:t>7.</w:t>
      </w:r>
      <w:r>
        <w:rPr>
          <w:rFonts w:hint="eastAsia" w:ascii="宋体" w:hAnsi="宋体"/>
          <w:bCs/>
          <w:color w:val="auto"/>
          <w:szCs w:val="21"/>
          <w:highlight w:val="none"/>
          <w:lang w:val="zh-CN"/>
        </w:rPr>
        <w:t>联合体投标</w:t>
      </w:r>
    </w:p>
    <w:p w14:paraId="63F623CE">
      <w:pPr>
        <w:spacing w:line="360" w:lineRule="auto"/>
        <w:ind w:firstLine="42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.1</w:t>
      </w:r>
      <w:r>
        <w:rPr>
          <w:rFonts w:ascii="宋体" w:hAnsi="宋体"/>
          <w:color w:val="auto"/>
          <w:szCs w:val="21"/>
          <w:highlight w:val="none"/>
        </w:rPr>
        <w:t>两个以上的自然人、法人或者其他组织可以组成一个联合体，以一个投标人的身份共同参加政府采购。</w:t>
      </w:r>
    </w:p>
    <w:p w14:paraId="34037922">
      <w:pPr>
        <w:spacing w:line="360" w:lineRule="auto"/>
        <w:ind w:firstLine="42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hint="eastAsia" w:ascii="宋体" w:hAnsi="宋体" w:cs="宋体"/>
          <w:color w:val="auto"/>
          <w:szCs w:val="21"/>
          <w:highlight w:val="none"/>
        </w:rPr>
        <w:t>鼓励大中型企业和其他自然人、法人或者其他组织与小型、微型企业组成联合体共同参加非专门面向中小企业的政府采购活动。</w:t>
      </w:r>
    </w:p>
    <w:p w14:paraId="6F0E7303">
      <w:pPr>
        <w:spacing w:line="360" w:lineRule="auto"/>
        <w:ind w:firstLine="42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以联合体形式参加采购的，联合体各方均应当符合政府采购法第二十二条第一款规定的条件；采购人根据采购项目的特殊要求规定投标人特定条件的，联合体各方中至少应当有一方符合采购人规定的特定条件。由同一专业的投标人组成的联合体，</w:t>
      </w:r>
      <w:r>
        <w:rPr>
          <w:rFonts w:ascii="宋体" w:hAnsi="宋体"/>
          <w:color w:val="auto"/>
          <w:szCs w:val="21"/>
          <w:highlight w:val="none"/>
        </w:rPr>
        <w:t>联合体中有同类资质的投标人按照联合体分工承担相同工作的，按照资质等级较低的投标人确定资质等级</w:t>
      </w:r>
      <w:r>
        <w:rPr>
          <w:rFonts w:hint="eastAsia" w:ascii="宋体" w:hAnsi="宋体"/>
          <w:color w:val="auto"/>
          <w:szCs w:val="21"/>
          <w:highlight w:val="none"/>
        </w:rPr>
        <w:t>，并以响应全权代表方的应答材料作为商务评审的依据</w:t>
      </w:r>
      <w:r>
        <w:rPr>
          <w:rFonts w:ascii="宋体" w:hAnsi="宋体"/>
          <w:color w:val="auto"/>
          <w:szCs w:val="21"/>
          <w:highlight w:val="none"/>
        </w:rPr>
        <w:t>。</w:t>
      </w:r>
      <w:r>
        <w:rPr>
          <w:rFonts w:hint="eastAsia" w:ascii="宋体" w:hAnsi="宋体"/>
          <w:color w:val="auto"/>
          <w:szCs w:val="21"/>
          <w:highlight w:val="none"/>
        </w:rPr>
        <w:t>由不同专业的投标人组成联合体，首先以响应全权代表方的应答材料作为认定资质以及商务评审的依据，涉及行业专属的资质，按照所属行业对应的投标人的应答材料确定。</w:t>
      </w:r>
    </w:p>
    <w:p w14:paraId="5C2F5CE4">
      <w:pPr>
        <w:spacing w:line="360" w:lineRule="auto"/>
        <w:ind w:firstLine="42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.4</w:t>
      </w:r>
      <w:r>
        <w:rPr>
          <w:rFonts w:ascii="宋体" w:hAnsi="宋体"/>
          <w:color w:val="auto"/>
          <w:szCs w:val="21"/>
          <w:highlight w:val="none"/>
        </w:rPr>
        <w:t xml:space="preserve"> </w:t>
      </w:r>
      <w:r>
        <w:rPr>
          <w:rFonts w:hint="eastAsia" w:ascii="宋体" w:hAnsi="宋体"/>
          <w:color w:val="auto"/>
          <w:szCs w:val="21"/>
          <w:highlight w:val="none"/>
        </w:rPr>
        <w:t>联合体各方之间应当签订联合体协议，明确约定联合体各方承担的工作和相应的责任，并将联合体协议连同投标文件一并提交。</w:t>
      </w:r>
    </w:p>
    <w:p w14:paraId="78164564">
      <w:pPr>
        <w:spacing w:line="360" w:lineRule="auto"/>
        <w:ind w:firstLine="42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color w:val="auto"/>
          <w:szCs w:val="21"/>
          <w:highlight w:val="none"/>
        </w:rPr>
        <w:t>以联合体形式参加政府采购活动的，联合体各方不得再单独参加或者与其他投标人另外组成联合体参加同一合同项下的政府采购活动。</w:t>
      </w:r>
    </w:p>
    <w:p w14:paraId="790865CE">
      <w:pPr>
        <w:spacing w:line="360" w:lineRule="auto"/>
        <w:ind w:firstLine="420"/>
        <w:rPr>
          <w:rFonts w:ascii="宋体" w:hAnsi="宋体"/>
          <w:bCs/>
          <w:color w:val="auto"/>
          <w:szCs w:val="21"/>
          <w:highlight w:val="none"/>
          <w:lang w:val="zh-CN"/>
        </w:rPr>
      </w:pPr>
      <w:r>
        <w:rPr>
          <w:rFonts w:hint="eastAsia" w:ascii="宋体" w:hAnsi="宋体"/>
          <w:bCs/>
          <w:color w:val="auto"/>
          <w:szCs w:val="21"/>
          <w:highlight w:val="none"/>
          <w:lang w:val="zh-CN"/>
        </w:rPr>
        <w:t>8.投标费用</w:t>
      </w:r>
    </w:p>
    <w:p w14:paraId="37C9732C">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8.1投标人应承担所有与准备和参加投标有关的费用，无论招标结果如何，代理机构和采购人在任何情况下均无义务和责任承担这些费用，需由投标人考虑并包含在投标报价中。</w:t>
      </w:r>
    </w:p>
    <w:p w14:paraId="4C93DC01">
      <w:pPr>
        <w:spacing w:line="360" w:lineRule="auto"/>
        <w:ind w:firstLine="420"/>
        <w:rPr>
          <w:rFonts w:ascii="宋体" w:hAnsi="宋体"/>
          <w:b/>
          <w:bCs/>
          <w:color w:val="auto"/>
          <w:szCs w:val="21"/>
          <w:highlight w:val="none"/>
          <w:lang w:val="zh-CN"/>
        </w:rPr>
      </w:pPr>
      <w:r>
        <w:rPr>
          <w:rFonts w:hint="eastAsia" w:ascii="宋体" w:hAnsi="宋体"/>
          <w:color w:val="auto"/>
          <w:szCs w:val="21"/>
          <w:highlight w:val="none"/>
          <w:lang w:val="zh-CN"/>
        </w:rPr>
        <w:t>8.</w:t>
      </w:r>
      <w:r>
        <w:rPr>
          <w:rFonts w:ascii="宋体" w:hAnsi="宋体"/>
          <w:color w:val="auto"/>
          <w:szCs w:val="21"/>
          <w:highlight w:val="none"/>
          <w:lang w:val="zh-CN"/>
        </w:rPr>
        <w:t>2</w:t>
      </w:r>
      <w:r>
        <w:rPr>
          <w:rFonts w:hint="eastAsia" w:ascii="宋体" w:hAnsi="宋体"/>
          <w:color w:val="auto"/>
          <w:szCs w:val="21"/>
          <w:highlight w:val="none"/>
          <w:lang w:val="zh-CN"/>
        </w:rPr>
        <w:t>本次代理服务费由中标（成交）供应商支付，按照国家计委关于印发《招标代理服务收费管理暂行办法》的通知《招标代理服务收费管理暂行办法》（计价格〔2002〕1980号）收费标准</w:t>
      </w:r>
      <w:r>
        <w:rPr>
          <w:rFonts w:ascii="宋体" w:hAnsi="宋体"/>
          <w:color w:val="auto"/>
          <w:szCs w:val="21"/>
          <w:highlight w:val="none"/>
          <w:lang w:val="zh-CN"/>
        </w:rPr>
        <w:t>计取。</w:t>
      </w:r>
    </w:p>
    <w:p w14:paraId="471AC255">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9.</w:t>
      </w:r>
      <w:r>
        <w:rPr>
          <w:rFonts w:hint="eastAsia" w:ascii="宋体" w:hAnsi="宋体"/>
          <w:color w:val="auto"/>
          <w:szCs w:val="21"/>
          <w:highlight w:val="none"/>
        </w:rPr>
        <w:t>投标文件的组成</w:t>
      </w:r>
    </w:p>
    <w:p w14:paraId="0416A6A0">
      <w:pPr>
        <w:spacing w:line="360" w:lineRule="auto"/>
        <w:ind w:firstLine="420"/>
        <w:rPr>
          <w:rFonts w:hint="eastAsia" w:ascii="宋体" w:hAnsi="宋体"/>
          <w:color w:val="auto"/>
          <w:szCs w:val="21"/>
          <w:highlight w:val="none"/>
        </w:rPr>
      </w:pPr>
      <w:r>
        <w:rPr>
          <w:rFonts w:ascii="宋体" w:hAnsi="宋体"/>
          <w:color w:val="auto"/>
          <w:szCs w:val="21"/>
          <w:highlight w:val="none"/>
          <w:lang w:val="zh-CN"/>
        </w:rPr>
        <w:t xml:space="preserve">9.1 </w:t>
      </w:r>
      <w:r>
        <w:rPr>
          <w:rFonts w:hint="eastAsia" w:ascii="宋体" w:hAnsi="宋体"/>
          <w:color w:val="auto"/>
          <w:szCs w:val="21"/>
          <w:highlight w:val="none"/>
        </w:rPr>
        <w:t>投标人应当根据招标文件要求编制投标文件，投标文件应对招标文件提出的要求和条件作出实质性响应，对带 “★”的技术条款在投标文件中必须全部响应。</w:t>
      </w:r>
    </w:p>
    <w:p w14:paraId="136490B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9.2 投标人根据招标文件载明的采购项目实际情况，拟在中标后将中标项目的非主体、非关键性工作交由他人完成的，应当在投标文件中载明。</w:t>
      </w:r>
    </w:p>
    <w:p w14:paraId="1C52323D">
      <w:pPr>
        <w:spacing w:line="360" w:lineRule="auto"/>
        <w:ind w:firstLine="420"/>
        <w:rPr>
          <w:rFonts w:ascii="宋体" w:hAnsi="宋体"/>
          <w:color w:val="auto"/>
          <w:szCs w:val="21"/>
          <w:highlight w:val="none"/>
          <w:lang w:val="zh-CN"/>
        </w:rPr>
      </w:pPr>
      <w:r>
        <w:rPr>
          <w:rFonts w:hint="eastAsia" w:ascii="宋体" w:hAnsi="宋体"/>
          <w:color w:val="auto"/>
          <w:szCs w:val="21"/>
          <w:highlight w:val="none"/>
        </w:rPr>
        <w:t>9.3 投标文件由商务部分、技术部分、价格部分，以及其他部分组成。</w:t>
      </w:r>
    </w:p>
    <w:p w14:paraId="77EAD5A4">
      <w:pPr>
        <w:spacing w:line="360" w:lineRule="auto"/>
        <w:ind w:firstLine="420"/>
        <w:rPr>
          <w:rFonts w:hint="eastAsia" w:ascii="宋体" w:hAnsi="宋体"/>
          <w:color w:val="auto"/>
          <w:szCs w:val="21"/>
          <w:highlight w:val="none"/>
          <w:lang w:val="zh-CN"/>
        </w:rPr>
      </w:pPr>
      <w:r>
        <w:rPr>
          <w:rFonts w:ascii="宋体" w:hAnsi="宋体"/>
          <w:bCs/>
          <w:color w:val="auto"/>
          <w:szCs w:val="21"/>
          <w:highlight w:val="none"/>
          <w:lang w:val="zh-CN"/>
        </w:rPr>
        <w:t>9</w:t>
      </w:r>
      <w:r>
        <w:rPr>
          <w:rFonts w:hint="eastAsia" w:ascii="宋体" w:hAnsi="宋体"/>
          <w:bCs/>
          <w:color w:val="auto"/>
          <w:szCs w:val="21"/>
          <w:highlight w:val="none"/>
          <w:lang w:val="zh-CN"/>
        </w:rPr>
        <w:t>.</w:t>
      </w:r>
      <w:r>
        <w:rPr>
          <w:rFonts w:ascii="宋体" w:hAnsi="宋体"/>
          <w:bCs/>
          <w:color w:val="auto"/>
          <w:szCs w:val="21"/>
          <w:highlight w:val="none"/>
          <w:lang w:val="zh-CN"/>
        </w:rPr>
        <w:t xml:space="preserve">4 </w:t>
      </w:r>
      <w:r>
        <w:rPr>
          <w:rFonts w:hint="eastAsia" w:ascii="宋体" w:hAnsi="宋体"/>
          <w:bCs/>
          <w:color w:val="auto"/>
          <w:szCs w:val="21"/>
          <w:highlight w:val="none"/>
          <w:lang w:val="zh-CN"/>
        </w:rPr>
        <w:t>投标文件的商务部分。</w:t>
      </w:r>
      <w:r>
        <w:rPr>
          <w:rFonts w:hint="eastAsia" w:ascii="宋体" w:hAnsi="宋体"/>
          <w:color w:val="auto"/>
          <w:szCs w:val="21"/>
          <w:highlight w:val="none"/>
          <w:lang w:val="zh-CN"/>
        </w:rPr>
        <w:t>商务部分是证明投标人有资格参加投标和中标后有能力履行合同的文件，</w:t>
      </w:r>
      <w:r>
        <w:rPr>
          <w:rFonts w:hint="eastAsia" w:ascii="宋体" w:hAnsi="宋体"/>
          <w:color w:val="auto"/>
          <w:szCs w:val="21"/>
          <w:highlight w:val="none"/>
        </w:rPr>
        <w:t>这些文件应能满足招标文件的要求</w:t>
      </w:r>
      <w:r>
        <w:rPr>
          <w:rFonts w:hint="eastAsia" w:ascii="宋体" w:hAnsi="宋体"/>
          <w:color w:val="auto"/>
          <w:szCs w:val="21"/>
          <w:highlight w:val="none"/>
          <w:lang w:val="zh-CN"/>
        </w:rPr>
        <w:t>，包括但不限于下列文件，其中加</w:t>
      </w:r>
      <w:r>
        <w:rPr>
          <w:rFonts w:ascii="宋体" w:hAnsi="宋体"/>
          <w:color w:val="auto"/>
          <w:szCs w:val="21"/>
          <w:highlight w:val="none"/>
          <w:lang w:val="zh-CN"/>
        </w:rPr>
        <w:t>★</w:t>
      </w:r>
      <w:r>
        <w:rPr>
          <w:rFonts w:hint="eastAsia" w:ascii="宋体" w:hAnsi="宋体"/>
          <w:color w:val="auto"/>
          <w:szCs w:val="21"/>
          <w:highlight w:val="none"/>
          <w:lang w:val="zh-CN"/>
        </w:rPr>
        <w:t>项目不得有缺失或无效：</w:t>
      </w:r>
    </w:p>
    <w:p w14:paraId="577E282C">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lang w:val="zh-CN"/>
        </w:rPr>
        <w:t>★</w:t>
      </w:r>
      <w:r>
        <w:rPr>
          <w:rFonts w:hint="eastAsia" w:ascii="宋体" w:hAnsi="宋体"/>
          <w:color w:val="auto"/>
          <w:szCs w:val="21"/>
          <w:highlight w:val="none"/>
        </w:rPr>
        <w:t>投标函；</w:t>
      </w:r>
    </w:p>
    <w:p w14:paraId="02E9BBD6">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lang w:val="zh-CN"/>
        </w:rPr>
        <w:t>★</w:t>
      </w:r>
      <w:r>
        <w:rPr>
          <w:rFonts w:hint="eastAsia" w:ascii="宋体" w:hAnsi="宋体"/>
          <w:color w:val="auto"/>
          <w:szCs w:val="21"/>
          <w:highlight w:val="none"/>
        </w:rPr>
        <w:t>法定代表人授权委托书及委托代理人的身份证复印件；</w:t>
      </w:r>
    </w:p>
    <w:p w14:paraId="72D74184">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lang w:val="zh-CN"/>
        </w:rPr>
        <w:t>★</w:t>
      </w:r>
      <w:r>
        <w:rPr>
          <w:rFonts w:hint="eastAsia" w:ascii="宋体" w:hAnsi="宋体"/>
          <w:color w:val="auto"/>
          <w:szCs w:val="21"/>
          <w:highlight w:val="none"/>
        </w:rPr>
        <w:t>资格证明文件（第一章公开招标公告中的“二、申请人的资格要求”，投标人提供相关证明文件）；</w:t>
      </w:r>
    </w:p>
    <w:p w14:paraId="03C1B53C">
      <w:pPr>
        <w:widowControl/>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）投标人基本情况表</w:t>
      </w:r>
    </w:p>
    <w:p w14:paraId="7F3B066D">
      <w:pPr>
        <w:widowControl/>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）合同条款；</w:t>
      </w:r>
    </w:p>
    <w:p w14:paraId="18DBD01F">
      <w:pPr>
        <w:widowControl/>
        <w:spacing w:line="360" w:lineRule="auto"/>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）《商务条款偏离表》</w:t>
      </w:r>
    </w:p>
    <w:p w14:paraId="6AFD388F">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）投标人（企业）业绩表；</w:t>
      </w:r>
    </w:p>
    <w:p w14:paraId="2D10377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）人员配备一览表</w:t>
      </w:r>
    </w:p>
    <w:p w14:paraId="7DFA2028">
      <w:pPr>
        <w:widowControl/>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w:t>
      </w:r>
      <w:r>
        <w:rPr>
          <w:rFonts w:ascii="宋体" w:hAnsi="宋体"/>
          <w:color w:val="auto"/>
          <w:szCs w:val="21"/>
          <w:highlight w:val="none"/>
          <w:lang w:val="zh-CN"/>
        </w:rPr>
        <w:t>★</w:t>
      </w:r>
      <w:r>
        <w:rPr>
          <w:rFonts w:ascii="宋体" w:hAnsi="宋体"/>
          <w:color w:val="auto"/>
          <w:szCs w:val="21"/>
          <w:highlight w:val="none"/>
        </w:rPr>
        <w:t>《南京市政府采购供应商信用记录表暨信用承诺书》（打印并加盖企业公章）；</w:t>
      </w:r>
    </w:p>
    <w:p w14:paraId="786D87C8">
      <w:pPr>
        <w:widowControl/>
        <w:spacing w:line="360" w:lineRule="auto"/>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lang w:val="zh-CN"/>
        </w:rPr>
        <w:t>★</w:t>
      </w:r>
      <w:r>
        <w:rPr>
          <w:rFonts w:hint="eastAsia" w:ascii="宋体" w:hAnsi="宋体"/>
          <w:color w:val="auto"/>
          <w:szCs w:val="21"/>
          <w:highlight w:val="none"/>
        </w:rPr>
        <w:t>投标人诚信承诺书</w:t>
      </w:r>
    </w:p>
    <w:p w14:paraId="491B9ABD">
      <w:pPr>
        <w:widowControl/>
        <w:spacing w:line="360" w:lineRule="auto"/>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11</w:t>
      </w:r>
      <w:r>
        <w:rPr>
          <w:rFonts w:hint="eastAsia" w:ascii="宋体" w:hAnsi="宋体"/>
          <w:color w:val="auto"/>
          <w:szCs w:val="21"/>
          <w:highlight w:val="none"/>
        </w:rPr>
        <w:t>）投标人认为需要提供的其他资格证明文件和商务资料。</w:t>
      </w:r>
    </w:p>
    <w:p w14:paraId="6536FB3B">
      <w:pPr>
        <w:spacing w:line="360" w:lineRule="auto"/>
        <w:ind w:firstLine="420"/>
        <w:rPr>
          <w:rFonts w:hint="eastAsia" w:ascii="宋体" w:hAnsi="宋体"/>
          <w:color w:val="auto"/>
          <w:szCs w:val="21"/>
          <w:highlight w:val="none"/>
          <w:lang w:val="zh-CN"/>
        </w:rPr>
      </w:pPr>
      <w:r>
        <w:rPr>
          <w:rFonts w:ascii="宋体" w:hAnsi="宋体"/>
          <w:bCs/>
          <w:color w:val="auto"/>
          <w:szCs w:val="21"/>
          <w:highlight w:val="none"/>
          <w:lang w:val="zh-CN"/>
        </w:rPr>
        <w:t>9</w:t>
      </w:r>
      <w:r>
        <w:rPr>
          <w:rFonts w:hint="eastAsia" w:ascii="宋体" w:hAnsi="宋体"/>
          <w:bCs/>
          <w:color w:val="auto"/>
          <w:szCs w:val="21"/>
          <w:highlight w:val="none"/>
          <w:lang w:val="zh-CN"/>
        </w:rPr>
        <w:t>.</w:t>
      </w:r>
      <w:r>
        <w:rPr>
          <w:rFonts w:ascii="宋体" w:hAnsi="宋体"/>
          <w:bCs/>
          <w:color w:val="auto"/>
          <w:szCs w:val="21"/>
          <w:highlight w:val="none"/>
          <w:lang w:val="zh-CN"/>
        </w:rPr>
        <w:t xml:space="preserve">5 </w:t>
      </w:r>
      <w:r>
        <w:rPr>
          <w:rFonts w:hint="eastAsia" w:ascii="宋体" w:hAnsi="宋体"/>
          <w:bCs/>
          <w:color w:val="auto"/>
          <w:szCs w:val="21"/>
          <w:highlight w:val="none"/>
          <w:lang w:val="zh-CN"/>
        </w:rPr>
        <w:t>投标文件的技术部分。</w:t>
      </w:r>
      <w:r>
        <w:rPr>
          <w:rFonts w:hint="eastAsia" w:ascii="宋体" w:hAnsi="宋体"/>
          <w:color w:val="auto"/>
          <w:szCs w:val="21"/>
          <w:highlight w:val="none"/>
          <w:lang w:val="zh-CN"/>
        </w:rPr>
        <w:t>技术部分是证明</w:t>
      </w:r>
      <w:r>
        <w:rPr>
          <w:rFonts w:hint="eastAsia" w:ascii="宋体" w:hAnsi="宋体"/>
          <w:color w:val="auto"/>
          <w:szCs w:val="21"/>
          <w:highlight w:val="none"/>
        </w:rPr>
        <w:t>投标人提供的服务是合格的，并符合招标文件要求的证明文件，以及</w:t>
      </w:r>
      <w:r>
        <w:rPr>
          <w:rFonts w:hint="eastAsia" w:ascii="宋体" w:hAnsi="宋体"/>
          <w:color w:val="auto"/>
          <w:szCs w:val="21"/>
          <w:highlight w:val="none"/>
          <w:lang w:val="zh-CN"/>
        </w:rPr>
        <w:t>对服务的详细说明，这些文件可以是文字资料、图纸和数据等。提供的服务如与招标文件要求有不符之处，应说明其差别之所在。若技术性能无特殊说明，则按国家有关部门最新颁布的标准及规范为准。</w:t>
      </w:r>
      <w:r>
        <w:rPr>
          <w:rFonts w:hint="eastAsia" w:ascii="宋体" w:hAnsi="宋体"/>
          <w:color w:val="auto"/>
          <w:szCs w:val="21"/>
          <w:highlight w:val="none"/>
        </w:rPr>
        <w:t>包括但不限于以下材料，其中加“★”项目不得有缺失或无效：</w:t>
      </w:r>
    </w:p>
    <w:p w14:paraId="6E103EAF">
      <w:pPr>
        <w:widowControl/>
        <w:spacing w:line="360" w:lineRule="auto"/>
        <w:ind w:firstLine="420"/>
        <w:rPr>
          <w:rFonts w:ascii="宋体" w:hAnsi="宋体"/>
          <w:color w:val="auto"/>
          <w:szCs w:val="21"/>
          <w:highlight w:val="none"/>
        </w:rPr>
      </w:pPr>
      <w:r>
        <w:rPr>
          <w:rFonts w:hint="eastAsia" w:ascii="宋体" w:hAnsi="宋体"/>
          <w:color w:val="auto"/>
          <w:szCs w:val="21"/>
          <w:highlight w:val="none"/>
        </w:rPr>
        <w:t>（1）技术方案；</w:t>
      </w:r>
    </w:p>
    <w:p w14:paraId="735DB3F3">
      <w:pPr>
        <w:widowControl/>
        <w:spacing w:line="360" w:lineRule="auto"/>
        <w:ind w:firstLine="420"/>
        <w:rPr>
          <w:rFonts w:hint="eastAsia" w:ascii="宋体" w:hAnsi="宋体"/>
          <w:color w:val="auto"/>
          <w:szCs w:val="21"/>
          <w:highlight w:val="none"/>
        </w:rPr>
      </w:pPr>
      <w:r>
        <w:rPr>
          <w:rFonts w:hint="eastAsia" w:ascii="宋体" w:hAnsi="宋体"/>
          <w:color w:val="auto"/>
          <w:szCs w:val="21"/>
          <w:highlight w:val="none"/>
        </w:rPr>
        <w:t>（2）《技术条款偏离表》</w:t>
      </w:r>
    </w:p>
    <w:p w14:paraId="1CDD2D0D">
      <w:pPr>
        <w:widowControl/>
        <w:spacing w:line="360" w:lineRule="auto"/>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）供应商认为需要提供的其他技术资料。</w:t>
      </w:r>
    </w:p>
    <w:p w14:paraId="5B876D6B">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9</w:t>
      </w:r>
      <w:r>
        <w:rPr>
          <w:rFonts w:hint="eastAsia" w:ascii="宋体" w:hAnsi="宋体"/>
          <w:color w:val="auto"/>
          <w:szCs w:val="21"/>
          <w:highlight w:val="none"/>
          <w:lang w:val="zh-CN"/>
        </w:rPr>
        <w:t>.</w:t>
      </w:r>
      <w:r>
        <w:rPr>
          <w:rFonts w:ascii="宋体" w:hAnsi="宋体"/>
          <w:color w:val="auto"/>
          <w:szCs w:val="21"/>
          <w:highlight w:val="none"/>
          <w:lang w:val="zh-CN"/>
        </w:rPr>
        <w:t xml:space="preserve">6 </w:t>
      </w:r>
      <w:r>
        <w:rPr>
          <w:rFonts w:hint="eastAsia" w:ascii="宋体" w:hAnsi="宋体"/>
          <w:color w:val="auto"/>
          <w:szCs w:val="21"/>
          <w:highlight w:val="none"/>
          <w:lang w:val="zh-CN"/>
        </w:rPr>
        <w:t>投标文件的价格部分</w:t>
      </w:r>
    </w:p>
    <w:p w14:paraId="40DA42B5">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（1）价格部分是对服务价格构成的说明，招标文件如没有特别说明的话，对每一项服务仅接受一个价格。</w:t>
      </w:r>
    </w:p>
    <w:p w14:paraId="65DBA226">
      <w:pPr>
        <w:pStyle w:val="202"/>
        <w:spacing w:line="360" w:lineRule="auto"/>
        <w:ind w:left="0" w:firstLine="420"/>
        <w:rPr>
          <w:color w:val="auto"/>
          <w:highlight w:val="none"/>
        </w:rPr>
      </w:pPr>
      <w:r>
        <w:rPr>
          <w:rFonts w:hint="eastAsia"/>
          <w:color w:val="auto"/>
          <w:highlight w:val="none"/>
          <w:lang w:val="zh-CN"/>
        </w:rPr>
        <w:t>（2）报价应包含完成本服务项目发生的所有含税费用、支付给员工的工资和国家强制缴纳的各种社会保障资金，以及供应商认为需要的其他费用等。</w:t>
      </w:r>
    </w:p>
    <w:p w14:paraId="3C9E24AB">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lang w:val="zh-CN"/>
        </w:rPr>
        <w:t>3</w:t>
      </w:r>
      <w:r>
        <w:rPr>
          <w:rFonts w:hint="eastAsia" w:ascii="宋体" w:hAnsi="宋体"/>
          <w:color w:val="auto"/>
          <w:szCs w:val="21"/>
          <w:highlight w:val="none"/>
          <w:lang w:val="zh-CN"/>
        </w:rPr>
        <w:t>）供应商的任何错漏、优惠、竞争性报价不得作为减轻责任、减少服务、增加收费、降低质量的理由。</w:t>
      </w:r>
    </w:p>
    <w:p w14:paraId="17EA59E5">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 xml:space="preserve">9.7 </w:t>
      </w:r>
      <w:r>
        <w:rPr>
          <w:rFonts w:hint="eastAsia" w:ascii="宋体" w:hAnsi="宋体"/>
          <w:color w:val="auto"/>
          <w:szCs w:val="21"/>
          <w:highlight w:val="none"/>
          <w:lang w:val="zh-CN"/>
        </w:rPr>
        <w:t>投标文件的其他部分。其他部分由投标人根据编制投标文件需要提供的其他相关文件。</w:t>
      </w:r>
    </w:p>
    <w:p w14:paraId="64D63D1D">
      <w:pPr>
        <w:spacing w:line="360" w:lineRule="auto"/>
        <w:ind w:firstLine="42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9.8 投标文件份数：一式伍份（壹份正本、肆份副本），每份投标文件须清楚标明“正本”或“副本”字样。投标文件封面须注明项目名称、项目编号</w:t>
      </w:r>
      <w:bookmarkStart w:id="89" w:name="_GoBack"/>
      <w:bookmarkEnd w:id="89"/>
      <w:r>
        <w:rPr>
          <w:rFonts w:hint="eastAsia" w:ascii="宋体" w:hAnsi="宋体"/>
          <w:color w:val="auto"/>
          <w:szCs w:val="21"/>
          <w:highlight w:val="none"/>
          <w:lang w:val="en-US" w:eastAsia="zh-CN"/>
        </w:rPr>
        <w:t>以及供应商名称。电子版投标文件（U 盘，电子投标文件为正本盖章后的扫描件）壹份（随纸质文件一并提交）。当纸质副本文件、电子版文件和纸质正本文件不一致时，以纸质正本文件为准。</w:t>
      </w:r>
    </w:p>
    <w:p w14:paraId="3319B058">
      <w:pPr>
        <w:spacing w:line="360" w:lineRule="auto"/>
        <w:ind w:firstLine="420"/>
        <w:rPr>
          <w:rFonts w:ascii="宋体" w:hAnsi="宋体"/>
          <w:bCs/>
          <w:color w:val="auto"/>
          <w:szCs w:val="21"/>
          <w:highlight w:val="none"/>
          <w:lang w:val="zh-CN"/>
        </w:rPr>
      </w:pPr>
      <w:r>
        <w:rPr>
          <w:rFonts w:hint="eastAsia" w:ascii="宋体" w:hAnsi="宋体"/>
          <w:bCs/>
          <w:color w:val="auto"/>
          <w:szCs w:val="21"/>
          <w:highlight w:val="none"/>
          <w:lang w:val="zh-CN"/>
        </w:rPr>
        <w:t>10.投标保证金：无。</w:t>
      </w:r>
    </w:p>
    <w:p w14:paraId="7616C26B">
      <w:pPr>
        <w:spacing w:line="360" w:lineRule="auto"/>
        <w:ind w:firstLine="420"/>
        <w:rPr>
          <w:rFonts w:ascii="宋体" w:hAnsi="宋体"/>
          <w:bCs/>
          <w:color w:val="auto"/>
          <w:szCs w:val="21"/>
          <w:highlight w:val="none"/>
          <w:lang w:val="zh-CN"/>
        </w:rPr>
      </w:pPr>
      <w:r>
        <w:rPr>
          <w:rFonts w:hint="eastAsia" w:ascii="宋体" w:hAnsi="宋体"/>
          <w:bCs/>
          <w:color w:val="auto"/>
          <w:szCs w:val="21"/>
          <w:highlight w:val="none"/>
          <w:lang w:val="zh-CN"/>
        </w:rPr>
        <w:t>11.投标有效期：9</w:t>
      </w:r>
      <w:r>
        <w:rPr>
          <w:rFonts w:ascii="宋体" w:hAnsi="宋体"/>
          <w:bCs/>
          <w:color w:val="auto"/>
          <w:szCs w:val="21"/>
          <w:highlight w:val="none"/>
          <w:lang w:val="zh-CN"/>
        </w:rPr>
        <w:t>0日历日</w:t>
      </w:r>
    </w:p>
    <w:p w14:paraId="66700790">
      <w:pPr>
        <w:spacing w:line="360" w:lineRule="auto"/>
        <w:ind w:firstLine="420"/>
        <w:rPr>
          <w:rFonts w:hint="eastAsia" w:ascii="宋体" w:hAnsi="宋体"/>
          <w:bCs/>
          <w:color w:val="auto"/>
          <w:szCs w:val="21"/>
          <w:highlight w:val="none"/>
          <w:lang w:val="zh-CN"/>
        </w:rPr>
      </w:pPr>
      <w:r>
        <w:rPr>
          <w:rFonts w:hint="eastAsia" w:ascii="宋体" w:hAnsi="宋体"/>
          <w:bCs/>
          <w:color w:val="auto"/>
          <w:szCs w:val="21"/>
          <w:highlight w:val="none"/>
          <w:lang w:val="zh-CN"/>
        </w:rPr>
        <w:t>12.投标文件签署与提交</w:t>
      </w:r>
    </w:p>
    <w:p w14:paraId="17F232A5">
      <w:pPr>
        <w:spacing w:line="360" w:lineRule="auto"/>
        <w:ind w:firstLine="420"/>
        <w:rPr>
          <w:rFonts w:hint="eastAsia" w:ascii="宋体" w:hAnsi="宋体"/>
          <w:bCs/>
          <w:color w:val="auto"/>
          <w:szCs w:val="21"/>
          <w:highlight w:val="none"/>
          <w:lang w:val="zh-CN"/>
        </w:rPr>
      </w:pPr>
      <w:r>
        <w:rPr>
          <w:rFonts w:ascii="宋体" w:hAnsi="宋体"/>
          <w:color w:val="auto"/>
          <w:szCs w:val="21"/>
          <w:highlight w:val="none"/>
          <w:lang w:val="zh-CN"/>
        </w:rPr>
        <w:t xml:space="preserve">12.1 </w:t>
      </w:r>
      <w:r>
        <w:rPr>
          <w:rFonts w:hint="eastAsia" w:ascii="宋体" w:hAnsi="宋体"/>
          <w:color w:val="auto"/>
          <w:szCs w:val="21"/>
          <w:highlight w:val="none"/>
          <w:lang w:val="zh-CN"/>
        </w:rPr>
        <w:t>投标文件应由投标人法定代表人或授权代表签字，并加盖公章。</w:t>
      </w:r>
    </w:p>
    <w:p w14:paraId="209939C7">
      <w:pPr>
        <w:spacing w:line="360" w:lineRule="auto"/>
        <w:ind w:firstLine="420"/>
        <w:rPr>
          <w:rFonts w:ascii="宋体" w:hAnsi="宋体"/>
          <w:color w:val="auto"/>
          <w:szCs w:val="21"/>
          <w:highlight w:val="none"/>
          <w:lang w:val="zh-CN"/>
        </w:rPr>
      </w:pPr>
      <w:r>
        <w:rPr>
          <w:rFonts w:ascii="宋体" w:hAnsi="宋体"/>
          <w:color w:val="auto"/>
          <w:szCs w:val="21"/>
          <w:highlight w:val="none"/>
          <w:lang w:val="zh-CN"/>
        </w:rPr>
        <w:t>12.</w:t>
      </w:r>
      <w:r>
        <w:rPr>
          <w:rFonts w:hint="eastAsia" w:ascii="宋体" w:hAnsi="宋体"/>
          <w:color w:val="auto"/>
          <w:szCs w:val="21"/>
          <w:highlight w:val="none"/>
          <w:lang w:val="zh-CN"/>
        </w:rPr>
        <w:t>2</w:t>
      </w:r>
      <w:r>
        <w:rPr>
          <w:rFonts w:ascii="宋体" w:hAnsi="宋体"/>
          <w:color w:val="auto"/>
          <w:szCs w:val="21"/>
          <w:highlight w:val="none"/>
          <w:lang w:val="zh-CN"/>
        </w:rPr>
        <w:t xml:space="preserve"> </w:t>
      </w:r>
      <w:r>
        <w:rPr>
          <w:rFonts w:hint="eastAsia" w:ascii="宋体" w:hAnsi="宋体"/>
          <w:color w:val="auto"/>
          <w:szCs w:val="21"/>
          <w:highlight w:val="none"/>
          <w:lang w:val="zh-CN"/>
        </w:rPr>
        <w:t>投标人应当在招标文件要求提交投标文件的截止时间前，将投标文件密封送达指定地点。</w:t>
      </w:r>
    </w:p>
    <w:p w14:paraId="0FE30273">
      <w:pPr>
        <w:tabs>
          <w:tab w:val="left" w:pos="426"/>
        </w:tabs>
        <w:spacing w:line="360" w:lineRule="auto"/>
        <w:ind w:firstLine="426"/>
        <w:rPr>
          <w:rFonts w:ascii="宋体" w:hAnsi="宋体"/>
          <w:bCs/>
          <w:color w:val="auto"/>
          <w:szCs w:val="21"/>
          <w:highlight w:val="none"/>
          <w:lang w:val="zh-CN"/>
        </w:rPr>
      </w:pPr>
      <w:r>
        <w:rPr>
          <w:rFonts w:ascii="宋体" w:hAnsi="宋体"/>
          <w:bCs/>
          <w:color w:val="auto"/>
          <w:szCs w:val="21"/>
          <w:highlight w:val="none"/>
          <w:lang w:val="zh-CN"/>
        </w:rPr>
        <w:t>12</w:t>
      </w:r>
      <w:r>
        <w:rPr>
          <w:rFonts w:hint="eastAsia" w:ascii="宋体" w:hAnsi="宋体"/>
          <w:bCs/>
          <w:color w:val="auto"/>
          <w:szCs w:val="21"/>
          <w:highlight w:val="none"/>
          <w:lang w:val="zh-CN"/>
        </w:rPr>
        <w:t>.3</w:t>
      </w:r>
      <w:r>
        <w:rPr>
          <w:rFonts w:ascii="宋体" w:hAnsi="宋体"/>
          <w:bCs/>
          <w:color w:val="auto"/>
          <w:szCs w:val="21"/>
          <w:highlight w:val="none"/>
          <w:lang w:val="zh-CN"/>
        </w:rPr>
        <w:t xml:space="preserve"> </w:t>
      </w:r>
      <w:r>
        <w:rPr>
          <w:rFonts w:hint="eastAsia" w:ascii="宋体" w:hAnsi="宋体"/>
          <w:bCs/>
          <w:color w:val="auto"/>
          <w:szCs w:val="21"/>
          <w:highlight w:val="none"/>
          <w:lang w:val="zh-CN"/>
        </w:rPr>
        <w:t>有下列情形之一的投标文件将拒收：</w:t>
      </w:r>
    </w:p>
    <w:p w14:paraId="3182BFEF">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lang w:val="zh-CN"/>
        </w:rPr>
        <w:t>1</w:t>
      </w:r>
      <w:r>
        <w:rPr>
          <w:rFonts w:hint="eastAsia" w:ascii="宋体" w:hAnsi="宋体"/>
          <w:color w:val="auto"/>
          <w:szCs w:val="21"/>
          <w:highlight w:val="none"/>
          <w:lang w:val="zh-CN"/>
        </w:rPr>
        <w:t>）在招标文件要求提交投标文件的截止时间之后送达的。</w:t>
      </w:r>
    </w:p>
    <w:p w14:paraId="0440B1E5">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（2）未按招标文件要求密封的。</w:t>
      </w:r>
    </w:p>
    <w:p w14:paraId="1C3B5242">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3</w:t>
      </w:r>
      <w:r>
        <w:rPr>
          <w:rFonts w:hint="eastAsia" w:ascii="宋体" w:hAnsi="宋体"/>
          <w:color w:val="auto"/>
          <w:szCs w:val="21"/>
          <w:highlight w:val="none"/>
          <w:lang w:val="zh-CN"/>
        </w:rPr>
        <w:t>.投标文件的修改和撤回</w:t>
      </w:r>
    </w:p>
    <w:p w14:paraId="424CAAFD">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 xml:space="preserve">3.1 </w:t>
      </w:r>
      <w:r>
        <w:rPr>
          <w:rFonts w:hint="eastAsia" w:ascii="宋体" w:hAnsi="宋体"/>
          <w:color w:val="auto"/>
          <w:szCs w:val="21"/>
          <w:highlight w:val="none"/>
          <w:lang w:val="zh-CN"/>
        </w:rPr>
        <w:t>投标人在投标截止时间之前，可以对所递交的投标文件进行补充、修改或撤回，并书面通知采购人或采购代理机构。补充、修改的内容应当按照招标文件要求签署、盖章，并作为投标文件的组成部分。</w:t>
      </w:r>
    </w:p>
    <w:p w14:paraId="400A4417">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3.</w:t>
      </w:r>
      <w:r>
        <w:rPr>
          <w:rFonts w:hint="eastAsia" w:ascii="宋体" w:hAnsi="宋体"/>
          <w:color w:val="auto"/>
          <w:szCs w:val="21"/>
          <w:highlight w:val="none"/>
          <w:lang w:val="zh-CN"/>
        </w:rPr>
        <w:t>2 投标截止时间之后，投标文件不得撤回，如果撤回的，一年内不得参加南京越鑫项目管理咨询有限公司组织的政府采购活动。</w:t>
      </w:r>
    </w:p>
    <w:p w14:paraId="30D7D787">
      <w:pPr>
        <w:spacing w:line="360" w:lineRule="auto"/>
        <w:ind w:firstLine="420"/>
        <w:outlineLvl w:val="0"/>
        <w:rPr>
          <w:rFonts w:hint="eastAsia" w:ascii="宋体" w:hAnsi="宋体"/>
          <w:b/>
          <w:color w:val="auto"/>
          <w:szCs w:val="21"/>
          <w:highlight w:val="none"/>
          <w:lang w:val="zh-CN"/>
        </w:rPr>
      </w:pPr>
      <w:bookmarkStart w:id="62" w:name="_Toc55479009"/>
      <w:r>
        <w:rPr>
          <w:rFonts w:hint="eastAsia" w:ascii="宋体" w:hAnsi="宋体"/>
          <w:b/>
          <w:color w:val="auto"/>
          <w:szCs w:val="21"/>
          <w:highlight w:val="none"/>
          <w:lang w:val="zh-CN"/>
        </w:rPr>
        <w:t>四、开标、评标与确定中标供应商</w:t>
      </w:r>
      <w:bookmarkEnd w:id="62"/>
    </w:p>
    <w:p w14:paraId="451CDA23">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14</w:t>
      </w:r>
      <w:r>
        <w:rPr>
          <w:rFonts w:hint="eastAsia" w:ascii="宋体" w:hAnsi="宋体"/>
          <w:color w:val="auto"/>
          <w:szCs w:val="21"/>
          <w:highlight w:val="none"/>
          <w:lang w:val="zh-CN"/>
        </w:rPr>
        <w:t>.开标</w:t>
      </w:r>
    </w:p>
    <w:p w14:paraId="33DEB34E">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14</w:t>
      </w:r>
      <w:r>
        <w:rPr>
          <w:rFonts w:hint="eastAsia" w:ascii="宋体" w:hAnsi="宋体"/>
          <w:color w:val="auto"/>
          <w:szCs w:val="21"/>
          <w:highlight w:val="none"/>
          <w:lang w:val="zh-CN"/>
        </w:rPr>
        <w:t>.1 采购人或采购代理机构将在招标公告确定的时间和地点进行公开开标。</w:t>
      </w:r>
    </w:p>
    <w:p w14:paraId="38336977">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14</w:t>
      </w:r>
      <w:r>
        <w:rPr>
          <w:rFonts w:hint="eastAsia" w:ascii="宋体" w:hAnsi="宋体"/>
          <w:color w:val="auto"/>
          <w:szCs w:val="21"/>
          <w:highlight w:val="none"/>
          <w:lang w:val="zh-CN"/>
        </w:rPr>
        <w:t>.</w:t>
      </w:r>
      <w:r>
        <w:rPr>
          <w:rFonts w:hint="eastAsia" w:ascii="宋体" w:hAnsi="宋体"/>
          <w:color w:val="auto"/>
          <w:szCs w:val="21"/>
          <w:highlight w:val="none"/>
          <w:lang w:val="en-US" w:eastAsia="zh-CN"/>
        </w:rPr>
        <w:t>2</w:t>
      </w:r>
      <w:r>
        <w:rPr>
          <w:rFonts w:hint="eastAsia" w:ascii="宋体" w:hAnsi="宋体"/>
          <w:color w:val="auto"/>
          <w:szCs w:val="21"/>
          <w:highlight w:val="none"/>
          <w:lang w:val="zh-CN"/>
        </w:rPr>
        <w:t xml:space="preserve"> 投标人如果对开标过程和开标结果有疑义，应</w:t>
      </w:r>
      <w:r>
        <w:rPr>
          <w:rFonts w:hint="eastAsia" w:ascii="宋体" w:hAnsi="宋体"/>
          <w:color w:val="auto"/>
          <w:szCs w:val="21"/>
          <w:highlight w:val="none"/>
          <w:lang w:val="en-US" w:eastAsia="zh-CN"/>
        </w:rPr>
        <w:t>现场</w:t>
      </w:r>
      <w:r>
        <w:rPr>
          <w:rFonts w:hint="eastAsia" w:ascii="宋体" w:hAnsi="宋体"/>
          <w:color w:val="auto"/>
          <w:szCs w:val="21"/>
          <w:highlight w:val="none"/>
          <w:lang w:val="zh-CN"/>
        </w:rPr>
        <w:t>提出，</w:t>
      </w:r>
      <w:r>
        <w:rPr>
          <w:rFonts w:hint="eastAsia" w:ascii="宋体" w:hAnsi="宋体"/>
          <w:color w:val="auto"/>
          <w:szCs w:val="21"/>
          <w:highlight w:val="none"/>
          <w:lang w:val="en-US" w:eastAsia="zh-CN"/>
        </w:rPr>
        <w:t>若不提出</w:t>
      </w:r>
      <w:r>
        <w:rPr>
          <w:rFonts w:hint="eastAsia" w:ascii="宋体" w:hAnsi="宋体"/>
          <w:color w:val="auto"/>
          <w:szCs w:val="21"/>
          <w:highlight w:val="none"/>
          <w:lang w:val="zh-CN"/>
        </w:rPr>
        <w:t>，视同认可开标结果。</w:t>
      </w:r>
    </w:p>
    <w:p w14:paraId="2FADB7B6">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14.</w:t>
      </w:r>
      <w:r>
        <w:rPr>
          <w:rFonts w:hint="eastAsia" w:ascii="宋体" w:hAnsi="宋体"/>
          <w:color w:val="auto"/>
          <w:szCs w:val="21"/>
          <w:highlight w:val="none"/>
          <w:lang w:val="en-US" w:eastAsia="zh-CN"/>
        </w:rPr>
        <w:t>3</w:t>
      </w:r>
      <w:r>
        <w:rPr>
          <w:rFonts w:hint="eastAsia" w:ascii="宋体" w:hAnsi="宋体"/>
          <w:color w:val="auto"/>
          <w:szCs w:val="21"/>
          <w:highlight w:val="none"/>
          <w:lang w:val="zh-CN"/>
        </w:rPr>
        <w:t xml:space="preserve"> 对不同文字文本投标文件的解释发生异议的，以中文文本为准。</w:t>
      </w:r>
    </w:p>
    <w:p w14:paraId="7F192F2A">
      <w:pPr>
        <w:spacing w:line="360" w:lineRule="auto"/>
        <w:ind w:firstLine="420"/>
        <w:rPr>
          <w:rFonts w:ascii="宋体" w:hAnsi="宋体"/>
          <w:color w:val="auto"/>
          <w:szCs w:val="21"/>
          <w:highlight w:val="none"/>
          <w:lang w:val="zh-CN"/>
        </w:rPr>
      </w:pPr>
      <w:r>
        <w:rPr>
          <w:rFonts w:ascii="宋体" w:hAnsi="宋体"/>
          <w:color w:val="auto"/>
          <w:szCs w:val="21"/>
          <w:highlight w:val="none"/>
          <w:lang w:val="zh-CN"/>
        </w:rPr>
        <w:t>14.</w:t>
      </w:r>
      <w:r>
        <w:rPr>
          <w:rFonts w:hint="eastAsia" w:ascii="宋体" w:hAnsi="宋体"/>
          <w:color w:val="auto"/>
          <w:szCs w:val="21"/>
          <w:highlight w:val="none"/>
          <w:lang w:val="en-US" w:eastAsia="zh-CN"/>
        </w:rPr>
        <w:t>4</w:t>
      </w:r>
      <w:r>
        <w:rPr>
          <w:rFonts w:hint="eastAsia" w:ascii="宋体" w:hAnsi="宋体"/>
          <w:color w:val="auto"/>
          <w:szCs w:val="21"/>
          <w:highlight w:val="none"/>
          <w:lang w:val="zh-CN"/>
        </w:rPr>
        <w:t xml:space="preserve"> 投标截止时间参加投标的供应商不足三家的，除采购任务取消情形外，按照以下方式处理</w:t>
      </w:r>
    </w:p>
    <w:p w14:paraId="2D9E34C4">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（1）招标文件存在不合理条款或者招标程序不符合规定的，采购人、采购代理机构改正后依法重新招标。</w:t>
      </w:r>
    </w:p>
    <w:p w14:paraId="01322DEF">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（2）招标文件没有不合理条款、招标程序符合规定，需要采用其他采购方式采购的，采购人应当依法报财政部门批准。</w:t>
      </w:r>
    </w:p>
    <w:p w14:paraId="69B0243C">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4.</w:t>
      </w:r>
      <w:r>
        <w:rPr>
          <w:rFonts w:hint="eastAsia" w:ascii="宋体" w:hAnsi="宋体"/>
          <w:color w:val="auto"/>
          <w:szCs w:val="21"/>
          <w:highlight w:val="none"/>
          <w:lang w:val="en-US" w:eastAsia="zh-CN"/>
        </w:rPr>
        <w:t>5</w:t>
      </w:r>
      <w:r>
        <w:rPr>
          <w:rFonts w:ascii="宋体" w:hAnsi="宋体"/>
          <w:color w:val="auto"/>
          <w:szCs w:val="21"/>
          <w:highlight w:val="none"/>
          <w:lang w:val="zh-CN"/>
        </w:rPr>
        <w:t xml:space="preserve"> 公开招标采购项目开标结束后</w:t>
      </w:r>
      <w:r>
        <w:rPr>
          <w:rFonts w:hint="eastAsia" w:ascii="宋体" w:hAnsi="宋体"/>
          <w:color w:val="auto"/>
          <w:szCs w:val="21"/>
          <w:highlight w:val="none"/>
          <w:lang w:val="zh-CN"/>
        </w:rPr>
        <w:t>，</w:t>
      </w:r>
      <w:r>
        <w:rPr>
          <w:rFonts w:ascii="宋体" w:hAnsi="宋体"/>
          <w:color w:val="auto"/>
          <w:szCs w:val="21"/>
          <w:highlight w:val="none"/>
          <w:lang w:val="zh-CN"/>
        </w:rPr>
        <w:t>采购人或者采购代理机构应当依法对投标人的资格进行审查</w:t>
      </w:r>
      <w:r>
        <w:rPr>
          <w:rFonts w:hint="eastAsia" w:ascii="宋体" w:hAnsi="宋体"/>
          <w:color w:val="auto"/>
          <w:szCs w:val="21"/>
          <w:highlight w:val="none"/>
          <w:lang w:val="zh-CN"/>
        </w:rPr>
        <w:t>。</w:t>
      </w:r>
      <w:r>
        <w:rPr>
          <w:rFonts w:ascii="宋体" w:hAnsi="宋体"/>
          <w:color w:val="auto"/>
          <w:szCs w:val="21"/>
          <w:highlight w:val="none"/>
          <w:lang w:val="zh-CN"/>
        </w:rPr>
        <w:t>合格投标人不足</w:t>
      </w:r>
      <w:r>
        <w:rPr>
          <w:rFonts w:hint="eastAsia" w:ascii="宋体" w:hAnsi="宋体"/>
          <w:color w:val="auto"/>
          <w:szCs w:val="21"/>
          <w:highlight w:val="none"/>
          <w:lang w:val="zh-CN"/>
        </w:rPr>
        <w:t>3家的。不得评标。</w:t>
      </w:r>
    </w:p>
    <w:p w14:paraId="5B5EF413">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15.评标</w:t>
      </w:r>
    </w:p>
    <w:p w14:paraId="60D77163">
      <w:pPr>
        <w:spacing w:line="360" w:lineRule="auto"/>
        <w:ind w:firstLine="420"/>
        <w:rPr>
          <w:rFonts w:ascii="宋体" w:hAnsi="宋体"/>
          <w:bCs/>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.1</w:t>
      </w:r>
      <w:r>
        <w:rPr>
          <w:rFonts w:hint="eastAsia" w:ascii="宋体" w:hAnsi="宋体"/>
          <w:bCs/>
          <w:color w:val="auto"/>
          <w:szCs w:val="21"/>
          <w:highlight w:val="none"/>
          <w:lang w:val="zh-CN"/>
        </w:rPr>
        <w:t>评标组织</w:t>
      </w:r>
    </w:p>
    <w:p w14:paraId="219A8A9B">
      <w:pPr>
        <w:spacing w:line="360" w:lineRule="auto"/>
        <w:ind w:firstLine="420"/>
        <w:rPr>
          <w:rFonts w:ascii="宋体" w:hAnsi="宋体"/>
          <w:color w:val="auto"/>
          <w:szCs w:val="21"/>
          <w:highlight w:val="none"/>
        </w:rPr>
      </w:pPr>
      <w:r>
        <w:rPr>
          <w:rFonts w:ascii="宋体" w:hAnsi="宋体"/>
          <w:color w:val="auto"/>
          <w:szCs w:val="21"/>
          <w:highlight w:val="none"/>
          <w:lang w:val="zh-CN"/>
        </w:rPr>
        <w:t>15.</w:t>
      </w:r>
      <w:r>
        <w:rPr>
          <w:rFonts w:hint="eastAsia" w:ascii="宋体" w:hAnsi="宋体"/>
          <w:color w:val="auto"/>
          <w:szCs w:val="21"/>
          <w:highlight w:val="none"/>
          <w:lang w:val="zh-CN"/>
        </w:rPr>
        <w:t>1.1评标工作由采购人或采购代理机构组织，具体评标事务由依法组建的评标委员会负责，并独立履行</w:t>
      </w:r>
      <w:r>
        <w:rPr>
          <w:rFonts w:hint="eastAsia" w:ascii="宋体" w:hAnsi="宋体"/>
          <w:color w:val="auto"/>
          <w:szCs w:val="21"/>
          <w:highlight w:val="none"/>
        </w:rPr>
        <w:t>下列职责：</w:t>
      </w:r>
    </w:p>
    <w:p w14:paraId="6D0471C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（1）审查、评价投标文件是否符合招标文件的商务、技术等实质性要求；</w:t>
      </w:r>
    </w:p>
    <w:p w14:paraId="69067FA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（2）要求投标人对投标文件有关事项作出澄清或者说明；</w:t>
      </w:r>
    </w:p>
    <w:p w14:paraId="5A46E2EA">
      <w:pPr>
        <w:spacing w:line="360" w:lineRule="auto"/>
        <w:ind w:firstLine="420"/>
        <w:rPr>
          <w:rFonts w:ascii="宋体" w:hAnsi="宋体"/>
          <w:color w:val="auto"/>
          <w:szCs w:val="21"/>
          <w:highlight w:val="none"/>
        </w:rPr>
      </w:pPr>
      <w:r>
        <w:rPr>
          <w:rFonts w:hint="eastAsia" w:ascii="宋体" w:hAnsi="宋体"/>
          <w:color w:val="auto"/>
          <w:szCs w:val="21"/>
          <w:highlight w:val="none"/>
        </w:rPr>
        <w:t>（3）对投标文件进行比较和评价；</w:t>
      </w:r>
    </w:p>
    <w:p w14:paraId="16477276">
      <w:pPr>
        <w:spacing w:line="360" w:lineRule="auto"/>
        <w:ind w:firstLine="420"/>
        <w:rPr>
          <w:rFonts w:ascii="宋体" w:hAnsi="宋体"/>
          <w:color w:val="auto"/>
          <w:szCs w:val="21"/>
          <w:highlight w:val="none"/>
        </w:rPr>
      </w:pPr>
      <w:r>
        <w:rPr>
          <w:rFonts w:hint="eastAsia" w:ascii="宋体" w:hAnsi="宋体"/>
          <w:color w:val="auto"/>
          <w:szCs w:val="21"/>
          <w:highlight w:val="none"/>
        </w:rPr>
        <w:t>（4）推荐中标候选人或根据采购人委托直接确定中标供应商；</w:t>
      </w:r>
    </w:p>
    <w:p w14:paraId="3ACA9442">
      <w:pPr>
        <w:spacing w:line="360" w:lineRule="auto"/>
        <w:ind w:firstLine="420"/>
        <w:rPr>
          <w:rFonts w:ascii="宋体" w:hAnsi="宋体"/>
          <w:color w:val="auto"/>
          <w:szCs w:val="21"/>
          <w:highlight w:val="none"/>
        </w:rPr>
      </w:pPr>
      <w:r>
        <w:rPr>
          <w:rFonts w:hint="eastAsia" w:ascii="宋体" w:hAnsi="宋体"/>
          <w:color w:val="auto"/>
          <w:szCs w:val="21"/>
          <w:highlight w:val="none"/>
        </w:rPr>
        <w:t>（5）向采购人、财政部门报告评标中发现的违法行为。</w:t>
      </w:r>
    </w:p>
    <w:p w14:paraId="2647CD5E">
      <w:pPr>
        <w:spacing w:line="360" w:lineRule="auto"/>
        <w:ind w:firstLine="420"/>
        <w:rPr>
          <w:rFonts w:ascii="宋体" w:hAnsi="宋体"/>
          <w:color w:val="auto"/>
          <w:szCs w:val="21"/>
          <w:highlight w:val="none"/>
          <w:lang w:val="zh-CN"/>
        </w:rPr>
      </w:pPr>
      <w:r>
        <w:rPr>
          <w:rFonts w:ascii="宋体" w:hAnsi="宋体"/>
          <w:bCs/>
          <w:color w:val="auto"/>
          <w:szCs w:val="21"/>
          <w:highlight w:val="none"/>
          <w:lang w:val="zh-CN"/>
        </w:rPr>
        <w:t>15.</w:t>
      </w:r>
      <w:r>
        <w:rPr>
          <w:rFonts w:hint="eastAsia" w:ascii="宋体" w:hAnsi="宋体"/>
          <w:bCs/>
          <w:color w:val="auto"/>
          <w:szCs w:val="21"/>
          <w:highlight w:val="none"/>
          <w:lang w:val="zh-CN"/>
        </w:rPr>
        <w:t xml:space="preserve">1.2 </w:t>
      </w:r>
      <w:r>
        <w:rPr>
          <w:rFonts w:hint="eastAsia" w:ascii="宋体" w:hAnsi="宋体"/>
          <w:color w:val="auto"/>
          <w:szCs w:val="21"/>
          <w:highlight w:val="none"/>
          <w:lang w:val="zh-CN"/>
        </w:rPr>
        <w:t>评标委员会由采购人代表和有关技术、经济等方面的专家组成，独立开展评审工作。</w:t>
      </w:r>
    </w:p>
    <w:p w14:paraId="5CAF2BC0">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5.2 评标程序</w:t>
      </w:r>
    </w:p>
    <w:p w14:paraId="4B57E6C3">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.2.1 投标文件的资格审查</w:t>
      </w:r>
    </w:p>
    <w:p w14:paraId="1C3966CE">
      <w:pPr>
        <w:spacing w:line="360" w:lineRule="auto"/>
        <w:ind w:firstLine="426"/>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.2.1.1采购人代表或采购代理机构依法对投标人的资格进行审查。</w:t>
      </w:r>
    </w:p>
    <w:p w14:paraId="3D533D5C">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.2.1.2依据法律法规和招标文件的规定，对投标文件中的资格证明文件、《南京市政府采购供应商信用记录表暨信用承诺书》等进行审查，以确定投标供应商是否具备投标资格。</w:t>
      </w:r>
    </w:p>
    <w:p w14:paraId="2F7B02D5">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.2.1.3 在进行资格性审查的同时，将在“信用中国”网站（www.creditchina.gov.cn）、“中国政府采购网”（www.ccgp.gov.cn）对投标供应商是否被列入失信被执行人、重大税收违法案件当事人名单、政府采购严重违法失信行为记录名单的情况进行查询，以确定投标供应商是否具备投标资格。查询结果将以网页打印的形式留存并归档。</w:t>
      </w:r>
    </w:p>
    <w:p w14:paraId="5731E5C1">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15.2.2</w:t>
      </w:r>
      <w:r>
        <w:rPr>
          <w:rFonts w:hint="eastAsia" w:ascii="宋体" w:hAnsi="宋体"/>
          <w:color w:val="auto"/>
          <w:szCs w:val="21"/>
          <w:highlight w:val="none"/>
          <w:lang w:val="zh-CN"/>
        </w:rPr>
        <w:t xml:space="preserve"> 投标文件有下列情况之一的，在资格性审查时按照无效投标处理</w:t>
      </w:r>
    </w:p>
    <w:p w14:paraId="2AB834FF">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 xml:space="preserve">（1）不具备招标文件规定资格条件的； </w:t>
      </w:r>
    </w:p>
    <w:p w14:paraId="5EEC1544">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（2）供应商被“信用中国”网站（www.creditchina.gov.cn）、“中国政府采购网”（www.ccgp.gov.cn）列入失信被执行人、重大税收违法案件当事人名单、政府采购严重违法失信行为记录名单的。</w:t>
      </w:r>
      <w:r>
        <w:rPr>
          <w:rFonts w:hint="eastAsia" w:ascii="宋体" w:hAnsi="宋体"/>
          <w:color w:val="auto"/>
          <w:szCs w:val="21"/>
          <w:highlight w:val="none"/>
        </w:rPr>
        <w:t>接手</w:t>
      </w:r>
      <w:r>
        <w:rPr>
          <w:rFonts w:hint="eastAsia" w:ascii="宋体" w:hAnsi="宋体"/>
          <w:color w:val="auto"/>
          <w:szCs w:val="21"/>
          <w:highlight w:val="none"/>
          <w:lang w:val="zh-CN"/>
        </w:rPr>
        <w:t>联合体的项目，两个以上的自然人、法人或者其他组织组成一个联合体，以一个供应商的身份共同参加政府采购活动的，联合体成员存在不良信用记录的，视同联合体存在不良应用记录。</w:t>
      </w:r>
    </w:p>
    <w:p w14:paraId="3A63DF2A">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 xml:space="preserve">（3）未提供《南京市政府采购供应商信用记录表暨信用承诺书》的； </w:t>
      </w:r>
    </w:p>
    <w:p w14:paraId="5CC5661B">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15.2.3</w:t>
      </w:r>
      <w:r>
        <w:rPr>
          <w:rFonts w:hint="eastAsia" w:ascii="宋体" w:hAnsi="宋体"/>
          <w:color w:val="auto"/>
          <w:szCs w:val="21"/>
          <w:highlight w:val="none"/>
          <w:lang w:val="zh-CN"/>
        </w:rPr>
        <w:t xml:space="preserve"> 投标文件的符合性审查</w:t>
      </w:r>
    </w:p>
    <w:p w14:paraId="7BBFA8A6">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 xml:space="preserve">15.2.3.1 </w:t>
      </w:r>
      <w:r>
        <w:rPr>
          <w:rFonts w:hint="eastAsia" w:ascii="宋体" w:hAnsi="宋体"/>
          <w:color w:val="auto"/>
          <w:szCs w:val="21"/>
          <w:highlight w:val="none"/>
          <w:lang w:val="zh-CN"/>
        </w:rPr>
        <w:t>评标委员会将依据法律法规和招标文件的规定，对投标文件的有效性、完整性和对招标文件的响应程度进行审查，以确定是否对招标文件的实质性要求作出响应。</w:t>
      </w:r>
    </w:p>
    <w:p w14:paraId="4AB8A2C8">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w:t>
      </w:r>
      <w:r>
        <w:rPr>
          <w:rFonts w:ascii="宋体" w:hAnsi="宋体"/>
          <w:color w:val="auto"/>
          <w:szCs w:val="21"/>
          <w:highlight w:val="none"/>
          <w:lang w:val="zh-CN"/>
        </w:rPr>
        <w:t>3</w:t>
      </w:r>
      <w:r>
        <w:rPr>
          <w:rFonts w:hint="eastAsia" w:ascii="宋体" w:hAnsi="宋体"/>
          <w:color w:val="auto"/>
          <w:szCs w:val="21"/>
          <w:highlight w:val="none"/>
          <w:lang w:val="zh-CN"/>
        </w:rPr>
        <w:t>.2 实质性要求是指本招标文件中带“★”的要求。</w:t>
      </w:r>
    </w:p>
    <w:p w14:paraId="5A37E99E">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w:t>
      </w:r>
      <w:r>
        <w:rPr>
          <w:rFonts w:ascii="宋体" w:hAnsi="宋体"/>
          <w:color w:val="auto"/>
          <w:szCs w:val="21"/>
          <w:highlight w:val="none"/>
          <w:lang w:val="zh-CN"/>
        </w:rPr>
        <w:t>3</w:t>
      </w:r>
      <w:r>
        <w:rPr>
          <w:rFonts w:hint="eastAsia" w:ascii="宋体" w:hAnsi="宋体"/>
          <w:color w:val="auto"/>
          <w:szCs w:val="21"/>
          <w:highlight w:val="none"/>
          <w:lang w:val="zh-CN"/>
        </w:rPr>
        <w:t>.3 如果投标文件实质上没有响应招标文件的要求，评标委员会将予以拒绝，投标人不得通过修改或撤销不符合要求的偏离而使其投标成为实质性响应的投标。</w:t>
      </w:r>
    </w:p>
    <w:p w14:paraId="65587AE2">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w:t>
      </w:r>
      <w:r>
        <w:rPr>
          <w:rFonts w:ascii="宋体" w:hAnsi="宋体"/>
          <w:color w:val="auto"/>
          <w:szCs w:val="21"/>
          <w:highlight w:val="none"/>
          <w:lang w:val="zh-CN"/>
        </w:rPr>
        <w:t>3</w:t>
      </w:r>
      <w:r>
        <w:rPr>
          <w:rFonts w:hint="eastAsia" w:ascii="宋体" w:hAnsi="宋体"/>
          <w:color w:val="auto"/>
          <w:szCs w:val="21"/>
          <w:highlight w:val="none"/>
          <w:lang w:val="zh-CN"/>
        </w:rPr>
        <w:t>.4 投标文件有下列情况之一的，在符合性审查时按照无效投标处理</w:t>
      </w:r>
    </w:p>
    <w:p w14:paraId="5592E588">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（1）未按招标文件规定签署、盖章的；</w:t>
      </w:r>
    </w:p>
    <w:p w14:paraId="391391FC">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lang w:val="zh-CN"/>
        </w:rPr>
        <w:t>2</w:t>
      </w:r>
      <w:r>
        <w:rPr>
          <w:rFonts w:hint="eastAsia" w:ascii="宋体" w:hAnsi="宋体"/>
          <w:color w:val="auto"/>
          <w:szCs w:val="21"/>
          <w:highlight w:val="none"/>
          <w:lang w:val="zh-CN"/>
        </w:rPr>
        <w:t>）投标总价超出采购预算金额或者最高限价的；</w:t>
      </w:r>
    </w:p>
    <w:p w14:paraId="1E2BDAAB">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lang w:val="zh-CN"/>
        </w:rPr>
        <w:t>3</w:t>
      </w:r>
      <w:r>
        <w:rPr>
          <w:rFonts w:hint="eastAsia" w:ascii="宋体" w:hAnsi="宋体"/>
          <w:color w:val="auto"/>
          <w:szCs w:val="21"/>
          <w:highlight w:val="none"/>
          <w:lang w:val="zh-CN"/>
        </w:rPr>
        <w:t>）不同投标人的投标文件由同一单位或者个人编制；</w:t>
      </w:r>
    </w:p>
    <w:p w14:paraId="01AD4CEB">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lang w:val="zh-CN"/>
        </w:rPr>
        <w:t>4</w:t>
      </w:r>
      <w:r>
        <w:rPr>
          <w:rFonts w:hint="eastAsia" w:ascii="宋体" w:hAnsi="宋体"/>
          <w:color w:val="auto"/>
          <w:szCs w:val="21"/>
          <w:highlight w:val="none"/>
          <w:lang w:val="zh-CN"/>
        </w:rPr>
        <w:t>）不同投标人委托同一单位或者个人办理投标事宜；</w:t>
      </w:r>
    </w:p>
    <w:p w14:paraId="3F2D1E36">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lang w:val="zh-CN"/>
        </w:rPr>
        <w:t>5</w:t>
      </w:r>
      <w:r>
        <w:rPr>
          <w:rFonts w:hint="eastAsia" w:ascii="宋体" w:hAnsi="宋体"/>
          <w:color w:val="auto"/>
          <w:szCs w:val="21"/>
          <w:highlight w:val="none"/>
          <w:lang w:val="zh-CN"/>
        </w:rPr>
        <w:t>）不同投标人的投标文件载明的项目管理成员或者联系人员为同一人；</w:t>
      </w:r>
    </w:p>
    <w:p w14:paraId="260B39CE">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lang w:val="zh-CN"/>
        </w:rPr>
        <w:t>6</w:t>
      </w:r>
      <w:r>
        <w:rPr>
          <w:rFonts w:hint="eastAsia" w:ascii="宋体" w:hAnsi="宋体"/>
          <w:color w:val="auto"/>
          <w:szCs w:val="21"/>
          <w:highlight w:val="none"/>
          <w:lang w:val="zh-CN"/>
        </w:rPr>
        <w:t>）不同投标人的投标文件异常一致或者投标报价呈规律性差异；</w:t>
      </w:r>
    </w:p>
    <w:p w14:paraId="0AD1B046">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lang w:val="zh-CN"/>
        </w:rPr>
        <w:t>7</w:t>
      </w:r>
      <w:r>
        <w:rPr>
          <w:rFonts w:hint="eastAsia" w:ascii="宋体" w:hAnsi="宋体"/>
          <w:color w:val="auto"/>
          <w:szCs w:val="21"/>
          <w:highlight w:val="none"/>
          <w:lang w:val="zh-CN"/>
        </w:rPr>
        <w:t>）不同投标人的投标文件相互混装；</w:t>
      </w:r>
    </w:p>
    <w:p w14:paraId="334841CF">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lang w:val="zh-CN"/>
        </w:rPr>
        <w:t>8</w:t>
      </w:r>
      <w:r>
        <w:rPr>
          <w:rFonts w:hint="eastAsia" w:ascii="宋体" w:hAnsi="宋体"/>
          <w:color w:val="auto"/>
          <w:szCs w:val="21"/>
          <w:highlight w:val="none"/>
          <w:lang w:val="zh-CN"/>
        </w:rPr>
        <w:t>）不同投标人的法定代表人或委托代理人有夫妻、直系血亲关系的；</w:t>
      </w:r>
    </w:p>
    <w:p w14:paraId="565998F7">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lang w:val="zh-CN"/>
        </w:rPr>
        <w:t>9</w:t>
      </w:r>
      <w:r>
        <w:rPr>
          <w:rFonts w:hint="eastAsia" w:ascii="宋体" w:hAnsi="宋体"/>
          <w:color w:val="auto"/>
          <w:szCs w:val="21"/>
          <w:highlight w:val="none"/>
          <w:lang w:val="zh-CN"/>
        </w:rPr>
        <w:t>）不同投标人的负责人为同一人或者存在控股、管理关系的；</w:t>
      </w:r>
    </w:p>
    <w:p w14:paraId="7BB8D243">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lang w:val="zh-CN"/>
        </w:rPr>
        <w:t>10</w:t>
      </w:r>
      <w:r>
        <w:rPr>
          <w:rFonts w:hint="eastAsia" w:ascii="宋体" w:hAnsi="宋体"/>
          <w:color w:val="auto"/>
          <w:szCs w:val="21"/>
          <w:highlight w:val="none"/>
          <w:lang w:val="zh-CN"/>
        </w:rPr>
        <w:t>）没有逐一说明投标产品名称、品牌、规格型号、产地、技术参数和服务响应，而是直接拷贝招标文件要求的；</w:t>
      </w:r>
    </w:p>
    <w:p w14:paraId="0C6AA315">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1</w:t>
      </w:r>
      <w:r>
        <w:rPr>
          <w:rFonts w:hint="eastAsia" w:ascii="宋体" w:hAnsi="宋体"/>
          <w:color w:val="auto"/>
          <w:szCs w:val="21"/>
          <w:highlight w:val="none"/>
          <w:lang w:val="zh-CN"/>
        </w:rPr>
        <w:t>）不同投标人的委托代理人（或法定代表人、项目经理、项目总监、项目负责人等）在招标文件发布日上月至投标截止日当月在同一单位缴纳社会保险的；</w:t>
      </w:r>
    </w:p>
    <w:p w14:paraId="346D5433">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2</w:t>
      </w:r>
      <w:r>
        <w:rPr>
          <w:rFonts w:hint="eastAsia" w:ascii="宋体" w:hAnsi="宋体"/>
          <w:color w:val="auto"/>
          <w:szCs w:val="21"/>
          <w:highlight w:val="none"/>
          <w:lang w:val="zh-CN"/>
        </w:rPr>
        <w:t>）投标文件含有采购人不能接受的附加条件的；</w:t>
      </w:r>
    </w:p>
    <w:p w14:paraId="6B3C1860">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3</w:t>
      </w:r>
      <w:r>
        <w:rPr>
          <w:rFonts w:hint="eastAsia" w:ascii="宋体" w:hAnsi="宋体"/>
          <w:color w:val="auto"/>
          <w:szCs w:val="21"/>
          <w:highlight w:val="none"/>
          <w:lang w:val="zh-CN"/>
        </w:rPr>
        <w:t>）评标委员会认为投标人的报价明显低于其他通过符合性审查投标人的报价，有可能影响产品质量或者不能诚信履约的，未在评标现场合理的时间内提供书面说明或相关证明材料，不能证明其报价合理的。</w:t>
      </w:r>
    </w:p>
    <w:p w14:paraId="7E39F3EC">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w:t>
      </w:r>
      <w:r>
        <w:rPr>
          <w:rFonts w:ascii="宋体" w:hAnsi="宋体"/>
          <w:color w:val="auto"/>
          <w:szCs w:val="21"/>
          <w:highlight w:val="none"/>
          <w:lang w:val="zh-CN"/>
        </w:rPr>
        <w:t>3</w:t>
      </w:r>
      <w:r>
        <w:rPr>
          <w:rFonts w:hint="eastAsia" w:ascii="宋体" w:hAnsi="宋体"/>
          <w:color w:val="auto"/>
          <w:szCs w:val="21"/>
          <w:highlight w:val="none"/>
          <w:lang w:val="zh-CN"/>
        </w:rPr>
        <w:t>.5 有下列情形之一的予以废标，同时将废标理由通知所有投标人</w:t>
      </w:r>
    </w:p>
    <w:p w14:paraId="0F4CC554">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（1）符合资格条件的投标人或者对招标文件作实质性响应的投标人不足三家的；</w:t>
      </w:r>
    </w:p>
    <w:p w14:paraId="1767C816">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（2）出现影响采购公正的违法、违规行为的；</w:t>
      </w:r>
    </w:p>
    <w:p w14:paraId="0D42EB42">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（3）供应商的报价均超过了采购预算或最高限价，采购人不能支付的；</w:t>
      </w:r>
    </w:p>
    <w:p w14:paraId="08E191C6">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（4）因重大变故，采购任务取消的；</w:t>
      </w:r>
    </w:p>
    <w:p w14:paraId="6D0EB8CA">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（5）招标文件存在歧义、重大缺陷，或者招标文件内容违反国家有关强制性规定的。</w:t>
      </w:r>
    </w:p>
    <w:p w14:paraId="3BC0034A">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w:t>
      </w:r>
      <w:r>
        <w:rPr>
          <w:rFonts w:ascii="宋体" w:hAnsi="宋体"/>
          <w:color w:val="auto"/>
          <w:szCs w:val="21"/>
          <w:highlight w:val="none"/>
          <w:lang w:val="zh-CN"/>
        </w:rPr>
        <w:t>4</w:t>
      </w:r>
      <w:r>
        <w:rPr>
          <w:rFonts w:hint="eastAsia" w:ascii="宋体" w:hAnsi="宋体"/>
          <w:color w:val="auto"/>
          <w:szCs w:val="21"/>
          <w:highlight w:val="none"/>
          <w:lang w:val="zh-CN"/>
        </w:rPr>
        <w:t xml:space="preserve"> 投标文件的进一步评审</w:t>
      </w:r>
    </w:p>
    <w:p w14:paraId="7A4EFB43">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w:t>
      </w:r>
      <w:r>
        <w:rPr>
          <w:rFonts w:ascii="宋体" w:hAnsi="宋体"/>
          <w:color w:val="auto"/>
          <w:szCs w:val="21"/>
          <w:highlight w:val="none"/>
          <w:lang w:val="zh-CN"/>
        </w:rPr>
        <w:t>4</w:t>
      </w:r>
      <w:r>
        <w:rPr>
          <w:rFonts w:hint="eastAsia" w:ascii="宋体" w:hAnsi="宋体"/>
          <w:color w:val="auto"/>
          <w:szCs w:val="21"/>
          <w:highlight w:val="none"/>
          <w:lang w:val="zh-CN"/>
        </w:rPr>
        <w:t>.1评标委员会将对确定为实质性响应的投标文件进行进一步评审，看其是否有计算上或累加上的算术错误，修正错误的原则如下：</w:t>
      </w:r>
    </w:p>
    <w:p w14:paraId="183D2149">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（1）如果用数字表示的金额和用文字表示的金额不一致时，应以文字表示的金额为准进行修正；</w:t>
      </w:r>
    </w:p>
    <w:p w14:paraId="24B9DCAB">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（2）当单价与数量的乘积和总价不一致时，以单价为准进行修正。只有在评标委员会认为单价有明显的小数点错误时，才能以标出的总价为准，并修改单价。</w:t>
      </w:r>
    </w:p>
    <w:p w14:paraId="27915762">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w:t>
      </w:r>
      <w:r>
        <w:rPr>
          <w:rFonts w:ascii="宋体" w:hAnsi="宋体"/>
          <w:color w:val="auto"/>
          <w:szCs w:val="21"/>
          <w:highlight w:val="none"/>
          <w:lang w:val="zh-CN"/>
        </w:rPr>
        <w:t>4</w:t>
      </w:r>
      <w:r>
        <w:rPr>
          <w:rFonts w:hint="eastAsia" w:ascii="宋体" w:hAnsi="宋体"/>
          <w:color w:val="auto"/>
          <w:szCs w:val="21"/>
          <w:highlight w:val="none"/>
          <w:lang w:val="zh-CN"/>
        </w:rPr>
        <w:t>.2 评标委员会将按上述修正错误的方法调整投标文件中的投标价格，调整后的价格</w:t>
      </w:r>
      <w:r>
        <w:rPr>
          <w:rFonts w:hint="eastAsia" w:ascii="宋体" w:hAnsi="宋体"/>
          <w:color w:val="auto"/>
          <w:szCs w:val="21"/>
          <w:highlight w:val="none"/>
        </w:rPr>
        <w:t>应对</w:t>
      </w:r>
      <w:r>
        <w:rPr>
          <w:rFonts w:hint="eastAsia" w:ascii="宋体" w:hAnsi="宋体"/>
          <w:color w:val="auto"/>
          <w:szCs w:val="21"/>
          <w:highlight w:val="none"/>
          <w:lang w:val="zh-CN"/>
        </w:rPr>
        <w:t>投标人具有约束力。如果投标人不接受修正后的价格，则其投标将被拒绝。</w:t>
      </w:r>
    </w:p>
    <w:p w14:paraId="60DE7BBD">
      <w:pPr>
        <w:spacing w:line="360" w:lineRule="auto"/>
        <w:ind w:firstLine="420"/>
        <w:rPr>
          <w:rFonts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w:t>
      </w:r>
      <w:r>
        <w:rPr>
          <w:rFonts w:ascii="宋体" w:hAnsi="宋体"/>
          <w:color w:val="auto"/>
          <w:szCs w:val="21"/>
          <w:highlight w:val="none"/>
          <w:lang w:val="zh-CN"/>
        </w:rPr>
        <w:t>4</w:t>
      </w:r>
      <w:r>
        <w:rPr>
          <w:rFonts w:hint="eastAsia" w:ascii="宋体" w:hAnsi="宋体"/>
          <w:color w:val="auto"/>
          <w:szCs w:val="21"/>
          <w:highlight w:val="none"/>
          <w:lang w:val="zh-CN"/>
        </w:rPr>
        <w:t>.</w:t>
      </w:r>
      <w:r>
        <w:rPr>
          <w:rFonts w:ascii="宋体" w:hAnsi="宋体"/>
          <w:color w:val="auto"/>
          <w:szCs w:val="21"/>
          <w:highlight w:val="none"/>
          <w:lang w:val="zh-CN"/>
        </w:rPr>
        <w:t>3</w:t>
      </w:r>
      <w:r>
        <w:rPr>
          <w:rFonts w:hint="eastAsia" w:ascii="宋体" w:hAnsi="宋体"/>
          <w:color w:val="auto"/>
          <w:szCs w:val="21"/>
          <w:highlight w:val="none"/>
          <w:lang w:val="zh-CN"/>
        </w:rPr>
        <w:t xml:space="preserve"> 对投标文件中含义不明确、同类问题表述不一致或者明显文字错误的内容，评标委员会可以要求供应商作出必要的澄清、说明或者补正，但不得超出投标文件的范围或者改变投标文件的实质性内容。评委会将</w:t>
      </w:r>
      <w:r>
        <w:rPr>
          <w:rFonts w:hint="eastAsia" w:ascii="宋体" w:hAnsi="宋体"/>
          <w:color w:val="auto"/>
          <w:szCs w:val="21"/>
          <w:highlight w:val="none"/>
          <w:lang w:val="en-US" w:eastAsia="zh-CN"/>
        </w:rPr>
        <w:t>现场</w:t>
      </w:r>
      <w:r>
        <w:rPr>
          <w:rFonts w:hint="eastAsia" w:ascii="宋体" w:hAnsi="宋体"/>
          <w:color w:val="auto"/>
          <w:szCs w:val="21"/>
          <w:highlight w:val="none"/>
          <w:lang w:val="zh-CN"/>
        </w:rPr>
        <w:t>向投标人发出《澄清要求函》，接到《澄清要求函》的投标人应当按照要求提交《澄清响应函》。澄清、说明和补正的内容作为投标文件的补充部分。</w:t>
      </w:r>
    </w:p>
    <w:p w14:paraId="34FBBA36">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w:t>
      </w:r>
      <w:r>
        <w:rPr>
          <w:rFonts w:ascii="宋体" w:hAnsi="宋体"/>
          <w:color w:val="auto"/>
          <w:szCs w:val="21"/>
          <w:highlight w:val="none"/>
          <w:lang w:val="zh-CN"/>
        </w:rPr>
        <w:t>4</w:t>
      </w:r>
      <w:r>
        <w:rPr>
          <w:rFonts w:hint="eastAsia" w:ascii="宋体" w:hAnsi="宋体"/>
          <w:color w:val="auto"/>
          <w:szCs w:val="21"/>
          <w:highlight w:val="none"/>
          <w:lang w:val="zh-CN"/>
        </w:rPr>
        <w:t>.</w:t>
      </w:r>
      <w:r>
        <w:rPr>
          <w:rFonts w:ascii="宋体" w:hAnsi="宋体"/>
          <w:color w:val="auto"/>
          <w:szCs w:val="21"/>
          <w:highlight w:val="none"/>
          <w:lang w:val="zh-CN"/>
        </w:rPr>
        <w:t>4</w:t>
      </w:r>
      <w:r>
        <w:rPr>
          <w:rFonts w:hint="eastAsia" w:ascii="宋体" w:hAnsi="宋体"/>
          <w:color w:val="auto"/>
          <w:szCs w:val="21"/>
          <w:highlight w:val="none"/>
          <w:lang w:val="zh-CN"/>
        </w:rPr>
        <w:t>接到评委会澄清、说明和补正要求的，投标人如未按规定作出澄清、说明和补正，其风险由投标人自行承担。</w:t>
      </w:r>
    </w:p>
    <w:p w14:paraId="1DCADB30">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zh-CN"/>
        </w:rPr>
        <w:t>.2.</w:t>
      </w:r>
      <w:r>
        <w:rPr>
          <w:rFonts w:ascii="宋体" w:hAnsi="宋体"/>
          <w:color w:val="auto"/>
          <w:szCs w:val="21"/>
          <w:highlight w:val="none"/>
          <w:lang w:val="zh-CN"/>
        </w:rPr>
        <w:t>4</w:t>
      </w:r>
      <w:r>
        <w:rPr>
          <w:rFonts w:hint="eastAsia" w:ascii="宋体" w:hAnsi="宋体"/>
          <w:color w:val="auto"/>
          <w:szCs w:val="21"/>
          <w:highlight w:val="none"/>
          <w:lang w:val="zh-CN"/>
        </w:rPr>
        <w:t>.</w:t>
      </w:r>
      <w:r>
        <w:rPr>
          <w:rFonts w:ascii="宋体" w:hAnsi="宋体"/>
          <w:color w:val="auto"/>
          <w:szCs w:val="21"/>
          <w:highlight w:val="none"/>
          <w:lang w:val="zh-CN"/>
        </w:rPr>
        <w:t xml:space="preserve">5 </w:t>
      </w:r>
      <w:r>
        <w:rPr>
          <w:rFonts w:hint="eastAsia" w:ascii="宋体" w:hAnsi="宋体"/>
          <w:color w:val="auto"/>
          <w:szCs w:val="21"/>
          <w:highlight w:val="none"/>
          <w:lang w:val="zh-CN"/>
        </w:rPr>
        <w:t>比较与评价。按照招标文件中规定的评标方法和标准，对资格性检查和符合性检查合格的投标文件进行商务和技术评估，综合比较与评价。</w:t>
      </w:r>
    </w:p>
    <w:p w14:paraId="39AA2300">
      <w:pPr>
        <w:widowControl/>
        <w:spacing w:line="360" w:lineRule="auto"/>
        <w:ind w:firstLine="420"/>
        <w:rPr>
          <w:rFonts w:hint="eastAsia" w:ascii="宋体" w:hAnsi="宋体" w:cs="宋体"/>
          <w:bCs/>
          <w:color w:val="auto"/>
          <w:szCs w:val="21"/>
          <w:highlight w:val="none"/>
          <w:lang w:val="zh-CN"/>
        </w:rPr>
      </w:pPr>
      <w:r>
        <w:rPr>
          <w:rFonts w:hint="eastAsia" w:ascii="宋体" w:hAnsi="宋体"/>
          <w:color w:val="auto"/>
          <w:szCs w:val="21"/>
          <w:highlight w:val="none"/>
          <w:lang w:val="zh-CN"/>
        </w:rPr>
        <w:t>16.</w:t>
      </w:r>
      <w:r>
        <w:rPr>
          <w:rFonts w:hint="eastAsia" w:ascii="宋体" w:hAnsi="宋体" w:cs="宋体"/>
          <w:bCs/>
          <w:color w:val="auto"/>
          <w:szCs w:val="21"/>
          <w:highlight w:val="none"/>
          <w:lang w:val="zh-CN"/>
        </w:rPr>
        <w:t>评标方法和标准</w:t>
      </w:r>
    </w:p>
    <w:p w14:paraId="5E6FDBEE">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6.1</w:t>
      </w:r>
      <w:r>
        <w:rPr>
          <w:rFonts w:hint="eastAsia" w:ascii="宋体" w:hAnsi="宋体"/>
          <w:color w:val="auto"/>
          <w:szCs w:val="21"/>
          <w:highlight w:val="none"/>
          <w:lang w:val="zh-CN"/>
        </w:rPr>
        <w:t>采用综合评分法。即在最大限度地满足招标文件实质性要求前提下，按照招标文件中规定的各项因素进行综合评审后，以评审总得分最高的供应商作为中标候选人或者中标人的评审方法。</w:t>
      </w:r>
    </w:p>
    <w:p w14:paraId="7A99C79D">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6</w:t>
      </w:r>
      <w:r>
        <w:rPr>
          <w:rFonts w:hint="eastAsia" w:ascii="宋体" w:hAnsi="宋体"/>
          <w:color w:val="auto"/>
          <w:szCs w:val="21"/>
          <w:highlight w:val="none"/>
          <w:lang w:val="zh-CN"/>
        </w:rPr>
        <w:t>.2综合评审的主要因素是：价格、技术方案、业绩、对招标文件响应程度等。</w:t>
      </w:r>
    </w:p>
    <w:p w14:paraId="5A987B4A">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6</w:t>
      </w:r>
      <w:r>
        <w:rPr>
          <w:rFonts w:hint="eastAsia" w:ascii="宋体" w:hAnsi="宋体"/>
          <w:color w:val="auto"/>
          <w:szCs w:val="21"/>
          <w:highlight w:val="none"/>
          <w:lang w:val="zh-CN"/>
        </w:rPr>
        <w:t>.</w:t>
      </w:r>
      <w:r>
        <w:rPr>
          <w:rFonts w:ascii="宋体" w:hAnsi="宋体"/>
          <w:color w:val="auto"/>
          <w:szCs w:val="21"/>
          <w:highlight w:val="none"/>
          <w:lang w:val="zh-CN"/>
        </w:rPr>
        <w:t>3</w:t>
      </w:r>
      <w:r>
        <w:rPr>
          <w:rFonts w:hint="eastAsia" w:ascii="宋体" w:hAnsi="宋体"/>
          <w:color w:val="auto"/>
          <w:szCs w:val="21"/>
          <w:highlight w:val="none"/>
          <w:lang w:val="zh-CN"/>
        </w:rPr>
        <w:t xml:space="preserve"> 评标方法，详见第三章。</w:t>
      </w:r>
    </w:p>
    <w:p w14:paraId="4EE62192">
      <w:pPr>
        <w:spacing w:line="360" w:lineRule="auto"/>
        <w:ind w:firstLine="420"/>
        <w:rPr>
          <w:rFonts w:ascii="宋体" w:hAnsi="宋体"/>
          <w:bCs/>
          <w:color w:val="auto"/>
          <w:szCs w:val="21"/>
          <w:highlight w:val="none"/>
          <w:lang w:val="zh-CN"/>
        </w:rPr>
      </w:pPr>
      <w:r>
        <w:rPr>
          <w:rFonts w:hint="eastAsia" w:ascii="宋体" w:hAnsi="宋体"/>
          <w:bCs/>
          <w:color w:val="auto"/>
          <w:szCs w:val="21"/>
          <w:highlight w:val="none"/>
          <w:lang w:val="zh-CN"/>
        </w:rPr>
        <w:t>17.确定中标供应商</w:t>
      </w:r>
    </w:p>
    <w:p w14:paraId="3454E2A4">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7</w:t>
      </w:r>
      <w:r>
        <w:rPr>
          <w:rFonts w:hint="eastAsia" w:ascii="宋体" w:hAnsi="宋体"/>
          <w:color w:val="auto"/>
          <w:szCs w:val="21"/>
          <w:highlight w:val="none"/>
          <w:lang w:val="zh-CN"/>
        </w:rPr>
        <w:t>.</w:t>
      </w:r>
      <w:r>
        <w:rPr>
          <w:rFonts w:ascii="宋体" w:hAnsi="宋体"/>
          <w:color w:val="auto"/>
          <w:szCs w:val="21"/>
          <w:highlight w:val="none"/>
          <w:lang w:val="zh-CN"/>
        </w:rPr>
        <w:t>1</w:t>
      </w:r>
      <w:r>
        <w:rPr>
          <w:rFonts w:hint="eastAsia" w:ascii="宋体" w:hAnsi="宋体"/>
          <w:color w:val="auto"/>
          <w:szCs w:val="21"/>
          <w:highlight w:val="none"/>
          <w:lang w:val="zh-CN"/>
        </w:rPr>
        <w:t>评标委员会对质量和服务均能满足招标文件实质性要求的投标人，在综合比较与评价后按照得分高低顺序对供应商进行排列。得分相同的，按报价由低到高顺序排列。得分且报价相同的，按技术指标优劣顺序排列。如果技术指标得分也相等，由采购人确定。评标委员会将综合排名第一的投标人确定为中标供应商。</w:t>
      </w:r>
    </w:p>
    <w:p w14:paraId="02310CFA">
      <w:pPr>
        <w:spacing w:line="360" w:lineRule="auto"/>
        <w:ind w:firstLine="420"/>
        <w:rPr>
          <w:rFonts w:ascii="宋体" w:hAnsi="宋体"/>
          <w:color w:val="auto"/>
          <w:szCs w:val="21"/>
          <w:highlight w:val="none"/>
          <w:lang w:val="zh-CN"/>
        </w:rPr>
      </w:pPr>
      <w:r>
        <w:rPr>
          <w:rFonts w:ascii="宋体" w:hAnsi="宋体"/>
          <w:color w:val="auto"/>
          <w:szCs w:val="21"/>
          <w:highlight w:val="none"/>
          <w:lang w:val="zh-CN"/>
        </w:rPr>
        <w:t xml:space="preserve">17.2 </w:t>
      </w:r>
      <w:r>
        <w:rPr>
          <w:rFonts w:hint="eastAsia" w:ascii="宋体" w:hAnsi="宋体"/>
          <w:color w:val="auto"/>
          <w:szCs w:val="21"/>
          <w:highlight w:val="none"/>
          <w:lang w:val="zh-CN"/>
        </w:rPr>
        <w:t>中标供应商确定后，将</w:t>
      </w:r>
      <w:r>
        <w:rPr>
          <w:rFonts w:hint="eastAsia" w:ascii="宋体" w:hAnsi="宋体"/>
          <w:color w:val="auto"/>
          <w:szCs w:val="21"/>
          <w:highlight w:val="none"/>
        </w:rPr>
        <w:t>在财政部门指定的政府采购信息发布媒体上公告</w:t>
      </w:r>
      <w:r>
        <w:rPr>
          <w:rFonts w:hint="eastAsia" w:ascii="宋体" w:hAnsi="宋体"/>
          <w:color w:val="auto"/>
          <w:szCs w:val="21"/>
          <w:highlight w:val="none"/>
          <w:lang w:val="zh-CN"/>
        </w:rPr>
        <w:t>，中标供应商及时到</w:t>
      </w:r>
      <w:r>
        <w:rPr>
          <w:rFonts w:hint="eastAsia" w:ascii="宋体" w:hAnsi="宋体"/>
          <w:color w:val="auto"/>
          <w:szCs w:val="21"/>
          <w:highlight w:val="none"/>
        </w:rPr>
        <w:t>代理机构</w:t>
      </w:r>
      <w:r>
        <w:rPr>
          <w:rFonts w:ascii="宋体" w:hAnsi="宋体"/>
          <w:color w:val="auto"/>
          <w:szCs w:val="21"/>
          <w:highlight w:val="none"/>
        </w:rPr>
        <w:t>领取《中标通知书》</w:t>
      </w:r>
      <w:r>
        <w:rPr>
          <w:rFonts w:hint="eastAsia" w:ascii="宋体" w:hAnsi="宋体"/>
          <w:color w:val="auto"/>
          <w:szCs w:val="21"/>
          <w:highlight w:val="none"/>
          <w:lang w:val="zh-CN"/>
        </w:rPr>
        <w:t>。</w:t>
      </w:r>
    </w:p>
    <w:p w14:paraId="2E3CE6A1">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7.</w:t>
      </w:r>
      <w:r>
        <w:rPr>
          <w:rFonts w:hint="eastAsia" w:ascii="宋体" w:hAnsi="宋体"/>
          <w:color w:val="auto"/>
          <w:szCs w:val="21"/>
          <w:highlight w:val="none"/>
          <w:lang w:val="zh-CN"/>
        </w:rPr>
        <w:t>3</w:t>
      </w:r>
      <w:r>
        <w:rPr>
          <w:rFonts w:ascii="宋体" w:hAnsi="宋体"/>
          <w:color w:val="auto"/>
          <w:szCs w:val="21"/>
          <w:highlight w:val="none"/>
          <w:lang w:val="zh-CN"/>
        </w:rPr>
        <w:t xml:space="preserve"> </w:t>
      </w:r>
      <w:r>
        <w:rPr>
          <w:rFonts w:hint="eastAsia" w:ascii="宋体" w:hAnsi="宋体"/>
          <w:color w:val="auto"/>
          <w:szCs w:val="21"/>
          <w:highlight w:val="none"/>
          <w:lang w:val="zh-CN"/>
        </w:rPr>
        <w:t>中标通知书对采购人和中标供应商具有同等法律效力。</w:t>
      </w:r>
    </w:p>
    <w:p w14:paraId="68CFAAB2">
      <w:pPr>
        <w:spacing w:line="360" w:lineRule="auto"/>
        <w:ind w:firstLine="420"/>
        <w:rPr>
          <w:rFonts w:ascii="宋体" w:hAnsi="宋体"/>
          <w:color w:val="auto"/>
          <w:szCs w:val="21"/>
          <w:highlight w:val="none"/>
          <w:lang w:val="zh-CN"/>
        </w:rPr>
      </w:pPr>
      <w:r>
        <w:rPr>
          <w:rFonts w:hint="eastAsia" w:ascii="宋体" w:hAnsi="宋体"/>
          <w:color w:val="auto"/>
          <w:szCs w:val="21"/>
          <w:highlight w:val="none"/>
        </w:rPr>
        <w:t>1</w:t>
      </w:r>
      <w:r>
        <w:rPr>
          <w:rFonts w:ascii="宋体" w:hAnsi="宋体"/>
          <w:color w:val="auto"/>
          <w:szCs w:val="21"/>
          <w:highlight w:val="none"/>
        </w:rPr>
        <w:t>7.</w:t>
      </w:r>
      <w:r>
        <w:rPr>
          <w:rFonts w:hint="eastAsia" w:ascii="宋体" w:hAnsi="宋体"/>
          <w:color w:val="auto"/>
          <w:szCs w:val="21"/>
          <w:highlight w:val="none"/>
        </w:rPr>
        <w:t>4</w:t>
      </w:r>
      <w:r>
        <w:rPr>
          <w:rFonts w:ascii="宋体" w:hAnsi="宋体"/>
          <w:color w:val="auto"/>
          <w:szCs w:val="21"/>
          <w:highlight w:val="none"/>
        </w:rPr>
        <w:t xml:space="preserve"> 代理机构对未</w:t>
      </w:r>
      <w:r>
        <w:rPr>
          <w:rFonts w:hint="eastAsia" w:ascii="宋体" w:hAnsi="宋体"/>
          <w:color w:val="auto"/>
          <w:szCs w:val="21"/>
          <w:highlight w:val="none"/>
        </w:rPr>
        <w:t>成交</w:t>
      </w:r>
      <w:r>
        <w:rPr>
          <w:rFonts w:ascii="宋体" w:hAnsi="宋体"/>
          <w:color w:val="auto"/>
          <w:szCs w:val="21"/>
          <w:highlight w:val="none"/>
        </w:rPr>
        <w:t>的</w:t>
      </w:r>
      <w:r>
        <w:rPr>
          <w:rFonts w:hint="eastAsia" w:ascii="宋体" w:hAnsi="宋体"/>
          <w:color w:val="auto"/>
          <w:szCs w:val="21"/>
          <w:highlight w:val="none"/>
        </w:rPr>
        <w:t>投标人</w:t>
      </w:r>
      <w:r>
        <w:rPr>
          <w:rFonts w:ascii="宋体" w:hAnsi="宋体"/>
          <w:color w:val="auto"/>
          <w:szCs w:val="21"/>
          <w:highlight w:val="none"/>
        </w:rPr>
        <w:t>不作未</w:t>
      </w:r>
      <w:r>
        <w:rPr>
          <w:rFonts w:hint="eastAsia" w:ascii="宋体" w:hAnsi="宋体"/>
          <w:color w:val="auto"/>
          <w:szCs w:val="21"/>
          <w:highlight w:val="none"/>
        </w:rPr>
        <w:t>成交</w:t>
      </w:r>
      <w:r>
        <w:rPr>
          <w:rFonts w:ascii="宋体" w:hAnsi="宋体"/>
          <w:color w:val="auto"/>
          <w:szCs w:val="21"/>
          <w:highlight w:val="none"/>
        </w:rPr>
        <w:t>原因的解释。</w:t>
      </w:r>
    </w:p>
    <w:p w14:paraId="4F14DEB1">
      <w:pPr>
        <w:spacing w:line="360" w:lineRule="auto"/>
        <w:ind w:firstLine="420"/>
        <w:rPr>
          <w:rFonts w:ascii="宋体" w:hAnsi="宋体"/>
          <w:color w:val="auto"/>
          <w:szCs w:val="21"/>
          <w:highlight w:val="none"/>
          <w:lang w:val="zh-CN"/>
        </w:rPr>
      </w:pPr>
      <w:r>
        <w:rPr>
          <w:rFonts w:hint="eastAsia" w:ascii="宋体" w:hAnsi="宋体"/>
          <w:color w:val="auto"/>
          <w:szCs w:val="21"/>
          <w:highlight w:val="none"/>
        </w:rPr>
        <w:t>1</w:t>
      </w:r>
      <w:r>
        <w:rPr>
          <w:rFonts w:ascii="宋体" w:hAnsi="宋体"/>
          <w:color w:val="auto"/>
          <w:szCs w:val="21"/>
          <w:highlight w:val="none"/>
        </w:rPr>
        <w:t>7.</w:t>
      </w:r>
      <w:r>
        <w:rPr>
          <w:rFonts w:hint="eastAsia" w:ascii="宋体" w:hAnsi="宋体"/>
          <w:color w:val="auto"/>
          <w:szCs w:val="21"/>
          <w:highlight w:val="none"/>
        </w:rPr>
        <w:t>5</w:t>
      </w:r>
      <w:r>
        <w:rPr>
          <w:rFonts w:ascii="宋体" w:hAnsi="宋体"/>
          <w:color w:val="auto"/>
          <w:szCs w:val="21"/>
          <w:highlight w:val="none"/>
        </w:rPr>
        <w:t xml:space="preserve"> 所有</w:t>
      </w:r>
      <w:r>
        <w:rPr>
          <w:rFonts w:hint="eastAsia" w:ascii="宋体" w:hAnsi="宋体"/>
          <w:color w:val="auto"/>
          <w:szCs w:val="21"/>
          <w:highlight w:val="none"/>
        </w:rPr>
        <w:t>投标文件</w:t>
      </w:r>
      <w:r>
        <w:rPr>
          <w:rFonts w:ascii="宋体" w:hAnsi="宋体"/>
          <w:color w:val="auto"/>
          <w:szCs w:val="21"/>
          <w:highlight w:val="none"/>
        </w:rPr>
        <w:t>都将作为档案保存，不论</w:t>
      </w:r>
      <w:r>
        <w:rPr>
          <w:rFonts w:hint="eastAsia" w:ascii="宋体" w:hAnsi="宋体"/>
          <w:color w:val="auto"/>
          <w:szCs w:val="21"/>
          <w:highlight w:val="none"/>
        </w:rPr>
        <w:t>成交</w:t>
      </w:r>
      <w:r>
        <w:rPr>
          <w:rFonts w:ascii="宋体" w:hAnsi="宋体"/>
          <w:color w:val="auto"/>
          <w:szCs w:val="21"/>
          <w:highlight w:val="none"/>
        </w:rPr>
        <w:t>与否，代理机构均不退回。</w:t>
      </w:r>
    </w:p>
    <w:p w14:paraId="0BA90423">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18.</w:t>
      </w:r>
      <w:r>
        <w:rPr>
          <w:rFonts w:ascii="宋体" w:hAnsi="宋体"/>
          <w:color w:val="auto"/>
          <w:szCs w:val="21"/>
          <w:highlight w:val="none"/>
        </w:rPr>
        <w:t>编写</w:t>
      </w:r>
      <w:r>
        <w:rPr>
          <w:rFonts w:hint="eastAsia" w:ascii="宋体" w:hAnsi="宋体"/>
          <w:color w:val="auto"/>
          <w:szCs w:val="21"/>
          <w:highlight w:val="none"/>
        </w:rPr>
        <w:t>评审</w:t>
      </w:r>
      <w:r>
        <w:rPr>
          <w:rFonts w:ascii="宋体" w:hAnsi="宋体"/>
          <w:color w:val="auto"/>
          <w:szCs w:val="21"/>
          <w:highlight w:val="none"/>
        </w:rPr>
        <w:t>报告</w:t>
      </w:r>
    </w:p>
    <w:p w14:paraId="1B133A6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w:t>
      </w:r>
      <w:r>
        <w:rPr>
          <w:rFonts w:hint="eastAsia" w:ascii="宋体" w:hAnsi="宋体"/>
          <w:color w:val="auto"/>
          <w:szCs w:val="21"/>
          <w:highlight w:val="none"/>
        </w:rPr>
        <w:t>.1</w:t>
      </w:r>
      <w:r>
        <w:rPr>
          <w:rFonts w:ascii="宋体" w:hAnsi="宋体"/>
          <w:color w:val="auto"/>
          <w:szCs w:val="21"/>
          <w:highlight w:val="none"/>
        </w:rPr>
        <w:t xml:space="preserve"> </w:t>
      </w:r>
      <w:r>
        <w:rPr>
          <w:rFonts w:hint="eastAsia" w:ascii="宋体" w:hAnsi="宋体"/>
          <w:color w:val="auto"/>
          <w:szCs w:val="21"/>
          <w:highlight w:val="none"/>
        </w:rPr>
        <w:t>评标委员会根据全体评标成员签字的原始评标记录和评标结果编写评审报告。</w:t>
      </w:r>
    </w:p>
    <w:p w14:paraId="250B7507">
      <w:pPr>
        <w:spacing w:line="360" w:lineRule="auto"/>
        <w:ind w:firstLine="420"/>
        <w:rPr>
          <w:rFonts w:ascii="宋体" w:hAnsi="宋体"/>
          <w:bCs/>
          <w:color w:val="auto"/>
          <w:szCs w:val="21"/>
          <w:highlight w:val="none"/>
          <w:lang w:val="zh-CN"/>
        </w:rPr>
      </w:pPr>
      <w:r>
        <w:rPr>
          <w:rFonts w:hint="eastAsia" w:ascii="宋体" w:hAnsi="宋体"/>
          <w:color w:val="auto"/>
          <w:szCs w:val="21"/>
          <w:highlight w:val="none"/>
          <w:lang w:val="zh-CN"/>
        </w:rPr>
        <w:t>19.</w:t>
      </w:r>
      <w:r>
        <w:rPr>
          <w:rFonts w:hint="eastAsia" w:ascii="宋体" w:hAnsi="宋体"/>
          <w:bCs/>
          <w:color w:val="auto"/>
          <w:szCs w:val="21"/>
          <w:highlight w:val="none"/>
          <w:lang w:val="zh-CN"/>
        </w:rPr>
        <w:t>签订合同</w:t>
      </w:r>
    </w:p>
    <w:p w14:paraId="6466989A">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rPr>
        <w:t>1</w:t>
      </w:r>
      <w:r>
        <w:rPr>
          <w:rFonts w:ascii="宋体" w:hAnsi="宋体"/>
          <w:color w:val="auto"/>
          <w:szCs w:val="21"/>
          <w:highlight w:val="none"/>
        </w:rPr>
        <w:t>9</w:t>
      </w:r>
      <w:r>
        <w:rPr>
          <w:rFonts w:ascii="宋体" w:hAnsi="宋体"/>
          <w:color w:val="auto"/>
          <w:szCs w:val="21"/>
          <w:highlight w:val="none"/>
          <w:lang w:val="zh-CN"/>
        </w:rPr>
        <w:t>.</w:t>
      </w:r>
      <w:r>
        <w:rPr>
          <w:rFonts w:hint="eastAsia" w:ascii="宋体" w:hAnsi="宋体"/>
          <w:color w:val="auto"/>
          <w:szCs w:val="21"/>
          <w:highlight w:val="none"/>
        </w:rPr>
        <w:t>1</w:t>
      </w:r>
      <w:r>
        <w:rPr>
          <w:rFonts w:ascii="宋体" w:hAnsi="宋体"/>
          <w:color w:val="auto"/>
          <w:szCs w:val="21"/>
          <w:highlight w:val="none"/>
        </w:rPr>
        <w:t xml:space="preserve"> </w:t>
      </w:r>
      <w:r>
        <w:rPr>
          <w:rFonts w:hint="eastAsia" w:ascii="宋体" w:hAnsi="宋体"/>
          <w:color w:val="auto"/>
          <w:szCs w:val="21"/>
          <w:highlight w:val="none"/>
        </w:rPr>
        <w:t>中标供应商应当</w:t>
      </w:r>
      <w:r>
        <w:rPr>
          <w:rFonts w:hint="eastAsia" w:ascii="宋体" w:hAnsi="宋体"/>
          <w:color w:val="auto"/>
          <w:szCs w:val="21"/>
          <w:highlight w:val="none"/>
          <w:lang w:val="zh-CN"/>
        </w:rPr>
        <w:t>自中标通知书发出之日起三十日内，</w:t>
      </w:r>
      <w:r>
        <w:rPr>
          <w:rFonts w:hint="eastAsia" w:ascii="宋体" w:hAnsi="宋体"/>
          <w:color w:val="auto"/>
          <w:szCs w:val="21"/>
          <w:highlight w:val="none"/>
        </w:rPr>
        <w:t>与采购人签订政府采购合同，所签订的合同不得对招标文件和投标文件作实质性修改。</w:t>
      </w:r>
    </w:p>
    <w:p w14:paraId="0415CDEE">
      <w:pPr>
        <w:spacing w:line="360" w:lineRule="auto"/>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lang w:val="zh-CN"/>
        </w:rPr>
        <w:t>.2</w:t>
      </w:r>
      <w:r>
        <w:rPr>
          <w:rFonts w:ascii="宋体" w:hAnsi="宋体"/>
          <w:color w:val="auto"/>
          <w:szCs w:val="21"/>
          <w:highlight w:val="none"/>
          <w:lang w:val="zh-CN"/>
        </w:rPr>
        <w:t xml:space="preserve"> </w:t>
      </w:r>
      <w:r>
        <w:rPr>
          <w:rFonts w:hint="eastAsia" w:ascii="宋体" w:hAnsi="宋体"/>
          <w:color w:val="auto"/>
          <w:szCs w:val="21"/>
          <w:highlight w:val="none"/>
        </w:rPr>
        <w:t>采购人不得向中标供应商提出任何不合理的要求作为签订合同的条件，不得与中标供应商私下订立背离合同实质性内容的协议。</w:t>
      </w:r>
    </w:p>
    <w:p w14:paraId="0BDFB7E6">
      <w:pPr>
        <w:spacing w:line="360" w:lineRule="auto"/>
        <w:ind w:firstLine="420"/>
        <w:rPr>
          <w:rFonts w:ascii="宋体" w:hAnsi="宋体"/>
          <w:color w:val="auto"/>
          <w:szCs w:val="21"/>
          <w:highlight w:val="none"/>
        </w:rPr>
      </w:pPr>
      <w:r>
        <w:rPr>
          <w:rFonts w:hint="eastAsia" w:ascii="宋体" w:hAnsi="宋体"/>
          <w:color w:val="auto"/>
          <w:szCs w:val="21"/>
          <w:highlight w:val="none"/>
          <w:lang w:val="zh-CN"/>
        </w:rPr>
        <w:t>1</w:t>
      </w:r>
      <w:r>
        <w:rPr>
          <w:rFonts w:ascii="宋体" w:hAnsi="宋体"/>
          <w:color w:val="auto"/>
          <w:szCs w:val="21"/>
          <w:highlight w:val="none"/>
          <w:lang w:val="zh-CN"/>
        </w:rPr>
        <w:t>9.</w:t>
      </w:r>
      <w:r>
        <w:rPr>
          <w:rFonts w:hint="eastAsia" w:ascii="宋体" w:hAnsi="宋体"/>
          <w:color w:val="auto"/>
          <w:szCs w:val="21"/>
          <w:highlight w:val="none"/>
          <w:lang w:val="zh-CN"/>
        </w:rPr>
        <w:t>3</w:t>
      </w:r>
      <w:r>
        <w:rPr>
          <w:rFonts w:ascii="宋体" w:hAnsi="宋体"/>
          <w:color w:val="auto"/>
          <w:szCs w:val="21"/>
          <w:highlight w:val="none"/>
          <w:lang w:val="zh-CN"/>
        </w:rPr>
        <w:t xml:space="preserve"> </w:t>
      </w:r>
      <w:r>
        <w:rPr>
          <w:rFonts w:hint="eastAsia" w:ascii="宋体" w:hAnsi="宋体"/>
          <w:color w:val="auto"/>
          <w:szCs w:val="21"/>
          <w:highlight w:val="none"/>
        </w:rPr>
        <w:t>除不可抗力等因素外，</w:t>
      </w:r>
      <w:r>
        <w:rPr>
          <w:rFonts w:hint="eastAsia" w:ascii="宋体" w:hAnsi="宋体"/>
          <w:color w:val="auto"/>
          <w:szCs w:val="21"/>
          <w:highlight w:val="none"/>
          <w:lang w:val="zh-CN"/>
        </w:rPr>
        <w:t>中标通知书发出后，采购人改变中标结果，或者中标供应商拒绝签订政府采购合同的，应当承担相应的法律责任。</w:t>
      </w:r>
    </w:p>
    <w:p w14:paraId="7A7C73F7">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zh-CN"/>
        </w:rPr>
        <w:t>1</w:t>
      </w:r>
      <w:r>
        <w:rPr>
          <w:rFonts w:ascii="宋体" w:hAnsi="宋体"/>
          <w:color w:val="auto"/>
          <w:szCs w:val="21"/>
          <w:highlight w:val="none"/>
          <w:lang w:val="zh-CN"/>
        </w:rPr>
        <w:t xml:space="preserve">9.4 </w:t>
      </w:r>
      <w:r>
        <w:rPr>
          <w:rFonts w:hint="eastAsia" w:ascii="宋体" w:hAnsi="宋体"/>
          <w:color w:val="auto"/>
          <w:szCs w:val="21"/>
          <w:highlight w:val="none"/>
          <w:lang w:val="zh-CN"/>
        </w:rPr>
        <w:t>中标供应商拒绝与采购人签订合同，或因不可抗力或者自身原因不能履行政府采购合同的，采购人可以按照评审报告推荐的中标候选人名单排序，确定下一候选人为中标供应商，也可以重新开展政府采购活动。评审报告未推荐中标候选人的，应重新开展政府采购活动。</w:t>
      </w:r>
    </w:p>
    <w:p w14:paraId="56C26FA8">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9</w:t>
      </w:r>
      <w:r>
        <w:rPr>
          <w:rFonts w:hint="eastAsia" w:ascii="宋体" w:hAnsi="宋体"/>
          <w:color w:val="auto"/>
          <w:szCs w:val="21"/>
          <w:highlight w:val="none"/>
          <w:lang w:val="zh-CN"/>
        </w:rPr>
        <w:t>.</w:t>
      </w:r>
      <w:r>
        <w:rPr>
          <w:rFonts w:ascii="宋体" w:hAnsi="宋体"/>
          <w:color w:val="auto"/>
          <w:szCs w:val="21"/>
          <w:highlight w:val="none"/>
          <w:lang w:val="zh-CN"/>
        </w:rPr>
        <w:t xml:space="preserve">5 </w:t>
      </w:r>
      <w:r>
        <w:rPr>
          <w:rFonts w:hint="eastAsia" w:ascii="宋体" w:hAnsi="宋体"/>
          <w:color w:val="auto"/>
          <w:szCs w:val="21"/>
          <w:highlight w:val="none"/>
          <w:lang w:val="zh-CN"/>
        </w:rPr>
        <w:t>政府采购合同履行中，采购人需追加与合同标的相同的服务的，在不改变合同其他条款的前提下，可以与投标人协商签订补充合同，但所有补充合同的采购金额不得超过原合同采购金额的10%。</w:t>
      </w:r>
    </w:p>
    <w:p w14:paraId="60371B4E">
      <w:pPr>
        <w:spacing w:line="360" w:lineRule="auto"/>
        <w:ind w:firstLine="420"/>
        <w:outlineLvl w:val="0"/>
        <w:rPr>
          <w:rFonts w:ascii="宋体" w:hAnsi="宋体"/>
          <w:b/>
          <w:color w:val="auto"/>
          <w:szCs w:val="21"/>
          <w:highlight w:val="none"/>
          <w:lang w:val="zh-CN"/>
        </w:rPr>
      </w:pPr>
      <w:bookmarkStart w:id="63" w:name="_Toc55479010"/>
      <w:r>
        <w:rPr>
          <w:rFonts w:hint="eastAsia" w:ascii="宋体" w:hAnsi="宋体"/>
          <w:b/>
          <w:color w:val="auto"/>
          <w:szCs w:val="21"/>
          <w:highlight w:val="none"/>
          <w:lang w:val="zh-CN"/>
        </w:rPr>
        <w:t>五、询问、质疑、投诉和诚实信用</w:t>
      </w:r>
      <w:bookmarkEnd w:id="63"/>
    </w:p>
    <w:p w14:paraId="3185724B">
      <w:pPr>
        <w:spacing w:line="360" w:lineRule="auto"/>
        <w:ind w:firstLine="420"/>
        <w:rPr>
          <w:rFonts w:ascii="宋体" w:hAnsi="宋体"/>
          <w:bCs/>
          <w:color w:val="auto"/>
          <w:szCs w:val="21"/>
          <w:highlight w:val="none"/>
          <w:lang w:val="zh-CN"/>
        </w:rPr>
      </w:pPr>
      <w:r>
        <w:rPr>
          <w:rFonts w:hint="eastAsia" w:ascii="宋体" w:hAnsi="宋体"/>
          <w:bCs/>
          <w:color w:val="auto"/>
          <w:szCs w:val="21"/>
          <w:highlight w:val="none"/>
          <w:lang w:val="zh-CN"/>
        </w:rPr>
        <w:t>20.询问</w:t>
      </w:r>
    </w:p>
    <w:p w14:paraId="20D986FC">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 xml:space="preserve">20.1 </w:t>
      </w:r>
      <w:r>
        <w:rPr>
          <w:rFonts w:hint="eastAsia" w:ascii="宋体" w:hAnsi="宋体"/>
          <w:color w:val="auto"/>
          <w:szCs w:val="21"/>
          <w:highlight w:val="none"/>
          <w:lang w:val="zh-CN"/>
        </w:rPr>
        <w:t>投标人对采购活动事项有疑问的，可以向代理机构提出询问，代理机构将在两个工作日内作出答复，但答复的内容不涉及商业秘密。</w:t>
      </w:r>
    </w:p>
    <w:p w14:paraId="5AC44002">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21.质疑</w:t>
      </w:r>
    </w:p>
    <w:p w14:paraId="668EE59C">
      <w:pPr>
        <w:spacing w:line="360" w:lineRule="auto"/>
        <w:ind w:firstLine="420"/>
        <w:rPr>
          <w:rFonts w:ascii="宋体" w:hAnsi="宋体"/>
          <w:color w:val="auto"/>
          <w:szCs w:val="21"/>
          <w:highlight w:val="none"/>
          <w:lang w:val="zh-CN"/>
        </w:rPr>
      </w:pPr>
      <w:r>
        <w:rPr>
          <w:rFonts w:ascii="宋体" w:hAnsi="宋体"/>
          <w:color w:val="auto"/>
          <w:szCs w:val="21"/>
          <w:highlight w:val="none"/>
          <w:lang w:val="zh-CN"/>
        </w:rPr>
        <w:t>21.</w:t>
      </w:r>
      <w:r>
        <w:rPr>
          <w:rFonts w:hint="eastAsia" w:ascii="宋体" w:hAnsi="宋体"/>
          <w:color w:val="auto"/>
          <w:szCs w:val="21"/>
          <w:highlight w:val="none"/>
          <w:lang w:val="zh-CN"/>
        </w:rPr>
        <w:t>1</w:t>
      </w:r>
      <w:r>
        <w:rPr>
          <w:rFonts w:ascii="宋体" w:hAnsi="宋体"/>
          <w:color w:val="auto"/>
          <w:szCs w:val="21"/>
          <w:highlight w:val="none"/>
          <w:lang w:val="zh-CN"/>
        </w:rPr>
        <w:t xml:space="preserve"> </w:t>
      </w:r>
      <w:r>
        <w:rPr>
          <w:rFonts w:hint="eastAsia" w:ascii="宋体" w:hAnsi="宋体"/>
          <w:color w:val="auto"/>
          <w:szCs w:val="21"/>
          <w:highlight w:val="none"/>
          <w:lang w:val="zh-CN"/>
        </w:rPr>
        <w:t>投标人认为招标文件、招标过程和中标结果使自己的合法权益受到损害的，可以在知道或者应当知道其权益受到损害之日起七个工作日内，将质疑文件原件送达南京越鑫项目管理咨询有限公司。</w:t>
      </w:r>
    </w:p>
    <w:p w14:paraId="694444A7">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 xml:space="preserve">1.2 </w:t>
      </w:r>
      <w:r>
        <w:rPr>
          <w:rFonts w:hint="eastAsia" w:ascii="宋体" w:hAnsi="宋体"/>
          <w:color w:val="auto"/>
          <w:szCs w:val="21"/>
          <w:highlight w:val="none"/>
          <w:lang w:val="zh-CN"/>
        </w:rPr>
        <w:t>质疑投标人的质疑行为应符合财政部94号令相关规定，未参加采购活动的投标人或在采购活动中自身权益未受到损害的投标人所提出的质疑不予受理。</w:t>
      </w:r>
    </w:p>
    <w:p w14:paraId="3DF477B3">
      <w:pPr>
        <w:spacing w:line="360" w:lineRule="auto"/>
        <w:ind w:firstLine="420"/>
        <w:rPr>
          <w:rFonts w:hint="eastAsia" w:ascii="宋体" w:hAnsi="宋体" w:cs="Tahoma"/>
          <w:color w:val="auto"/>
          <w:szCs w:val="21"/>
          <w:highlight w:val="none"/>
        </w:rPr>
      </w:pPr>
      <w:r>
        <w:rPr>
          <w:rFonts w:ascii="宋体" w:hAnsi="宋体"/>
          <w:color w:val="auto"/>
          <w:szCs w:val="21"/>
          <w:highlight w:val="none"/>
          <w:lang w:val="zh-CN"/>
        </w:rPr>
        <w:t>21</w:t>
      </w:r>
      <w:r>
        <w:rPr>
          <w:rFonts w:hint="eastAsia" w:ascii="宋体" w:hAnsi="宋体"/>
          <w:color w:val="auto"/>
          <w:szCs w:val="21"/>
          <w:highlight w:val="none"/>
          <w:lang w:val="zh-CN"/>
        </w:rPr>
        <w:t>.</w:t>
      </w:r>
      <w:r>
        <w:rPr>
          <w:rFonts w:ascii="宋体" w:hAnsi="宋体"/>
          <w:color w:val="auto"/>
          <w:szCs w:val="21"/>
          <w:highlight w:val="none"/>
          <w:lang w:val="zh-CN"/>
        </w:rPr>
        <w:t xml:space="preserve">3 </w:t>
      </w:r>
      <w:r>
        <w:rPr>
          <w:rFonts w:hint="eastAsia" w:ascii="宋体" w:hAnsi="宋体"/>
          <w:color w:val="auto"/>
          <w:szCs w:val="21"/>
          <w:highlight w:val="none"/>
          <w:lang w:val="zh-CN"/>
        </w:rPr>
        <w:t>质疑文件应包括以下主要内容，并</w:t>
      </w:r>
      <w:r>
        <w:rPr>
          <w:rFonts w:hint="eastAsia" w:ascii="宋体" w:hAnsi="宋体"/>
          <w:color w:val="auto"/>
          <w:szCs w:val="21"/>
          <w:highlight w:val="none"/>
        </w:rPr>
        <w:t>按照</w:t>
      </w:r>
      <w:r>
        <w:rPr>
          <w:rFonts w:ascii="宋体" w:hAnsi="宋体"/>
          <w:color w:val="auto"/>
          <w:szCs w:val="21"/>
          <w:highlight w:val="none"/>
        </w:rPr>
        <w:t>“</w:t>
      </w:r>
      <w:r>
        <w:rPr>
          <w:rFonts w:hint="eastAsia" w:ascii="宋体" w:hAnsi="宋体"/>
          <w:color w:val="auto"/>
          <w:szCs w:val="21"/>
          <w:highlight w:val="none"/>
        </w:rPr>
        <w:t>谁主张、谁举证</w:t>
      </w:r>
      <w:r>
        <w:rPr>
          <w:rFonts w:ascii="宋体" w:hAnsi="宋体"/>
          <w:color w:val="auto"/>
          <w:szCs w:val="21"/>
          <w:highlight w:val="none"/>
        </w:rPr>
        <w:t>”</w:t>
      </w:r>
      <w:r>
        <w:rPr>
          <w:rFonts w:hint="eastAsia" w:ascii="宋体" w:hAnsi="宋体"/>
          <w:color w:val="auto"/>
          <w:szCs w:val="21"/>
          <w:highlight w:val="none"/>
        </w:rPr>
        <w:t>的原则，附上相关证明材料。否则，代理机构不予受理：</w:t>
      </w:r>
      <w:r>
        <w:rPr>
          <w:rFonts w:hint="eastAsia" w:ascii="宋体" w:hAnsi="宋体" w:cs="Tahoma"/>
          <w:color w:val="auto"/>
          <w:szCs w:val="21"/>
          <w:highlight w:val="none"/>
        </w:rPr>
        <w:t>　　　　　　　</w:t>
      </w:r>
    </w:p>
    <w:p w14:paraId="7F2C1377">
      <w:pPr>
        <w:spacing w:line="360" w:lineRule="auto"/>
        <w:ind w:left="420"/>
        <w:rPr>
          <w:rFonts w:hint="eastAsia" w:ascii="宋体" w:hAnsi="宋体"/>
          <w:color w:val="auto"/>
          <w:szCs w:val="21"/>
          <w:highlight w:val="none"/>
          <w:lang w:val="zh-CN"/>
        </w:rPr>
      </w:pPr>
      <w:r>
        <w:rPr>
          <w:rFonts w:hint="eastAsia" w:ascii="宋体" w:hAnsi="宋体"/>
          <w:color w:val="auto"/>
          <w:szCs w:val="21"/>
          <w:highlight w:val="none"/>
        </w:rPr>
        <w:t>（1）质疑项目名称、项目编号、包号、招标公告发布时间、开标时间；</w:t>
      </w:r>
    </w:p>
    <w:p w14:paraId="030C7C82">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（2）提起质疑的日期、具体的质疑事项及事实根据（具体条款）；</w:t>
      </w:r>
    </w:p>
    <w:p w14:paraId="00CAF01A">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（3）认为自己合法权益受到损害或可能受到损害的相关证据材料。</w:t>
      </w:r>
    </w:p>
    <w:p w14:paraId="61C5AEDE">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（4）质疑投标人名称、地址、邮编、联系人、联系电话</w:t>
      </w:r>
      <w:r>
        <w:rPr>
          <w:rFonts w:hint="eastAsia" w:ascii="宋体" w:hAnsi="宋体"/>
          <w:color w:val="auto"/>
          <w:szCs w:val="21"/>
          <w:highlight w:val="none"/>
        </w:rPr>
        <w:t>（包括座机、手机、传真号码等）</w:t>
      </w:r>
      <w:r>
        <w:rPr>
          <w:rFonts w:hint="eastAsia" w:ascii="宋体" w:hAnsi="宋体"/>
          <w:color w:val="auto"/>
          <w:szCs w:val="21"/>
          <w:highlight w:val="none"/>
          <w:lang w:val="zh-CN"/>
        </w:rPr>
        <w:t>；</w:t>
      </w:r>
    </w:p>
    <w:p w14:paraId="16B46DEE">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（5）质疑文件应当署名，质疑人为自然人的，应当由本人签字并附有效身份证明；质疑人为法人或其他组织的，应当由法定代表人签字并加盖单位公章。</w:t>
      </w:r>
    </w:p>
    <w:p w14:paraId="69B4A327">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zh-CN"/>
        </w:rPr>
        <w:t>（6）投标人委托代理质疑的，应当提交授权委托书，并载明委托代理的具体权限和事项。</w:t>
      </w:r>
    </w:p>
    <w:p w14:paraId="340DAA1C">
      <w:pPr>
        <w:spacing w:line="360" w:lineRule="auto"/>
        <w:ind w:firstLine="420"/>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lang w:val="zh-CN"/>
        </w:rPr>
        <w:t>.</w:t>
      </w:r>
      <w:r>
        <w:rPr>
          <w:rFonts w:ascii="宋体" w:hAnsi="宋体"/>
          <w:color w:val="auto"/>
          <w:szCs w:val="21"/>
          <w:highlight w:val="none"/>
          <w:lang w:val="zh-CN"/>
        </w:rPr>
        <w:t xml:space="preserve">4 </w:t>
      </w:r>
      <w:r>
        <w:rPr>
          <w:rFonts w:hint="eastAsia" w:ascii="宋体" w:hAnsi="宋体"/>
          <w:color w:val="auto"/>
          <w:szCs w:val="21"/>
          <w:highlight w:val="none"/>
          <w:lang w:val="zh-CN"/>
        </w:rPr>
        <w:t>质疑</w:t>
      </w:r>
      <w:r>
        <w:rPr>
          <w:rFonts w:hint="eastAsia" w:ascii="宋体" w:hAnsi="宋体"/>
          <w:color w:val="auto"/>
          <w:szCs w:val="21"/>
          <w:highlight w:val="none"/>
        </w:rPr>
        <w:t>投标人是指直接参加本项目招标活动的投标人；对招标文件提出质疑的，应自投标人获得招标文件之日起计算；对招标过程提出质疑的，自招标程序环节结束之日起计算；对中标结果提出质疑的，自中标</w:t>
      </w:r>
      <w:r>
        <w:rPr>
          <w:rFonts w:ascii="宋体" w:hAnsi="宋体"/>
          <w:color w:val="auto"/>
          <w:szCs w:val="21"/>
          <w:highlight w:val="none"/>
          <w:lang w:val="zh-CN"/>
        </w:rPr>
        <w:t>结果公告期限届满之日起计算。</w:t>
      </w:r>
    </w:p>
    <w:p w14:paraId="5A518FFE">
      <w:pPr>
        <w:spacing w:line="360" w:lineRule="auto"/>
        <w:ind w:firstLine="420"/>
        <w:rPr>
          <w:rFonts w:ascii="宋体" w:hAnsi="宋体"/>
          <w:color w:val="auto"/>
          <w:szCs w:val="21"/>
          <w:highlight w:val="none"/>
          <w:lang w:val="zh-CN"/>
        </w:rPr>
      </w:pPr>
      <w:r>
        <w:rPr>
          <w:rFonts w:ascii="宋体" w:hAnsi="宋体"/>
          <w:color w:val="auto"/>
          <w:szCs w:val="21"/>
          <w:highlight w:val="none"/>
        </w:rPr>
        <w:t>21</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lang w:val="zh-CN"/>
        </w:rPr>
        <w:t>代理机构</w:t>
      </w:r>
      <w:r>
        <w:rPr>
          <w:rFonts w:hint="eastAsia" w:ascii="宋体" w:hAnsi="宋体"/>
          <w:color w:val="auto"/>
          <w:szCs w:val="21"/>
          <w:highlight w:val="none"/>
        </w:rPr>
        <w:t>在收到投标人的书面质疑后将及时组织调查核实，在</w:t>
      </w:r>
      <w:r>
        <w:rPr>
          <w:rFonts w:hint="eastAsia" w:ascii="宋体" w:hAnsi="宋体"/>
          <w:bCs/>
          <w:color w:val="auto"/>
          <w:szCs w:val="21"/>
          <w:highlight w:val="none"/>
          <w:lang w:val="zh-CN"/>
        </w:rPr>
        <w:t>七个工作日内</w:t>
      </w:r>
      <w:r>
        <w:rPr>
          <w:rFonts w:hint="eastAsia" w:ascii="宋体" w:hAnsi="宋体"/>
          <w:color w:val="auto"/>
          <w:szCs w:val="21"/>
          <w:highlight w:val="none"/>
          <w:lang w:val="zh-CN"/>
        </w:rPr>
        <w:t>作出答复，并以书面通知质疑投标人和其他有关投标人，答复的内容不涉及商业秘密。代理机构</w:t>
      </w:r>
      <w:r>
        <w:rPr>
          <w:rFonts w:hint="eastAsia" w:ascii="宋体" w:hAnsi="宋体"/>
          <w:color w:val="auto"/>
          <w:szCs w:val="21"/>
          <w:highlight w:val="none"/>
        </w:rPr>
        <w:t>遵循“谁</w:t>
      </w:r>
      <w:r>
        <w:rPr>
          <w:rFonts w:ascii="宋体" w:hAnsi="宋体"/>
          <w:color w:val="auto"/>
          <w:szCs w:val="21"/>
          <w:highlight w:val="none"/>
        </w:rPr>
        <w:t>过错</w:t>
      </w:r>
      <w:r>
        <w:rPr>
          <w:rFonts w:hint="eastAsia" w:ascii="宋体" w:hAnsi="宋体"/>
          <w:color w:val="auto"/>
          <w:szCs w:val="21"/>
          <w:highlight w:val="none"/>
        </w:rPr>
        <w:t>谁负担”的</w:t>
      </w:r>
      <w:r>
        <w:rPr>
          <w:rFonts w:ascii="宋体" w:hAnsi="宋体"/>
          <w:color w:val="auto"/>
          <w:szCs w:val="21"/>
          <w:highlight w:val="none"/>
        </w:rPr>
        <w:t>原则</w:t>
      </w:r>
      <w:r>
        <w:rPr>
          <w:rFonts w:hint="eastAsia" w:ascii="宋体" w:hAnsi="宋体"/>
          <w:color w:val="auto"/>
          <w:szCs w:val="21"/>
          <w:highlight w:val="none"/>
        </w:rPr>
        <w:t>，有过错的一方承担调查论证费用</w:t>
      </w:r>
      <w:r>
        <w:rPr>
          <w:rFonts w:hint="eastAsia" w:ascii="宋体" w:hAnsi="宋体"/>
          <w:color w:val="auto"/>
          <w:szCs w:val="21"/>
          <w:highlight w:val="none"/>
          <w:lang w:val="zh-CN"/>
        </w:rPr>
        <w:t>。</w:t>
      </w:r>
      <w:r>
        <w:rPr>
          <w:rFonts w:ascii="宋体" w:hAnsi="宋体"/>
          <w:color w:val="auto"/>
          <w:szCs w:val="21"/>
          <w:highlight w:val="none"/>
          <w:lang w:val="zh-CN"/>
        </w:rPr>
        <w:t>违规质疑或多次质疑不成立的，将被列入不良行为记录。</w:t>
      </w:r>
    </w:p>
    <w:p w14:paraId="3BF64798">
      <w:pPr>
        <w:spacing w:line="360" w:lineRule="auto"/>
        <w:ind w:firstLine="420"/>
        <w:rPr>
          <w:rFonts w:hint="eastAsia" w:ascii="宋体" w:hAnsi="宋体"/>
          <w:color w:val="auto"/>
          <w:szCs w:val="21"/>
          <w:highlight w:val="none"/>
          <w:lang w:val="zh-CN"/>
        </w:rPr>
      </w:pPr>
      <w:r>
        <w:rPr>
          <w:rFonts w:hint="eastAsia" w:ascii="宋体" w:hAnsi="宋体"/>
          <w:bCs/>
          <w:color w:val="auto"/>
          <w:szCs w:val="21"/>
          <w:highlight w:val="none"/>
          <w:lang w:val="zh-CN"/>
        </w:rPr>
        <w:t>22.投诉</w:t>
      </w:r>
    </w:p>
    <w:p w14:paraId="5AC530F8">
      <w:pPr>
        <w:spacing w:line="360" w:lineRule="auto"/>
        <w:ind w:firstLine="420"/>
        <w:rPr>
          <w:rFonts w:hint="eastAsia" w:ascii="宋体" w:hAnsi="宋体"/>
          <w:color w:val="auto"/>
          <w:szCs w:val="21"/>
          <w:highlight w:val="none"/>
          <w:lang w:val="zh-CN"/>
        </w:rPr>
      </w:pPr>
      <w:r>
        <w:rPr>
          <w:rFonts w:ascii="宋体" w:hAnsi="宋体"/>
          <w:color w:val="auto"/>
          <w:szCs w:val="21"/>
          <w:highlight w:val="none"/>
          <w:lang w:val="zh-CN"/>
        </w:rPr>
        <w:t>22</w:t>
      </w:r>
      <w:r>
        <w:rPr>
          <w:rFonts w:hint="eastAsia" w:ascii="宋体" w:hAnsi="宋体"/>
          <w:color w:val="auto"/>
          <w:szCs w:val="21"/>
          <w:highlight w:val="none"/>
          <w:lang w:val="zh-CN"/>
        </w:rPr>
        <w:t>.1质疑投标人对代理机构的答复不满意，或代理机构未在规定的时间内作出答复的，可以在答复期满后</w:t>
      </w:r>
      <w:r>
        <w:rPr>
          <w:rFonts w:hint="eastAsia" w:ascii="宋体" w:hAnsi="宋体"/>
          <w:bCs/>
          <w:color w:val="auto"/>
          <w:szCs w:val="21"/>
          <w:highlight w:val="none"/>
          <w:lang w:val="zh-CN"/>
        </w:rPr>
        <w:t>十五个工作日内</w:t>
      </w:r>
      <w:r>
        <w:rPr>
          <w:rFonts w:hint="eastAsia" w:ascii="宋体" w:hAnsi="宋体"/>
          <w:color w:val="auto"/>
          <w:szCs w:val="21"/>
          <w:highlight w:val="none"/>
          <w:lang w:val="zh-CN"/>
        </w:rPr>
        <w:t>向采购项目同级财政部门投诉。</w:t>
      </w:r>
    </w:p>
    <w:p w14:paraId="6CBCA4DD">
      <w:pPr>
        <w:spacing w:line="360" w:lineRule="auto"/>
        <w:ind w:firstLine="420"/>
        <w:rPr>
          <w:rFonts w:ascii="宋体" w:hAnsi="宋体"/>
          <w:bCs/>
          <w:color w:val="auto"/>
          <w:szCs w:val="21"/>
          <w:highlight w:val="none"/>
          <w:lang w:val="zh-CN"/>
        </w:rPr>
      </w:pPr>
      <w:r>
        <w:rPr>
          <w:rFonts w:hint="eastAsia" w:ascii="宋体" w:hAnsi="宋体"/>
          <w:bCs/>
          <w:color w:val="auto"/>
          <w:szCs w:val="21"/>
          <w:highlight w:val="none"/>
          <w:lang w:val="zh-CN"/>
        </w:rPr>
        <w:t>23.诚实信用</w:t>
      </w:r>
    </w:p>
    <w:p w14:paraId="250DD011">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3.1</w:t>
      </w:r>
      <w:r>
        <w:rPr>
          <w:rFonts w:hint="eastAsia" w:ascii="宋体" w:hAnsi="宋体"/>
          <w:color w:val="auto"/>
          <w:szCs w:val="21"/>
          <w:highlight w:val="none"/>
          <w:lang w:val="zh-CN"/>
        </w:rPr>
        <w:t>投标人之间不得相互串通报价，不得妨碍其他投标人的公平竞争，不得损害采购人和其他投标人的合法权益。</w:t>
      </w:r>
    </w:p>
    <w:p w14:paraId="10BB675A">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3</w:t>
      </w:r>
      <w:r>
        <w:rPr>
          <w:rFonts w:hint="eastAsia" w:ascii="宋体" w:hAnsi="宋体"/>
          <w:color w:val="auto"/>
          <w:szCs w:val="21"/>
          <w:highlight w:val="none"/>
          <w:lang w:val="zh-CN"/>
        </w:rPr>
        <w:t>.2投标人不得向代理机构工作人员、评标委员会成员行贿或者采取其他不正当手段谋取成交。经查实投标人有此行为的，</w:t>
      </w:r>
      <w:r>
        <w:rPr>
          <w:rFonts w:ascii="宋体" w:hAnsi="宋体"/>
          <w:color w:val="auto"/>
          <w:szCs w:val="21"/>
          <w:highlight w:val="none"/>
          <w:lang w:val="zh-CN"/>
        </w:rPr>
        <w:t>政府采购管理部门将投标人列入不良行为记录名单，按照《</w:t>
      </w:r>
      <w:r>
        <w:rPr>
          <w:rFonts w:hint="eastAsia" w:ascii="宋体" w:hAnsi="宋体"/>
          <w:color w:val="auto"/>
          <w:szCs w:val="21"/>
          <w:highlight w:val="none"/>
          <w:lang w:val="zh-CN"/>
        </w:rPr>
        <w:t>中华人民共和国政府采购法</w:t>
      </w:r>
      <w:r>
        <w:rPr>
          <w:rFonts w:ascii="宋体" w:hAnsi="宋体"/>
          <w:color w:val="auto"/>
          <w:szCs w:val="21"/>
          <w:highlight w:val="none"/>
        </w:rPr>
        <w:t>》有关规定处理。</w:t>
      </w:r>
    </w:p>
    <w:p w14:paraId="0E3FA0DD">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zh-CN"/>
        </w:rPr>
        <w:t>2</w:t>
      </w:r>
      <w:r>
        <w:rPr>
          <w:rFonts w:ascii="宋体" w:hAnsi="宋体"/>
          <w:color w:val="auto"/>
          <w:szCs w:val="21"/>
          <w:highlight w:val="none"/>
          <w:lang w:val="zh-CN"/>
        </w:rPr>
        <w:t>3</w:t>
      </w:r>
      <w:r>
        <w:rPr>
          <w:rFonts w:hint="eastAsia" w:ascii="宋体" w:hAnsi="宋体"/>
          <w:color w:val="auto"/>
          <w:szCs w:val="21"/>
          <w:highlight w:val="none"/>
          <w:lang w:val="zh-CN"/>
        </w:rPr>
        <w:t>.3投标人不得虚假质疑和恶意质疑，并对质疑内容的真实性承担责任。</w:t>
      </w:r>
      <w:r>
        <w:rPr>
          <w:rFonts w:hint="eastAsia" w:ascii="宋体" w:hAnsi="宋体"/>
          <w:color w:val="auto"/>
          <w:szCs w:val="21"/>
          <w:highlight w:val="none"/>
        </w:rPr>
        <w:t>投标人或者其他利害关系人通过捏造事实、伪造证明材料等方式提出异议或投诉，阻碍政府采购活动正常进行的，属于严重不良行为，代理机构将提请财政部门将其列入不良行为记录名单，并依法予以处罚。</w:t>
      </w:r>
    </w:p>
    <w:p w14:paraId="2AB0C509">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3</w:t>
      </w:r>
      <w:r>
        <w:rPr>
          <w:rFonts w:hint="eastAsia" w:ascii="宋体" w:hAnsi="宋体"/>
          <w:color w:val="auto"/>
          <w:szCs w:val="21"/>
          <w:highlight w:val="none"/>
          <w:lang w:val="zh-CN"/>
        </w:rPr>
        <w:t>.4投标人不得虚假承诺，否则，按照提供虚假材料谋取成交处理。</w:t>
      </w:r>
    </w:p>
    <w:p w14:paraId="5DB7F3C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3</w:t>
      </w:r>
      <w:r>
        <w:rPr>
          <w:rFonts w:hint="eastAsia" w:ascii="宋体" w:hAnsi="宋体"/>
          <w:color w:val="auto"/>
          <w:szCs w:val="21"/>
          <w:highlight w:val="none"/>
        </w:rPr>
        <w:t>.5供应商应自觉遵守开标、评标纪律，扰乱开标评标现场秩序的，属于失信行为，根据《江苏省政府采购供应商监督管理暂行办法》，失信行为将被记入供应商诚信档案。</w:t>
      </w:r>
    </w:p>
    <w:p w14:paraId="6DB1BDBB">
      <w:pPr>
        <w:numPr>
          <w:ilvl w:val="0"/>
          <w:numId w:val="5"/>
        </w:numPr>
        <w:spacing w:line="360" w:lineRule="auto"/>
        <w:jc w:val="center"/>
        <w:outlineLvl w:val="0"/>
        <w:rPr>
          <w:rFonts w:ascii="宋体" w:hAnsi="宋体"/>
          <w:b/>
          <w:bCs/>
          <w:color w:val="auto"/>
          <w:sz w:val="32"/>
          <w:szCs w:val="32"/>
          <w:highlight w:val="none"/>
          <w:lang w:val="zh-CN"/>
        </w:rPr>
      </w:pPr>
      <w:r>
        <w:rPr>
          <w:rFonts w:ascii="宋体" w:hAnsi="宋体"/>
          <w:color w:val="auto"/>
          <w:szCs w:val="21"/>
          <w:highlight w:val="none"/>
        </w:rPr>
        <w:br w:type="page" w:clear="all"/>
      </w:r>
      <w:bookmarkStart w:id="64" w:name="_Toc55479011"/>
      <w:r>
        <w:rPr>
          <w:rFonts w:ascii="宋体" w:hAnsi="宋体"/>
          <w:b/>
          <w:bCs/>
          <w:color w:val="auto"/>
          <w:sz w:val="32"/>
          <w:szCs w:val="32"/>
          <w:highlight w:val="none"/>
          <w:lang w:val="zh-CN"/>
        </w:rPr>
        <w:t>评标标准</w:t>
      </w:r>
      <w:bookmarkEnd w:id="64"/>
    </w:p>
    <w:p w14:paraId="72EFA5D0">
      <w:pPr>
        <w:spacing w:line="360" w:lineRule="auto"/>
        <w:outlineLvl w:val="0"/>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一、评标办法</w:t>
      </w:r>
    </w:p>
    <w:p w14:paraId="291EF850">
      <w:pPr>
        <w:numPr>
          <w:ilvl w:val="0"/>
          <w:numId w:val="0"/>
        </w:numPr>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lang w:val="en-US" w:eastAsia="zh-CN"/>
        </w:rPr>
        <w:t>本项目</w:t>
      </w:r>
      <w:r>
        <w:rPr>
          <w:rFonts w:hint="eastAsia" w:ascii="宋体" w:hAnsi="宋体"/>
          <w:color w:val="auto"/>
          <w:sz w:val="21"/>
          <w:szCs w:val="21"/>
          <w:highlight w:val="none"/>
        </w:rPr>
        <w:t>采用综合评分法，评标结果按评审得分由高到低顺序排列。得分相同的，按投标报价由低到高顺序排列，得分和投标报价均相同的并列，投标文件满足招标文件全部实质性要求，且按照评审因素的量化指标评审得分最高的投标人为中标候选人。本项目选取</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家中标候选人。本项目各分包选取3家中标候选人。当出现并列最高综合得分时，以报价低的优先；投标报价也相等的，按技术指标优劣顺序排列，如果技术指标得分也相等，由采购人确定。</w:t>
      </w:r>
    </w:p>
    <w:p w14:paraId="4D18694D">
      <w:pPr>
        <w:spacing w:line="360" w:lineRule="auto"/>
        <w:outlineLvl w:val="0"/>
        <w:rPr>
          <w:rFonts w:hint="default"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二、评标标准</w:t>
      </w:r>
    </w:p>
    <w:tbl>
      <w:tblPr>
        <w:tblStyle w:val="36"/>
        <w:tblW w:w="53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816"/>
        <w:gridCol w:w="728"/>
        <w:gridCol w:w="7182"/>
        <w:gridCol w:w="653"/>
      </w:tblGrid>
      <w:tr w14:paraId="4164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14:paraId="20905D92">
            <w:pPr>
              <w:spacing w:line="320" w:lineRule="exact"/>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br w:type="page" w:clear="all"/>
            </w:r>
            <w:r>
              <w:rPr>
                <w:rFonts w:hint="eastAsia" w:ascii="宋体" w:hAnsi="宋体" w:cs="宋体"/>
                <w:color w:val="auto"/>
                <w:sz w:val="24"/>
                <w:szCs w:val="24"/>
                <w:highlight w:val="none"/>
              </w:rPr>
              <w:br w:type="page" w:clear="all"/>
            </w:r>
            <w:r>
              <w:rPr>
                <w:rFonts w:hint="eastAsia" w:ascii="宋体" w:hAnsi="宋体" w:cs="宋体"/>
                <w:b/>
                <w:color w:val="auto"/>
                <w:sz w:val="24"/>
                <w:szCs w:val="24"/>
                <w:highlight w:val="none"/>
              </w:rPr>
              <w:t>序号</w:t>
            </w:r>
          </w:p>
        </w:tc>
        <w:tc>
          <w:tcPr>
            <w:tcW w:w="774" w:type="pct"/>
            <w:gridSpan w:val="2"/>
            <w:tcBorders>
              <w:top w:val="single" w:color="auto" w:sz="4" w:space="0"/>
              <w:left w:val="single" w:color="auto" w:sz="4" w:space="0"/>
              <w:bottom w:val="single" w:color="auto" w:sz="4" w:space="0"/>
              <w:right w:val="single" w:color="auto" w:sz="4" w:space="0"/>
            </w:tcBorders>
            <w:noWrap w:val="0"/>
            <w:vAlign w:val="center"/>
          </w:tcPr>
          <w:p w14:paraId="6AF815D0">
            <w:pPr>
              <w:spacing w:line="32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评分项目</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3E9CB59E">
            <w:pPr>
              <w:spacing w:line="32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评分标准及细则</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2A49EE86">
            <w:pPr>
              <w:spacing w:line="32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分值</w:t>
            </w:r>
          </w:p>
        </w:tc>
      </w:tr>
      <w:tr w14:paraId="2F8D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14:paraId="4C4A8428">
            <w:pPr>
              <w:jc w:val="center"/>
              <w:rPr>
                <w:rFonts w:hint="eastAsia" w:ascii="宋体" w:hAnsi="宋体" w:cs="宋体"/>
                <w:color w:val="auto"/>
                <w:highlight w:val="none"/>
              </w:rPr>
            </w:pPr>
            <w:r>
              <w:rPr>
                <w:rFonts w:hint="eastAsia" w:ascii="宋体" w:hAnsi="宋体" w:cs="宋体"/>
                <w:color w:val="auto"/>
                <w:highlight w:val="none"/>
              </w:rPr>
              <w:t>1</w:t>
            </w:r>
          </w:p>
        </w:tc>
        <w:tc>
          <w:tcPr>
            <w:tcW w:w="774" w:type="pct"/>
            <w:gridSpan w:val="2"/>
            <w:tcBorders>
              <w:top w:val="single" w:color="auto" w:sz="4" w:space="0"/>
              <w:left w:val="single" w:color="auto" w:sz="4" w:space="0"/>
              <w:bottom w:val="single" w:color="auto" w:sz="4" w:space="0"/>
              <w:right w:val="single" w:color="auto" w:sz="4" w:space="0"/>
            </w:tcBorders>
            <w:noWrap w:val="0"/>
            <w:vAlign w:val="center"/>
          </w:tcPr>
          <w:p w14:paraId="478B9930">
            <w:pPr>
              <w:widowControl/>
              <w:jc w:val="center"/>
              <w:rPr>
                <w:rFonts w:hint="eastAsia" w:ascii="宋体" w:hAnsi="宋体"/>
                <w:b/>
                <w:color w:val="auto"/>
                <w:highlight w:val="none"/>
              </w:rPr>
            </w:pPr>
            <w:r>
              <w:rPr>
                <w:rFonts w:hint="eastAsia" w:ascii="宋体" w:hAnsi="宋体"/>
                <w:b/>
                <w:color w:val="auto"/>
                <w:highlight w:val="none"/>
                <w:lang w:bidi="ar"/>
              </w:rPr>
              <w:t>价格分</w:t>
            </w:r>
            <w:r>
              <w:rPr>
                <w:rFonts w:hint="eastAsia" w:ascii="宋体" w:hAnsi="宋体"/>
                <w:b/>
                <w:color w:val="auto"/>
                <w:highlight w:val="none"/>
                <w:lang w:eastAsia="zh-CN" w:bidi="ar"/>
              </w:rPr>
              <w:t>（</w:t>
            </w:r>
            <w:r>
              <w:rPr>
                <w:rFonts w:hint="eastAsia" w:ascii="宋体" w:hAnsi="宋体"/>
                <w:b/>
                <w:color w:val="auto"/>
                <w:highlight w:val="none"/>
                <w:lang w:bidi="ar"/>
              </w:rPr>
              <w:t>20分</w:t>
            </w:r>
            <w:r>
              <w:rPr>
                <w:rFonts w:hint="eastAsia" w:ascii="宋体" w:hAnsi="宋体"/>
                <w:b/>
                <w:color w:val="auto"/>
                <w:highlight w:val="none"/>
                <w:lang w:eastAsia="zh-CN" w:bidi="ar"/>
              </w:rPr>
              <w:t>）</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53959885">
            <w:pPr>
              <w:jc w:val="left"/>
              <w:rPr>
                <w:rFonts w:hint="default"/>
                <w:color w:val="auto"/>
                <w:highlight w:val="none"/>
                <w:lang w:val="en-US" w:eastAsia="zh-CN"/>
              </w:rPr>
            </w:pPr>
            <w:r>
              <w:rPr>
                <w:rFonts w:hint="eastAsia" w:ascii="宋体" w:hAnsi="宋体" w:cs="宋体"/>
                <w:color w:val="auto"/>
                <w:highlight w:val="none"/>
                <w:lang w:val="en-US" w:eastAsia="zh-CN"/>
              </w:rPr>
              <w:t>①</w:t>
            </w:r>
            <w:r>
              <w:rPr>
                <w:rFonts w:hint="eastAsia" w:ascii="宋体" w:hAnsi="宋体" w:cs="宋体"/>
                <w:color w:val="auto"/>
                <w:highlight w:val="none"/>
              </w:rPr>
              <w:t>采用低价优先法计算，即满足招标文件要求且投标</w:t>
            </w:r>
            <w:r>
              <w:rPr>
                <w:rFonts w:hint="eastAsia" w:ascii="宋体" w:hAnsi="宋体" w:cs="宋体"/>
                <w:color w:val="auto"/>
                <w:highlight w:val="none"/>
                <w:lang w:val="en-US" w:eastAsia="zh-CN"/>
              </w:rPr>
              <w:t>报价</w:t>
            </w:r>
            <w:r>
              <w:rPr>
                <w:rFonts w:hint="eastAsia" w:ascii="宋体" w:hAnsi="宋体" w:cs="宋体"/>
                <w:color w:val="auto"/>
                <w:highlight w:val="none"/>
              </w:rPr>
              <w:t>折扣率最低，最低的投标</w:t>
            </w:r>
            <w:r>
              <w:rPr>
                <w:rFonts w:hint="eastAsia" w:ascii="宋体" w:hAnsi="宋体" w:cs="宋体"/>
                <w:color w:val="auto"/>
                <w:highlight w:val="none"/>
                <w:lang w:val="en-US" w:eastAsia="zh-CN"/>
              </w:rPr>
              <w:t>报价</w:t>
            </w:r>
            <w:r>
              <w:rPr>
                <w:rFonts w:hint="eastAsia" w:ascii="宋体" w:hAnsi="宋体" w:cs="宋体"/>
                <w:color w:val="auto"/>
                <w:highlight w:val="none"/>
              </w:rPr>
              <w:t>折扣率为评标基准折扣率，其价格分为满分20分，其他投标人的折扣率得分按照下列公式计算（小数点保留两位）：投标</w:t>
            </w:r>
            <w:r>
              <w:rPr>
                <w:rFonts w:hint="eastAsia" w:ascii="宋体" w:hAnsi="宋体" w:cs="宋体"/>
                <w:color w:val="auto"/>
                <w:highlight w:val="none"/>
                <w:lang w:val="en-US" w:eastAsia="zh-CN"/>
              </w:rPr>
              <w:t>报价</w:t>
            </w:r>
            <w:r>
              <w:rPr>
                <w:rFonts w:hint="eastAsia" w:ascii="宋体" w:hAnsi="宋体" w:cs="宋体"/>
                <w:color w:val="auto"/>
                <w:highlight w:val="none"/>
              </w:rPr>
              <w:t>折扣率得分=[评标基准折扣率／投标</w:t>
            </w:r>
            <w:r>
              <w:rPr>
                <w:rFonts w:hint="eastAsia" w:ascii="宋体" w:hAnsi="宋体" w:cs="宋体"/>
                <w:color w:val="auto"/>
                <w:highlight w:val="none"/>
                <w:lang w:val="en-US" w:eastAsia="zh-CN"/>
              </w:rPr>
              <w:t>报价</w:t>
            </w:r>
            <w:r>
              <w:rPr>
                <w:rFonts w:hint="eastAsia" w:ascii="宋体" w:hAnsi="宋体" w:cs="宋体"/>
                <w:color w:val="auto"/>
                <w:highlight w:val="none"/>
              </w:rPr>
              <w:t>折扣率]×20</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标1价格分为常规项目（15分）和二噁英项目（5分）之和，评价标准采用上述计算方式；注：不具备二噁英项目能力的扣5分。）</w:t>
            </w:r>
          </w:p>
          <w:p w14:paraId="076177E4">
            <w:pPr>
              <w:widowControl/>
              <w:jc w:val="left"/>
              <w:rPr>
                <w:rFonts w:hint="eastAsia" w:ascii="宋体" w:hAnsi="宋体" w:eastAsia="宋体" w:cs="Times New Roman"/>
                <w:b/>
                <w:color w:val="auto"/>
                <w:highlight w:val="none"/>
              </w:rPr>
            </w:pPr>
            <w:r>
              <w:rPr>
                <w:rFonts w:hint="eastAsia" w:ascii="宋体" w:hAnsi="宋体"/>
                <w:b/>
                <w:color w:val="auto"/>
                <w:highlight w:val="none"/>
                <w:lang w:val="en-US" w:eastAsia="zh-CN"/>
              </w:rPr>
              <w:t>②</w:t>
            </w:r>
            <w:r>
              <w:rPr>
                <w:rFonts w:hint="eastAsia" w:ascii="宋体" w:hAnsi="宋体"/>
                <w:b/>
                <w:color w:val="auto"/>
                <w:highlight w:val="none"/>
              </w:rPr>
              <w:t>投标</w:t>
            </w:r>
            <w:r>
              <w:rPr>
                <w:rFonts w:hint="eastAsia" w:ascii="宋体" w:hAnsi="宋体"/>
                <w:b/>
                <w:color w:val="auto"/>
                <w:highlight w:val="none"/>
                <w:lang w:val="en-US" w:eastAsia="zh-CN"/>
              </w:rPr>
              <w:t>报价</w:t>
            </w:r>
            <w:r>
              <w:rPr>
                <w:rFonts w:hint="eastAsia" w:ascii="宋体" w:hAnsi="宋体"/>
                <w:b/>
                <w:color w:val="auto"/>
                <w:highlight w:val="none"/>
              </w:rPr>
              <w:t>折扣率以《江苏省环境监测专业服务收费标准》（苏价〔2006〕397号）和《省物价局、省财政厅关于降低收费标准</w:t>
            </w:r>
            <w:r>
              <w:rPr>
                <w:rFonts w:hint="eastAsia" w:ascii="宋体" w:hAnsi="宋体" w:cs="宋体"/>
                <w:b/>
                <w:color w:val="auto"/>
                <w:highlight w:val="none"/>
              </w:rPr>
              <w:t>和实施收费减免的通知》（苏价费〔2009〕278号）收费标准</w:t>
            </w:r>
            <w:r>
              <w:rPr>
                <w:rFonts w:hint="eastAsia" w:ascii="宋体" w:hAnsi="宋体" w:eastAsia="宋体" w:cs="Times New Roman"/>
                <w:b/>
                <w:color w:val="auto"/>
                <w:highlight w:val="none"/>
              </w:rPr>
              <w:t>的80%为最高折扣率，包括采样费、样品分析费、前处理费、报告编制费、人工费以及交通费用，不接受任何形式的加收费用或其他费用。项目最终结算费用由招标人核算。</w:t>
            </w:r>
          </w:p>
          <w:p w14:paraId="4710F0B7">
            <w:pPr>
              <w:widowControl/>
              <w:jc w:val="left"/>
              <w:rPr>
                <w:rFonts w:hint="eastAsia" w:eastAsia="宋体"/>
                <w:color w:val="auto"/>
                <w:highlight w:val="none"/>
                <w:lang w:val="en-US" w:eastAsia="zh-CN"/>
              </w:rPr>
            </w:pPr>
            <w:r>
              <w:rPr>
                <w:rFonts w:hint="eastAsia" w:ascii="宋体" w:hAnsi="宋体" w:eastAsia="宋体" w:cs="Times New Roman"/>
                <w:b/>
                <w:color w:val="auto"/>
                <w:highlight w:val="none"/>
                <w:lang w:val="en-US" w:eastAsia="zh-CN"/>
              </w:rPr>
              <w:t>③投标报价折扣率=1-投标优惠率，且不得高于80%</w:t>
            </w:r>
            <w:r>
              <w:rPr>
                <w:rFonts w:hint="eastAsia" w:ascii="宋体" w:hAnsi="宋体" w:eastAsia="宋体" w:cs="Times New Roman"/>
                <w:b/>
                <w:color w:val="auto"/>
                <w:highlight w:val="none"/>
              </w:rPr>
              <w:t>。</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33A638D0">
            <w:pPr>
              <w:widowControl/>
              <w:jc w:val="center"/>
              <w:rPr>
                <w:rFonts w:ascii="宋体" w:hAnsi="宋体" w:cs="宋体"/>
                <w:color w:val="auto"/>
                <w:sz w:val="24"/>
                <w:szCs w:val="24"/>
                <w:highlight w:val="none"/>
              </w:rPr>
            </w:pPr>
            <w:r>
              <w:rPr>
                <w:rFonts w:hint="eastAsia" w:ascii="宋体" w:hAnsi="宋体" w:cs="宋体"/>
                <w:bCs/>
                <w:color w:val="auto"/>
                <w:highlight w:val="none"/>
                <w:lang w:bidi="ar"/>
              </w:rPr>
              <w:t>20</w:t>
            </w:r>
          </w:p>
        </w:tc>
      </w:tr>
      <w:tr w14:paraId="570B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295" w:type="pct"/>
            <w:vMerge w:val="restart"/>
            <w:tcBorders>
              <w:left w:val="single" w:color="auto" w:sz="4" w:space="0"/>
              <w:right w:val="single" w:color="auto" w:sz="4" w:space="0"/>
            </w:tcBorders>
            <w:noWrap w:val="0"/>
            <w:vAlign w:val="center"/>
          </w:tcPr>
          <w:p w14:paraId="29D66489">
            <w:pPr>
              <w:jc w:val="center"/>
              <w:rPr>
                <w:rFonts w:hint="eastAsia" w:ascii="宋体" w:hAnsi="宋体" w:cs="宋体"/>
                <w:color w:val="auto"/>
                <w:highlight w:val="none"/>
              </w:rPr>
            </w:pPr>
            <w:r>
              <w:rPr>
                <w:rFonts w:hint="eastAsia" w:ascii="宋体" w:hAnsi="宋体" w:cs="宋体"/>
                <w:color w:val="auto"/>
                <w:highlight w:val="none"/>
              </w:rPr>
              <w:t>2</w:t>
            </w:r>
          </w:p>
        </w:tc>
        <w:tc>
          <w:tcPr>
            <w:tcW w:w="409" w:type="pct"/>
            <w:vMerge w:val="restart"/>
            <w:tcBorders>
              <w:left w:val="single" w:color="auto" w:sz="4" w:space="0"/>
              <w:right w:val="single" w:color="auto" w:sz="4" w:space="0"/>
            </w:tcBorders>
            <w:noWrap w:val="0"/>
            <w:vAlign w:val="center"/>
          </w:tcPr>
          <w:p w14:paraId="03C1ED7E">
            <w:pPr>
              <w:spacing w:line="360" w:lineRule="auto"/>
              <w:jc w:val="center"/>
              <w:rPr>
                <w:rFonts w:hint="eastAsia" w:ascii="宋体" w:hAnsi="宋体"/>
                <w:b/>
                <w:color w:val="auto"/>
                <w:highlight w:val="none"/>
              </w:rPr>
            </w:pPr>
            <w:r>
              <w:rPr>
                <w:rFonts w:hint="eastAsia" w:ascii="宋体" w:hAnsi="宋体"/>
                <w:b/>
                <w:color w:val="auto"/>
                <w:highlight w:val="none"/>
              </w:rPr>
              <w:t>实验室资质及能力</w:t>
            </w:r>
          </w:p>
          <w:p w14:paraId="7A5C81AD">
            <w:pPr>
              <w:widowControl/>
              <w:jc w:val="center"/>
              <w:rPr>
                <w:rFonts w:hint="eastAsia" w:ascii="宋体" w:hAnsi="宋体" w:cs="宋体"/>
                <w:bCs/>
                <w:color w:val="auto"/>
                <w:highlight w:val="none"/>
                <w:lang w:bidi="ar"/>
              </w:rPr>
            </w:pPr>
            <w:r>
              <w:rPr>
                <w:rFonts w:hint="eastAsia" w:ascii="宋体" w:hAnsi="宋体"/>
                <w:b/>
                <w:color w:val="auto"/>
                <w:highlight w:val="none"/>
              </w:rPr>
              <w:t>（3</w:t>
            </w:r>
            <w:r>
              <w:rPr>
                <w:rFonts w:hint="eastAsia" w:ascii="宋体" w:hAnsi="宋体"/>
                <w:b/>
                <w:color w:val="auto"/>
                <w:highlight w:val="none"/>
                <w:lang w:val="en-US" w:eastAsia="zh-CN"/>
              </w:rPr>
              <w:t>2</w:t>
            </w:r>
            <w:r>
              <w:rPr>
                <w:rFonts w:hint="eastAsia" w:ascii="宋体" w:hAnsi="宋体"/>
                <w:b/>
                <w:color w:val="auto"/>
                <w:highlight w:val="none"/>
              </w:rPr>
              <w:t>分）</w:t>
            </w:r>
          </w:p>
        </w:tc>
        <w:tc>
          <w:tcPr>
            <w:tcW w:w="365" w:type="pct"/>
            <w:tcBorders>
              <w:left w:val="single" w:color="auto" w:sz="4" w:space="0"/>
              <w:right w:val="single" w:color="auto" w:sz="4" w:space="0"/>
            </w:tcBorders>
            <w:noWrap w:val="0"/>
            <w:vAlign w:val="center"/>
          </w:tcPr>
          <w:p w14:paraId="3C81824F">
            <w:pPr>
              <w:widowControl/>
              <w:jc w:val="center"/>
              <w:rPr>
                <w:rFonts w:hint="eastAsia" w:ascii="宋体" w:hAnsi="宋体"/>
                <w:b/>
                <w:color w:val="auto"/>
                <w:highlight w:val="none"/>
              </w:rPr>
            </w:pPr>
            <w:r>
              <w:rPr>
                <w:rFonts w:hint="eastAsia" w:ascii="宋体" w:hAnsi="宋体"/>
                <w:b/>
                <w:color w:val="auto"/>
                <w:highlight w:val="none"/>
              </w:rPr>
              <w:t>实验室人员</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664A9541">
            <w:pPr>
              <w:jc w:val="left"/>
              <w:rPr>
                <w:rFonts w:hint="eastAsia" w:ascii="宋体" w:hAnsi="宋体" w:cs="宋体"/>
                <w:color w:val="auto"/>
                <w:highlight w:val="none"/>
              </w:rPr>
            </w:pPr>
            <w:r>
              <w:rPr>
                <w:rFonts w:hint="eastAsia" w:ascii="宋体" w:hAnsi="宋体" w:cs="宋体"/>
                <w:color w:val="auto"/>
                <w:highlight w:val="none"/>
              </w:rPr>
              <w:t>投标人</w:t>
            </w:r>
            <w:r>
              <w:rPr>
                <w:rFonts w:ascii="宋体" w:hAnsi="宋体" w:cs="宋体"/>
                <w:color w:val="auto"/>
                <w:highlight w:val="none"/>
              </w:rPr>
              <w:t>自有实验室具备可开展检测分析的人员条件，配备人员应满足项目需求</w:t>
            </w:r>
            <w:r>
              <w:rPr>
                <w:rFonts w:hint="eastAsia" w:ascii="宋体" w:hAnsi="宋体" w:cs="宋体"/>
                <w:color w:val="auto"/>
                <w:highlight w:val="none"/>
              </w:rPr>
              <w:t>，投标人拟投入本项目人员中持有上岗合格证的，达到20人的得1分，每超过3人加1分，最高得5分。</w:t>
            </w:r>
          </w:p>
          <w:p w14:paraId="3002F185">
            <w:pPr>
              <w:widowControl/>
              <w:jc w:val="left"/>
              <w:rPr>
                <w:rFonts w:hint="eastAsia" w:ascii="宋体" w:hAnsi="宋体" w:cs="宋体"/>
                <w:bCs/>
                <w:color w:val="auto"/>
                <w:highlight w:val="none"/>
                <w:lang w:bidi="ar"/>
              </w:rPr>
            </w:pPr>
            <w:r>
              <w:rPr>
                <w:rFonts w:hint="eastAsia" w:ascii="宋体" w:hAnsi="宋体" w:cs="宋体"/>
                <w:b/>
                <w:color w:val="auto"/>
                <w:highlight w:val="none"/>
                <w:lang w:val="en-US" w:eastAsia="zh-CN" w:bidi="ar"/>
              </w:rPr>
              <w:t>（</w:t>
            </w:r>
            <w:r>
              <w:rPr>
                <w:rFonts w:hint="eastAsia" w:ascii="宋体" w:hAnsi="宋体" w:cs="宋体"/>
                <w:b/>
                <w:color w:val="auto"/>
                <w:highlight w:val="none"/>
                <w:lang w:bidi="ar"/>
              </w:rPr>
              <w:t>提供有效期内CMA检验检测机构资质认定证书中的附表复印件加盖公章，并</w:t>
            </w:r>
            <w:r>
              <w:rPr>
                <w:rFonts w:hint="eastAsia" w:ascii="宋体" w:hAnsi="宋体" w:cs="宋体"/>
                <w:b/>
                <w:color w:val="auto"/>
                <w:highlight w:val="none"/>
                <w:lang w:val="en-US" w:eastAsia="zh-CN" w:bidi="ar"/>
              </w:rPr>
              <w:t>提供实验室人员明细表</w:t>
            </w:r>
            <w:r>
              <w:rPr>
                <w:rFonts w:hint="eastAsia" w:ascii="宋体" w:hAnsi="宋体" w:cs="宋体"/>
                <w:b/>
                <w:color w:val="auto"/>
                <w:highlight w:val="none"/>
                <w:lang w:eastAsia="zh-CN" w:bidi="ar"/>
              </w:rPr>
              <w:t>、</w:t>
            </w:r>
            <w:r>
              <w:rPr>
                <w:rFonts w:hint="eastAsia" w:ascii="宋体" w:hAnsi="宋体" w:cs="宋体"/>
                <w:b/>
                <w:bCs/>
                <w:color w:val="auto"/>
                <w:highlight w:val="none"/>
              </w:rPr>
              <w:t>人员劳动合同和</w:t>
            </w:r>
            <w:r>
              <w:rPr>
                <w:rFonts w:hint="eastAsia" w:ascii="宋体" w:hAnsi="宋体" w:cs="宋体"/>
                <w:b/>
                <w:color w:val="auto"/>
                <w:highlight w:val="none"/>
                <w:lang w:bidi="ar"/>
              </w:rPr>
              <w:t>近三个月202</w:t>
            </w:r>
            <w:r>
              <w:rPr>
                <w:rFonts w:hint="eastAsia" w:ascii="宋体" w:hAnsi="宋体" w:cs="宋体"/>
                <w:b/>
                <w:color w:val="auto"/>
                <w:highlight w:val="none"/>
                <w:lang w:val="en-US" w:eastAsia="zh-CN" w:bidi="ar"/>
              </w:rPr>
              <w:t>6</w:t>
            </w:r>
            <w:r>
              <w:rPr>
                <w:rFonts w:hint="eastAsia" w:ascii="宋体" w:hAnsi="宋体" w:cs="宋体"/>
                <w:b/>
                <w:color w:val="auto"/>
                <w:highlight w:val="none"/>
                <w:lang w:bidi="ar"/>
              </w:rPr>
              <w:t>年</w:t>
            </w:r>
            <w:r>
              <w:rPr>
                <w:rFonts w:hint="eastAsia" w:ascii="宋体" w:hAnsi="宋体" w:cs="宋体"/>
                <w:b/>
                <w:color w:val="auto"/>
                <w:highlight w:val="none"/>
                <w:lang w:val="en-US" w:eastAsia="zh-CN" w:bidi="ar"/>
              </w:rPr>
              <w:t>1月</w:t>
            </w:r>
            <w:r>
              <w:rPr>
                <w:rFonts w:hint="eastAsia" w:ascii="宋体" w:hAnsi="宋体" w:cs="宋体"/>
                <w:b/>
                <w:color w:val="auto"/>
                <w:highlight w:val="none"/>
                <w:lang w:bidi="ar"/>
              </w:rPr>
              <w:t>至202</w:t>
            </w:r>
            <w:r>
              <w:rPr>
                <w:rFonts w:hint="eastAsia" w:ascii="宋体" w:hAnsi="宋体" w:cs="宋体"/>
                <w:b/>
                <w:color w:val="auto"/>
                <w:highlight w:val="none"/>
                <w:lang w:val="en-US" w:eastAsia="zh-CN" w:bidi="ar"/>
              </w:rPr>
              <w:t>6</w:t>
            </w:r>
            <w:r>
              <w:rPr>
                <w:rFonts w:hint="eastAsia" w:ascii="宋体" w:hAnsi="宋体" w:cs="宋体"/>
                <w:b/>
                <w:color w:val="auto"/>
                <w:highlight w:val="none"/>
                <w:lang w:bidi="ar"/>
              </w:rPr>
              <w:t>年</w:t>
            </w:r>
            <w:r>
              <w:rPr>
                <w:rFonts w:hint="eastAsia" w:ascii="宋体" w:hAnsi="宋体" w:cs="宋体"/>
                <w:b/>
                <w:color w:val="auto"/>
                <w:highlight w:val="none"/>
                <w:lang w:val="en-US" w:eastAsia="zh-CN" w:bidi="ar"/>
              </w:rPr>
              <w:t>3</w:t>
            </w:r>
            <w:r>
              <w:rPr>
                <w:rFonts w:hint="eastAsia" w:ascii="宋体" w:hAnsi="宋体" w:cs="宋体"/>
                <w:b/>
                <w:color w:val="auto"/>
                <w:highlight w:val="none"/>
                <w:lang w:bidi="ar"/>
              </w:rPr>
              <w:t>月</w:t>
            </w:r>
            <w:r>
              <w:rPr>
                <w:rFonts w:hint="eastAsia" w:ascii="宋体" w:hAnsi="宋体" w:cs="宋体"/>
                <w:b/>
                <w:bCs/>
                <w:color w:val="auto"/>
                <w:highlight w:val="none"/>
              </w:rPr>
              <w:t>任意一个月投标人为人员缴纳的社保缴费证明材料并加盖社保中</w:t>
            </w:r>
            <w:r>
              <w:rPr>
                <w:rFonts w:hint="eastAsia" w:ascii="宋体" w:hAnsi="宋体" w:cs="宋体"/>
                <w:b/>
                <w:bCs/>
                <w:color w:val="auto"/>
                <w:highlight w:val="none"/>
                <w:lang w:eastAsia="zh-CN"/>
              </w:rPr>
              <w:t>心公</w:t>
            </w:r>
            <w:r>
              <w:rPr>
                <w:rFonts w:hint="eastAsia" w:ascii="宋体" w:hAnsi="宋体" w:cs="宋体"/>
                <w:b/>
                <w:bCs/>
                <w:color w:val="auto"/>
                <w:highlight w:val="none"/>
              </w:rPr>
              <w:t>章或社保中心参保缴费证明电子专用章</w:t>
            </w:r>
            <w:r>
              <w:rPr>
                <w:rFonts w:hint="eastAsia" w:ascii="宋体" w:hAnsi="宋体" w:cs="宋体"/>
                <w:b/>
                <w:bCs/>
                <w:color w:val="auto"/>
                <w:highlight w:val="none"/>
                <w:lang w:val="en-US" w:eastAsia="zh-CN"/>
              </w:rPr>
              <w:t>编制至投标文件中</w:t>
            </w:r>
            <w:r>
              <w:rPr>
                <w:rFonts w:hint="eastAsia" w:ascii="宋体" w:hAnsi="宋体" w:cs="宋体"/>
                <w:b/>
                <w:bCs/>
                <w:color w:val="auto"/>
                <w:highlight w:val="none"/>
                <w:lang w:eastAsia="zh-CN"/>
              </w:rPr>
              <w:t>）</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01A6A697">
            <w:pPr>
              <w:widowControl/>
              <w:jc w:val="center"/>
              <w:rPr>
                <w:rFonts w:hint="eastAsia" w:ascii="宋体" w:hAnsi="宋体" w:cs="宋体"/>
                <w:bCs/>
                <w:color w:val="auto"/>
                <w:highlight w:val="none"/>
                <w:lang w:bidi="ar"/>
              </w:rPr>
            </w:pPr>
            <w:r>
              <w:rPr>
                <w:rFonts w:hint="eastAsia" w:ascii="宋体" w:hAnsi="宋体" w:cs="宋体"/>
                <w:bCs/>
                <w:color w:val="auto"/>
                <w:highlight w:val="none"/>
                <w:lang w:bidi="ar"/>
              </w:rPr>
              <w:t>5</w:t>
            </w:r>
          </w:p>
        </w:tc>
      </w:tr>
      <w:tr w14:paraId="0033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295" w:type="pct"/>
            <w:vMerge w:val="continue"/>
            <w:tcBorders>
              <w:left w:val="single" w:color="auto" w:sz="4" w:space="0"/>
              <w:right w:val="single" w:color="auto" w:sz="4" w:space="0"/>
            </w:tcBorders>
            <w:noWrap w:val="0"/>
            <w:vAlign w:val="center"/>
          </w:tcPr>
          <w:p w14:paraId="0CF5C256">
            <w:pPr>
              <w:jc w:val="center"/>
              <w:rPr>
                <w:rFonts w:hint="eastAsia" w:ascii="宋体" w:hAnsi="宋体" w:cs="宋体"/>
                <w:color w:val="auto"/>
                <w:highlight w:val="none"/>
              </w:rPr>
            </w:pPr>
          </w:p>
        </w:tc>
        <w:tc>
          <w:tcPr>
            <w:tcW w:w="409" w:type="pct"/>
            <w:vMerge w:val="continue"/>
            <w:tcBorders>
              <w:left w:val="single" w:color="auto" w:sz="4" w:space="0"/>
              <w:right w:val="single" w:color="auto" w:sz="4" w:space="0"/>
            </w:tcBorders>
            <w:noWrap w:val="0"/>
            <w:vAlign w:val="center"/>
          </w:tcPr>
          <w:p w14:paraId="12D65122">
            <w:pPr>
              <w:widowControl/>
              <w:jc w:val="center"/>
              <w:rPr>
                <w:rFonts w:hint="eastAsia" w:ascii="宋体" w:hAnsi="宋体"/>
                <w:b/>
                <w:color w:val="auto"/>
                <w:highlight w:val="none"/>
              </w:rPr>
            </w:pPr>
          </w:p>
        </w:tc>
        <w:tc>
          <w:tcPr>
            <w:tcW w:w="365" w:type="pct"/>
            <w:tcBorders>
              <w:left w:val="single" w:color="auto" w:sz="4" w:space="0"/>
              <w:right w:val="single" w:color="auto" w:sz="4" w:space="0"/>
            </w:tcBorders>
            <w:noWrap w:val="0"/>
            <w:vAlign w:val="center"/>
          </w:tcPr>
          <w:p w14:paraId="15C66E04">
            <w:pPr>
              <w:widowControl/>
              <w:jc w:val="center"/>
              <w:rPr>
                <w:rFonts w:hint="eastAsia" w:ascii="宋体" w:hAnsi="宋体" w:eastAsia="宋体"/>
                <w:b/>
                <w:color w:val="auto"/>
                <w:highlight w:val="none"/>
                <w:lang w:val="en-US" w:eastAsia="zh-CN"/>
              </w:rPr>
            </w:pPr>
            <w:r>
              <w:rPr>
                <w:rFonts w:hint="eastAsia" w:ascii="宋体" w:hAnsi="宋体" w:cs="宋体"/>
                <w:b/>
                <w:color w:val="auto"/>
                <w:highlight w:val="none"/>
                <w:lang w:bidi="ar"/>
              </w:rPr>
              <w:t>实验室</w:t>
            </w:r>
            <w:r>
              <w:rPr>
                <w:rFonts w:hint="eastAsia" w:ascii="宋体" w:hAnsi="宋体" w:cs="宋体"/>
                <w:b/>
                <w:color w:val="auto"/>
                <w:highlight w:val="none"/>
                <w:lang w:val="en-US" w:eastAsia="zh-CN" w:bidi="ar"/>
              </w:rPr>
              <w:t>面积</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1EAF79EA">
            <w:pPr>
              <w:widowControl/>
              <w:jc w:val="left"/>
              <w:rPr>
                <w:rFonts w:hint="eastAsia" w:ascii="宋体" w:hAnsi="宋体" w:cs="宋体"/>
                <w:b w:val="0"/>
                <w:bCs/>
                <w:color w:val="auto"/>
                <w:highlight w:val="none"/>
                <w:lang w:bidi="ar"/>
              </w:rPr>
            </w:pPr>
            <w:r>
              <w:rPr>
                <w:rFonts w:hint="eastAsia" w:ascii="宋体" w:hAnsi="宋体" w:cs="宋体"/>
                <w:b w:val="0"/>
                <w:bCs/>
                <w:color w:val="auto"/>
                <w:highlight w:val="none"/>
                <w:lang w:bidi="ar"/>
              </w:rPr>
              <w:t>根据本项目需求：</w:t>
            </w:r>
          </w:p>
          <w:p w14:paraId="5DCAF868">
            <w:pPr>
              <w:widowControl/>
              <w:jc w:val="left"/>
              <w:rPr>
                <w:rFonts w:hint="eastAsia" w:ascii="宋体" w:hAnsi="宋体" w:cs="宋体"/>
                <w:b w:val="0"/>
                <w:bCs/>
                <w:color w:val="auto"/>
                <w:highlight w:val="none"/>
                <w:lang w:bidi="ar"/>
              </w:rPr>
            </w:pPr>
            <w:r>
              <w:rPr>
                <w:rFonts w:hint="eastAsia" w:ascii="宋体" w:hAnsi="宋体" w:cs="宋体"/>
                <w:b w:val="0"/>
                <w:bCs/>
                <w:color w:val="auto"/>
                <w:highlight w:val="none"/>
                <w:lang w:bidi="ar"/>
              </w:rPr>
              <w:t>①实验室面积（相关配套面积不计）≥1500㎡的得3分，</w:t>
            </w:r>
          </w:p>
          <w:p w14:paraId="65FEA4AA">
            <w:pPr>
              <w:widowControl/>
              <w:jc w:val="left"/>
              <w:rPr>
                <w:rFonts w:hint="eastAsia" w:ascii="宋体" w:hAnsi="宋体" w:cs="宋体"/>
                <w:b w:val="0"/>
                <w:bCs/>
                <w:color w:val="auto"/>
                <w:highlight w:val="none"/>
                <w:lang w:bidi="ar"/>
              </w:rPr>
            </w:pPr>
            <w:r>
              <w:rPr>
                <w:rFonts w:hint="eastAsia" w:ascii="宋体" w:hAnsi="宋体" w:cs="宋体"/>
                <w:b w:val="0"/>
                <w:bCs/>
                <w:color w:val="auto"/>
                <w:highlight w:val="none"/>
                <w:lang w:bidi="ar"/>
              </w:rPr>
              <w:t>②1500㎡</w:t>
            </w:r>
            <w:r>
              <w:rPr>
                <w:rFonts w:hint="eastAsia" w:ascii="宋体" w:hAnsi="宋体" w:cs="宋体"/>
                <w:b w:val="0"/>
                <w:bCs/>
                <w:color w:val="auto"/>
                <w:highlight w:val="none"/>
                <w:lang w:eastAsia="zh-CN" w:bidi="ar"/>
              </w:rPr>
              <w:t>〈</w:t>
            </w:r>
            <w:r>
              <w:rPr>
                <w:rFonts w:hint="eastAsia" w:ascii="宋体" w:hAnsi="宋体" w:cs="宋体"/>
                <w:b w:val="0"/>
                <w:bCs/>
                <w:color w:val="auto"/>
                <w:highlight w:val="none"/>
                <w:lang w:bidi="ar"/>
              </w:rPr>
              <w:t>实验室面积（相关配套面积不计）≥1200㎡的得2分，</w:t>
            </w:r>
          </w:p>
          <w:p w14:paraId="1316A9BE">
            <w:pPr>
              <w:widowControl/>
              <w:jc w:val="left"/>
              <w:rPr>
                <w:rFonts w:hint="eastAsia" w:ascii="宋体" w:hAnsi="宋体" w:cs="宋体"/>
                <w:b w:val="0"/>
                <w:bCs/>
                <w:color w:val="auto"/>
                <w:highlight w:val="none"/>
                <w:lang w:bidi="ar"/>
              </w:rPr>
            </w:pPr>
            <w:r>
              <w:rPr>
                <w:rFonts w:hint="eastAsia" w:ascii="宋体" w:hAnsi="宋体" w:cs="宋体"/>
                <w:b w:val="0"/>
                <w:bCs/>
                <w:color w:val="auto"/>
                <w:highlight w:val="none"/>
                <w:lang w:bidi="ar"/>
              </w:rPr>
              <w:t>③1200㎡</w:t>
            </w:r>
            <w:r>
              <w:rPr>
                <w:rFonts w:hint="eastAsia" w:ascii="宋体" w:hAnsi="宋体" w:cs="宋体"/>
                <w:b w:val="0"/>
                <w:bCs/>
                <w:color w:val="auto"/>
                <w:highlight w:val="none"/>
                <w:lang w:eastAsia="zh-CN" w:bidi="ar"/>
              </w:rPr>
              <w:t>〈</w:t>
            </w:r>
            <w:r>
              <w:rPr>
                <w:rFonts w:hint="eastAsia" w:ascii="宋体" w:hAnsi="宋体" w:cs="宋体"/>
                <w:b w:val="0"/>
                <w:bCs/>
                <w:color w:val="auto"/>
                <w:highlight w:val="none"/>
                <w:lang w:bidi="ar"/>
              </w:rPr>
              <w:t>实验室面积（相关配套面积不计）≥800㎡得1分，</w:t>
            </w:r>
          </w:p>
          <w:p w14:paraId="6F158A36">
            <w:pPr>
              <w:widowControl/>
              <w:jc w:val="left"/>
              <w:rPr>
                <w:rFonts w:hint="eastAsia" w:ascii="宋体" w:hAnsi="宋体" w:cs="宋体"/>
                <w:b w:val="0"/>
                <w:bCs/>
                <w:color w:val="auto"/>
                <w:highlight w:val="none"/>
                <w:lang w:bidi="ar"/>
              </w:rPr>
            </w:pPr>
            <w:r>
              <w:rPr>
                <w:rFonts w:hint="eastAsia" w:ascii="宋体" w:hAnsi="宋体" w:cs="宋体"/>
                <w:b w:val="0"/>
                <w:bCs/>
                <w:color w:val="auto"/>
                <w:highlight w:val="none"/>
                <w:lang w:bidi="ar"/>
              </w:rPr>
              <w:t>④实验室面积（相关配套面积不计）&lt;800㎡不得分。</w:t>
            </w:r>
          </w:p>
          <w:p w14:paraId="5B0D0A4B">
            <w:pPr>
              <w:widowControl/>
              <w:jc w:val="left"/>
              <w:rPr>
                <w:rFonts w:hint="eastAsia" w:ascii="宋体" w:hAnsi="宋体" w:cs="宋体"/>
                <w:b/>
                <w:color w:val="auto"/>
                <w:highlight w:val="none"/>
                <w:lang w:bidi="ar"/>
              </w:rPr>
            </w:pPr>
            <w:r>
              <w:rPr>
                <w:rFonts w:hint="eastAsia" w:ascii="宋体" w:hAnsi="宋体" w:cs="宋体"/>
                <w:b/>
                <w:color w:val="auto"/>
                <w:highlight w:val="none"/>
                <w:lang w:bidi="ar"/>
              </w:rPr>
              <w:t>（提供实验室平面图及房屋产权证书或</w:t>
            </w:r>
            <w:r>
              <w:rPr>
                <w:rFonts w:hint="eastAsia" w:ascii="宋体" w:hAnsi="宋体" w:cs="宋体"/>
                <w:b/>
                <w:color w:val="auto"/>
                <w:highlight w:val="none"/>
                <w:lang w:eastAsia="zh-CN" w:bidi="ar"/>
              </w:rPr>
              <w:t>房屋</w:t>
            </w:r>
            <w:r>
              <w:rPr>
                <w:rFonts w:hint="eastAsia" w:ascii="宋体" w:hAnsi="宋体" w:cs="宋体"/>
                <w:b/>
                <w:color w:val="auto"/>
                <w:highlight w:val="none"/>
                <w:lang w:bidi="ar"/>
              </w:rPr>
              <w:t>租赁合同</w:t>
            </w:r>
            <w:r>
              <w:rPr>
                <w:rFonts w:hint="eastAsia" w:ascii="宋体" w:hAnsi="宋体" w:cs="宋体"/>
                <w:b/>
                <w:color w:val="auto"/>
                <w:highlight w:val="none"/>
                <w:lang w:val="en-US" w:eastAsia="zh-CN" w:bidi="ar"/>
              </w:rPr>
              <w:t>复印件加盖公章</w:t>
            </w:r>
            <w:r>
              <w:rPr>
                <w:rFonts w:hint="eastAsia" w:ascii="宋体" w:hAnsi="宋体" w:cs="宋体"/>
                <w:b/>
                <w:bCs/>
                <w:color w:val="auto"/>
                <w:highlight w:val="none"/>
                <w:lang w:val="en-US" w:eastAsia="zh-CN"/>
              </w:rPr>
              <w:t>编制至投标文件中</w:t>
            </w:r>
            <w:r>
              <w:rPr>
                <w:rFonts w:hint="eastAsia" w:ascii="宋体" w:hAnsi="宋体" w:cs="宋体"/>
                <w:b/>
                <w:color w:val="auto"/>
                <w:highlight w:val="none"/>
                <w:lang w:bidi="ar"/>
              </w:rPr>
              <w:t>，如提供的证明材料反映不出相关数据的，不得分）</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295A8920">
            <w:pPr>
              <w:widowControl/>
              <w:jc w:val="center"/>
              <w:rPr>
                <w:rFonts w:ascii="宋体" w:hAnsi="宋体" w:cs="宋体"/>
                <w:bCs/>
                <w:color w:val="auto"/>
                <w:highlight w:val="none"/>
                <w:lang w:bidi="ar"/>
              </w:rPr>
            </w:pPr>
            <w:r>
              <w:rPr>
                <w:rFonts w:hint="eastAsia" w:ascii="宋体" w:hAnsi="宋体" w:cs="宋体"/>
                <w:bCs/>
                <w:color w:val="auto"/>
                <w:highlight w:val="none"/>
                <w:lang w:bidi="ar"/>
              </w:rPr>
              <w:t>3</w:t>
            </w:r>
          </w:p>
        </w:tc>
      </w:tr>
      <w:tr w14:paraId="05BF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295" w:type="pct"/>
            <w:vMerge w:val="continue"/>
            <w:tcBorders>
              <w:left w:val="single" w:color="auto" w:sz="4" w:space="0"/>
              <w:right w:val="single" w:color="auto" w:sz="4" w:space="0"/>
            </w:tcBorders>
            <w:noWrap w:val="0"/>
            <w:vAlign w:val="center"/>
          </w:tcPr>
          <w:p w14:paraId="5BDE92BD">
            <w:pPr>
              <w:jc w:val="center"/>
              <w:rPr>
                <w:rFonts w:hint="eastAsia" w:ascii="宋体" w:hAnsi="宋体" w:cs="宋体"/>
                <w:color w:val="auto"/>
                <w:highlight w:val="none"/>
              </w:rPr>
            </w:pPr>
          </w:p>
        </w:tc>
        <w:tc>
          <w:tcPr>
            <w:tcW w:w="409" w:type="pct"/>
            <w:vMerge w:val="continue"/>
            <w:tcBorders>
              <w:left w:val="single" w:color="auto" w:sz="4" w:space="0"/>
              <w:right w:val="single" w:color="auto" w:sz="4" w:space="0"/>
            </w:tcBorders>
            <w:noWrap w:val="0"/>
            <w:vAlign w:val="center"/>
          </w:tcPr>
          <w:p w14:paraId="707465DF">
            <w:pPr>
              <w:widowControl/>
              <w:jc w:val="center"/>
              <w:rPr>
                <w:rFonts w:hint="eastAsia" w:ascii="宋体" w:hAnsi="宋体" w:cs="宋体"/>
                <w:bCs/>
                <w:color w:val="auto"/>
                <w:highlight w:val="none"/>
                <w:lang w:bidi="ar"/>
              </w:rPr>
            </w:pPr>
          </w:p>
        </w:tc>
        <w:tc>
          <w:tcPr>
            <w:tcW w:w="365" w:type="pct"/>
            <w:tcBorders>
              <w:left w:val="single" w:color="auto" w:sz="4" w:space="0"/>
              <w:right w:val="single" w:color="auto" w:sz="4" w:space="0"/>
            </w:tcBorders>
            <w:noWrap w:val="0"/>
            <w:vAlign w:val="center"/>
          </w:tcPr>
          <w:p w14:paraId="6B1940BF">
            <w:pPr>
              <w:widowControl/>
              <w:jc w:val="center"/>
              <w:rPr>
                <w:rFonts w:hint="eastAsia" w:ascii="宋体" w:hAnsi="宋体" w:cs="宋体"/>
                <w:bCs/>
                <w:color w:val="auto"/>
                <w:highlight w:val="none"/>
                <w:lang w:bidi="ar"/>
              </w:rPr>
            </w:pPr>
            <w:r>
              <w:rPr>
                <w:rFonts w:hint="eastAsia" w:ascii="宋体" w:hAnsi="宋体" w:cs="宋体"/>
                <w:b/>
                <w:color w:val="auto"/>
                <w:highlight w:val="none"/>
                <w:lang w:bidi="ar"/>
              </w:rPr>
              <w:t>仪器设备</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3B71368B">
            <w:pPr>
              <w:widowControl/>
              <w:spacing w:line="240" w:lineRule="auto"/>
              <w:jc w:val="left"/>
              <w:rPr>
                <w:rFonts w:hint="eastAsia" w:ascii="宋体" w:hAnsi="宋体" w:cs="宋体"/>
                <w:color w:val="auto"/>
                <w:highlight w:val="none"/>
              </w:rPr>
            </w:pPr>
            <w:r>
              <w:rPr>
                <w:rFonts w:hint="eastAsia" w:ascii="宋体" w:hAnsi="宋体" w:cs="宋体"/>
                <w:color w:val="auto"/>
                <w:highlight w:val="none"/>
              </w:rPr>
              <w:t>投标人具有的监测类仪器、设备</w:t>
            </w:r>
            <w:r>
              <w:rPr>
                <w:rFonts w:hint="eastAsia" w:ascii="宋体" w:hAnsi="宋体" w:cs="宋体"/>
                <w:color w:val="auto"/>
                <w:highlight w:val="none"/>
                <w:lang w:val="en-US" w:eastAsia="zh-CN"/>
              </w:rPr>
              <w:t>的</w:t>
            </w:r>
            <w:r>
              <w:rPr>
                <w:rFonts w:hint="eastAsia" w:ascii="宋体" w:hAnsi="宋体" w:cs="宋体"/>
                <w:color w:val="auto"/>
                <w:highlight w:val="none"/>
              </w:rPr>
              <w:t>原值 300（含）-500（不含）万元的得2分；原值500（含）-1000（不含）万元的得3分；原值1000万元（含）以上的得5分。</w:t>
            </w:r>
          </w:p>
          <w:p w14:paraId="133304DA">
            <w:pPr>
              <w:widowControl/>
              <w:jc w:val="left"/>
              <w:rPr>
                <w:rFonts w:ascii="宋体" w:hAnsi="宋体" w:cs="宋体"/>
                <w:bCs/>
                <w:color w:val="auto"/>
                <w:highlight w:val="none"/>
                <w:lang w:bidi="ar"/>
              </w:rPr>
            </w:pPr>
            <w:r>
              <w:rPr>
                <w:rFonts w:hint="eastAsia" w:ascii="宋体" w:hAnsi="宋体" w:cs="宋体"/>
                <w:b/>
                <w:color w:val="auto"/>
                <w:highlight w:val="none"/>
                <w:lang w:bidi="ar"/>
              </w:rPr>
              <w:t>（提供仪器设备明细表、需检定/校准的设备要提供由第三方计量单位出具的仪器设备检定/校准证书、所有仪器设备的购置发票</w:t>
            </w:r>
            <w:r>
              <w:rPr>
                <w:rFonts w:hint="eastAsia" w:ascii="宋体" w:hAnsi="宋体" w:cs="宋体"/>
                <w:b/>
                <w:bCs/>
                <w:color w:val="auto"/>
                <w:highlight w:val="none"/>
                <w:lang w:val="en-US" w:eastAsia="zh-CN"/>
              </w:rPr>
              <w:t>复印件加盖公章编制至投标文件中</w:t>
            </w:r>
            <w:r>
              <w:rPr>
                <w:rFonts w:hint="eastAsia" w:ascii="宋体" w:hAnsi="宋体" w:cs="宋体"/>
                <w:b/>
                <w:color w:val="auto"/>
                <w:highlight w:val="none"/>
                <w:lang w:bidi="ar"/>
              </w:rPr>
              <w:t>）</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2E2747CB">
            <w:pPr>
              <w:widowControl/>
              <w:jc w:val="center"/>
              <w:rPr>
                <w:rFonts w:hint="eastAsia" w:ascii="宋体" w:hAnsi="宋体" w:cs="宋体"/>
                <w:bCs/>
                <w:color w:val="auto"/>
                <w:highlight w:val="none"/>
                <w:lang w:bidi="ar"/>
              </w:rPr>
            </w:pPr>
            <w:r>
              <w:rPr>
                <w:rFonts w:hint="eastAsia" w:ascii="宋体" w:hAnsi="宋体" w:cs="宋体"/>
                <w:bCs/>
                <w:color w:val="auto"/>
                <w:highlight w:val="none"/>
                <w:lang w:bidi="ar"/>
              </w:rPr>
              <w:t>5</w:t>
            </w:r>
          </w:p>
        </w:tc>
      </w:tr>
      <w:tr w14:paraId="7D0F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95" w:type="pct"/>
            <w:vMerge w:val="continue"/>
            <w:tcBorders>
              <w:left w:val="single" w:color="auto" w:sz="4" w:space="0"/>
              <w:right w:val="single" w:color="auto" w:sz="4" w:space="0"/>
            </w:tcBorders>
            <w:noWrap w:val="0"/>
            <w:vAlign w:val="center"/>
          </w:tcPr>
          <w:p w14:paraId="57FEA25F">
            <w:pPr>
              <w:jc w:val="center"/>
              <w:rPr>
                <w:rFonts w:hint="eastAsia" w:ascii="宋体" w:hAnsi="宋体" w:cs="宋体"/>
                <w:color w:val="auto"/>
                <w:highlight w:val="none"/>
              </w:rPr>
            </w:pPr>
          </w:p>
        </w:tc>
        <w:tc>
          <w:tcPr>
            <w:tcW w:w="409" w:type="pct"/>
            <w:vMerge w:val="continue"/>
            <w:tcBorders>
              <w:left w:val="single" w:color="auto" w:sz="4" w:space="0"/>
              <w:right w:val="single" w:color="auto" w:sz="4" w:space="0"/>
            </w:tcBorders>
            <w:noWrap w:val="0"/>
            <w:vAlign w:val="center"/>
          </w:tcPr>
          <w:p w14:paraId="2FBBB4F1">
            <w:pPr>
              <w:widowControl/>
              <w:jc w:val="center"/>
              <w:rPr>
                <w:rFonts w:hint="eastAsia" w:ascii="宋体" w:hAnsi="宋体" w:cs="宋体"/>
                <w:bCs/>
                <w:color w:val="auto"/>
                <w:highlight w:val="none"/>
                <w:lang w:bidi="ar"/>
              </w:rPr>
            </w:pPr>
          </w:p>
        </w:tc>
        <w:tc>
          <w:tcPr>
            <w:tcW w:w="365" w:type="pct"/>
            <w:tcBorders>
              <w:left w:val="single" w:color="auto" w:sz="4" w:space="0"/>
              <w:right w:val="single" w:color="auto" w:sz="4" w:space="0"/>
            </w:tcBorders>
            <w:noWrap w:val="0"/>
            <w:vAlign w:val="center"/>
          </w:tcPr>
          <w:p w14:paraId="69BA34C6">
            <w:pPr>
              <w:widowControl/>
              <w:jc w:val="center"/>
              <w:rPr>
                <w:rFonts w:ascii="宋体" w:hAnsi="宋体" w:cs="宋体"/>
                <w:bCs/>
                <w:color w:val="auto"/>
                <w:highlight w:val="none"/>
                <w:lang w:bidi="ar"/>
              </w:rPr>
            </w:pPr>
            <w:r>
              <w:rPr>
                <w:rFonts w:hint="eastAsia" w:ascii="宋体" w:hAnsi="宋体" w:cs="宋体"/>
                <w:b/>
                <w:color w:val="auto"/>
                <w:highlight w:val="none"/>
                <w:lang w:bidi="ar"/>
              </w:rPr>
              <w:t>方法检出限及检测能力</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305F2508">
            <w:pPr>
              <w:widowControl/>
              <w:jc w:val="left"/>
              <w:rPr>
                <w:rFonts w:hint="eastAsia" w:ascii="宋体" w:hAnsi="宋体" w:cs="宋体"/>
                <w:bCs/>
                <w:color w:val="auto"/>
                <w:highlight w:val="none"/>
                <w:lang w:bidi="ar"/>
              </w:rPr>
            </w:pPr>
            <w:r>
              <w:rPr>
                <w:rFonts w:hint="eastAsia" w:ascii="宋体" w:hAnsi="宋体" w:cs="宋体"/>
                <w:bCs/>
                <w:color w:val="auto"/>
                <w:highlight w:val="none"/>
                <w:lang w:bidi="ar"/>
              </w:rPr>
              <w:t>实验室检测项目在满足本项目需求的基础上，方法检出限应满足国家标准检测方法检出限要求。</w:t>
            </w:r>
            <w:r>
              <w:rPr>
                <w:rFonts w:hint="eastAsia" w:ascii="宋体" w:hAnsi="宋体" w:cs="宋体"/>
                <w:bCs/>
                <w:color w:val="auto"/>
                <w:highlight w:val="none"/>
                <w:lang w:val="en-US" w:eastAsia="zh-CN" w:bidi="ar"/>
              </w:rPr>
              <w:t>环境</w:t>
            </w:r>
            <w:r>
              <w:rPr>
                <w:rFonts w:hint="eastAsia" w:ascii="宋体" w:hAnsi="宋体" w:cs="宋体"/>
                <w:bCs/>
                <w:color w:val="auto"/>
                <w:highlight w:val="none"/>
                <w:lang w:bidi="ar"/>
              </w:rPr>
              <w:t>检验能力项≥350项的，得8分；350项＞检验能力项≥250项的，得5分，250项＞检验能力项≥150项的，得2分，检验能力项＜150项的，不得分（不计拆分项）。</w:t>
            </w:r>
          </w:p>
          <w:p w14:paraId="0849273B">
            <w:pPr>
              <w:widowControl/>
              <w:jc w:val="left"/>
              <w:rPr>
                <w:rFonts w:hint="eastAsia" w:ascii="宋体" w:hAnsi="宋体" w:cs="宋体"/>
                <w:bCs/>
                <w:color w:val="auto"/>
                <w:highlight w:val="none"/>
                <w:lang w:bidi="ar"/>
              </w:rPr>
            </w:pPr>
            <w:r>
              <w:rPr>
                <w:rFonts w:hint="eastAsia" w:ascii="宋体" w:hAnsi="宋体" w:cs="宋体"/>
                <w:b/>
                <w:color w:val="auto"/>
                <w:highlight w:val="none"/>
                <w:lang w:bidi="ar"/>
              </w:rPr>
              <w:t>（提供有效期内CMA检验检测机构资质认定证书中的附表</w:t>
            </w:r>
            <w:r>
              <w:rPr>
                <w:rFonts w:hint="eastAsia" w:ascii="宋体" w:hAnsi="宋体" w:cs="宋体"/>
                <w:b/>
                <w:bCs/>
                <w:color w:val="auto"/>
                <w:highlight w:val="none"/>
                <w:lang w:val="en-US" w:eastAsia="zh-CN"/>
              </w:rPr>
              <w:t>复印件加盖公章编制至投标文件中</w:t>
            </w:r>
            <w:r>
              <w:rPr>
                <w:rFonts w:hint="eastAsia" w:ascii="宋体" w:hAnsi="宋体" w:cs="宋体"/>
                <w:b/>
                <w:color w:val="auto"/>
                <w:highlight w:val="none"/>
                <w:lang w:bidi="ar"/>
              </w:rPr>
              <w:t>，并标注检验能力项数量）</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60D89F63">
            <w:pPr>
              <w:widowControl/>
              <w:jc w:val="center"/>
              <w:rPr>
                <w:rFonts w:hint="eastAsia" w:ascii="宋体" w:hAnsi="宋体" w:cs="宋体"/>
                <w:bCs/>
                <w:color w:val="auto"/>
                <w:highlight w:val="none"/>
                <w:lang w:bidi="ar"/>
              </w:rPr>
            </w:pPr>
            <w:r>
              <w:rPr>
                <w:rFonts w:hint="eastAsia" w:ascii="宋体" w:hAnsi="宋体" w:cs="宋体"/>
                <w:bCs/>
                <w:color w:val="auto"/>
                <w:highlight w:val="none"/>
                <w:lang w:bidi="ar"/>
              </w:rPr>
              <w:t>8</w:t>
            </w:r>
          </w:p>
        </w:tc>
      </w:tr>
      <w:tr w14:paraId="2925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5" w:type="pct"/>
            <w:vMerge w:val="continue"/>
            <w:tcBorders>
              <w:left w:val="single" w:color="auto" w:sz="4" w:space="0"/>
              <w:right w:val="single" w:color="auto" w:sz="4" w:space="0"/>
            </w:tcBorders>
            <w:noWrap w:val="0"/>
            <w:vAlign w:val="center"/>
          </w:tcPr>
          <w:p w14:paraId="45F8C25E">
            <w:pPr>
              <w:jc w:val="center"/>
              <w:rPr>
                <w:rFonts w:hint="eastAsia" w:ascii="宋体" w:hAnsi="宋体" w:cs="宋体"/>
                <w:color w:val="auto"/>
                <w:highlight w:val="none"/>
              </w:rPr>
            </w:pPr>
          </w:p>
        </w:tc>
        <w:tc>
          <w:tcPr>
            <w:tcW w:w="409" w:type="pct"/>
            <w:vMerge w:val="continue"/>
            <w:tcBorders>
              <w:left w:val="single" w:color="auto" w:sz="4" w:space="0"/>
              <w:right w:val="single" w:color="auto" w:sz="4" w:space="0"/>
            </w:tcBorders>
            <w:noWrap w:val="0"/>
            <w:vAlign w:val="center"/>
          </w:tcPr>
          <w:p w14:paraId="2957CFEE">
            <w:pPr>
              <w:widowControl/>
              <w:jc w:val="center"/>
              <w:rPr>
                <w:rFonts w:hint="eastAsia" w:ascii="宋体" w:hAnsi="宋体" w:cs="宋体"/>
                <w:bCs/>
                <w:color w:val="auto"/>
                <w:highlight w:val="none"/>
                <w:lang w:bidi="ar"/>
              </w:rPr>
            </w:pPr>
          </w:p>
        </w:tc>
        <w:tc>
          <w:tcPr>
            <w:tcW w:w="365" w:type="pct"/>
            <w:tcBorders>
              <w:left w:val="single" w:color="auto" w:sz="4" w:space="0"/>
              <w:right w:val="single" w:color="auto" w:sz="4" w:space="0"/>
            </w:tcBorders>
            <w:noWrap w:val="0"/>
            <w:vAlign w:val="center"/>
          </w:tcPr>
          <w:p w14:paraId="2527292F">
            <w:pPr>
              <w:widowControl/>
              <w:jc w:val="center"/>
              <w:rPr>
                <w:rFonts w:hint="eastAsia" w:ascii="宋体" w:hAnsi="宋体" w:cs="宋体"/>
                <w:bCs/>
                <w:color w:val="auto"/>
                <w:highlight w:val="none"/>
                <w:lang w:bidi="ar"/>
              </w:rPr>
            </w:pPr>
            <w:r>
              <w:rPr>
                <w:rFonts w:hint="eastAsia" w:ascii="宋体" w:hAnsi="宋体" w:cs="宋体"/>
                <w:b/>
                <w:color w:val="auto"/>
                <w:highlight w:val="none"/>
                <w:lang w:bidi="ar"/>
              </w:rPr>
              <w:t>质量控制体系文件</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3DD42474">
            <w:pPr>
              <w:widowControl/>
              <w:jc w:val="left"/>
              <w:rPr>
                <w:rFonts w:hint="eastAsia" w:ascii="宋体" w:hAnsi="宋体" w:cs="宋体"/>
                <w:bCs/>
                <w:color w:val="auto"/>
                <w:highlight w:val="none"/>
                <w:lang w:bidi="ar"/>
              </w:rPr>
            </w:pPr>
            <w:r>
              <w:rPr>
                <w:rFonts w:hint="eastAsia" w:ascii="宋体" w:hAnsi="宋体" w:cs="宋体"/>
                <w:bCs/>
                <w:color w:val="auto"/>
                <w:highlight w:val="none"/>
                <w:lang w:bidi="ar"/>
              </w:rPr>
              <w:t>实验室建立完备的质量控制体系，投标人提供根据最新版《检验检测机构</w:t>
            </w:r>
            <w:r>
              <w:rPr>
                <w:rFonts w:hint="eastAsia" w:ascii="宋体" w:hAnsi="宋体" w:cs="宋体"/>
                <w:bCs/>
                <w:color w:val="auto"/>
                <w:highlight w:val="none"/>
                <w:lang w:eastAsia="zh-CN" w:bidi="ar"/>
              </w:rPr>
              <w:t>质量</w:t>
            </w:r>
            <w:r>
              <w:rPr>
                <w:rFonts w:hint="eastAsia" w:ascii="宋体" w:hAnsi="宋体" w:cs="宋体"/>
                <w:bCs/>
                <w:color w:val="auto"/>
                <w:highlight w:val="none"/>
                <w:lang w:bidi="ar"/>
              </w:rPr>
              <w:t>认定评审准则》的要求及时改版的《质量手册》与《程序文件》的，得</w:t>
            </w:r>
            <w:r>
              <w:rPr>
                <w:rFonts w:hint="eastAsia" w:ascii="宋体" w:hAnsi="宋体" w:cs="宋体"/>
                <w:bCs/>
                <w:color w:val="auto"/>
                <w:highlight w:val="none"/>
                <w:lang w:val="en-US" w:eastAsia="zh-CN" w:bidi="ar"/>
              </w:rPr>
              <w:t>2</w:t>
            </w:r>
            <w:r>
              <w:rPr>
                <w:rFonts w:hint="eastAsia" w:ascii="宋体" w:hAnsi="宋体" w:cs="宋体"/>
                <w:bCs/>
                <w:color w:val="auto"/>
                <w:highlight w:val="none"/>
                <w:lang w:bidi="ar"/>
              </w:rPr>
              <w:t>分。</w:t>
            </w:r>
            <w:r>
              <w:rPr>
                <w:rFonts w:hint="eastAsia" w:ascii="宋体" w:hAnsi="宋体" w:cs="宋体"/>
                <w:b/>
                <w:color w:val="auto"/>
                <w:highlight w:val="none"/>
                <w:lang w:bidi="ar"/>
              </w:rPr>
              <w:t>（提供《质量手册》与《程序文件》</w:t>
            </w:r>
            <w:r>
              <w:rPr>
                <w:rFonts w:hint="eastAsia" w:ascii="宋体" w:hAnsi="宋体" w:cs="宋体"/>
                <w:b/>
                <w:bCs/>
                <w:color w:val="auto"/>
                <w:highlight w:val="none"/>
                <w:lang w:val="en-US" w:eastAsia="zh-CN"/>
              </w:rPr>
              <w:t>复印件加盖公章编制至投标文件中</w:t>
            </w:r>
            <w:r>
              <w:rPr>
                <w:rFonts w:hint="eastAsia" w:ascii="宋体" w:hAnsi="宋体" w:cs="宋体"/>
                <w:b/>
                <w:color w:val="auto"/>
                <w:highlight w:val="none"/>
                <w:lang w:bidi="ar"/>
              </w:rPr>
              <w:t>）</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2E3886E3">
            <w:pPr>
              <w:widowControl/>
              <w:jc w:val="center"/>
              <w:rPr>
                <w:rFonts w:hint="eastAsia" w:ascii="宋体" w:hAnsi="宋体" w:eastAsia="宋体" w:cs="宋体"/>
                <w:bCs/>
                <w:color w:val="auto"/>
                <w:highlight w:val="none"/>
                <w:lang w:eastAsia="zh-CN" w:bidi="ar"/>
              </w:rPr>
            </w:pPr>
            <w:r>
              <w:rPr>
                <w:rFonts w:hint="eastAsia" w:ascii="宋体" w:hAnsi="宋体" w:cs="宋体"/>
                <w:bCs/>
                <w:color w:val="auto"/>
                <w:highlight w:val="none"/>
                <w:lang w:val="en-US" w:eastAsia="zh-CN" w:bidi="ar"/>
              </w:rPr>
              <w:t>2</w:t>
            </w:r>
          </w:p>
        </w:tc>
      </w:tr>
      <w:tr w14:paraId="211A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295" w:type="pct"/>
            <w:vMerge w:val="continue"/>
            <w:tcBorders>
              <w:left w:val="single" w:color="auto" w:sz="4" w:space="0"/>
              <w:right w:val="single" w:color="auto" w:sz="4" w:space="0"/>
            </w:tcBorders>
            <w:noWrap w:val="0"/>
            <w:vAlign w:val="center"/>
          </w:tcPr>
          <w:p w14:paraId="1378A74A">
            <w:pPr>
              <w:jc w:val="center"/>
              <w:rPr>
                <w:rFonts w:hint="eastAsia" w:ascii="宋体" w:hAnsi="宋体" w:cs="宋体"/>
                <w:color w:val="auto"/>
                <w:highlight w:val="none"/>
              </w:rPr>
            </w:pPr>
          </w:p>
        </w:tc>
        <w:tc>
          <w:tcPr>
            <w:tcW w:w="409" w:type="pct"/>
            <w:vMerge w:val="continue"/>
            <w:tcBorders>
              <w:left w:val="single" w:color="auto" w:sz="4" w:space="0"/>
              <w:right w:val="single" w:color="auto" w:sz="4" w:space="0"/>
            </w:tcBorders>
            <w:noWrap w:val="0"/>
            <w:vAlign w:val="center"/>
          </w:tcPr>
          <w:p w14:paraId="359CFC61">
            <w:pPr>
              <w:widowControl/>
              <w:jc w:val="center"/>
              <w:rPr>
                <w:rFonts w:hint="eastAsia" w:ascii="宋体" w:hAnsi="宋体" w:cs="宋体"/>
                <w:bCs/>
                <w:color w:val="auto"/>
                <w:highlight w:val="none"/>
                <w:lang w:bidi="ar"/>
              </w:rPr>
            </w:pPr>
          </w:p>
        </w:tc>
        <w:tc>
          <w:tcPr>
            <w:tcW w:w="365" w:type="pct"/>
            <w:tcBorders>
              <w:left w:val="single" w:color="auto" w:sz="4" w:space="0"/>
              <w:right w:val="single" w:color="auto" w:sz="4" w:space="0"/>
            </w:tcBorders>
            <w:noWrap w:val="0"/>
            <w:vAlign w:val="center"/>
          </w:tcPr>
          <w:p w14:paraId="37865E6B">
            <w:pPr>
              <w:widowControl/>
              <w:jc w:val="center"/>
              <w:rPr>
                <w:rFonts w:hint="eastAsia" w:ascii="宋体" w:hAnsi="宋体" w:cs="宋体"/>
                <w:bCs/>
                <w:color w:val="auto"/>
                <w:highlight w:val="none"/>
                <w:lang w:bidi="ar"/>
              </w:rPr>
            </w:pPr>
            <w:r>
              <w:rPr>
                <w:rFonts w:hint="eastAsia" w:ascii="宋体" w:hAnsi="宋体" w:cs="宋体"/>
                <w:b/>
                <w:color w:val="auto"/>
                <w:highlight w:val="none"/>
                <w:lang w:bidi="ar"/>
              </w:rPr>
              <w:t>项目组人员</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456C6BD8">
            <w:pPr>
              <w:widowControl/>
              <w:jc w:val="left"/>
              <w:rPr>
                <w:rFonts w:hint="eastAsia" w:ascii="宋体" w:hAnsi="宋体" w:cs="宋体"/>
                <w:bCs/>
                <w:color w:val="auto"/>
                <w:highlight w:val="none"/>
                <w:lang w:bidi="ar"/>
              </w:rPr>
            </w:pPr>
            <w:r>
              <w:rPr>
                <w:rFonts w:hint="eastAsia" w:ascii="宋体" w:hAnsi="宋体" w:cs="宋体"/>
                <w:bCs/>
                <w:color w:val="auto"/>
                <w:highlight w:val="none"/>
                <w:lang w:bidi="ar"/>
              </w:rPr>
              <w:t>投标人拟派的授权签字人、质量负责人、技术负责人具有中级及以上职称的，每有1人得1分，同一个人不重复得分，最多得3分。</w:t>
            </w:r>
          </w:p>
          <w:p w14:paraId="250FF514">
            <w:pPr>
              <w:widowControl/>
              <w:jc w:val="left"/>
              <w:rPr>
                <w:rFonts w:hint="eastAsia" w:ascii="宋体" w:hAnsi="宋体" w:cs="宋体"/>
                <w:bCs/>
                <w:color w:val="auto"/>
                <w:highlight w:val="none"/>
                <w:lang w:bidi="ar"/>
              </w:rPr>
            </w:pPr>
            <w:r>
              <w:rPr>
                <w:rFonts w:hint="eastAsia" w:ascii="宋体" w:hAnsi="宋体" w:cs="宋体"/>
                <w:b/>
                <w:color w:val="auto"/>
                <w:highlight w:val="none"/>
                <w:lang w:bidi="ar"/>
              </w:rPr>
              <w:t>（提供以上人员职称证书，由社保机构出具近三个月202</w:t>
            </w:r>
            <w:r>
              <w:rPr>
                <w:rFonts w:hint="eastAsia" w:ascii="宋体" w:hAnsi="宋体" w:cs="宋体"/>
                <w:b/>
                <w:color w:val="auto"/>
                <w:highlight w:val="none"/>
                <w:lang w:val="en-US" w:eastAsia="zh-CN" w:bidi="ar"/>
              </w:rPr>
              <w:t>6</w:t>
            </w:r>
            <w:r>
              <w:rPr>
                <w:rFonts w:hint="eastAsia" w:ascii="宋体" w:hAnsi="宋体" w:cs="宋体"/>
                <w:b/>
                <w:color w:val="auto"/>
                <w:highlight w:val="none"/>
                <w:lang w:bidi="ar"/>
              </w:rPr>
              <w:t>年</w:t>
            </w:r>
            <w:r>
              <w:rPr>
                <w:rFonts w:hint="eastAsia" w:ascii="宋体" w:hAnsi="宋体" w:cs="宋体"/>
                <w:b/>
                <w:color w:val="auto"/>
                <w:highlight w:val="none"/>
                <w:lang w:val="en-US" w:eastAsia="zh-CN" w:bidi="ar"/>
              </w:rPr>
              <w:t>1</w:t>
            </w:r>
            <w:r>
              <w:rPr>
                <w:rFonts w:hint="eastAsia" w:ascii="宋体" w:hAnsi="宋体" w:cs="宋体"/>
                <w:b/>
                <w:color w:val="auto"/>
                <w:highlight w:val="none"/>
                <w:lang w:bidi="ar"/>
              </w:rPr>
              <w:t>至202</w:t>
            </w:r>
            <w:r>
              <w:rPr>
                <w:rFonts w:hint="eastAsia" w:ascii="宋体" w:hAnsi="宋体" w:cs="宋体"/>
                <w:b/>
                <w:color w:val="auto"/>
                <w:highlight w:val="none"/>
                <w:lang w:val="en-US" w:eastAsia="zh-CN" w:bidi="ar"/>
              </w:rPr>
              <w:t>6</w:t>
            </w:r>
            <w:r>
              <w:rPr>
                <w:rFonts w:hint="eastAsia" w:ascii="宋体" w:hAnsi="宋体" w:cs="宋体"/>
                <w:b/>
                <w:color w:val="auto"/>
                <w:highlight w:val="none"/>
                <w:lang w:bidi="ar"/>
              </w:rPr>
              <w:t>年</w:t>
            </w:r>
            <w:r>
              <w:rPr>
                <w:rFonts w:hint="eastAsia" w:ascii="宋体" w:hAnsi="宋体" w:cs="宋体"/>
                <w:b/>
                <w:color w:val="auto"/>
                <w:highlight w:val="none"/>
                <w:lang w:val="en-US" w:eastAsia="zh-CN" w:bidi="ar"/>
              </w:rPr>
              <w:t>3</w:t>
            </w:r>
            <w:r>
              <w:rPr>
                <w:rFonts w:hint="eastAsia" w:ascii="宋体" w:hAnsi="宋体" w:cs="宋体"/>
                <w:b/>
                <w:color w:val="auto"/>
                <w:highlight w:val="none"/>
                <w:lang w:bidi="ar"/>
              </w:rPr>
              <w:t>月中任意一个月投标人为其缴纳的社保缴费证明材料，并加盖社保中心</w:t>
            </w:r>
            <w:r>
              <w:rPr>
                <w:rFonts w:hint="eastAsia" w:ascii="宋体" w:hAnsi="宋体" w:cs="宋体"/>
                <w:b/>
                <w:color w:val="auto"/>
                <w:highlight w:val="none"/>
                <w:lang w:val="en-US" w:eastAsia="zh-CN" w:bidi="ar"/>
              </w:rPr>
              <w:t>公</w:t>
            </w:r>
            <w:r>
              <w:rPr>
                <w:rFonts w:hint="eastAsia" w:ascii="宋体" w:hAnsi="宋体" w:cs="宋体"/>
                <w:b/>
                <w:color w:val="auto"/>
                <w:highlight w:val="none"/>
                <w:lang w:bidi="ar"/>
              </w:rPr>
              <w:t>章或社保中心参保缴费证明电子专用章</w:t>
            </w:r>
            <w:r>
              <w:rPr>
                <w:rFonts w:hint="eastAsia" w:ascii="宋体" w:hAnsi="宋体" w:cs="宋体"/>
                <w:b/>
                <w:bCs/>
                <w:color w:val="auto"/>
                <w:highlight w:val="none"/>
                <w:lang w:val="en-US" w:eastAsia="zh-CN"/>
              </w:rPr>
              <w:t>编制至投标文件中</w:t>
            </w:r>
            <w:r>
              <w:rPr>
                <w:rFonts w:hint="eastAsia" w:ascii="宋体" w:hAnsi="宋体" w:cs="宋体"/>
                <w:b/>
                <w:color w:val="auto"/>
                <w:highlight w:val="none"/>
                <w:lang w:bidi="ar"/>
              </w:rPr>
              <w:t>）</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28F8D8B5">
            <w:pPr>
              <w:widowControl/>
              <w:jc w:val="center"/>
              <w:rPr>
                <w:rFonts w:hint="eastAsia" w:ascii="宋体" w:hAnsi="宋体" w:cs="宋体"/>
                <w:bCs/>
                <w:color w:val="auto"/>
                <w:highlight w:val="none"/>
                <w:lang w:bidi="ar"/>
              </w:rPr>
            </w:pPr>
            <w:r>
              <w:rPr>
                <w:rFonts w:hint="eastAsia" w:ascii="宋体" w:hAnsi="宋体" w:cs="宋体"/>
                <w:bCs/>
                <w:color w:val="auto"/>
                <w:highlight w:val="none"/>
                <w:lang w:bidi="ar"/>
              </w:rPr>
              <w:t>3</w:t>
            </w:r>
          </w:p>
        </w:tc>
      </w:tr>
      <w:tr w14:paraId="4B13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95" w:type="pct"/>
            <w:vMerge w:val="continue"/>
            <w:tcBorders>
              <w:left w:val="single" w:color="auto" w:sz="4" w:space="0"/>
              <w:right w:val="single" w:color="auto" w:sz="4" w:space="0"/>
            </w:tcBorders>
            <w:noWrap w:val="0"/>
            <w:vAlign w:val="center"/>
          </w:tcPr>
          <w:p w14:paraId="2DE09FD2">
            <w:pPr>
              <w:jc w:val="center"/>
              <w:rPr>
                <w:rFonts w:hint="eastAsia" w:ascii="宋体" w:hAnsi="宋体" w:cs="宋体"/>
                <w:color w:val="auto"/>
                <w:highlight w:val="none"/>
              </w:rPr>
            </w:pPr>
          </w:p>
        </w:tc>
        <w:tc>
          <w:tcPr>
            <w:tcW w:w="409" w:type="pct"/>
            <w:vMerge w:val="continue"/>
            <w:tcBorders>
              <w:left w:val="single" w:color="auto" w:sz="4" w:space="0"/>
              <w:right w:val="single" w:color="auto" w:sz="4" w:space="0"/>
            </w:tcBorders>
            <w:noWrap w:val="0"/>
            <w:vAlign w:val="center"/>
          </w:tcPr>
          <w:p w14:paraId="51DD405D">
            <w:pPr>
              <w:widowControl/>
              <w:jc w:val="center"/>
              <w:rPr>
                <w:rFonts w:hint="eastAsia" w:ascii="宋体" w:hAnsi="宋体" w:cs="宋体"/>
                <w:bCs/>
                <w:color w:val="auto"/>
                <w:highlight w:val="none"/>
                <w:lang w:bidi="ar"/>
              </w:rPr>
            </w:pPr>
          </w:p>
        </w:tc>
        <w:tc>
          <w:tcPr>
            <w:tcW w:w="365" w:type="pct"/>
            <w:tcBorders>
              <w:left w:val="single" w:color="auto" w:sz="4" w:space="0"/>
              <w:right w:val="single" w:color="auto" w:sz="4" w:space="0"/>
            </w:tcBorders>
            <w:noWrap w:val="0"/>
            <w:vAlign w:val="center"/>
          </w:tcPr>
          <w:p w14:paraId="37F9D13E">
            <w:pPr>
              <w:widowControl/>
              <w:jc w:val="center"/>
              <w:rPr>
                <w:rFonts w:ascii="宋体" w:hAnsi="宋体" w:cs="宋体"/>
                <w:b/>
                <w:color w:val="auto"/>
                <w:highlight w:val="none"/>
                <w:lang w:bidi="ar"/>
              </w:rPr>
            </w:pPr>
            <w:r>
              <w:rPr>
                <w:rFonts w:hint="eastAsia" w:ascii="宋体" w:hAnsi="宋体" w:cs="宋体"/>
                <w:b/>
                <w:color w:val="auto"/>
                <w:highlight w:val="none"/>
                <w:lang w:bidi="ar"/>
              </w:rPr>
              <w:t>能力验证</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06BA9AE6">
            <w:pPr>
              <w:spacing w:line="264" w:lineRule="auto"/>
              <w:rPr>
                <w:rFonts w:hint="eastAsia" w:ascii="宋体" w:hAnsi="宋体" w:cs="宋体"/>
                <w:color w:val="auto"/>
                <w:highlight w:val="none"/>
              </w:rPr>
            </w:pPr>
            <w:r>
              <w:rPr>
                <w:rFonts w:hint="eastAsia" w:ascii="宋体" w:hAnsi="宋体" w:cs="宋体"/>
                <w:color w:val="auto"/>
                <w:highlight w:val="none"/>
              </w:rPr>
              <w:t>投标人202</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年参加省级及以上质量技术监督部门或环保部门组织的能力验证评定情况的，每合格一项得1分，最高得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615B5626">
            <w:pPr>
              <w:widowControl/>
              <w:jc w:val="left"/>
              <w:rPr>
                <w:rFonts w:hint="eastAsia" w:ascii="宋体" w:hAnsi="宋体" w:cs="宋体"/>
                <w:b/>
                <w:color w:val="auto"/>
                <w:highlight w:val="none"/>
                <w:lang w:bidi="ar"/>
              </w:rPr>
            </w:pPr>
            <w:r>
              <w:rPr>
                <w:rFonts w:hint="eastAsia" w:ascii="宋体" w:hAnsi="宋体" w:cs="宋体"/>
                <w:b/>
                <w:bCs/>
                <w:color w:val="auto"/>
                <w:highlight w:val="none"/>
              </w:rPr>
              <w:t>（提供能力验证结果证明材料</w:t>
            </w:r>
            <w:r>
              <w:rPr>
                <w:rFonts w:hint="eastAsia" w:ascii="宋体" w:hAnsi="宋体" w:cs="宋体"/>
                <w:b/>
                <w:bCs/>
                <w:color w:val="auto"/>
                <w:highlight w:val="none"/>
                <w:lang w:val="en-US" w:eastAsia="zh-CN"/>
              </w:rPr>
              <w:t>复印件加盖公章编制至投标文件中</w:t>
            </w:r>
            <w:r>
              <w:rPr>
                <w:rFonts w:hint="eastAsia" w:ascii="宋体" w:hAnsi="宋体" w:cs="宋体"/>
                <w:b/>
                <w:bCs/>
                <w:color w:val="auto"/>
                <w:highlight w:val="none"/>
              </w:rPr>
              <w:t>）</w:t>
            </w:r>
            <w:r>
              <w:rPr>
                <w:rFonts w:hint="eastAsia" w:ascii="宋体" w:hAnsi="宋体" w:cs="宋体"/>
                <w:color w:val="auto"/>
                <w:highlight w:val="none"/>
              </w:rPr>
              <w:t>。</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5A656656">
            <w:pPr>
              <w:widowControl/>
              <w:jc w:val="center"/>
              <w:rPr>
                <w:rFonts w:hint="eastAsia" w:ascii="宋体" w:hAnsi="宋体" w:eastAsia="宋体" w:cs="宋体"/>
                <w:bCs/>
                <w:color w:val="auto"/>
                <w:highlight w:val="none"/>
                <w:lang w:eastAsia="zh-CN" w:bidi="ar"/>
              </w:rPr>
            </w:pPr>
            <w:r>
              <w:rPr>
                <w:rFonts w:hint="eastAsia" w:ascii="宋体" w:hAnsi="宋体" w:cs="宋体"/>
                <w:bCs/>
                <w:color w:val="auto"/>
                <w:highlight w:val="none"/>
                <w:lang w:val="en-US" w:eastAsia="zh-CN" w:bidi="ar"/>
              </w:rPr>
              <w:t>3</w:t>
            </w:r>
          </w:p>
        </w:tc>
      </w:tr>
      <w:tr w14:paraId="0AB9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5" w:type="pct"/>
            <w:vMerge w:val="continue"/>
            <w:tcBorders>
              <w:left w:val="single" w:color="auto" w:sz="4" w:space="0"/>
              <w:right w:val="single" w:color="auto" w:sz="4" w:space="0"/>
            </w:tcBorders>
            <w:noWrap w:val="0"/>
            <w:vAlign w:val="center"/>
          </w:tcPr>
          <w:p w14:paraId="5A5FA134">
            <w:pPr>
              <w:jc w:val="center"/>
              <w:rPr>
                <w:rFonts w:hint="eastAsia" w:ascii="宋体" w:hAnsi="宋体" w:cs="宋体"/>
                <w:color w:val="auto"/>
                <w:highlight w:val="none"/>
              </w:rPr>
            </w:pPr>
          </w:p>
        </w:tc>
        <w:tc>
          <w:tcPr>
            <w:tcW w:w="409" w:type="pct"/>
            <w:vMerge w:val="continue"/>
            <w:tcBorders>
              <w:left w:val="single" w:color="auto" w:sz="4" w:space="0"/>
              <w:right w:val="single" w:color="auto" w:sz="4" w:space="0"/>
            </w:tcBorders>
            <w:noWrap w:val="0"/>
            <w:vAlign w:val="center"/>
          </w:tcPr>
          <w:p w14:paraId="0395F626">
            <w:pPr>
              <w:widowControl/>
              <w:jc w:val="center"/>
              <w:rPr>
                <w:rFonts w:hint="eastAsia" w:ascii="宋体" w:hAnsi="宋体" w:cs="宋体"/>
                <w:bCs/>
                <w:color w:val="auto"/>
                <w:highlight w:val="none"/>
                <w:lang w:bidi="ar"/>
              </w:rPr>
            </w:pPr>
          </w:p>
        </w:tc>
        <w:tc>
          <w:tcPr>
            <w:tcW w:w="365" w:type="pct"/>
            <w:tcBorders>
              <w:left w:val="single" w:color="auto" w:sz="4" w:space="0"/>
              <w:right w:val="single" w:color="auto" w:sz="4" w:space="0"/>
            </w:tcBorders>
            <w:noWrap w:val="0"/>
            <w:vAlign w:val="center"/>
          </w:tcPr>
          <w:p w14:paraId="25E24569">
            <w:pPr>
              <w:widowControl/>
              <w:jc w:val="center"/>
              <w:rPr>
                <w:rFonts w:hint="eastAsia" w:ascii="宋体" w:hAnsi="宋体" w:cs="宋体"/>
                <w:bCs/>
                <w:color w:val="auto"/>
                <w:highlight w:val="none"/>
                <w:lang w:bidi="ar"/>
              </w:rPr>
            </w:pPr>
            <w:r>
              <w:rPr>
                <w:rFonts w:hint="eastAsia" w:ascii="宋体" w:hAnsi="宋体" w:cs="宋体"/>
                <w:b/>
                <w:color w:val="auto"/>
                <w:highlight w:val="none"/>
                <w:lang w:bidi="ar"/>
              </w:rPr>
              <w:t>车辆</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4FF39619">
            <w:pPr>
              <w:widowControl/>
              <w:jc w:val="left"/>
              <w:rPr>
                <w:rFonts w:hint="eastAsia" w:ascii="宋体" w:hAnsi="宋体" w:cs="宋体"/>
                <w:bCs/>
                <w:color w:val="auto"/>
                <w:highlight w:val="none"/>
                <w:lang w:bidi="ar"/>
              </w:rPr>
            </w:pPr>
            <w:r>
              <w:rPr>
                <w:rFonts w:hint="eastAsia" w:ascii="宋体" w:hAnsi="宋体" w:cs="宋体"/>
                <w:bCs/>
                <w:color w:val="auto"/>
                <w:highlight w:val="none"/>
                <w:lang w:bidi="ar"/>
              </w:rPr>
              <w:t>用于本项目服务的投标人自有或租赁车辆每拥有2辆的，得1分，每增加2辆加1分，最高得3分。</w:t>
            </w:r>
            <w:r>
              <w:rPr>
                <w:rFonts w:hint="eastAsia" w:ascii="宋体" w:hAnsi="宋体" w:cs="宋体"/>
                <w:b/>
                <w:color w:val="auto"/>
                <w:highlight w:val="none"/>
                <w:lang w:bidi="ar"/>
              </w:rPr>
              <w:t>（如自有车辆需提供购车发票或行驶证</w:t>
            </w:r>
            <w:r>
              <w:rPr>
                <w:rFonts w:hint="eastAsia" w:ascii="宋体" w:hAnsi="宋体" w:cs="宋体"/>
                <w:b/>
                <w:bCs/>
                <w:color w:val="auto"/>
                <w:highlight w:val="none"/>
                <w:lang w:val="en-US" w:eastAsia="zh-CN"/>
              </w:rPr>
              <w:t>复印件加盖公章编制至投标文件中</w:t>
            </w:r>
            <w:r>
              <w:rPr>
                <w:rFonts w:hint="eastAsia" w:ascii="宋体" w:hAnsi="宋体" w:cs="宋体"/>
                <w:b/>
                <w:color w:val="auto"/>
                <w:highlight w:val="none"/>
                <w:lang w:bidi="ar"/>
              </w:rPr>
              <w:t>，如租赁车辆需提供行驶证、租赁协议</w:t>
            </w:r>
            <w:r>
              <w:rPr>
                <w:rFonts w:hint="eastAsia" w:ascii="宋体" w:hAnsi="宋体" w:cs="宋体"/>
                <w:b/>
                <w:bCs/>
                <w:color w:val="auto"/>
                <w:highlight w:val="none"/>
                <w:lang w:val="en-US" w:eastAsia="zh-CN"/>
              </w:rPr>
              <w:t>复印件加盖公章编制至投标文件中</w:t>
            </w:r>
            <w:r>
              <w:rPr>
                <w:rFonts w:hint="eastAsia" w:ascii="宋体" w:hAnsi="宋体" w:cs="宋体"/>
                <w:b/>
                <w:color w:val="auto"/>
                <w:highlight w:val="none"/>
                <w:lang w:bidi="ar"/>
              </w:rPr>
              <w:t>）</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0A6502F8">
            <w:pPr>
              <w:widowControl/>
              <w:jc w:val="center"/>
              <w:rPr>
                <w:rFonts w:hint="eastAsia" w:ascii="宋体" w:hAnsi="宋体" w:cs="宋体"/>
                <w:bCs/>
                <w:color w:val="auto"/>
                <w:highlight w:val="none"/>
                <w:lang w:bidi="ar"/>
              </w:rPr>
            </w:pPr>
            <w:r>
              <w:rPr>
                <w:rFonts w:hint="eastAsia" w:ascii="宋体" w:hAnsi="宋体" w:cs="宋体"/>
                <w:bCs/>
                <w:color w:val="auto"/>
                <w:highlight w:val="none"/>
                <w:lang w:bidi="ar"/>
              </w:rPr>
              <w:t>3</w:t>
            </w:r>
          </w:p>
        </w:tc>
      </w:tr>
      <w:tr w14:paraId="486B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95" w:type="pct"/>
            <w:vMerge w:val="restart"/>
            <w:tcBorders>
              <w:left w:val="single" w:color="auto" w:sz="4" w:space="0"/>
              <w:right w:val="single" w:color="auto" w:sz="4" w:space="0"/>
            </w:tcBorders>
            <w:noWrap w:val="0"/>
            <w:vAlign w:val="center"/>
          </w:tcPr>
          <w:p w14:paraId="53E65534">
            <w:pPr>
              <w:jc w:val="center"/>
              <w:rPr>
                <w:rFonts w:hint="eastAsia" w:ascii="宋体" w:hAnsi="宋体" w:cs="宋体"/>
                <w:color w:val="auto"/>
                <w:highlight w:val="none"/>
              </w:rPr>
            </w:pPr>
            <w:r>
              <w:rPr>
                <w:rFonts w:hint="eastAsia" w:ascii="宋体" w:hAnsi="宋体" w:cs="宋体"/>
                <w:color w:val="auto"/>
                <w:highlight w:val="none"/>
              </w:rPr>
              <w:t>3</w:t>
            </w:r>
          </w:p>
        </w:tc>
        <w:tc>
          <w:tcPr>
            <w:tcW w:w="409" w:type="pct"/>
            <w:vMerge w:val="restart"/>
            <w:tcBorders>
              <w:left w:val="single" w:color="auto" w:sz="4" w:space="0"/>
              <w:right w:val="single" w:color="auto" w:sz="4" w:space="0"/>
            </w:tcBorders>
            <w:noWrap w:val="0"/>
            <w:vAlign w:val="center"/>
          </w:tcPr>
          <w:p w14:paraId="43DE79C4">
            <w:pPr>
              <w:jc w:val="center"/>
              <w:rPr>
                <w:rFonts w:hint="eastAsia" w:ascii="宋体" w:hAnsi="宋体" w:cs="宋体"/>
                <w:b/>
                <w:bCs/>
                <w:color w:val="auto"/>
                <w:highlight w:val="none"/>
              </w:rPr>
            </w:pPr>
            <w:r>
              <w:rPr>
                <w:rFonts w:hint="eastAsia" w:ascii="宋体" w:hAnsi="宋体" w:cs="宋体"/>
                <w:b/>
                <w:bCs/>
                <w:color w:val="auto"/>
                <w:highlight w:val="none"/>
              </w:rPr>
              <w:t>业绩（9分）</w:t>
            </w:r>
          </w:p>
        </w:tc>
        <w:tc>
          <w:tcPr>
            <w:tcW w:w="365" w:type="pct"/>
            <w:tcBorders>
              <w:left w:val="single" w:color="auto" w:sz="4" w:space="0"/>
              <w:right w:val="single" w:color="auto" w:sz="4" w:space="0"/>
            </w:tcBorders>
            <w:noWrap w:val="0"/>
            <w:vAlign w:val="center"/>
          </w:tcPr>
          <w:p w14:paraId="629C5C81">
            <w:pPr>
              <w:jc w:val="center"/>
              <w:rPr>
                <w:rFonts w:ascii="宋体" w:hAnsi="宋体" w:cs="宋体"/>
                <w:b/>
                <w:bCs/>
                <w:color w:val="auto"/>
                <w:highlight w:val="none"/>
              </w:rPr>
            </w:pPr>
            <w:r>
              <w:rPr>
                <w:rFonts w:hint="eastAsia" w:ascii="宋体" w:hAnsi="宋体" w:cs="宋体"/>
                <w:b/>
                <w:bCs/>
                <w:color w:val="auto"/>
                <w:highlight w:val="none"/>
              </w:rPr>
              <w:t>业绩1</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1507E712">
            <w:pPr>
              <w:pStyle w:val="14"/>
              <w:rPr>
                <w:b/>
                <w:bCs/>
                <w:color w:val="auto"/>
                <w:sz w:val="21"/>
                <w:szCs w:val="24"/>
                <w:highlight w:val="none"/>
                <w:lang w:val="en-US" w:eastAsia="zh-CN"/>
              </w:rPr>
            </w:pPr>
            <w:r>
              <w:rPr>
                <w:rFonts w:hint="eastAsia" w:ascii="宋体" w:hAnsi="宋体" w:cs="宋体"/>
                <w:color w:val="auto"/>
                <w:sz w:val="21"/>
                <w:highlight w:val="none"/>
                <w:lang w:val="en-US" w:eastAsia="zh-CN"/>
              </w:rPr>
              <w:t>投标人自2023年1月1日以来具有生态环境主管部门或省市区环境监测部门购买第三方服务项目业绩的，1个业绩得1分，最高得5分。（提供中标通知和采购合同复印件加盖公章编制至投标文件中）业绩不可兼得</w:t>
            </w:r>
          </w:p>
        </w:tc>
        <w:tc>
          <w:tcPr>
            <w:tcW w:w="327" w:type="pct"/>
            <w:tcBorders>
              <w:top w:val="single" w:color="auto" w:sz="4" w:space="0"/>
              <w:left w:val="single" w:color="auto" w:sz="4" w:space="0"/>
              <w:right w:val="single" w:color="auto" w:sz="4" w:space="0"/>
            </w:tcBorders>
            <w:noWrap w:val="0"/>
            <w:vAlign w:val="center"/>
          </w:tcPr>
          <w:p w14:paraId="59BF1B8B">
            <w:pPr>
              <w:widowControl/>
              <w:jc w:val="center"/>
              <w:rPr>
                <w:rFonts w:ascii="宋体" w:hAnsi="宋体" w:cs="宋体"/>
                <w:color w:val="auto"/>
                <w:highlight w:val="none"/>
              </w:rPr>
            </w:pPr>
            <w:r>
              <w:rPr>
                <w:rFonts w:hint="eastAsia" w:ascii="宋体" w:hAnsi="宋体" w:cs="宋体"/>
                <w:color w:val="auto"/>
                <w:highlight w:val="none"/>
              </w:rPr>
              <w:t>5</w:t>
            </w:r>
          </w:p>
        </w:tc>
      </w:tr>
      <w:tr w14:paraId="70FB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5" w:type="pct"/>
            <w:vMerge w:val="continue"/>
            <w:tcBorders>
              <w:left w:val="single" w:color="auto" w:sz="4" w:space="0"/>
              <w:right w:val="single" w:color="auto" w:sz="4" w:space="0"/>
            </w:tcBorders>
            <w:noWrap w:val="0"/>
            <w:vAlign w:val="center"/>
          </w:tcPr>
          <w:p w14:paraId="58DB763D">
            <w:pPr>
              <w:rPr>
                <w:color w:val="auto"/>
                <w:highlight w:val="none"/>
              </w:rPr>
            </w:pPr>
          </w:p>
        </w:tc>
        <w:tc>
          <w:tcPr>
            <w:tcW w:w="409" w:type="pct"/>
            <w:vMerge w:val="continue"/>
            <w:tcBorders>
              <w:left w:val="single" w:color="auto" w:sz="4" w:space="0"/>
              <w:right w:val="single" w:color="auto" w:sz="4" w:space="0"/>
            </w:tcBorders>
            <w:noWrap w:val="0"/>
            <w:vAlign w:val="center"/>
          </w:tcPr>
          <w:p w14:paraId="6CC5F406">
            <w:pPr>
              <w:rPr>
                <w:color w:val="auto"/>
                <w:highlight w:val="none"/>
              </w:rPr>
            </w:pPr>
          </w:p>
        </w:tc>
        <w:tc>
          <w:tcPr>
            <w:tcW w:w="365" w:type="pct"/>
            <w:tcBorders>
              <w:left w:val="single" w:color="auto" w:sz="4" w:space="0"/>
              <w:right w:val="single" w:color="auto" w:sz="4" w:space="0"/>
            </w:tcBorders>
            <w:noWrap w:val="0"/>
            <w:vAlign w:val="center"/>
          </w:tcPr>
          <w:p w14:paraId="094E3EEF">
            <w:pPr>
              <w:jc w:val="center"/>
              <w:rPr>
                <w:color w:val="auto"/>
                <w:highlight w:val="none"/>
              </w:rPr>
            </w:pPr>
            <w:r>
              <w:rPr>
                <w:rFonts w:hint="eastAsia"/>
                <w:b/>
                <w:bCs/>
                <w:color w:val="auto"/>
                <w:highlight w:val="none"/>
              </w:rPr>
              <w:t>业绩2</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7D87B69C">
            <w:pPr>
              <w:rPr>
                <w:rFonts w:hint="eastAsia" w:ascii="宋体" w:hAnsi="宋体" w:cs="宋体"/>
                <w:color w:val="auto"/>
                <w:highlight w:val="none"/>
              </w:rPr>
            </w:pPr>
            <w:r>
              <w:rPr>
                <w:rFonts w:hint="eastAsia" w:ascii="宋体" w:hAnsi="宋体" w:cs="宋体"/>
                <w:color w:val="auto"/>
                <w:highlight w:val="none"/>
              </w:rPr>
              <w:t>投标人自202</w:t>
            </w:r>
            <w:r>
              <w:rPr>
                <w:rFonts w:hint="eastAsia" w:ascii="宋体" w:hAnsi="宋体" w:cs="宋体"/>
                <w:color w:val="auto"/>
                <w:highlight w:val="none"/>
                <w:lang w:val="en-US" w:eastAsia="zh-CN"/>
              </w:rPr>
              <w:t>3</w:t>
            </w:r>
            <w:r>
              <w:rPr>
                <w:rFonts w:hint="eastAsia" w:ascii="宋体" w:hAnsi="宋体" w:cs="宋体"/>
                <w:color w:val="auto"/>
                <w:highlight w:val="none"/>
              </w:rPr>
              <w:t>年1月1日以来具有</w:t>
            </w:r>
            <w:r>
              <w:rPr>
                <w:rFonts w:hint="eastAsia" w:ascii="宋体" w:hAnsi="宋体" w:cs="宋体"/>
                <w:color w:val="auto"/>
                <w:highlight w:val="none"/>
                <w:lang w:val="en-US" w:eastAsia="zh-CN"/>
              </w:rPr>
              <w:t>区</w:t>
            </w:r>
            <w:r>
              <w:rPr>
                <w:rFonts w:hint="eastAsia" w:ascii="宋体" w:hAnsi="宋体" w:cs="宋体"/>
                <w:color w:val="auto"/>
                <w:highlight w:val="none"/>
              </w:rPr>
              <w:t>级及以上生态环境主管部门执法监测业绩，得4分。（提供中标通知和采购合同复印件加盖公章编制至</w:t>
            </w:r>
            <w:r>
              <w:rPr>
                <w:rFonts w:hint="eastAsia" w:ascii="宋体" w:hAnsi="宋体" w:cs="宋体"/>
                <w:color w:val="auto"/>
                <w:sz w:val="21"/>
                <w:highlight w:val="none"/>
                <w:lang w:val="en-US" w:eastAsia="zh-CN"/>
              </w:rPr>
              <w:t>投标文件中</w:t>
            </w:r>
            <w:r>
              <w:rPr>
                <w:rFonts w:hint="eastAsia" w:ascii="宋体" w:hAnsi="宋体" w:cs="宋体"/>
                <w:color w:val="auto"/>
                <w:highlight w:val="none"/>
              </w:rPr>
              <w:t>）业绩不可兼得</w:t>
            </w:r>
          </w:p>
        </w:tc>
        <w:tc>
          <w:tcPr>
            <w:tcW w:w="327" w:type="pct"/>
            <w:tcBorders>
              <w:left w:val="single" w:color="auto" w:sz="4" w:space="0"/>
              <w:right w:val="single" w:color="auto" w:sz="4" w:space="0"/>
            </w:tcBorders>
            <w:noWrap w:val="0"/>
            <w:vAlign w:val="center"/>
          </w:tcPr>
          <w:p w14:paraId="18BA0CA0">
            <w:pPr>
              <w:widowControl/>
              <w:jc w:val="center"/>
              <w:rPr>
                <w:rFonts w:hint="eastAsia" w:ascii="宋体" w:hAnsi="宋体" w:cs="宋体"/>
                <w:color w:val="auto"/>
                <w:highlight w:val="none"/>
              </w:rPr>
            </w:pPr>
            <w:r>
              <w:rPr>
                <w:rFonts w:hint="eastAsia" w:ascii="宋体" w:hAnsi="宋体" w:cs="宋体"/>
                <w:color w:val="auto"/>
                <w:highlight w:val="none"/>
              </w:rPr>
              <w:t>4</w:t>
            </w:r>
          </w:p>
        </w:tc>
      </w:tr>
      <w:tr w14:paraId="76C6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5" w:type="pct"/>
            <w:tcBorders>
              <w:left w:val="single" w:color="auto" w:sz="4" w:space="0"/>
              <w:right w:val="single" w:color="auto" w:sz="4" w:space="0"/>
            </w:tcBorders>
            <w:noWrap w:val="0"/>
            <w:vAlign w:val="center"/>
          </w:tcPr>
          <w:p w14:paraId="3EBE7FDF">
            <w:pPr>
              <w:jc w:val="center"/>
              <w:rPr>
                <w:rFonts w:hint="eastAsia" w:ascii="宋体" w:hAnsi="宋体" w:cs="宋体"/>
                <w:color w:val="auto"/>
                <w:highlight w:val="none"/>
              </w:rPr>
            </w:pPr>
            <w:r>
              <w:rPr>
                <w:rFonts w:hint="eastAsia" w:ascii="宋体" w:hAnsi="宋体" w:cs="宋体"/>
                <w:color w:val="auto"/>
                <w:highlight w:val="none"/>
              </w:rPr>
              <w:t>4</w:t>
            </w:r>
          </w:p>
        </w:tc>
        <w:tc>
          <w:tcPr>
            <w:tcW w:w="774" w:type="pct"/>
            <w:gridSpan w:val="2"/>
            <w:tcBorders>
              <w:left w:val="single" w:color="auto" w:sz="4" w:space="0"/>
              <w:right w:val="single" w:color="auto" w:sz="4" w:space="0"/>
            </w:tcBorders>
            <w:noWrap w:val="0"/>
            <w:vAlign w:val="center"/>
          </w:tcPr>
          <w:p w14:paraId="102C7A02">
            <w:pPr>
              <w:rPr>
                <w:rFonts w:hint="eastAsia" w:ascii="宋体" w:hAnsi="宋体" w:cs="宋体"/>
                <w:color w:val="auto"/>
                <w:highlight w:val="none"/>
              </w:rPr>
            </w:pPr>
            <w:r>
              <w:rPr>
                <w:rFonts w:hint="eastAsia" w:ascii="宋体" w:hAnsi="宋体" w:cs="宋体"/>
                <w:b/>
                <w:bCs/>
                <w:color w:val="auto"/>
                <w:highlight w:val="none"/>
              </w:rPr>
              <w:t>表彰（1分）</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6F67D717">
            <w:pPr>
              <w:rPr>
                <w:rFonts w:hint="eastAsia" w:ascii="宋体" w:hAnsi="宋体" w:cs="宋体"/>
                <w:color w:val="auto"/>
                <w:highlight w:val="none"/>
              </w:rPr>
            </w:pPr>
            <w:r>
              <w:rPr>
                <w:rFonts w:hint="eastAsia" w:ascii="宋体" w:hAnsi="宋体" w:cs="宋体"/>
                <w:color w:val="auto"/>
                <w:highlight w:val="none"/>
              </w:rPr>
              <w:t>投标人或项目组成员自202</w:t>
            </w:r>
            <w:r>
              <w:rPr>
                <w:rFonts w:hint="eastAsia" w:ascii="宋体" w:hAnsi="宋体" w:cs="宋体"/>
                <w:color w:val="auto"/>
                <w:highlight w:val="none"/>
                <w:lang w:val="en-US" w:eastAsia="zh-CN"/>
              </w:rPr>
              <w:t>3</w:t>
            </w:r>
            <w:r>
              <w:rPr>
                <w:rFonts w:hint="eastAsia" w:ascii="宋体" w:hAnsi="宋体" w:cs="宋体"/>
                <w:color w:val="auto"/>
                <w:highlight w:val="none"/>
              </w:rPr>
              <w:t>年以来受到市级及以上生态环境主管部门通报表扬或表彰的得1分。（提供表彰证书复印件加盖公章编制至</w:t>
            </w:r>
            <w:r>
              <w:rPr>
                <w:rFonts w:hint="eastAsia" w:ascii="宋体" w:hAnsi="宋体" w:cs="宋体"/>
                <w:color w:val="auto"/>
                <w:sz w:val="21"/>
                <w:highlight w:val="none"/>
                <w:lang w:val="en-US" w:eastAsia="zh-CN"/>
              </w:rPr>
              <w:t>投标文件中</w:t>
            </w:r>
            <w:r>
              <w:rPr>
                <w:rFonts w:hint="eastAsia" w:ascii="宋体" w:hAnsi="宋体" w:cs="宋体"/>
                <w:color w:val="auto"/>
                <w:highlight w:val="none"/>
              </w:rPr>
              <w:t>）</w:t>
            </w:r>
          </w:p>
        </w:tc>
        <w:tc>
          <w:tcPr>
            <w:tcW w:w="327" w:type="pct"/>
            <w:tcBorders>
              <w:left w:val="single" w:color="auto" w:sz="4" w:space="0"/>
              <w:bottom w:val="single" w:color="auto" w:sz="4" w:space="0"/>
              <w:right w:val="single" w:color="auto" w:sz="4" w:space="0"/>
            </w:tcBorders>
            <w:noWrap w:val="0"/>
            <w:vAlign w:val="center"/>
          </w:tcPr>
          <w:p w14:paraId="2F529131">
            <w:pPr>
              <w:widowControl/>
              <w:jc w:val="center"/>
              <w:rPr>
                <w:rFonts w:hint="eastAsia" w:ascii="宋体" w:hAnsi="宋体" w:cs="宋体"/>
                <w:color w:val="auto"/>
                <w:highlight w:val="none"/>
              </w:rPr>
            </w:pPr>
            <w:r>
              <w:rPr>
                <w:rFonts w:hint="eastAsia" w:ascii="宋体" w:hAnsi="宋体" w:cs="宋体"/>
                <w:color w:val="auto"/>
                <w:highlight w:val="none"/>
              </w:rPr>
              <w:t>1</w:t>
            </w:r>
          </w:p>
        </w:tc>
      </w:tr>
      <w:tr w14:paraId="2EEB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295" w:type="pct"/>
            <w:tcBorders>
              <w:left w:val="single" w:color="auto" w:sz="4" w:space="0"/>
              <w:right w:val="single" w:color="auto" w:sz="4" w:space="0"/>
            </w:tcBorders>
            <w:noWrap w:val="0"/>
            <w:vAlign w:val="center"/>
          </w:tcPr>
          <w:p w14:paraId="3F1EB529">
            <w:pPr>
              <w:jc w:val="center"/>
              <w:rPr>
                <w:rFonts w:hint="eastAsia" w:ascii="宋体" w:hAnsi="宋体" w:cs="宋体"/>
                <w:color w:val="auto"/>
                <w:highlight w:val="none"/>
              </w:rPr>
            </w:pPr>
            <w:r>
              <w:rPr>
                <w:rFonts w:hint="eastAsia" w:ascii="宋体" w:hAnsi="宋体" w:cs="宋体"/>
                <w:color w:val="auto"/>
                <w:highlight w:val="none"/>
              </w:rPr>
              <w:t>5</w:t>
            </w:r>
          </w:p>
        </w:tc>
        <w:tc>
          <w:tcPr>
            <w:tcW w:w="774" w:type="pct"/>
            <w:gridSpan w:val="2"/>
            <w:tcBorders>
              <w:left w:val="single" w:color="auto" w:sz="4" w:space="0"/>
              <w:right w:val="single" w:color="auto" w:sz="4" w:space="0"/>
            </w:tcBorders>
            <w:noWrap w:val="0"/>
            <w:vAlign w:val="center"/>
          </w:tcPr>
          <w:p w14:paraId="6D483470">
            <w:pPr>
              <w:jc w:val="center"/>
              <w:rPr>
                <w:rFonts w:hint="eastAsia" w:ascii="宋体" w:hAnsi="宋体" w:cs="宋体"/>
                <w:b/>
                <w:bCs/>
                <w:color w:val="auto"/>
                <w:highlight w:val="none"/>
              </w:rPr>
            </w:pPr>
            <w:r>
              <w:rPr>
                <w:rFonts w:hint="eastAsia" w:ascii="宋体" w:hAnsi="宋体" w:cs="宋体"/>
                <w:b/>
                <w:bCs/>
                <w:color w:val="auto"/>
                <w:highlight w:val="none"/>
              </w:rPr>
              <w:t>企业信誉（</w:t>
            </w:r>
            <w:r>
              <w:rPr>
                <w:rFonts w:hint="eastAsia" w:ascii="宋体" w:hAnsi="宋体" w:cs="宋体"/>
                <w:b/>
                <w:bCs/>
                <w:color w:val="auto"/>
                <w:highlight w:val="none"/>
                <w:lang w:val="en-US" w:eastAsia="zh-CN"/>
              </w:rPr>
              <w:t>3</w:t>
            </w:r>
            <w:r>
              <w:rPr>
                <w:rFonts w:hint="eastAsia" w:ascii="宋体" w:hAnsi="宋体" w:cs="宋体"/>
                <w:b/>
                <w:bCs/>
                <w:color w:val="auto"/>
                <w:highlight w:val="none"/>
              </w:rPr>
              <w:t>分）</w:t>
            </w:r>
          </w:p>
        </w:tc>
        <w:tc>
          <w:tcPr>
            <w:tcW w:w="3602" w:type="pct"/>
            <w:tcBorders>
              <w:top w:val="single" w:color="auto" w:sz="4" w:space="0"/>
              <w:left w:val="single" w:color="auto" w:sz="4" w:space="0"/>
              <w:right w:val="single" w:color="auto" w:sz="4" w:space="0"/>
            </w:tcBorders>
            <w:noWrap w:val="0"/>
            <w:vAlign w:val="center"/>
          </w:tcPr>
          <w:p w14:paraId="1BC6C663">
            <w:pPr>
              <w:rPr>
                <w:color w:val="auto"/>
                <w:szCs w:val="24"/>
                <w:highlight w:val="none"/>
              </w:rPr>
            </w:pPr>
            <w:r>
              <w:rPr>
                <w:rFonts w:hint="eastAsia"/>
                <w:color w:val="auto"/>
                <w:szCs w:val="24"/>
                <w:highlight w:val="none"/>
              </w:rPr>
              <w:t>投标人承诺202</w:t>
            </w:r>
            <w:r>
              <w:rPr>
                <w:rFonts w:hint="eastAsia"/>
                <w:color w:val="auto"/>
                <w:szCs w:val="24"/>
                <w:highlight w:val="none"/>
                <w:lang w:val="en-US" w:eastAsia="zh-CN"/>
              </w:rPr>
              <w:t>5</w:t>
            </w:r>
            <w:r>
              <w:rPr>
                <w:rFonts w:hint="eastAsia"/>
                <w:color w:val="auto"/>
                <w:szCs w:val="24"/>
                <w:highlight w:val="none"/>
              </w:rPr>
              <w:t>年未在江苏省和南京市相关主管部门对环境检测机构检测质量专项检查中被通报查处或责令整改的，得</w:t>
            </w:r>
            <w:r>
              <w:rPr>
                <w:rFonts w:hint="eastAsia"/>
                <w:color w:val="auto"/>
                <w:szCs w:val="24"/>
                <w:highlight w:val="none"/>
                <w:lang w:val="en-US" w:eastAsia="zh-CN"/>
              </w:rPr>
              <w:t>3</w:t>
            </w:r>
            <w:r>
              <w:rPr>
                <w:rFonts w:hint="eastAsia"/>
                <w:color w:val="auto"/>
                <w:szCs w:val="24"/>
                <w:highlight w:val="none"/>
              </w:rPr>
              <w:t>分。</w:t>
            </w:r>
          </w:p>
          <w:p w14:paraId="6C6F9E2A">
            <w:pPr>
              <w:rPr>
                <w:b/>
                <w:bCs/>
                <w:color w:val="auto"/>
                <w:szCs w:val="24"/>
                <w:highlight w:val="none"/>
              </w:rPr>
            </w:pPr>
            <w:r>
              <w:rPr>
                <w:rFonts w:hint="eastAsia"/>
                <w:b/>
                <w:bCs/>
                <w:color w:val="auto"/>
                <w:szCs w:val="24"/>
                <w:highlight w:val="none"/>
              </w:rPr>
              <w:t>（提供承诺函原件</w:t>
            </w:r>
            <w:r>
              <w:rPr>
                <w:rFonts w:hint="eastAsia"/>
                <w:b/>
                <w:bCs/>
                <w:color w:val="auto"/>
                <w:szCs w:val="24"/>
                <w:highlight w:val="none"/>
                <w:lang w:val="en-US" w:eastAsia="zh-CN"/>
              </w:rPr>
              <w:t>编制至投标文件中</w:t>
            </w:r>
            <w:r>
              <w:rPr>
                <w:rFonts w:hint="eastAsia"/>
                <w:b/>
                <w:bCs/>
                <w:color w:val="auto"/>
                <w:szCs w:val="24"/>
                <w:highlight w:val="none"/>
              </w:rPr>
              <w:t>。如投标人所提供承诺与事实不符，采购人有权将其投标作无效投标处理）</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45464255">
            <w:pPr>
              <w:widowControl/>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r>
      <w:tr w14:paraId="65CB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95" w:type="pct"/>
            <w:tcBorders>
              <w:left w:val="single" w:color="auto" w:sz="4" w:space="0"/>
              <w:right w:val="single" w:color="auto" w:sz="4" w:space="0"/>
            </w:tcBorders>
            <w:noWrap w:val="0"/>
            <w:vAlign w:val="center"/>
          </w:tcPr>
          <w:p w14:paraId="49BF3F23">
            <w:pPr>
              <w:jc w:val="center"/>
              <w:rPr>
                <w:rFonts w:hint="eastAsia" w:ascii="宋体" w:hAnsi="宋体" w:cs="宋体"/>
                <w:color w:val="auto"/>
                <w:highlight w:val="none"/>
              </w:rPr>
            </w:pPr>
            <w:r>
              <w:rPr>
                <w:rFonts w:hint="eastAsia" w:ascii="宋体" w:hAnsi="宋体" w:cs="宋体"/>
                <w:color w:val="auto"/>
                <w:highlight w:val="none"/>
              </w:rPr>
              <w:t>6</w:t>
            </w:r>
          </w:p>
        </w:tc>
        <w:tc>
          <w:tcPr>
            <w:tcW w:w="774" w:type="pct"/>
            <w:gridSpan w:val="2"/>
            <w:tcBorders>
              <w:left w:val="single" w:color="auto" w:sz="4" w:space="0"/>
              <w:right w:val="single" w:color="auto" w:sz="4" w:space="0"/>
            </w:tcBorders>
            <w:noWrap w:val="0"/>
            <w:vAlign w:val="center"/>
          </w:tcPr>
          <w:p w14:paraId="6718C561">
            <w:pPr>
              <w:jc w:val="center"/>
              <w:rPr>
                <w:rFonts w:hint="eastAsia" w:ascii="宋体" w:hAnsi="宋体" w:cs="宋体"/>
                <w:color w:val="auto"/>
                <w:highlight w:val="none"/>
              </w:rPr>
            </w:pPr>
            <w:r>
              <w:rPr>
                <w:rFonts w:hint="eastAsia" w:ascii="宋体" w:hAnsi="宋体" w:cs="宋体"/>
                <w:b/>
                <w:bCs/>
                <w:color w:val="auto"/>
                <w:highlight w:val="none"/>
              </w:rPr>
              <w:t>服务承诺及服务水平（6分）</w:t>
            </w:r>
          </w:p>
        </w:tc>
        <w:tc>
          <w:tcPr>
            <w:tcW w:w="3602" w:type="pct"/>
            <w:tcBorders>
              <w:top w:val="single" w:color="auto" w:sz="4" w:space="0"/>
              <w:left w:val="single" w:color="auto" w:sz="4" w:space="0"/>
              <w:bottom w:val="single" w:color="auto" w:sz="4" w:space="0"/>
              <w:right w:val="single" w:color="auto" w:sz="4" w:space="0"/>
            </w:tcBorders>
            <w:noWrap w:val="0"/>
            <w:vAlign w:val="center"/>
          </w:tcPr>
          <w:p w14:paraId="6144B63C">
            <w:pPr>
              <w:widowControl/>
              <w:jc w:val="left"/>
              <w:rPr>
                <w:rFonts w:ascii="宋体" w:hAnsi="宋体" w:cs="宋体"/>
                <w:color w:val="auto"/>
                <w:highlight w:val="none"/>
              </w:rPr>
            </w:pPr>
            <w:r>
              <w:rPr>
                <w:rFonts w:hint="eastAsia" w:ascii="宋体" w:hAnsi="宋体" w:cs="宋体"/>
                <w:color w:val="auto"/>
                <w:highlight w:val="none"/>
              </w:rPr>
              <w:t>根据投标人提供的服务承诺、服务理念、应急响应时间以及在行业内的服务水平及口碑进行评分。（提供应急响应承诺书</w:t>
            </w:r>
            <w:r>
              <w:rPr>
                <w:rFonts w:hint="eastAsia" w:ascii="宋体" w:hAnsi="宋体" w:cs="宋体"/>
                <w:color w:val="auto"/>
                <w:highlight w:val="none"/>
                <w:lang w:val="en-US" w:eastAsia="zh-CN"/>
              </w:rPr>
              <w:t>编制至投标文件中</w:t>
            </w:r>
            <w:r>
              <w:rPr>
                <w:rFonts w:hint="eastAsia" w:ascii="宋体" w:hAnsi="宋体" w:cs="宋体"/>
                <w:color w:val="auto"/>
                <w:highlight w:val="none"/>
              </w:rPr>
              <w:t>）</w:t>
            </w:r>
          </w:p>
          <w:p w14:paraId="1C83638A">
            <w:pPr>
              <w:widowControl/>
              <w:jc w:val="left"/>
              <w:rPr>
                <w:rFonts w:ascii="宋体" w:hAnsi="宋体" w:cs="宋体"/>
                <w:color w:val="auto"/>
                <w:highlight w:val="none"/>
              </w:rPr>
            </w:pPr>
            <w:r>
              <w:rPr>
                <w:rFonts w:hint="eastAsia" w:ascii="宋体" w:hAnsi="宋体" w:cs="宋体"/>
                <w:color w:val="auto"/>
                <w:highlight w:val="none"/>
              </w:rPr>
              <w:t>服务承诺、服务理念、应急响应时间2小时以内以及在行业内的服务水平及口碑满足项目要求及服务能力强的得6分；</w:t>
            </w:r>
          </w:p>
          <w:p w14:paraId="1850426F">
            <w:pPr>
              <w:widowControl/>
              <w:jc w:val="left"/>
              <w:rPr>
                <w:rFonts w:ascii="宋体" w:hAnsi="宋体" w:cs="宋体"/>
                <w:color w:val="auto"/>
                <w:highlight w:val="none"/>
              </w:rPr>
            </w:pPr>
            <w:r>
              <w:rPr>
                <w:rFonts w:hint="eastAsia" w:ascii="宋体" w:hAnsi="宋体" w:cs="宋体"/>
                <w:color w:val="auto"/>
                <w:highlight w:val="none"/>
              </w:rPr>
              <w:t>服务承诺、服务理念、应急响应时间4小时以内以及在行业内的服务水平及口碑满足项目要求及服务能力一般的得3分；</w:t>
            </w:r>
          </w:p>
          <w:p w14:paraId="23A2DC6C">
            <w:pPr>
              <w:rPr>
                <w:rFonts w:hint="eastAsia" w:ascii="宋体" w:hAnsi="宋体" w:cs="宋体"/>
                <w:color w:val="auto"/>
                <w:highlight w:val="none"/>
              </w:rPr>
            </w:pPr>
            <w:r>
              <w:rPr>
                <w:rFonts w:hint="eastAsia" w:ascii="宋体" w:hAnsi="宋体" w:cs="宋体"/>
                <w:color w:val="auto"/>
                <w:highlight w:val="none"/>
              </w:rPr>
              <w:t>服务承诺、服务理念、应急响应时间以及在行业内的服务水平及口碑一般，基本满足项目要求的得1分；</w:t>
            </w:r>
          </w:p>
          <w:p w14:paraId="090EAF38">
            <w:pPr>
              <w:rPr>
                <w:rFonts w:hint="eastAsia"/>
                <w:b/>
                <w:bCs/>
                <w:color w:val="auto"/>
                <w:szCs w:val="24"/>
                <w:highlight w:val="none"/>
              </w:rPr>
            </w:pPr>
            <w:r>
              <w:rPr>
                <w:rFonts w:hint="eastAsia" w:ascii="宋体" w:hAnsi="宋体" w:cs="宋体"/>
                <w:color w:val="auto"/>
                <w:highlight w:val="none"/>
              </w:rPr>
              <w:t>在行业内的服务水平及口碑不能满足项目要求及服务能力较差的不得分。</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5EC05539">
            <w:pPr>
              <w:widowControl/>
              <w:jc w:val="center"/>
              <w:rPr>
                <w:rFonts w:hint="eastAsia" w:ascii="宋体" w:hAnsi="宋体" w:cs="宋体"/>
                <w:color w:val="auto"/>
                <w:highlight w:val="none"/>
              </w:rPr>
            </w:pPr>
            <w:r>
              <w:rPr>
                <w:rFonts w:hint="eastAsia" w:ascii="宋体" w:hAnsi="宋体" w:cs="宋体"/>
                <w:color w:val="auto"/>
                <w:highlight w:val="none"/>
              </w:rPr>
              <w:t>6</w:t>
            </w:r>
          </w:p>
        </w:tc>
      </w:tr>
      <w:tr w14:paraId="0D95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295" w:type="pct"/>
            <w:vMerge w:val="restart"/>
            <w:tcBorders>
              <w:left w:val="single" w:color="auto" w:sz="4" w:space="0"/>
              <w:right w:val="single" w:color="auto" w:sz="4" w:space="0"/>
            </w:tcBorders>
            <w:noWrap w:val="0"/>
            <w:vAlign w:val="center"/>
          </w:tcPr>
          <w:p w14:paraId="0168838A">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7</w:t>
            </w:r>
          </w:p>
        </w:tc>
        <w:tc>
          <w:tcPr>
            <w:tcW w:w="409" w:type="pct"/>
            <w:vMerge w:val="restart"/>
            <w:tcBorders>
              <w:left w:val="single" w:color="auto" w:sz="4" w:space="0"/>
              <w:right w:val="single" w:color="auto" w:sz="4" w:space="0"/>
            </w:tcBorders>
            <w:noWrap w:val="0"/>
            <w:vAlign w:val="center"/>
          </w:tcPr>
          <w:p w14:paraId="28818A93">
            <w:pPr>
              <w:jc w:val="center"/>
              <w:rPr>
                <w:rFonts w:hint="eastAsia" w:ascii="宋体" w:hAnsi="宋体" w:cs="宋体"/>
                <w:color w:val="auto"/>
                <w:highlight w:val="none"/>
              </w:rPr>
            </w:pPr>
            <w:r>
              <w:rPr>
                <w:rFonts w:hint="eastAsia" w:ascii="宋体" w:hAnsi="宋体" w:cs="宋体"/>
                <w:b/>
                <w:bCs/>
                <w:color w:val="auto"/>
                <w:highlight w:val="none"/>
              </w:rPr>
              <w:t>服务方案（29分）</w:t>
            </w:r>
          </w:p>
        </w:tc>
        <w:tc>
          <w:tcPr>
            <w:tcW w:w="365" w:type="pct"/>
            <w:tcBorders>
              <w:left w:val="single" w:color="auto" w:sz="4" w:space="0"/>
              <w:right w:val="single" w:color="auto" w:sz="4" w:space="0"/>
            </w:tcBorders>
            <w:noWrap w:val="0"/>
            <w:vAlign w:val="center"/>
          </w:tcPr>
          <w:p w14:paraId="2D737EFF">
            <w:pPr>
              <w:spacing w:line="440" w:lineRule="exact"/>
              <w:jc w:val="center"/>
              <w:rPr>
                <w:rStyle w:val="593"/>
                <w:rFonts w:hint="eastAsia" w:ascii="宋体" w:hAnsi="宋体" w:cs="宋体"/>
                <w:b/>
                <w:bCs/>
                <w:color w:val="auto"/>
                <w:szCs w:val="21"/>
                <w:highlight w:val="none"/>
              </w:rPr>
            </w:pPr>
          </w:p>
          <w:p w14:paraId="66D0EC80">
            <w:pPr>
              <w:jc w:val="center"/>
              <w:rPr>
                <w:rStyle w:val="593"/>
                <w:rFonts w:hint="eastAsia" w:ascii="宋体" w:hAnsi="宋体" w:cs="宋体"/>
                <w:b/>
                <w:bCs/>
                <w:color w:val="auto"/>
                <w:szCs w:val="21"/>
                <w:highlight w:val="none"/>
              </w:rPr>
            </w:pPr>
            <w:r>
              <w:rPr>
                <w:rStyle w:val="593"/>
                <w:rFonts w:hint="eastAsia" w:ascii="宋体" w:hAnsi="宋体" w:cs="宋体"/>
                <w:b/>
                <w:bCs/>
                <w:color w:val="auto"/>
                <w:szCs w:val="21"/>
                <w:highlight w:val="none"/>
              </w:rPr>
              <w:t>实施</w:t>
            </w:r>
          </w:p>
          <w:p w14:paraId="63DD2509">
            <w:pPr>
              <w:jc w:val="center"/>
              <w:rPr>
                <w:rFonts w:hint="eastAsia" w:ascii="宋体" w:hAnsi="宋体" w:cs="宋体"/>
                <w:b/>
                <w:bCs/>
                <w:color w:val="auto"/>
                <w:highlight w:val="none"/>
              </w:rPr>
            </w:pPr>
            <w:r>
              <w:rPr>
                <w:rStyle w:val="593"/>
                <w:rFonts w:hint="eastAsia" w:ascii="宋体" w:hAnsi="宋体" w:cs="宋体"/>
                <w:b/>
                <w:bCs/>
                <w:color w:val="auto"/>
                <w:szCs w:val="21"/>
                <w:highlight w:val="none"/>
              </w:rPr>
              <w:t>方案（10分）</w:t>
            </w:r>
          </w:p>
        </w:tc>
        <w:tc>
          <w:tcPr>
            <w:tcW w:w="3602" w:type="pct"/>
            <w:tcBorders>
              <w:top w:val="single" w:color="auto" w:sz="4" w:space="0"/>
              <w:left w:val="single" w:color="auto" w:sz="4" w:space="0"/>
              <w:right w:val="single" w:color="auto" w:sz="4" w:space="0"/>
            </w:tcBorders>
            <w:noWrap w:val="0"/>
            <w:vAlign w:val="center"/>
          </w:tcPr>
          <w:p w14:paraId="270CFA95">
            <w:pPr>
              <w:widowControl/>
              <w:jc w:val="left"/>
              <w:rPr>
                <w:rFonts w:ascii="宋体" w:hAnsi="宋体" w:cs="宋体"/>
                <w:color w:val="auto"/>
                <w:highlight w:val="none"/>
              </w:rPr>
            </w:pPr>
            <w:r>
              <w:rPr>
                <w:rFonts w:hint="eastAsia" w:ascii="宋体" w:hAnsi="宋体" w:cs="宋体"/>
                <w:color w:val="auto"/>
                <w:highlight w:val="none"/>
              </w:rPr>
              <w:t>根据区域内水环境状况及污染源情况，针对本项目编制</w:t>
            </w:r>
            <w:r>
              <w:rPr>
                <w:rFonts w:hint="eastAsia" w:ascii="宋体" w:hAnsi="宋体" w:cs="宋体"/>
                <w:color w:val="auto"/>
                <w:highlight w:val="none"/>
                <w:lang w:eastAsia="zh-CN"/>
              </w:rPr>
              <w:t>一套</w:t>
            </w:r>
            <w:r>
              <w:rPr>
                <w:rFonts w:hint="eastAsia" w:ascii="宋体" w:hAnsi="宋体" w:cs="宋体"/>
                <w:color w:val="auto"/>
                <w:highlight w:val="none"/>
              </w:rPr>
              <w:t>监测工作方案（含采样与分析）及质量保证措施。由评审专家现场根据方案的完备性、可行性、结合建邺区的针对性等进行评分：</w:t>
            </w:r>
          </w:p>
          <w:p w14:paraId="7DDC2BF1">
            <w:pPr>
              <w:rPr>
                <w:rFonts w:ascii="宋体" w:hAnsi="宋体" w:cs="宋体"/>
                <w:color w:val="auto"/>
                <w:highlight w:val="none"/>
              </w:rPr>
            </w:pPr>
            <w:r>
              <w:rPr>
                <w:rFonts w:hint="eastAsia" w:ascii="宋体" w:hAnsi="宋体" w:cs="宋体"/>
                <w:color w:val="auto"/>
                <w:highlight w:val="none"/>
              </w:rPr>
              <w:t>方案有数据支持、详实有力度、针对性强，因地制宜且进度计划合理的得10分；</w:t>
            </w:r>
          </w:p>
          <w:p w14:paraId="45BC401E">
            <w:pPr>
              <w:rPr>
                <w:rFonts w:ascii="宋体" w:hAnsi="宋体" w:cs="宋体"/>
                <w:color w:val="auto"/>
                <w:highlight w:val="none"/>
              </w:rPr>
            </w:pPr>
            <w:r>
              <w:rPr>
                <w:rFonts w:hint="eastAsia" w:ascii="宋体" w:hAnsi="宋体" w:cs="宋体"/>
                <w:color w:val="auto"/>
                <w:highlight w:val="none"/>
              </w:rPr>
              <w:t>方案较合理，针对性较高，进度计划基本可行的得8分；</w:t>
            </w:r>
          </w:p>
          <w:p w14:paraId="4222DA56">
            <w:pPr>
              <w:rPr>
                <w:rFonts w:ascii="宋体" w:hAnsi="宋体" w:cs="宋体"/>
                <w:color w:val="auto"/>
                <w:highlight w:val="none"/>
              </w:rPr>
            </w:pPr>
            <w:r>
              <w:rPr>
                <w:rFonts w:hint="eastAsia" w:ascii="宋体" w:hAnsi="宋体" w:cs="宋体"/>
                <w:color w:val="auto"/>
                <w:highlight w:val="none"/>
              </w:rPr>
              <w:t>方案有一定的可行性但不够</w:t>
            </w:r>
            <w:r>
              <w:rPr>
                <w:rFonts w:hint="eastAsia" w:ascii="宋体" w:hAnsi="宋体" w:cs="宋体"/>
                <w:color w:val="auto"/>
                <w:highlight w:val="none"/>
                <w:lang w:eastAsia="zh-CN"/>
              </w:rPr>
              <w:t>翔实</w:t>
            </w:r>
            <w:r>
              <w:rPr>
                <w:rFonts w:hint="eastAsia" w:ascii="宋体" w:hAnsi="宋体" w:cs="宋体"/>
                <w:color w:val="auto"/>
                <w:highlight w:val="none"/>
              </w:rPr>
              <w:t>的得6分；</w:t>
            </w:r>
          </w:p>
          <w:p w14:paraId="55BA8433">
            <w:pPr>
              <w:rPr>
                <w:rFonts w:hint="eastAsia" w:ascii="宋体" w:hAnsi="宋体" w:cs="宋体"/>
                <w:color w:val="auto"/>
                <w:highlight w:val="none"/>
              </w:rPr>
            </w:pPr>
            <w:r>
              <w:rPr>
                <w:rFonts w:hint="eastAsia" w:ascii="宋体" w:hAnsi="宋体" w:cs="宋体"/>
                <w:color w:val="auto"/>
                <w:highlight w:val="none"/>
              </w:rPr>
              <w:t>方案片面较差的得4分；</w:t>
            </w:r>
          </w:p>
          <w:p w14:paraId="4069280D">
            <w:pPr>
              <w:rPr>
                <w:rFonts w:hint="eastAsia" w:ascii="宋体" w:hAnsi="宋体" w:cs="宋体"/>
                <w:color w:val="auto"/>
                <w:highlight w:val="none"/>
              </w:rPr>
            </w:pPr>
            <w:r>
              <w:rPr>
                <w:rFonts w:hint="eastAsia" w:ascii="宋体" w:hAnsi="宋体" w:cs="宋体"/>
                <w:color w:val="auto"/>
                <w:highlight w:val="none"/>
              </w:rPr>
              <w:t>未提供的本项不得分。</w:t>
            </w:r>
          </w:p>
        </w:tc>
        <w:tc>
          <w:tcPr>
            <w:tcW w:w="327" w:type="pct"/>
            <w:tcBorders>
              <w:top w:val="single" w:color="auto" w:sz="4" w:space="0"/>
              <w:left w:val="single" w:color="auto" w:sz="4" w:space="0"/>
              <w:right w:val="single" w:color="auto" w:sz="4" w:space="0"/>
            </w:tcBorders>
            <w:noWrap w:val="0"/>
            <w:vAlign w:val="center"/>
          </w:tcPr>
          <w:p w14:paraId="534F7A57">
            <w:pPr>
              <w:jc w:val="center"/>
              <w:rPr>
                <w:rFonts w:ascii="宋体" w:hAnsi="宋体" w:cs="宋体"/>
                <w:color w:val="auto"/>
                <w:highlight w:val="none"/>
              </w:rPr>
            </w:pPr>
            <w:r>
              <w:rPr>
                <w:rFonts w:hint="eastAsia" w:ascii="宋体" w:hAnsi="宋体" w:cs="宋体"/>
                <w:color w:val="auto"/>
                <w:highlight w:val="none"/>
              </w:rPr>
              <w:t>10</w:t>
            </w:r>
          </w:p>
        </w:tc>
      </w:tr>
      <w:tr w14:paraId="7631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jc w:val="center"/>
        </w:trPr>
        <w:tc>
          <w:tcPr>
            <w:tcW w:w="295" w:type="pct"/>
            <w:vMerge w:val="continue"/>
            <w:tcBorders>
              <w:left w:val="single" w:color="auto" w:sz="4" w:space="0"/>
              <w:right w:val="single" w:color="auto" w:sz="4" w:space="0"/>
            </w:tcBorders>
            <w:noWrap w:val="0"/>
            <w:vAlign w:val="center"/>
          </w:tcPr>
          <w:p w14:paraId="6308452D">
            <w:pPr>
              <w:jc w:val="center"/>
              <w:rPr>
                <w:rFonts w:hint="eastAsia" w:ascii="宋体" w:hAnsi="宋体" w:cs="宋体"/>
                <w:color w:val="auto"/>
                <w:highlight w:val="none"/>
              </w:rPr>
            </w:pPr>
          </w:p>
        </w:tc>
        <w:tc>
          <w:tcPr>
            <w:tcW w:w="409" w:type="pct"/>
            <w:vMerge w:val="continue"/>
            <w:tcBorders>
              <w:left w:val="single" w:color="auto" w:sz="4" w:space="0"/>
              <w:right w:val="single" w:color="auto" w:sz="4" w:space="0"/>
            </w:tcBorders>
            <w:noWrap w:val="0"/>
            <w:vAlign w:val="center"/>
          </w:tcPr>
          <w:p w14:paraId="5FF69AC5">
            <w:pPr>
              <w:jc w:val="center"/>
              <w:rPr>
                <w:rFonts w:hint="eastAsia" w:ascii="宋体" w:hAnsi="宋体" w:cs="宋体"/>
                <w:b/>
                <w:bCs/>
                <w:color w:val="auto"/>
                <w:highlight w:val="none"/>
              </w:rPr>
            </w:pPr>
          </w:p>
        </w:tc>
        <w:tc>
          <w:tcPr>
            <w:tcW w:w="365" w:type="pct"/>
            <w:tcBorders>
              <w:left w:val="single" w:color="auto" w:sz="4" w:space="0"/>
              <w:right w:val="single" w:color="auto" w:sz="4" w:space="0"/>
            </w:tcBorders>
            <w:noWrap w:val="0"/>
            <w:vAlign w:val="center"/>
          </w:tcPr>
          <w:p w14:paraId="32A439F9">
            <w:pPr>
              <w:jc w:val="center"/>
              <w:rPr>
                <w:rFonts w:ascii="宋体" w:hAnsi="宋体" w:cs="宋体"/>
                <w:b/>
                <w:bCs/>
                <w:color w:val="auto"/>
                <w:highlight w:val="none"/>
              </w:rPr>
            </w:pPr>
            <w:r>
              <w:rPr>
                <w:rFonts w:hint="eastAsia" w:ascii="宋体" w:hAnsi="宋体" w:cs="宋体"/>
                <w:b/>
                <w:bCs/>
                <w:color w:val="auto"/>
                <w:highlight w:val="none"/>
              </w:rPr>
              <w:t>报告记录规范性、完整性（9分）</w:t>
            </w:r>
          </w:p>
        </w:tc>
        <w:tc>
          <w:tcPr>
            <w:tcW w:w="3602" w:type="pct"/>
            <w:tcBorders>
              <w:top w:val="single" w:color="auto" w:sz="4" w:space="0"/>
              <w:left w:val="single" w:color="auto" w:sz="4" w:space="0"/>
              <w:right w:val="single" w:color="auto" w:sz="4" w:space="0"/>
            </w:tcBorders>
            <w:noWrap w:val="0"/>
            <w:vAlign w:val="center"/>
          </w:tcPr>
          <w:p w14:paraId="656830AF">
            <w:pPr>
              <w:rPr>
                <w:rFonts w:hint="eastAsia" w:ascii="宋体" w:hAnsi="宋体" w:cs="宋体"/>
                <w:color w:val="auto"/>
                <w:highlight w:val="none"/>
              </w:rPr>
            </w:pPr>
            <w:r>
              <w:rPr>
                <w:rFonts w:hint="eastAsia" w:ascii="宋体" w:hAnsi="宋体" w:cs="宋体"/>
                <w:color w:val="auto"/>
                <w:highlight w:val="none"/>
              </w:rPr>
              <w:t>提供2023年6月1日以来监测报告6份（6份报告的内容应包含水、气、声、土、水比对、气比对6个类别），并需提供全套的原始信息记录，委托单位不得重复。评委根据报告的规范性、完整性进行质量判定。</w:t>
            </w:r>
          </w:p>
          <w:p w14:paraId="54CB5100">
            <w:pPr>
              <w:rPr>
                <w:rFonts w:hint="eastAsia" w:ascii="宋体" w:hAnsi="宋体" w:cs="宋体"/>
                <w:color w:val="auto"/>
                <w:highlight w:val="none"/>
              </w:rPr>
            </w:pPr>
            <w:r>
              <w:rPr>
                <w:rFonts w:hint="eastAsia" w:ascii="宋体" w:hAnsi="宋体" w:cs="宋体"/>
                <w:color w:val="auto"/>
                <w:highlight w:val="none"/>
              </w:rPr>
              <w:t>报告的规范性、完整性强得9分；</w:t>
            </w:r>
          </w:p>
          <w:p w14:paraId="5FF947C6">
            <w:pPr>
              <w:rPr>
                <w:rFonts w:hint="eastAsia" w:ascii="宋体" w:hAnsi="宋体" w:cs="宋体"/>
                <w:color w:val="auto"/>
                <w:highlight w:val="none"/>
              </w:rPr>
            </w:pPr>
            <w:r>
              <w:rPr>
                <w:rFonts w:hint="eastAsia" w:ascii="宋体" w:hAnsi="宋体" w:cs="宋体"/>
                <w:color w:val="auto"/>
                <w:highlight w:val="none"/>
              </w:rPr>
              <w:t>报告的规范性、完整性较好得6分；</w:t>
            </w:r>
          </w:p>
          <w:p w14:paraId="7B1228FE">
            <w:pPr>
              <w:rPr>
                <w:rFonts w:hint="eastAsia" w:ascii="宋体" w:hAnsi="宋体" w:cs="宋体"/>
                <w:color w:val="auto"/>
                <w:highlight w:val="none"/>
              </w:rPr>
            </w:pPr>
            <w:r>
              <w:rPr>
                <w:rFonts w:hint="eastAsia" w:ascii="宋体" w:hAnsi="宋体" w:cs="宋体"/>
                <w:color w:val="auto"/>
                <w:highlight w:val="none"/>
              </w:rPr>
              <w:t>报告的规范性、完整性一般得3分；</w:t>
            </w:r>
          </w:p>
          <w:p w14:paraId="676D2F15">
            <w:pPr>
              <w:rPr>
                <w:rFonts w:hint="eastAsia" w:ascii="宋体" w:hAnsi="宋体" w:cs="宋体"/>
                <w:color w:val="auto"/>
                <w:highlight w:val="none"/>
              </w:rPr>
            </w:pPr>
            <w:r>
              <w:rPr>
                <w:rFonts w:hint="eastAsia" w:ascii="宋体" w:hAnsi="宋体" w:cs="宋体"/>
                <w:color w:val="auto"/>
                <w:highlight w:val="none"/>
              </w:rPr>
              <w:t>未按要求提供报告的不得分。</w:t>
            </w:r>
          </w:p>
          <w:p w14:paraId="202A8BAA">
            <w:pPr>
              <w:rPr>
                <w:rFonts w:ascii="宋体" w:hAnsi="宋体" w:cs="宋体"/>
                <w:color w:val="auto"/>
                <w:highlight w:val="none"/>
              </w:rPr>
            </w:pPr>
            <w:r>
              <w:rPr>
                <w:rFonts w:hint="eastAsia" w:ascii="宋体" w:hAnsi="宋体" w:cs="宋体"/>
                <w:b/>
                <w:bCs/>
                <w:color w:val="auto"/>
                <w:highlight w:val="none"/>
              </w:rPr>
              <w:t>（提供全套报告及记录</w:t>
            </w:r>
            <w:r>
              <w:rPr>
                <w:rFonts w:hint="eastAsia" w:ascii="宋体" w:hAnsi="宋体" w:cs="宋体"/>
                <w:b/>
                <w:bCs/>
                <w:color w:val="auto"/>
                <w:highlight w:val="none"/>
                <w:lang w:val="en-US" w:eastAsia="zh-CN"/>
              </w:rPr>
              <w:t>复印件加盖公章编制</w:t>
            </w:r>
            <w:r>
              <w:rPr>
                <w:rFonts w:hint="eastAsia"/>
                <w:b/>
                <w:bCs/>
                <w:color w:val="auto"/>
                <w:szCs w:val="24"/>
                <w:highlight w:val="none"/>
                <w:lang w:val="en-US" w:eastAsia="zh-CN"/>
              </w:rPr>
              <w:t>至投标文件中</w:t>
            </w:r>
            <w:r>
              <w:rPr>
                <w:rFonts w:hint="eastAsia" w:ascii="宋体" w:hAnsi="宋体" w:cs="宋体"/>
                <w:b/>
                <w:bCs/>
                <w:color w:val="auto"/>
                <w:highlight w:val="none"/>
              </w:rPr>
              <w:t>）</w:t>
            </w:r>
          </w:p>
        </w:tc>
        <w:tc>
          <w:tcPr>
            <w:tcW w:w="327" w:type="pct"/>
            <w:tcBorders>
              <w:top w:val="single" w:color="auto" w:sz="4" w:space="0"/>
              <w:left w:val="single" w:color="auto" w:sz="4" w:space="0"/>
              <w:right w:val="single" w:color="auto" w:sz="4" w:space="0"/>
            </w:tcBorders>
            <w:noWrap w:val="0"/>
            <w:vAlign w:val="center"/>
          </w:tcPr>
          <w:p w14:paraId="51AB5C2C">
            <w:pPr>
              <w:jc w:val="center"/>
              <w:rPr>
                <w:rFonts w:ascii="宋体" w:hAnsi="宋体" w:cs="宋体"/>
                <w:color w:val="auto"/>
                <w:highlight w:val="none"/>
              </w:rPr>
            </w:pPr>
            <w:r>
              <w:rPr>
                <w:rFonts w:hint="eastAsia" w:ascii="宋体" w:hAnsi="宋体" w:cs="宋体"/>
                <w:color w:val="auto"/>
                <w:highlight w:val="none"/>
              </w:rPr>
              <w:t>9</w:t>
            </w:r>
          </w:p>
        </w:tc>
      </w:tr>
      <w:tr w14:paraId="19F7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295" w:type="pct"/>
            <w:vMerge w:val="continue"/>
            <w:tcBorders>
              <w:left w:val="single" w:color="auto" w:sz="4" w:space="0"/>
              <w:right w:val="single" w:color="auto" w:sz="4" w:space="0"/>
            </w:tcBorders>
            <w:noWrap w:val="0"/>
            <w:vAlign w:val="center"/>
          </w:tcPr>
          <w:p w14:paraId="3257B329">
            <w:pPr>
              <w:jc w:val="center"/>
              <w:rPr>
                <w:rFonts w:hint="eastAsia" w:ascii="宋体" w:hAnsi="宋体" w:cs="宋体"/>
                <w:color w:val="auto"/>
                <w:highlight w:val="none"/>
              </w:rPr>
            </w:pPr>
          </w:p>
        </w:tc>
        <w:tc>
          <w:tcPr>
            <w:tcW w:w="409" w:type="pct"/>
            <w:vMerge w:val="continue"/>
            <w:tcBorders>
              <w:left w:val="single" w:color="auto" w:sz="4" w:space="0"/>
              <w:right w:val="single" w:color="auto" w:sz="4" w:space="0"/>
            </w:tcBorders>
            <w:noWrap w:val="0"/>
            <w:vAlign w:val="center"/>
          </w:tcPr>
          <w:p w14:paraId="01871A93">
            <w:pPr>
              <w:jc w:val="center"/>
              <w:rPr>
                <w:rFonts w:hint="eastAsia" w:ascii="宋体" w:hAnsi="宋体" w:cs="宋体"/>
                <w:b/>
                <w:bCs/>
                <w:color w:val="auto"/>
                <w:highlight w:val="none"/>
              </w:rPr>
            </w:pPr>
          </w:p>
        </w:tc>
        <w:tc>
          <w:tcPr>
            <w:tcW w:w="365" w:type="pct"/>
            <w:tcBorders>
              <w:left w:val="single" w:color="auto" w:sz="4" w:space="0"/>
              <w:right w:val="single" w:color="auto" w:sz="4" w:space="0"/>
            </w:tcBorders>
            <w:noWrap w:val="0"/>
            <w:vAlign w:val="center"/>
          </w:tcPr>
          <w:p w14:paraId="414AE4E7">
            <w:pPr>
              <w:jc w:val="center"/>
              <w:rPr>
                <w:rFonts w:hint="eastAsia" w:ascii="宋体" w:hAnsi="宋体" w:cs="宋体"/>
                <w:b/>
                <w:bCs/>
                <w:color w:val="auto"/>
                <w:highlight w:val="none"/>
              </w:rPr>
            </w:pPr>
            <w:r>
              <w:rPr>
                <w:rFonts w:hint="eastAsia" w:ascii="宋体" w:hAnsi="宋体" w:cs="宋体"/>
                <w:b/>
                <w:bCs/>
                <w:color w:val="auto"/>
                <w:highlight w:val="none"/>
              </w:rPr>
              <w:t>应急服务方案（10分）</w:t>
            </w:r>
          </w:p>
        </w:tc>
        <w:tc>
          <w:tcPr>
            <w:tcW w:w="3602" w:type="pct"/>
            <w:tcBorders>
              <w:top w:val="single" w:color="auto" w:sz="4" w:space="0"/>
              <w:left w:val="single" w:color="auto" w:sz="4" w:space="0"/>
              <w:right w:val="single" w:color="auto" w:sz="4" w:space="0"/>
            </w:tcBorders>
            <w:noWrap w:val="0"/>
            <w:vAlign w:val="center"/>
          </w:tcPr>
          <w:p w14:paraId="6FD775DC">
            <w:pPr>
              <w:widowControl/>
              <w:jc w:val="left"/>
              <w:rPr>
                <w:rFonts w:hint="eastAsia" w:ascii="宋体" w:hAnsi="宋体" w:cs="宋体"/>
                <w:color w:val="auto"/>
                <w:highlight w:val="none"/>
              </w:rPr>
            </w:pPr>
            <w:r>
              <w:rPr>
                <w:rFonts w:hint="eastAsia" w:ascii="宋体" w:hAnsi="宋体" w:cs="宋体"/>
                <w:color w:val="auto"/>
                <w:highlight w:val="none"/>
              </w:rPr>
              <w:t>根据投标人提供的针对突发环境事件应急监测及国家、省环保督察之类的专项任务的应急保障方案进行评分：</w:t>
            </w:r>
          </w:p>
          <w:p w14:paraId="1C9E8DAB">
            <w:pPr>
              <w:rPr>
                <w:rFonts w:hint="eastAsia" w:ascii="宋体" w:hAnsi="宋体" w:cs="宋体"/>
                <w:color w:val="auto"/>
                <w:highlight w:val="none"/>
              </w:rPr>
            </w:pPr>
            <w:r>
              <w:rPr>
                <w:rFonts w:hint="eastAsia" w:ascii="宋体" w:hAnsi="宋体" w:cs="宋体"/>
                <w:color w:val="auto"/>
                <w:highlight w:val="none"/>
              </w:rPr>
              <w:t>方案有数据支持、详实有力度、针对性强，因地制宜且进度计划合理的得10分；</w:t>
            </w:r>
          </w:p>
          <w:p w14:paraId="79241090">
            <w:pPr>
              <w:rPr>
                <w:rFonts w:hint="eastAsia" w:ascii="宋体" w:hAnsi="宋体" w:cs="宋体"/>
                <w:color w:val="auto"/>
                <w:highlight w:val="none"/>
              </w:rPr>
            </w:pPr>
            <w:r>
              <w:rPr>
                <w:rFonts w:hint="eastAsia" w:ascii="宋体" w:hAnsi="宋体" w:cs="宋体"/>
                <w:color w:val="auto"/>
                <w:highlight w:val="none"/>
              </w:rPr>
              <w:t>方案较合理，针对性较高，进度计划基本可行的得7分；</w:t>
            </w:r>
          </w:p>
          <w:p w14:paraId="0BCC82F2">
            <w:pPr>
              <w:rPr>
                <w:rFonts w:hint="eastAsia" w:ascii="宋体" w:hAnsi="宋体" w:cs="宋体"/>
                <w:color w:val="auto"/>
                <w:highlight w:val="none"/>
              </w:rPr>
            </w:pPr>
            <w:r>
              <w:rPr>
                <w:rFonts w:hint="eastAsia" w:ascii="宋体" w:hAnsi="宋体" w:cs="宋体"/>
                <w:color w:val="auto"/>
                <w:highlight w:val="none"/>
              </w:rPr>
              <w:t>方案有一定的可行性但不够</w:t>
            </w:r>
            <w:r>
              <w:rPr>
                <w:rFonts w:hint="eastAsia" w:ascii="宋体" w:hAnsi="宋体" w:cs="宋体"/>
                <w:color w:val="auto"/>
                <w:highlight w:val="none"/>
                <w:lang w:eastAsia="zh-CN"/>
              </w:rPr>
              <w:t>翔实</w:t>
            </w:r>
            <w:r>
              <w:rPr>
                <w:rFonts w:hint="eastAsia" w:ascii="宋体" w:hAnsi="宋体" w:cs="宋体"/>
                <w:color w:val="auto"/>
                <w:highlight w:val="none"/>
              </w:rPr>
              <w:t>的得4分；</w:t>
            </w:r>
          </w:p>
          <w:p w14:paraId="7A3605CB">
            <w:pPr>
              <w:rPr>
                <w:rFonts w:hint="eastAsia" w:ascii="宋体" w:hAnsi="宋体" w:cs="宋体"/>
                <w:color w:val="auto"/>
                <w:highlight w:val="none"/>
              </w:rPr>
            </w:pPr>
            <w:r>
              <w:rPr>
                <w:rFonts w:hint="eastAsia" w:ascii="宋体" w:hAnsi="宋体" w:cs="宋体"/>
                <w:color w:val="auto"/>
                <w:highlight w:val="none"/>
              </w:rPr>
              <w:t>方案片面较差的得1分；</w:t>
            </w:r>
          </w:p>
          <w:p w14:paraId="537C74DB">
            <w:pPr>
              <w:rPr>
                <w:rFonts w:hint="eastAsia" w:ascii="宋体" w:hAnsi="宋体" w:cs="宋体"/>
                <w:color w:val="auto"/>
                <w:highlight w:val="none"/>
              </w:rPr>
            </w:pPr>
            <w:r>
              <w:rPr>
                <w:rFonts w:hint="eastAsia" w:ascii="宋体" w:hAnsi="宋体" w:cs="宋体"/>
                <w:color w:val="auto"/>
                <w:highlight w:val="none"/>
              </w:rPr>
              <w:t>未提供的本项不得分。</w:t>
            </w:r>
          </w:p>
        </w:tc>
        <w:tc>
          <w:tcPr>
            <w:tcW w:w="327" w:type="pct"/>
            <w:tcBorders>
              <w:top w:val="single" w:color="auto" w:sz="4" w:space="0"/>
              <w:left w:val="single" w:color="auto" w:sz="4" w:space="0"/>
              <w:right w:val="single" w:color="auto" w:sz="4" w:space="0"/>
            </w:tcBorders>
            <w:noWrap w:val="0"/>
            <w:vAlign w:val="center"/>
          </w:tcPr>
          <w:p w14:paraId="3D21C505">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r>
      <w:tr w14:paraId="6FDD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95" w:type="pct"/>
            <w:tcBorders>
              <w:left w:val="single" w:color="auto" w:sz="4" w:space="0"/>
              <w:right w:val="single" w:color="auto" w:sz="4" w:space="0"/>
            </w:tcBorders>
            <w:noWrap w:val="0"/>
            <w:vAlign w:val="center"/>
          </w:tcPr>
          <w:p w14:paraId="7C4A4E4B">
            <w:pPr>
              <w:jc w:val="center"/>
              <w:rPr>
                <w:rFonts w:hint="eastAsia" w:ascii="宋体" w:hAnsi="宋体" w:cs="宋体"/>
                <w:color w:val="auto"/>
                <w:sz w:val="24"/>
                <w:szCs w:val="24"/>
                <w:highlight w:val="none"/>
              </w:rPr>
            </w:pPr>
          </w:p>
        </w:tc>
        <w:tc>
          <w:tcPr>
            <w:tcW w:w="774" w:type="pct"/>
            <w:gridSpan w:val="2"/>
            <w:tcBorders>
              <w:left w:val="single" w:color="auto" w:sz="4" w:space="0"/>
              <w:right w:val="single" w:color="auto" w:sz="4" w:space="0"/>
            </w:tcBorders>
            <w:noWrap w:val="0"/>
            <w:vAlign w:val="center"/>
          </w:tcPr>
          <w:p w14:paraId="0E591D1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合计</w:t>
            </w:r>
          </w:p>
        </w:tc>
        <w:tc>
          <w:tcPr>
            <w:tcW w:w="3602" w:type="pct"/>
            <w:tcBorders>
              <w:left w:val="single" w:color="auto" w:sz="4" w:space="0"/>
              <w:right w:val="single" w:color="auto" w:sz="4" w:space="0"/>
            </w:tcBorders>
            <w:noWrap w:val="0"/>
            <w:vAlign w:val="center"/>
          </w:tcPr>
          <w:p w14:paraId="47EDAFAF">
            <w:pPr>
              <w:jc w:val="center"/>
              <w:rPr>
                <w:rFonts w:hint="eastAsia" w:ascii="宋体" w:hAnsi="宋体" w:cs="宋体"/>
                <w:color w:val="auto"/>
                <w:sz w:val="24"/>
                <w:szCs w:val="24"/>
                <w:highlight w:val="none"/>
              </w:rPr>
            </w:pPr>
          </w:p>
        </w:tc>
        <w:tc>
          <w:tcPr>
            <w:tcW w:w="327" w:type="pct"/>
            <w:tcBorders>
              <w:left w:val="single" w:color="auto" w:sz="4" w:space="0"/>
              <w:right w:val="single" w:color="auto" w:sz="4" w:space="0"/>
            </w:tcBorders>
            <w:noWrap w:val="0"/>
            <w:vAlign w:val="center"/>
          </w:tcPr>
          <w:p w14:paraId="01459847">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10</w:t>
            </w:r>
            <w:r>
              <w:rPr>
                <w:rFonts w:hint="eastAsia" w:ascii="宋体" w:hAnsi="宋体" w:cs="宋体"/>
                <w:color w:val="auto"/>
                <w:sz w:val="24"/>
                <w:szCs w:val="24"/>
                <w:highlight w:val="none"/>
                <w:lang w:val="en-US" w:eastAsia="zh-CN"/>
              </w:rPr>
              <w:t>0</w:t>
            </w:r>
          </w:p>
        </w:tc>
      </w:tr>
    </w:tbl>
    <w:p w14:paraId="28E1CECB">
      <w:pPr>
        <w:rPr>
          <w:rFonts w:hint="eastAsia"/>
          <w:color w:val="auto"/>
          <w:highlight w:val="none"/>
          <w:lang w:val="zh-CN"/>
        </w:rPr>
      </w:pPr>
    </w:p>
    <w:p w14:paraId="58CDBEED">
      <w:pPr>
        <w:widowControl/>
        <w:spacing w:line="360" w:lineRule="auto"/>
        <w:jc w:val="left"/>
        <w:rPr>
          <w:rFonts w:ascii="宋体" w:hAnsi="宋体"/>
          <w:b/>
          <w:color w:val="auto"/>
          <w:szCs w:val="21"/>
          <w:highlight w:val="none"/>
        </w:rPr>
      </w:pPr>
    </w:p>
    <w:p w14:paraId="194BB0EB">
      <w:pPr>
        <w:widowControl/>
        <w:spacing w:line="360" w:lineRule="auto"/>
        <w:jc w:val="left"/>
        <w:rPr>
          <w:rFonts w:ascii="宋体" w:hAnsi="宋体"/>
          <w:b/>
          <w:color w:val="auto"/>
          <w:szCs w:val="21"/>
          <w:highlight w:val="none"/>
        </w:rPr>
      </w:pPr>
      <w:r>
        <w:rPr>
          <w:rFonts w:hint="eastAsia" w:ascii="宋体" w:hAnsi="宋体"/>
          <w:b/>
          <w:color w:val="auto"/>
          <w:szCs w:val="21"/>
          <w:highlight w:val="none"/>
        </w:rPr>
        <w:t>备注：评分细则说明：</w:t>
      </w:r>
    </w:p>
    <w:p w14:paraId="7E7932D2">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可参加本次招标项目中的一个或者多个分包，但最多只能中标一个分包，开、评标顺序：分包1→分包2。同时投多个分包的投标人如在前一分包被确定为中标人，可以继续参加后续分包的评标，但不能再中标其他分包，如同时在后续分包排名第一，则招标人在后续分包中可以确定排名第二的中标候选人为中标人。</w:t>
      </w:r>
    </w:p>
    <w:p w14:paraId="139B96AE">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对国家认定的节能产品和环保产品分别给予投标价的5%价格扣除，用扣除后的价格参与评审（特别说明：节能、环保产品必须纳入“中国政府采购</w:t>
      </w:r>
      <w:r>
        <w:rPr>
          <w:rFonts w:hint="eastAsia" w:ascii="宋体" w:hAnsi="宋体"/>
          <w:color w:val="auto"/>
          <w:szCs w:val="21"/>
          <w:highlight w:val="none"/>
          <w:lang w:val="en-US" w:eastAsia="zh-CN"/>
        </w:rPr>
        <w:t>网</w:t>
      </w:r>
      <w:r>
        <w:rPr>
          <w:rFonts w:hint="eastAsia" w:ascii="宋体" w:hAnsi="宋体"/>
          <w:color w:val="auto"/>
          <w:szCs w:val="21"/>
          <w:highlight w:val="none"/>
        </w:rPr>
        <w:t>http://www.ccgp.gov.cn”等官方网站“节能、环保产品查询系统”，且以提供的证书复印件为准）。</w:t>
      </w:r>
    </w:p>
    <w:p w14:paraId="66122717">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小微型企业价格扣除</w:t>
      </w:r>
    </w:p>
    <w:p w14:paraId="180D24D2">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rPr>
        <w:t>（1）本项目对小型和微型企业产品给予10%的扣除价格，对联合投标企业产品的价格给予4%的扣除（联合协议中约定，小型、微型企业的协议合同金额占到联合体协议合同总金额30%以上的，可给予联合体4%的价格扣除），用扣除后的价格参与评审。</w:t>
      </w:r>
    </w:p>
    <w:p w14:paraId="6F40022E">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rPr>
        <w:t>（2）投标人需按照招标文件的要求提供相应的《企业声明函》。</w:t>
      </w:r>
    </w:p>
    <w:p w14:paraId="784103D0">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rPr>
        <w:t>（3）企业标准请参照《关于印发中小企业划型标准规定的通知》（工信部联企业</w:t>
      </w:r>
      <w:r>
        <w:rPr>
          <w:rFonts w:hint="eastAsia" w:ascii="宋体" w:hAnsi="宋体"/>
          <w:color w:val="auto"/>
          <w:szCs w:val="21"/>
          <w:highlight w:val="none"/>
          <w:lang w:eastAsia="zh-CN"/>
        </w:rPr>
        <w:t>〔2011〕300号</w:t>
      </w:r>
      <w:r>
        <w:rPr>
          <w:rFonts w:hint="eastAsia" w:ascii="宋体" w:hAnsi="宋体"/>
          <w:color w:val="auto"/>
          <w:szCs w:val="21"/>
          <w:highlight w:val="none"/>
        </w:rPr>
        <w:t>）文件规定自行填写。</w:t>
      </w:r>
    </w:p>
    <w:p w14:paraId="0483A941">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残疾人福利单位价格扣除</w:t>
      </w:r>
    </w:p>
    <w:p w14:paraId="4A6FBE15">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rPr>
        <w:t>（1）本项目对残疾人福利性单位视同小型、微型企业，给予10%的价格扣除，用扣除后的价格参与评审。</w:t>
      </w:r>
    </w:p>
    <w:p w14:paraId="170848A5">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rPr>
        <w:t>（2）残疾人福利单位需按照招标文件的要求提供《残疾人</w:t>
      </w:r>
      <w:r>
        <w:rPr>
          <w:rFonts w:hint="eastAsia" w:ascii="宋体" w:hAnsi="宋体"/>
          <w:color w:val="auto"/>
          <w:szCs w:val="21"/>
          <w:highlight w:val="none"/>
          <w:lang w:eastAsia="zh-CN"/>
        </w:rPr>
        <w:t>福利</w:t>
      </w:r>
      <w:r>
        <w:rPr>
          <w:rFonts w:hint="eastAsia" w:ascii="宋体" w:hAnsi="宋体"/>
          <w:color w:val="auto"/>
          <w:szCs w:val="21"/>
          <w:highlight w:val="none"/>
        </w:rPr>
        <w:t>单位声明函》。</w:t>
      </w:r>
    </w:p>
    <w:p w14:paraId="522A99CF">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rPr>
        <w:t>（3）残疾人福利单位标准请参照《关于促进残疾人就业政府采购政策的通知》（财库〔2017〕141号）。</w:t>
      </w:r>
    </w:p>
    <w:p w14:paraId="5820BDBD">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监狱和戒毒企业价格扣除</w:t>
      </w:r>
    </w:p>
    <w:p w14:paraId="27CA8BC6">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rPr>
        <w:t>（1）本项目对监狱和戒毒企业（简称监狱企业）视同小型、微型企业，给予10%的价格扣除，用扣除后的价格参与评审。</w:t>
      </w:r>
    </w:p>
    <w:p w14:paraId="50CE02E4">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rPr>
        <w:t>（2）监狱企业参加政府采购活动时，需提供由省级以上监狱管理局、戒毒管理局</w:t>
      </w:r>
      <w:r>
        <w:rPr>
          <w:rFonts w:hint="eastAsia" w:ascii="宋体" w:hAnsi="宋体"/>
          <w:color w:val="auto"/>
          <w:szCs w:val="21"/>
          <w:highlight w:val="none"/>
          <w:lang w:eastAsia="zh-CN"/>
        </w:rPr>
        <w:t>（</w:t>
      </w:r>
      <w:r>
        <w:rPr>
          <w:rFonts w:hint="eastAsia" w:ascii="宋体" w:hAnsi="宋体"/>
          <w:color w:val="auto"/>
          <w:szCs w:val="21"/>
          <w:highlight w:val="none"/>
        </w:rPr>
        <w:t>含新疆生产建设兵团</w:t>
      </w:r>
      <w:r>
        <w:rPr>
          <w:rFonts w:hint="eastAsia" w:ascii="宋体" w:hAnsi="宋体"/>
          <w:color w:val="auto"/>
          <w:szCs w:val="21"/>
          <w:highlight w:val="none"/>
          <w:lang w:eastAsia="zh-CN"/>
        </w:rPr>
        <w:t>）</w:t>
      </w:r>
      <w:r>
        <w:rPr>
          <w:rFonts w:hint="eastAsia" w:ascii="宋体" w:hAnsi="宋体"/>
          <w:color w:val="auto"/>
          <w:szCs w:val="21"/>
          <w:highlight w:val="none"/>
        </w:rPr>
        <w:t>出具的属于监狱企业的证明文件。投标人如不提供上述证明文件，价格将不做相应扣除。</w:t>
      </w:r>
    </w:p>
    <w:p w14:paraId="105800B0">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rPr>
        <w:t>（3）监狱企业标准请参照《关于政府采购支持监狱企业发展有关问题的通知》（财库</w:t>
      </w:r>
      <w:r>
        <w:rPr>
          <w:rFonts w:hint="eastAsia" w:ascii="宋体" w:hAnsi="宋体"/>
          <w:color w:val="auto"/>
          <w:szCs w:val="21"/>
          <w:highlight w:val="none"/>
          <w:lang w:eastAsia="zh-CN"/>
        </w:rPr>
        <w:t>〔2014〕68号</w:t>
      </w:r>
      <w:r>
        <w:rPr>
          <w:rFonts w:hint="eastAsia" w:ascii="宋体" w:hAnsi="宋体"/>
          <w:color w:val="auto"/>
          <w:szCs w:val="21"/>
          <w:highlight w:val="none"/>
        </w:rPr>
        <w:t>）。</w:t>
      </w:r>
    </w:p>
    <w:p w14:paraId="386D1D53">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rPr>
        <w:t>残疾人福利单位、监狱企业属于小型、微型企业的，不重复享受政策。</w:t>
      </w:r>
    </w:p>
    <w:p w14:paraId="1FC177C3">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rPr>
        <w:t>所有认证、证明和业绩均以有效的证明文件的复印件为依据（要求提供原件核查的除外）。</w:t>
      </w:r>
    </w:p>
    <w:p w14:paraId="77D87658">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r>
        <w:rPr>
          <w:rFonts w:hint="eastAsia" w:ascii="宋体" w:hAnsi="宋体"/>
          <w:color w:val="auto"/>
          <w:szCs w:val="21"/>
          <w:highlight w:val="none"/>
        </w:rPr>
        <w:t>价格扣除优惠政策仅适用于“第一章</w:t>
      </w:r>
      <w:r>
        <w:rPr>
          <w:rFonts w:hint="eastAsia" w:ascii="宋体" w:hAnsi="宋体"/>
          <w:color w:val="auto"/>
          <w:szCs w:val="21"/>
          <w:highlight w:val="none"/>
          <w:lang w:eastAsia="zh-CN"/>
        </w:rPr>
        <w:t>～</w:t>
      </w:r>
      <w:r>
        <w:rPr>
          <w:rFonts w:hint="eastAsia" w:ascii="宋体" w:hAnsi="宋体"/>
          <w:color w:val="auto"/>
          <w:szCs w:val="21"/>
          <w:highlight w:val="none"/>
        </w:rPr>
        <w:t>二、申请人的资格要求</w:t>
      </w:r>
      <w:r>
        <w:rPr>
          <w:rFonts w:hint="eastAsia" w:ascii="宋体" w:hAnsi="宋体"/>
          <w:color w:val="auto"/>
          <w:szCs w:val="21"/>
          <w:highlight w:val="none"/>
          <w:lang w:eastAsia="zh-CN"/>
        </w:rPr>
        <w:t>～</w:t>
      </w:r>
      <w:r>
        <w:rPr>
          <w:rFonts w:hint="eastAsia" w:ascii="宋体" w:hAnsi="宋体"/>
          <w:color w:val="auto"/>
          <w:szCs w:val="21"/>
          <w:highlight w:val="none"/>
        </w:rPr>
        <w:t>2.落实政府采购政策需满足的资格要求”中“本项目按照采用以下第（4）种方式落实政府采购促进中小企业发展的要求”的采购项目中。</w:t>
      </w:r>
    </w:p>
    <w:p w14:paraId="0845C13F">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所有实质性要求</w:t>
      </w:r>
      <w:r>
        <w:rPr>
          <w:rFonts w:hint="eastAsia" w:ascii="宋体" w:hAnsi="宋体"/>
          <w:color w:val="auto"/>
          <w:szCs w:val="21"/>
          <w:highlight w:val="none"/>
          <w:lang w:eastAsia="zh-CN"/>
        </w:rPr>
        <w:t>不得</w:t>
      </w:r>
      <w:r>
        <w:rPr>
          <w:rFonts w:hint="eastAsia" w:ascii="宋体" w:hAnsi="宋体"/>
          <w:color w:val="auto"/>
          <w:szCs w:val="21"/>
          <w:highlight w:val="none"/>
        </w:rPr>
        <w:t>偏离。</w:t>
      </w:r>
    </w:p>
    <w:p w14:paraId="61FCE0E2">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w:t>
      </w:r>
      <w:r>
        <w:rPr>
          <w:rFonts w:hint="eastAsia" w:ascii="宋体" w:hAnsi="宋体"/>
          <w:color w:val="auto"/>
          <w:szCs w:val="21"/>
          <w:highlight w:val="none"/>
        </w:rPr>
        <w:t>上述评分办法均以投标文件、评委的判断为准。</w:t>
      </w:r>
    </w:p>
    <w:p w14:paraId="7646BA77">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w:t>
      </w:r>
      <w:r>
        <w:rPr>
          <w:rFonts w:hint="eastAsia" w:ascii="宋体" w:hAnsi="宋体"/>
          <w:color w:val="auto"/>
          <w:szCs w:val="21"/>
          <w:highlight w:val="none"/>
        </w:rPr>
        <w:t>评标委员会不保证有效报价最低的</w:t>
      </w:r>
      <w:r>
        <w:rPr>
          <w:rFonts w:hint="eastAsia" w:ascii="宋体" w:hAnsi="宋体"/>
          <w:color w:val="auto"/>
          <w:szCs w:val="21"/>
          <w:highlight w:val="none"/>
          <w:lang w:eastAsia="zh-CN"/>
        </w:rPr>
        <w:t>投标</w:t>
      </w:r>
      <w:r>
        <w:rPr>
          <w:rFonts w:hint="eastAsia" w:ascii="宋体" w:hAnsi="宋体"/>
          <w:color w:val="auto"/>
          <w:szCs w:val="21"/>
          <w:highlight w:val="none"/>
        </w:rPr>
        <w:t>人中标。</w:t>
      </w:r>
    </w:p>
    <w:p w14:paraId="5DA3FA62">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如果评审分数畸高、畸低的，应详细说明理由。</w:t>
      </w:r>
    </w:p>
    <w:p w14:paraId="3BDA0FEC">
      <w:pPr>
        <w:widowControl/>
        <w:tabs>
          <w:tab w:val="left" w:pos="1003"/>
        </w:tabs>
        <w:spacing w:line="360" w:lineRule="auto"/>
        <w:ind w:firstLine="315"/>
        <w:jc w:val="left"/>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若</w:t>
      </w:r>
      <w:r>
        <w:rPr>
          <w:rFonts w:hint="eastAsia" w:ascii="宋体" w:hAnsi="宋体"/>
          <w:color w:val="auto"/>
          <w:szCs w:val="21"/>
          <w:highlight w:val="none"/>
          <w:lang w:eastAsia="zh-CN"/>
        </w:rPr>
        <w:t>投标</w:t>
      </w:r>
      <w:r>
        <w:rPr>
          <w:rFonts w:hint="eastAsia" w:ascii="宋体" w:hAnsi="宋体"/>
          <w:color w:val="auto"/>
          <w:szCs w:val="21"/>
          <w:highlight w:val="none"/>
        </w:rPr>
        <w:t>人提供虚假资料，一经查实作无效投标处理。</w:t>
      </w:r>
    </w:p>
    <w:p w14:paraId="2A9F8984">
      <w:pPr>
        <w:tabs>
          <w:tab w:val="left" w:pos="426"/>
        </w:tabs>
        <w:spacing w:line="360" w:lineRule="auto"/>
        <w:jc w:val="center"/>
        <w:outlineLvl w:val="0"/>
        <w:rPr>
          <w:rFonts w:ascii="宋体" w:hAnsi="宋体"/>
          <w:b/>
          <w:bCs/>
          <w:color w:val="auto"/>
          <w:sz w:val="32"/>
          <w:szCs w:val="32"/>
          <w:highlight w:val="none"/>
          <w:lang w:val="zh-CN"/>
        </w:rPr>
      </w:pPr>
      <w:r>
        <w:rPr>
          <w:rFonts w:ascii="宋体" w:hAnsi="宋体"/>
          <w:b/>
          <w:color w:val="auto"/>
          <w:szCs w:val="21"/>
          <w:highlight w:val="none"/>
          <w:lang w:val="zh-CN"/>
        </w:rPr>
        <w:br w:type="page" w:clear="all"/>
      </w:r>
      <w:bookmarkStart w:id="65" w:name="_Toc44660263"/>
      <w:bookmarkStart w:id="66" w:name="_Toc55479012"/>
      <w:r>
        <w:rPr>
          <w:rFonts w:hint="eastAsia" w:ascii="宋体" w:hAnsi="宋体"/>
          <w:b/>
          <w:bCs/>
          <w:color w:val="auto"/>
          <w:sz w:val="32"/>
          <w:szCs w:val="32"/>
          <w:highlight w:val="none"/>
          <w:lang w:val="zh-CN"/>
        </w:rPr>
        <w:t>第四章</w:t>
      </w:r>
      <w:bookmarkEnd w:id="65"/>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采购需求及标准</w:t>
      </w:r>
      <w:bookmarkEnd w:id="66"/>
    </w:p>
    <w:p w14:paraId="309D710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1.项目内容</w:t>
      </w:r>
    </w:p>
    <w:p w14:paraId="3ED8A40F">
      <w:pPr>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包</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cs="宋体"/>
          <w:color w:val="auto"/>
          <w:sz w:val="21"/>
          <w:szCs w:val="21"/>
          <w:highlight w:val="none"/>
          <w:lang w:val="en-US" w:eastAsia="zh-CN"/>
        </w:rPr>
        <w:t>浦口</w:t>
      </w:r>
      <w:r>
        <w:rPr>
          <w:rFonts w:hint="eastAsia" w:ascii="宋体" w:hAnsi="宋体" w:eastAsia="宋体" w:cs="宋体"/>
          <w:color w:val="auto"/>
          <w:sz w:val="21"/>
          <w:szCs w:val="21"/>
          <w:highlight w:val="none"/>
          <w:lang w:val="en-US" w:eastAsia="zh-CN"/>
        </w:rPr>
        <w:t>区污染源监督监测及临时性监测，金额</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万元；采购内容：对</w:t>
      </w:r>
      <w:r>
        <w:rPr>
          <w:rFonts w:hint="eastAsia" w:ascii="宋体" w:hAnsi="宋体" w:cs="宋体"/>
          <w:color w:val="auto"/>
          <w:sz w:val="21"/>
          <w:szCs w:val="21"/>
          <w:highlight w:val="none"/>
          <w:lang w:val="en-US" w:eastAsia="zh-CN"/>
        </w:rPr>
        <w:t>浦口</w:t>
      </w:r>
      <w:r>
        <w:rPr>
          <w:rFonts w:hint="eastAsia" w:ascii="宋体" w:hAnsi="宋体" w:eastAsia="宋体" w:cs="宋体"/>
          <w:color w:val="auto"/>
          <w:sz w:val="21"/>
          <w:szCs w:val="21"/>
          <w:highlight w:val="none"/>
          <w:lang w:val="en-US" w:eastAsia="zh-CN"/>
        </w:rPr>
        <w:t>区污染源监督性监测、比对监测，其中包含特殊检测因子：</w:t>
      </w:r>
      <w:r>
        <w:rPr>
          <w:rFonts w:hint="eastAsia" w:ascii="宋体" w:hAnsi="宋体" w:cs="宋体"/>
          <w:color w:val="auto"/>
          <w:sz w:val="21"/>
          <w:szCs w:val="21"/>
          <w:highlight w:val="none"/>
          <w:lang w:val="en-US" w:eastAsia="zh-CN"/>
        </w:rPr>
        <w:t>废气中的</w:t>
      </w:r>
      <w:r>
        <w:rPr>
          <w:rFonts w:hint="eastAsia" w:ascii="宋体" w:hAnsi="宋体" w:eastAsia="宋体" w:cs="宋体"/>
          <w:color w:val="auto"/>
          <w:sz w:val="21"/>
          <w:szCs w:val="21"/>
          <w:highlight w:val="none"/>
          <w:lang w:val="en-US" w:eastAsia="zh-CN"/>
        </w:rPr>
        <w:t>二噁英类/(ng TEQ/m3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汞及其化合物（以Hg计）、镉、铊及其化合物（以Cd+TI计）、锑、砷、铅、铬、钴、铜、锰、镍及其化合物（以Sb+As+Pb+Cr+Co+Cu+Mn+Ni计）、热灼减率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土壤中的金属：铁、锰、铬、总银、铊（视具体情况调整）等（具体按要求调整）；对区域类应急监测、信访投诉、监督性监测以及上级部门下达的临时性检测任务进行检测。</w:t>
      </w:r>
    </w:p>
    <w:p w14:paraId="5EB0EBFA">
      <w:pPr>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2：浦口区环境质量监测及临时性监测，金额25万元；采购内容：对国、省考断面预警监测（3个）、省考断面关联泵站（10个）、区级以上河长制河流监测（17个）、长江入河排口（75个）、分布式污水处理设施（5个）、建成区水体（10个）等地表水例行监测，视情况对超标点位进行溯源；对区域类应急监测、信访投诉、监督性监测以及上级部门下达的临时性检测任务进行检测</w:t>
      </w:r>
      <w:r>
        <w:rPr>
          <w:rFonts w:hint="eastAsia" w:ascii="宋体" w:hAnsi="宋体" w:cs="宋体"/>
          <w:color w:val="auto"/>
          <w:sz w:val="21"/>
          <w:szCs w:val="21"/>
          <w:highlight w:val="none"/>
          <w:lang w:val="en-US" w:eastAsia="zh-CN"/>
        </w:rPr>
        <w:t>。</w:t>
      </w:r>
    </w:p>
    <w:p w14:paraId="4EC0E143">
      <w:pPr>
        <w:spacing w:line="360" w:lineRule="auto"/>
        <w:ind w:firstLine="42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备注：当发生突发环境事件时，招标人有权统筹调度各</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zh-CN"/>
        </w:rPr>
        <w:t>包的监测力量，不受各</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zh-CN"/>
        </w:rPr>
        <w:t>包</w:t>
      </w:r>
      <w:r>
        <w:rPr>
          <w:rFonts w:hint="eastAsia" w:ascii="宋体" w:hAnsi="宋体" w:eastAsia="宋体" w:cs="宋体"/>
          <w:bCs/>
          <w:color w:val="auto"/>
          <w:sz w:val="21"/>
          <w:szCs w:val="21"/>
          <w:highlight w:val="none"/>
        </w:rPr>
        <w:t>监测</w:t>
      </w:r>
      <w:r>
        <w:rPr>
          <w:rFonts w:hint="eastAsia" w:ascii="宋体" w:hAnsi="宋体" w:eastAsia="宋体" w:cs="宋体"/>
          <w:bCs/>
          <w:color w:val="auto"/>
          <w:sz w:val="21"/>
          <w:szCs w:val="21"/>
          <w:highlight w:val="none"/>
          <w:lang w:val="zh-CN"/>
        </w:rPr>
        <w:t>内容限制。</w:t>
      </w:r>
    </w:p>
    <w:p w14:paraId="5A4BFD83">
      <w:pPr>
        <w:numPr>
          <w:ilvl w:val="0"/>
          <w:numId w:val="6"/>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r>
        <w:rPr>
          <w:rFonts w:hint="eastAsia" w:ascii="宋体" w:hAnsi="宋体" w:eastAsia="宋体" w:cs="宋体"/>
          <w:color w:val="auto"/>
          <w:sz w:val="21"/>
          <w:szCs w:val="21"/>
          <w:highlight w:val="none"/>
          <w:lang w:val="en-US" w:eastAsia="zh-CN"/>
        </w:rPr>
        <w:t>签订合同至202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月31日。</w:t>
      </w:r>
    </w:p>
    <w:p w14:paraId="10D5CBC0">
      <w:pPr>
        <w:numPr>
          <w:ilvl w:val="0"/>
          <w:numId w:val="6"/>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服务要求</w:t>
      </w:r>
    </w:p>
    <w:p w14:paraId="6FDA689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3.1、符合国家及相关行业标准和规范要求。</w:t>
      </w:r>
    </w:p>
    <w:p w14:paraId="2F953EB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3.2、中标人根据南京市</w:t>
      </w:r>
      <w:r>
        <w:rPr>
          <w:rFonts w:hint="eastAsia" w:ascii="宋体" w:hAnsi="宋体" w:eastAsia="宋体" w:cs="宋体"/>
          <w:color w:val="auto"/>
          <w:sz w:val="21"/>
          <w:szCs w:val="21"/>
          <w:highlight w:val="none"/>
          <w:lang w:val="en-US" w:eastAsia="zh-CN"/>
        </w:rPr>
        <w:t>浦口</w:t>
      </w:r>
      <w:r>
        <w:rPr>
          <w:rFonts w:hint="eastAsia" w:ascii="宋体" w:hAnsi="宋体" w:eastAsia="宋体" w:cs="宋体"/>
          <w:color w:val="auto"/>
          <w:sz w:val="21"/>
          <w:szCs w:val="21"/>
          <w:highlight w:val="none"/>
        </w:rPr>
        <w:t>生态环境监测监控中心提出的样品检测或项目监测需求，按约定报价预算检测或项目监测费用，其中项目监测需求需制定监测方案。监测方案及费用清单经南京市</w:t>
      </w:r>
      <w:r>
        <w:rPr>
          <w:rFonts w:hint="eastAsia" w:ascii="宋体" w:hAnsi="宋体" w:eastAsia="宋体" w:cs="宋体"/>
          <w:color w:val="auto"/>
          <w:sz w:val="21"/>
          <w:szCs w:val="21"/>
          <w:highlight w:val="none"/>
          <w:lang w:val="en-US" w:eastAsia="zh-CN"/>
        </w:rPr>
        <w:t>浦口</w:t>
      </w:r>
      <w:r>
        <w:rPr>
          <w:rFonts w:hint="eastAsia" w:ascii="宋体" w:hAnsi="宋体" w:eastAsia="宋体" w:cs="宋体"/>
          <w:color w:val="auto"/>
          <w:sz w:val="21"/>
          <w:szCs w:val="21"/>
          <w:highlight w:val="none"/>
        </w:rPr>
        <w:t>生态环境监测监控中心审核批准后双方签订监测协议。</w:t>
      </w:r>
    </w:p>
    <w:p w14:paraId="72A5DDE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3.3、中标人按照监测方案及相关技术规范的要求，及时组织样品检测和现场监测工作。南京市</w:t>
      </w:r>
      <w:r>
        <w:rPr>
          <w:rFonts w:hint="eastAsia" w:ascii="宋体" w:hAnsi="宋体" w:eastAsia="宋体" w:cs="宋体"/>
          <w:color w:val="auto"/>
          <w:sz w:val="21"/>
          <w:szCs w:val="21"/>
          <w:highlight w:val="none"/>
          <w:lang w:val="en-US" w:eastAsia="zh-CN"/>
        </w:rPr>
        <w:t>浦口</w:t>
      </w:r>
      <w:r>
        <w:rPr>
          <w:rFonts w:hint="eastAsia" w:ascii="宋体" w:hAnsi="宋体" w:eastAsia="宋体" w:cs="宋体"/>
          <w:color w:val="auto"/>
          <w:sz w:val="21"/>
          <w:szCs w:val="21"/>
          <w:highlight w:val="none"/>
        </w:rPr>
        <w:t>生态环境监测监控中心有权对整个监测过程进行现场检查及施加质控措施，中标人需接受南京市</w:t>
      </w:r>
      <w:r>
        <w:rPr>
          <w:rFonts w:hint="eastAsia" w:ascii="宋体" w:hAnsi="宋体" w:eastAsia="宋体" w:cs="宋体"/>
          <w:color w:val="auto"/>
          <w:sz w:val="21"/>
          <w:szCs w:val="21"/>
          <w:highlight w:val="none"/>
          <w:lang w:val="en-US" w:eastAsia="zh-CN"/>
        </w:rPr>
        <w:t>浦口</w:t>
      </w:r>
      <w:r>
        <w:rPr>
          <w:rFonts w:hint="eastAsia" w:ascii="宋体" w:hAnsi="宋体" w:eastAsia="宋体" w:cs="宋体"/>
          <w:color w:val="auto"/>
          <w:sz w:val="21"/>
          <w:szCs w:val="21"/>
          <w:highlight w:val="none"/>
        </w:rPr>
        <w:t>生态环境监测监控中心的监督指导安排，并对南京市</w:t>
      </w:r>
      <w:r>
        <w:rPr>
          <w:rFonts w:hint="eastAsia" w:ascii="宋体" w:hAnsi="宋体" w:eastAsia="宋体" w:cs="宋体"/>
          <w:color w:val="auto"/>
          <w:sz w:val="21"/>
          <w:szCs w:val="21"/>
          <w:highlight w:val="none"/>
          <w:lang w:val="en-US" w:eastAsia="zh-CN"/>
        </w:rPr>
        <w:t>浦口</w:t>
      </w:r>
      <w:r>
        <w:rPr>
          <w:rFonts w:hint="eastAsia" w:ascii="宋体" w:hAnsi="宋体" w:eastAsia="宋体" w:cs="宋体"/>
          <w:color w:val="auto"/>
          <w:sz w:val="21"/>
          <w:szCs w:val="21"/>
          <w:highlight w:val="none"/>
        </w:rPr>
        <w:t>生态环境监测监控中心负责。</w:t>
      </w:r>
    </w:p>
    <w:p w14:paraId="58EFCDD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3.4、中标人现场监测结束或取样后7日内向南京市</w:t>
      </w:r>
      <w:r>
        <w:rPr>
          <w:rFonts w:hint="eastAsia" w:ascii="宋体" w:hAnsi="宋体" w:eastAsia="宋体" w:cs="宋体"/>
          <w:color w:val="auto"/>
          <w:sz w:val="21"/>
          <w:szCs w:val="21"/>
          <w:highlight w:val="none"/>
          <w:lang w:val="en-US" w:eastAsia="zh-CN"/>
        </w:rPr>
        <w:t>浦口</w:t>
      </w:r>
      <w:r>
        <w:rPr>
          <w:rFonts w:hint="eastAsia" w:ascii="宋体" w:hAnsi="宋体" w:eastAsia="宋体" w:cs="宋体"/>
          <w:color w:val="auto"/>
          <w:sz w:val="21"/>
          <w:szCs w:val="21"/>
          <w:highlight w:val="none"/>
        </w:rPr>
        <w:t>生态环境监测监控中心提供检测报告和原始记录复印件（如果有特殊项目，可具体协商）。</w:t>
      </w:r>
    </w:p>
    <w:p w14:paraId="531BDCE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3.5、检测能力及相关要求：</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6757"/>
      </w:tblGrid>
      <w:tr w14:paraId="0C75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noWrap w:val="0"/>
            <w:vAlign w:val="top"/>
          </w:tcPr>
          <w:p w14:paraId="66520B6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检测类别</w:t>
            </w:r>
          </w:p>
        </w:tc>
        <w:tc>
          <w:tcPr>
            <w:tcW w:w="6757" w:type="dxa"/>
            <w:noWrap w:val="0"/>
            <w:vAlign w:val="top"/>
          </w:tcPr>
          <w:p w14:paraId="4A9A9B1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地表水</w:t>
            </w:r>
          </w:p>
        </w:tc>
      </w:tr>
      <w:tr w14:paraId="3701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noWrap w:val="0"/>
            <w:vAlign w:val="center"/>
          </w:tcPr>
          <w:p w14:paraId="543DDE3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基础检测项目</w:t>
            </w:r>
          </w:p>
        </w:tc>
        <w:tc>
          <w:tcPr>
            <w:tcW w:w="6757" w:type="dxa"/>
            <w:noWrap w:val="0"/>
            <w:vAlign w:val="top"/>
          </w:tcPr>
          <w:p w14:paraId="3614CB0C">
            <w:pPr>
              <w:pStyle w:val="540"/>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温、pH值、溶解氧、高锰酸盐指数、化学需氧量、五日生化需氧量、氨氮、总磷、总氮、铜、锌、氟化物、汞、砷、硒、镉、铅、六价铬、氰化物、挥发酚、石油类、阴离子表面活性剂、硫化物、粪大肠菌群数、硝酸盐、氯化物、硫酸盐、铁、锰</w:t>
            </w:r>
          </w:p>
        </w:tc>
      </w:tr>
      <w:tr w14:paraId="6EBC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noWrap w:val="0"/>
            <w:vAlign w:val="top"/>
          </w:tcPr>
          <w:p w14:paraId="5AA7F9D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特殊检测项目</w:t>
            </w:r>
          </w:p>
        </w:tc>
        <w:tc>
          <w:tcPr>
            <w:tcW w:w="6757" w:type="dxa"/>
            <w:noWrap w:val="0"/>
            <w:vAlign w:val="top"/>
          </w:tcPr>
          <w:p w14:paraId="2C4E0D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蛔虫卵</w:t>
            </w:r>
          </w:p>
        </w:tc>
      </w:tr>
    </w:tbl>
    <w:p w14:paraId="5BB61216">
      <w:pPr>
        <w:spacing w:line="240" w:lineRule="atLeast"/>
        <w:ind w:firstLine="420"/>
        <w:rPr>
          <w:rFonts w:hint="eastAsia" w:ascii="宋体" w:hAnsi="宋体" w:eastAsia="宋体" w:cs="宋体"/>
          <w:color w:val="auto"/>
          <w:sz w:val="21"/>
          <w:szCs w:val="21"/>
          <w:highlight w:val="none"/>
        </w:rPr>
      </w:pPr>
    </w:p>
    <w:tbl>
      <w:tblPr>
        <w:tblStyle w:val="36"/>
        <w:tblpPr w:leftFromText="180" w:rightFromText="180" w:vertAnchor="text" w:horzAnchor="page" w:tblpXSpec="center" w:tblpY="1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6750"/>
      </w:tblGrid>
      <w:tr w14:paraId="65A4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noWrap w:val="0"/>
            <w:vAlign w:val="top"/>
          </w:tcPr>
          <w:p w14:paraId="4D0B91C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检测类别</w:t>
            </w:r>
          </w:p>
        </w:tc>
        <w:tc>
          <w:tcPr>
            <w:tcW w:w="6750" w:type="dxa"/>
            <w:noWrap w:val="0"/>
            <w:vAlign w:val="top"/>
          </w:tcPr>
          <w:p w14:paraId="640003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地下水</w:t>
            </w:r>
          </w:p>
        </w:tc>
      </w:tr>
      <w:tr w14:paraId="5632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noWrap w:val="0"/>
            <w:vAlign w:val="center"/>
          </w:tcPr>
          <w:p w14:paraId="271F0B3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基础检测项目</w:t>
            </w:r>
          </w:p>
        </w:tc>
        <w:tc>
          <w:tcPr>
            <w:tcW w:w="6750" w:type="dxa"/>
            <w:noWrap w:val="0"/>
            <w:vAlign w:val="top"/>
          </w:tcPr>
          <w:p w14:paraId="64A78103">
            <w:pPr>
              <w:pStyle w:val="540"/>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感官性一般化学指标：色（铂钴色度单位）、嗅和味、浑浊度、肉眼可见度、pH值、总硬度、溶解性总固体、硫酸盐、氯化物、铁、锰、铜、锌、铝、挥发性酚类（以苯酚计）、阴离子表面活性剂、耗氧量（CODmn法，以O</w:t>
            </w:r>
            <w:r>
              <w:rPr>
                <w:rFonts w:hint="eastAsia" w:ascii="宋体" w:hAnsi="宋体" w:eastAsia="宋体" w:cs="宋体"/>
                <w:color w:val="auto"/>
                <w:sz w:val="21"/>
                <w:szCs w:val="21"/>
                <w:highlight w:val="none"/>
                <w:vertAlign w:val="subscript"/>
                <w:lang w:eastAsia="zh-CN"/>
              </w:rPr>
              <w:t>3</w:t>
            </w:r>
            <w:r>
              <w:rPr>
                <w:rFonts w:hint="eastAsia" w:ascii="宋体" w:hAnsi="宋体" w:eastAsia="宋体" w:cs="宋体"/>
                <w:color w:val="auto"/>
                <w:sz w:val="21"/>
                <w:szCs w:val="21"/>
                <w:highlight w:val="none"/>
                <w:lang w:eastAsia="zh-CN"/>
              </w:rPr>
              <w:t>计）、氨氮、硫化物、钠</w:t>
            </w:r>
          </w:p>
          <w:p w14:paraId="0F1A9483">
            <w:pPr>
              <w:pStyle w:val="540"/>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微生物指标：总大肠菌群、菌落总数</w:t>
            </w:r>
          </w:p>
          <w:p w14:paraId="1A93A624">
            <w:pPr>
              <w:pStyle w:val="540"/>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毒理学指标：亚硝酸盐、硝酸盐、氰化物、氟化物、碘化物、汞、砷、硒、镉、六价铬、铅、三氯甲烷、四氯化碳、苯、甲苯</w:t>
            </w:r>
          </w:p>
          <w:p w14:paraId="7E05705D">
            <w:pPr>
              <w:pStyle w:val="540"/>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其他（废弃物处置中心、尾矿库地下水）：镍、锑、钴、钼、铊、钒、铍、银、钡、硼</w:t>
            </w:r>
          </w:p>
        </w:tc>
      </w:tr>
    </w:tbl>
    <w:p w14:paraId="559525A6">
      <w:pPr>
        <w:rPr>
          <w:rFonts w:hint="eastAsia" w:ascii="宋体" w:hAnsi="宋体" w:eastAsia="宋体" w:cs="宋体"/>
          <w:color w:val="auto"/>
          <w:sz w:val="21"/>
          <w:szCs w:val="21"/>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6733"/>
      </w:tblGrid>
      <w:tr w14:paraId="6421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noWrap w:val="0"/>
            <w:vAlign w:val="top"/>
          </w:tcPr>
          <w:p w14:paraId="4710D46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检测类别</w:t>
            </w:r>
          </w:p>
        </w:tc>
        <w:tc>
          <w:tcPr>
            <w:tcW w:w="6733" w:type="dxa"/>
            <w:noWrap w:val="0"/>
            <w:vAlign w:val="top"/>
          </w:tcPr>
          <w:p w14:paraId="6330BD4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废水</w:t>
            </w:r>
          </w:p>
        </w:tc>
      </w:tr>
      <w:tr w14:paraId="10AF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noWrap w:val="0"/>
            <w:vAlign w:val="center"/>
          </w:tcPr>
          <w:p w14:paraId="308C57D7">
            <w:pPr>
              <w:pStyle w:val="540"/>
              <w:ind w:left="0"/>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基础检测项目</w:t>
            </w:r>
          </w:p>
        </w:tc>
        <w:tc>
          <w:tcPr>
            <w:tcW w:w="6733" w:type="dxa"/>
            <w:noWrap w:val="0"/>
            <w:vAlign w:val="top"/>
          </w:tcPr>
          <w:p w14:paraId="4CD5928C">
            <w:pPr>
              <w:pStyle w:val="540"/>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温、pH值、五日生化需氧量、总磷、化学需氧量、色度、总汞、总镉、总铬、六价铬、总砷、总铅、悬浮物、阴离子表面活性剂、粪大肠菌群数、氨氮、总氮、石油类、动植物油、苯、甲苯、二甲苯、乙苯、总氰化物、氟化物、铜、锌、硫化物、锑、苯胺、硝基苯类、总铝、氯化物、铁、锰、镍、挥发酚、总余氯</w:t>
            </w:r>
          </w:p>
          <w:p w14:paraId="0BF1D273">
            <w:pPr>
              <w:pStyle w:val="540"/>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其他（尾矿库）：铍、银、硼、铊、钴</w:t>
            </w:r>
          </w:p>
        </w:tc>
      </w:tr>
      <w:tr w14:paraId="727D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noWrap w:val="0"/>
            <w:vAlign w:val="top"/>
          </w:tcPr>
          <w:p w14:paraId="3174499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特殊检测项目</w:t>
            </w:r>
          </w:p>
        </w:tc>
        <w:tc>
          <w:tcPr>
            <w:tcW w:w="6733" w:type="dxa"/>
            <w:noWrap w:val="0"/>
            <w:vAlign w:val="top"/>
          </w:tcPr>
          <w:p w14:paraId="695D2B5B">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烷基汞、总有机碳</w:t>
            </w:r>
          </w:p>
        </w:tc>
      </w:tr>
      <w:tr w14:paraId="3908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noWrap w:val="0"/>
            <w:vAlign w:val="center"/>
          </w:tcPr>
          <w:p w14:paraId="5882C78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检测类别</w:t>
            </w:r>
          </w:p>
        </w:tc>
        <w:tc>
          <w:tcPr>
            <w:tcW w:w="6733" w:type="dxa"/>
            <w:noWrap w:val="0"/>
            <w:vAlign w:val="top"/>
          </w:tcPr>
          <w:p w14:paraId="0509EE6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废气</w:t>
            </w:r>
          </w:p>
        </w:tc>
      </w:tr>
      <w:tr w14:paraId="07D7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noWrap w:val="0"/>
            <w:vAlign w:val="center"/>
          </w:tcPr>
          <w:p w14:paraId="21EAF0CC">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基础检测项目</w:t>
            </w:r>
          </w:p>
        </w:tc>
        <w:tc>
          <w:tcPr>
            <w:tcW w:w="6733" w:type="dxa"/>
            <w:noWrap w:val="0"/>
            <w:vAlign w:val="top"/>
          </w:tcPr>
          <w:p w14:paraId="644F2F6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氨、硫化氢、臭气浓度、甲烷、总悬浮颗粒物、颗粒物、非甲烷总烃、甲苯、二甲苯、氯气、氯化氢、二氯甲烷、异丙醇、乙醇、乙酸乙酯、丙酮、氮氧化物、二氧化硫、二硫化碳、一氧化碳、烟气黑度、油烟、烟尘、挥发性有机物、苯乙烯、氟化物、乙酸丁酯、甲醇、丙酮、环己酮、林格曼黑度、硫酸雾、TVOC、苯系物、铬酸雾、酚类、甲醛、二氯甲烷、氮氧化物（硝酸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氟化物、氰化物</w:t>
            </w:r>
          </w:p>
        </w:tc>
      </w:tr>
      <w:tr w14:paraId="1AA5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noWrap w:val="0"/>
            <w:vAlign w:val="center"/>
          </w:tcPr>
          <w:p w14:paraId="3B6250A3">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特殊检测项目</w:t>
            </w:r>
          </w:p>
        </w:tc>
        <w:tc>
          <w:tcPr>
            <w:tcW w:w="6733" w:type="dxa"/>
            <w:noWrap w:val="0"/>
            <w:vAlign w:val="top"/>
          </w:tcPr>
          <w:p w14:paraId="008630A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碱雾、汞及其化合物（以Hg计）、镉、铊及其化合物（以Cd+TI计）、锑、砷、铅、铬、钴、铜、锰、镍及其化合物（以Sb+As+Pb+Cr+Co+Cu+Mn+Ni计）、</w:t>
            </w:r>
            <w:r>
              <w:rPr>
                <w:rFonts w:hint="eastAsia" w:ascii="宋体" w:hAnsi="宋体" w:eastAsia="宋体" w:cs="宋体"/>
                <w:color w:val="auto"/>
                <w:sz w:val="21"/>
                <w:szCs w:val="21"/>
                <w:highlight w:val="none"/>
                <w:lang w:val="en-US" w:eastAsia="zh-CN"/>
              </w:rPr>
              <w:t>硒及其化合物</w:t>
            </w:r>
            <w:r>
              <w:rPr>
                <w:rFonts w:hint="eastAsia" w:ascii="宋体" w:hAnsi="宋体" w:eastAsia="宋体" w:cs="宋体"/>
                <w:color w:val="auto"/>
                <w:sz w:val="21"/>
                <w:szCs w:val="21"/>
                <w:highlight w:val="none"/>
              </w:rPr>
              <w:t>、二噁英类/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ng TEQ/m3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、热灼减率</w:t>
            </w:r>
          </w:p>
        </w:tc>
      </w:tr>
    </w:tbl>
    <w:p w14:paraId="52E95C37">
      <w:pPr>
        <w:ind w:firstLine="576"/>
        <w:jc w:val="left"/>
        <w:rPr>
          <w:rFonts w:hint="eastAsia" w:ascii="宋体" w:hAnsi="宋体" w:eastAsia="宋体" w:cs="宋体"/>
          <w:color w:val="auto"/>
          <w:sz w:val="21"/>
          <w:szCs w:val="21"/>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6745"/>
      </w:tblGrid>
      <w:tr w14:paraId="6CAE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noWrap w:val="0"/>
            <w:vAlign w:val="top"/>
          </w:tcPr>
          <w:p w14:paraId="2AFCAC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检测类别</w:t>
            </w:r>
          </w:p>
        </w:tc>
        <w:tc>
          <w:tcPr>
            <w:tcW w:w="6745" w:type="dxa"/>
            <w:noWrap w:val="0"/>
            <w:vAlign w:val="top"/>
          </w:tcPr>
          <w:p w14:paraId="1714B75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土壤</w:t>
            </w:r>
          </w:p>
        </w:tc>
      </w:tr>
      <w:tr w14:paraId="1373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noWrap w:val="0"/>
            <w:vAlign w:val="center"/>
          </w:tcPr>
          <w:p w14:paraId="7CE388D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基础检测项目</w:t>
            </w:r>
          </w:p>
        </w:tc>
        <w:tc>
          <w:tcPr>
            <w:tcW w:w="6745" w:type="dxa"/>
            <w:noWrap w:val="0"/>
            <w:vAlign w:val="top"/>
          </w:tcPr>
          <w:p w14:paraId="373B3380">
            <w:pPr>
              <w:pStyle w:val="540"/>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金属：（总砷、总镉、六价铬、铜、总铅、总汞、镍、钴）</w:t>
            </w:r>
          </w:p>
          <w:p w14:paraId="6C4982FD">
            <w:pPr>
              <w:pStyle w:val="540"/>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pH值、四氯化碳、氯仿、</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石油烃（C10-C40）、氰化物、氟化物</w:t>
            </w:r>
          </w:p>
        </w:tc>
      </w:tr>
      <w:tr w14:paraId="27EC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noWrap w:val="0"/>
            <w:vAlign w:val="center"/>
          </w:tcPr>
          <w:p w14:paraId="62D0083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特殊检测项目</w:t>
            </w:r>
          </w:p>
        </w:tc>
        <w:tc>
          <w:tcPr>
            <w:tcW w:w="6745" w:type="dxa"/>
            <w:noWrap w:val="0"/>
            <w:vAlign w:val="top"/>
          </w:tcPr>
          <w:p w14:paraId="6D5F176F">
            <w:pPr>
              <w:pStyle w:val="540"/>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金属：铁、锰、铬、银、铊</w:t>
            </w:r>
          </w:p>
        </w:tc>
      </w:tr>
    </w:tbl>
    <w:p w14:paraId="68683B78">
      <w:pPr>
        <w:rPr>
          <w:rFonts w:hint="eastAsia" w:ascii="宋体" w:hAnsi="宋体" w:eastAsia="宋体" w:cs="宋体"/>
          <w:b/>
          <w:bCs/>
          <w:color w:val="auto"/>
          <w:sz w:val="21"/>
          <w:szCs w:val="21"/>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6745"/>
      </w:tblGrid>
      <w:tr w14:paraId="127A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noWrap w:val="0"/>
            <w:vAlign w:val="top"/>
          </w:tcPr>
          <w:p w14:paraId="0D1853B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检测类别</w:t>
            </w:r>
          </w:p>
        </w:tc>
        <w:tc>
          <w:tcPr>
            <w:tcW w:w="6745" w:type="dxa"/>
            <w:noWrap w:val="0"/>
            <w:vAlign w:val="top"/>
          </w:tcPr>
          <w:p w14:paraId="6BCEC6DD">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固废类（危废填埋稳定入场）</w:t>
            </w:r>
          </w:p>
        </w:tc>
      </w:tr>
      <w:tr w14:paraId="5FDE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noWrap w:val="0"/>
            <w:vAlign w:val="center"/>
          </w:tcPr>
          <w:p w14:paraId="64F22E9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基础检测项目</w:t>
            </w:r>
          </w:p>
        </w:tc>
        <w:tc>
          <w:tcPr>
            <w:tcW w:w="6745" w:type="dxa"/>
            <w:noWrap w:val="0"/>
            <w:vAlign w:val="top"/>
          </w:tcPr>
          <w:p w14:paraId="59E99598">
            <w:pPr>
              <w:pStyle w:val="540"/>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烷基汞、汞（以总汞计）、铅（以总铅计）、镉（以总镉计）、总铬、六价铬、铜（以总铜计）、锌（以总锌计）、铍（以总铍计）、钡（以总钡计）、镍（以总镍计）、砷（以总砷计）、无机氟化物（不包括氟化钙）、氰化物（CN-计）</w:t>
            </w:r>
          </w:p>
        </w:tc>
      </w:tr>
    </w:tbl>
    <w:p w14:paraId="7E1EEADC">
      <w:pPr>
        <w:numPr>
          <w:ilvl w:val="0"/>
          <w:numId w:val="7"/>
        </w:numPr>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委托监测的责任</w:t>
      </w:r>
    </w:p>
    <w:p w14:paraId="3EC3651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委托的中标人应保证必须完全按照采购方确定的监测方案（包括质量控制措施）开展监测工作。采样方法按国家和江苏省相关监测技术规范执行，分析方法按现行有效的标准方法执行。入围中标方实验室必须接受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生态环境监测监控中心标样考核、实验室比对等质控措施。实验中使用的仪器设备必须经技监部门的检定/校准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并在计量检定/校准合格的有效期内。接受委托的中标人应确保项目监测质量，按时完成监测工作。项目监测应当严格遵守国家的有关</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、制度规定、有关行业规范及南京市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生态环境监测监控中心的要求。中标人对监测结果的真实性、完整性、可靠性负责。</w:t>
      </w:r>
    </w:p>
    <w:p w14:paraId="5F68078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中标人的监测数据只向南京市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生态环境监测监控中心提供，不得自行提供给其他单位。对提供不实或内容虚假的监测结果以及自行对外提供监测报告的，除由中标人自行承担法律责任外，南京市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 xml:space="preserve">生态环境监测监控中心可采取必要措施终止委托监测，情节严重的，依法提请有关部门追究中标人和相关责任人的行政及法律责任。 </w:t>
      </w:r>
    </w:p>
    <w:p w14:paraId="4A777CDA">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四、违约责任</w:t>
      </w:r>
    </w:p>
    <w:p w14:paraId="714DAEA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中标人有下列行为之一的，将被暂停服务资格：</w:t>
      </w:r>
    </w:p>
    <w:p w14:paraId="3234052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无正当理由拒绝承担检测工作超过3次的；</w:t>
      </w:r>
    </w:p>
    <w:p w14:paraId="293DC34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未在规定期限内提交检测报告（数据）超过3次的；</w:t>
      </w:r>
    </w:p>
    <w:p w14:paraId="6B0EE84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检测报告内容结论失实，或者一年内质量被评定为2次（含）以上不合格的；</w:t>
      </w:r>
    </w:p>
    <w:p w14:paraId="18F7F8C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违规收取被检测单位费用的；</w:t>
      </w:r>
    </w:p>
    <w:p w14:paraId="1F998461">
      <w:pPr>
        <w:pStyle w:val="35"/>
        <w:rPr>
          <w:rFonts w:hint="default" w:eastAsia="宋体"/>
          <w:color w:val="auto"/>
          <w:highlight w:val="none"/>
          <w:lang w:val="en-US" w:eastAsia="zh-CN"/>
        </w:rPr>
      </w:pPr>
      <w:r>
        <w:rPr>
          <w:rFonts w:hint="eastAsia" w:cs="宋体"/>
          <w:color w:val="auto"/>
          <w:sz w:val="21"/>
          <w:szCs w:val="21"/>
          <w:highlight w:val="none"/>
          <w:lang w:val="en-US" w:eastAsia="zh-CN"/>
        </w:rPr>
        <w:t>5.承接监测企业自行监测业务的；</w:t>
      </w:r>
    </w:p>
    <w:p w14:paraId="110B7A09">
      <w:pPr>
        <w:spacing w:line="360" w:lineRule="auto"/>
        <w:ind w:firstLine="42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在各类质量检查中，出现严重影响数据可靠性情况的，南京市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生态环境监测监控中心有权暂停其服务资格，待整改合格并经南京市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生态环境监测监控中心认可后，方可继续提供服务。</w:t>
      </w:r>
    </w:p>
    <w:p w14:paraId="594D3C9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中标人被暂停服务资格的，采购人有权将被暂停服务资格标段的监测服务任务分配给其他标段中标人。采购人根据</w:t>
      </w:r>
      <w:r>
        <w:rPr>
          <w:rFonts w:hint="eastAsia" w:ascii="宋体" w:hAnsi="宋体" w:cs="宋体"/>
          <w:color w:val="auto"/>
          <w:sz w:val="21"/>
          <w:szCs w:val="21"/>
          <w:highlight w:val="none"/>
          <w:lang w:eastAsia="zh-CN"/>
        </w:rPr>
        <w:t>监测</w:t>
      </w:r>
      <w:r>
        <w:rPr>
          <w:rFonts w:hint="eastAsia" w:ascii="宋体" w:hAnsi="宋体" w:eastAsia="宋体" w:cs="宋体"/>
          <w:color w:val="auto"/>
          <w:sz w:val="21"/>
          <w:szCs w:val="21"/>
          <w:highlight w:val="none"/>
        </w:rPr>
        <w:t>服务委托单及拟派中标人中标报价签订补充合同。</w:t>
      </w:r>
    </w:p>
    <w:p w14:paraId="6F19242A">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五、保证措施</w:t>
      </w:r>
    </w:p>
    <w:p w14:paraId="1284F74F">
      <w:pPr>
        <w:keepNext w:val="0"/>
        <w:keepLines w:val="0"/>
        <w:pageBreakBefore w:val="0"/>
        <w:kinsoku/>
        <w:wordWrap/>
        <w:overflowPunct/>
        <w:topLinePunct w:val="0"/>
        <w:bidi w:val="0"/>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为了确保项目监测质量，南京市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生态环境监测监控中心分季度和年度对中标人的监测质量等进行综合考核。考核结果不及格的中标人，南京市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生态环境监测监控中心有权单方终止合同。</w:t>
      </w:r>
    </w:p>
    <w:p w14:paraId="27675DD1">
      <w:pPr>
        <w:spacing w:before="145"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六、付款方式</w:t>
      </w:r>
    </w:p>
    <w:p w14:paraId="7736FDA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生态环境监测监控中心根据工作完成情况按季度支付项目款项。中标人根据季度内实际的检测工作量，确认季度内检测费用总额，提交检测项目费用核算单，由采购人进行审核，审核通过后支付相关费用。费用计算公式为：（采样费+样品前处理费+样品分析费+报告编制费+人员车辆费）*（投标</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折扣率）。付款前中标人应开具合法等额的发票。本项目由南京市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生态环境监测监控中心进行采购，由南京市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生态环境监测监控中心支付合同款项。</w:t>
      </w:r>
    </w:p>
    <w:p w14:paraId="04D17A74">
      <w:pPr>
        <w:spacing w:line="360" w:lineRule="auto"/>
        <w:ind w:firstLine="422"/>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注：本项目年度支出总额受预算控制，本项目支出合计不得突破</w:t>
      </w:r>
      <w:r>
        <w:rPr>
          <w:rFonts w:hint="eastAsia" w:ascii="宋体" w:hAnsi="宋体" w:cs="宋体"/>
          <w:b/>
          <w:bCs/>
          <w:color w:val="auto"/>
          <w:sz w:val="21"/>
          <w:szCs w:val="21"/>
          <w:highlight w:val="none"/>
          <w:lang w:val="en-US" w:eastAsia="zh-CN"/>
        </w:rPr>
        <w:t>70万元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浦口</w:t>
      </w:r>
      <w:r>
        <w:rPr>
          <w:rFonts w:hint="eastAsia" w:ascii="宋体" w:hAnsi="宋体" w:eastAsia="宋体" w:cs="宋体"/>
          <w:b/>
          <w:bCs/>
          <w:color w:val="auto"/>
          <w:sz w:val="21"/>
          <w:szCs w:val="21"/>
          <w:highlight w:val="none"/>
        </w:rPr>
        <w:t>区环境监测中心应做好项目费用使用情况统计，当项目实际发生费用达到</w:t>
      </w:r>
      <w:r>
        <w:rPr>
          <w:rFonts w:hint="eastAsia" w:ascii="宋体" w:hAnsi="宋体" w:cs="宋体"/>
          <w:b/>
          <w:bCs/>
          <w:color w:val="auto"/>
          <w:sz w:val="21"/>
          <w:szCs w:val="21"/>
          <w:highlight w:val="none"/>
          <w:lang w:val="en-US" w:eastAsia="zh-CN"/>
        </w:rPr>
        <w:t>70万元</w:t>
      </w:r>
      <w:r>
        <w:rPr>
          <w:rFonts w:hint="eastAsia" w:ascii="宋体" w:hAnsi="宋体" w:eastAsia="宋体" w:cs="宋体"/>
          <w:b/>
          <w:bCs/>
          <w:color w:val="auto"/>
          <w:sz w:val="21"/>
          <w:szCs w:val="21"/>
          <w:highlight w:val="none"/>
        </w:rPr>
        <w:t>时，本项目暂停。</w:t>
      </w:r>
    </w:p>
    <w:p w14:paraId="5CD34723">
      <w:pPr>
        <w:numPr>
          <w:ilvl w:val="0"/>
          <w:numId w:val="8"/>
        </w:num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w:t>
      </w:r>
    </w:p>
    <w:p w14:paraId="58ACF66B">
      <w:pPr>
        <w:spacing w:line="360" w:lineRule="auto"/>
        <w:ind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折扣率最高限价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80%，超过最高限价按无效投标处理。</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折扣率以《江苏省环境检测专业服务收费管理办法》和《江苏省环境检测专业服务收费标准》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苏价费</w:t>
      </w:r>
      <w:r>
        <w:rPr>
          <w:rFonts w:hint="eastAsia" w:ascii="宋体" w:hAnsi="宋体" w:eastAsia="宋体" w:cs="宋体"/>
          <w:color w:val="auto"/>
          <w:sz w:val="21"/>
          <w:szCs w:val="21"/>
          <w:highlight w:val="none"/>
          <w:lang w:eastAsia="zh-CN"/>
        </w:rPr>
        <w:t>〔2006〕397号）（</w:t>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为基础，总费用包括采样费、样品前处理费、样品分析费、报告编制</w:t>
      </w:r>
      <w:r>
        <w:rPr>
          <w:rFonts w:hint="eastAsia" w:ascii="宋体" w:hAnsi="宋体" w:eastAsia="宋体" w:cs="宋体"/>
          <w:color w:val="auto"/>
          <w:sz w:val="21"/>
          <w:szCs w:val="21"/>
          <w:highlight w:val="none"/>
          <w:lang w:eastAsia="zh-CN"/>
        </w:rPr>
        <w:t>费等</w:t>
      </w:r>
      <w:r>
        <w:rPr>
          <w:rFonts w:hint="eastAsia" w:ascii="宋体" w:hAnsi="宋体" w:eastAsia="宋体" w:cs="宋体"/>
          <w:color w:val="auto"/>
          <w:sz w:val="21"/>
          <w:szCs w:val="21"/>
          <w:highlight w:val="none"/>
        </w:rPr>
        <w:t>，不接受任何形式的加收费用或其他费用。每项目最终结算费用由南京市</w:t>
      </w:r>
      <w:r>
        <w:rPr>
          <w:rFonts w:hint="eastAsia" w:ascii="宋体" w:hAnsi="宋体" w:eastAsia="宋体" w:cs="宋体"/>
          <w:color w:val="auto"/>
          <w:sz w:val="21"/>
          <w:szCs w:val="21"/>
          <w:highlight w:val="none"/>
          <w:lang w:eastAsia="zh-CN"/>
        </w:rPr>
        <w:t>浦口</w:t>
      </w:r>
      <w:r>
        <w:rPr>
          <w:rFonts w:hint="eastAsia" w:ascii="宋体" w:hAnsi="宋体" w:eastAsia="宋体" w:cs="宋体"/>
          <w:color w:val="auto"/>
          <w:sz w:val="21"/>
          <w:szCs w:val="21"/>
          <w:highlight w:val="none"/>
        </w:rPr>
        <w:t>生态环境监测监控中心核算，组成为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采样费+样品前处理费+样品分析费+报告编制费+人员车辆费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折扣率。</w:t>
      </w:r>
    </w:p>
    <w:p w14:paraId="25B32F72">
      <w:pPr>
        <w:widowControl/>
        <w:tabs>
          <w:tab w:val="left" w:pos="1003"/>
        </w:tabs>
        <w:spacing w:line="360" w:lineRule="auto"/>
        <w:ind w:firstLine="315"/>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南京江北新区（原浦口区）</w:t>
      </w:r>
      <w:r>
        <w:rPr>
          <w:rFonts w:hint="eastAsia" w:ascii="宋体" w:hAnsi="宋体" w:eastAsia="宋体" w:cs="宋体"/>
          <w:b/>
          <w:bCs/>
          <w:color w:val="auto"/>
          <w:sz w:val="21"/>
          <w:szCs w:val="21"/>
          <w:highlight w:val="none"/>
        </w:rPr>
        <w:t>环境质量监测包含人员车辆费；人员车辆费：监测日当日出动的所有人员及车辆费用总和，该费用不超过500元（计算折扣前），相同监测日期，人员、车辆仅结算一次。</w:t>
      </w:r>
    </w:p>
    <w:p w14:paraId="5E0929C3">
      <w:pPr>
        <w:widowControl/>
        <w:tabs>
          <w:tab w:val="left" w:pos="1003"/>
        </w:tabs>
        <w:spacing w:line="360" w:lineRule="auto"/>
        <w:ind w:firstLine="315"/>
        <w:jc w:val="left"/>
        <w:rPr>
          <w:rFonts w:hint="eastAsia" w:ascii="宋体" w:hAnsi="宋体" w:eastAsia="宋体" w:cs="宋体"/>
          <w:color w:val="auto"/>
          <w:sz w:val="21"/>
          <w:szCs w:val="21"/>
          <w:highlight w:val="none"/>
        </w:rPr>
      </w:pPr>
    </w:p>
    <w:p w14:paraId="2608E60F">
      <w:pPr>
        <w:spacing w:line="360" w:lineRule="auto"/>
        <w:rPr>
          <w:color w:val="auto"/>
          <w:highlight w:val="none"/>
        </w:rPr>
      </w:pPr>
    </w:p>
    <w:p w14:paraId="62086942">
      <w:pPr>
        <w:spacing w:line="360" w:lineRule="auto"/>
        <w:rPr>
          <w:color w:val="auto"/>
          <w:highlight w:val="none"/>
        </w:rPr>
      </w:pPr>
    </w:p>
    <w:p w14:paraId="691335EE">
      <w:pPr>
        <w:pStyle w:val="202"/>
        <w:spacing w:line="360" w:lineRule="auto"/>
        <w:rPr>
          <w:color w:val="auto"/>
          <w:highlight w:val="none"/>
          <w:lang w:val="zh-CN"/>
        </w:rPr>
      </w:pPr>
    </w:p>
    <w:p w14:paraId="46FC9722">
      <w:pPr>
        <w:spacing w:line="360" w:lineRule="auto"/>
        <w:rPr>
          <w:color w:val="auto"/>
          <w:highlight w:val="none"/>
          <w:lang w:val="zh-CN"/>
        </w:rPr>
      </w:pPr>
    </w:p>
    <w:p w14:paraId="5F402A25">
      <w:pPr>
        <w:pStyle w:val="202"/>
        <w:spacing w:line="360" w:lineRule="auto"/>
        <w:rPr>
          <w:color w:val="auto"/>
          <w:highlight w:val="none"/>
          <w:lang w:val="zh-CN"/>
        </w:rPr>
      </w:pPr>
    </w:p>
    <w:p w14:paraId="1546ED18">
      <w:pPr>
        <w:spacing w:line="360" w:lineRule="auto"/>
        <w:rPr>
          <w:rFonts w:hint="eastAsia"/>
          <w:color w:val="auto"/>
          <w:highlight w:val="none"/>
          <w:lang w:val="zh-CN"/>
        </w:rPr>
      </w:pPr>
    </w:p>
    <w:p w14:paraId="058417BA">
      <w:pPr>
        <w:rPr>
          <w:rFonts w:hint="eastAsia" w:ascii="宋体" w:hAnsi="宋体"/>
          <w:b/>
          <w:bCs/>
          <w:color w:val="auto"/>
          <w:sz w:val="32"/>
          <w:szCs w:val="32"/>
          <w:highlight w:val="none"/>
          <w:lang w:val="zh-CN"/>
        </w:rPr>
      </w:pPr>
      <w:bookmarkStart w:id="67" w:name="_Toc44660264"/>
      <w:bookmarkStart w:id="68" w:name="_Toc55479020"/>
      <w:r>
        <w:rPr>
          <w:rFonts w:hint="eastAsia" w:ascii="宋体" w:hAnsi="宋体"/>
          <w:b/>
          <w:bCs/>
          <w:color w:val="auto"/>
          <w:sz w:val="32"/>
          <w:szCs w:val="32"/>
          <w:highlight w:val="none"/>
          <w:lang w:val="zh-CN"/>
        </w:rPr>
        <w:br w:type="page" w:clear="all"/>
      </w:r>
    </w:p>
    <w:p w14:paraId="5E077556">
      <w:pPr>
        <w:tabs>
          <w:tab w:val="left" w:pos="567"/>
        </w:tabs>
        <w:spacing w:line="360" w:lineRule="auto"/>
        <w:jc w:val="center"/>
        <w:outlineLvl w:val="0"/>
        <w:rPr>
          <w:rFonts w:ascii="宋体" w:hAnsi="宋体"/>
          <w:b/>
          <w:color w:val="auto"/>
          <w:sz w:val="32"/>
          <w:szCs w:val="32"/>
          <w:highlight w:val="none"/>
        </w:rPr>
      </w:pPr>
      <w:r>
        <w:rPr>
          <w:rFonts w:hint="eastAsia" w:ascii="宋体" w:hAnsi="宋体"/>
          <w:b/>
          <w:bCs/>
          <w:color w:val="auto"/>
          <w:sz w:val="32"/>
          <w:szCs w:val="32"/>
          <w:highlight w:val="none"/>
          <w:lang w:val="zh-CN"/>
        </w:rPr>
        <w:t>第五章合同条款</w:t>
      </w:r>
      <w:bookmarkEnd w:id="67"/>
      <w:bookmarkEnd w:id="68"/>
    </w:p>
    <w:p w14:paraId="320E8A3D">
      <w:pPr>
        <w:spacing w:line="360" w:lineRule="auto"/>
        <w:ind w:firstLine="420"/>
        <w:jc w:val="center"/>
        <w:rPr>
          <w:rFonts w:ascii="宋体" w:hAnsi="宋体"/>
          <w:color w:val="auto"/>
          <w:szCs w:val="21"/>
          <w:highlight w:val="none"/>
        </w:rPr>
      </w:pPr>
    </w:p>
    <w:p w14:paraId="69186368">
      <w:pPr>
        <w:spacing w:line="360" w:lineRule="auto"/>
        <w:ind w:firstLine="420"/>
        <w:jc w:val="center"/>
        <w:rPr>
          <w:rFonts w:ascii="宋体" w:hAnsi="宋体"/>
          <w:color w:val="auto"/>
          <w:szCs w:val="21"/>
          <w:highlight w:val="none"/>
        </w:rPr>
      </w:pPr>
    </w:p>
    <w:p w14:paraId="429142E7">
      <w:pPr>
        <w:spacing w:line="360" w:lineRule="auto"/>
        <w:ind w:firstLine="420"/>
        <w:jc w:val="center"/>
        <w:rPr>
          <w:rFonts w:ascii="宋体" w:hAnsi="宋体"/>
          <w:color w:val="auto"/>
          <w:szCs w:val="21"/>
          <w:highlight w:val="none"/>
        </w:rPr>
      </w:pPr>
    </w:p>
    <w:p w14:paraId="2A0A7A5C">
      <w:pPr>
        <w:pStyle w:val="202"/>
        <w:spacing w:line="360" w:lineRule="auto"/>
        <w:ind w:left="0"/>
        <w:rPr>
          <w:color w:val="auto"/>
          <w:highlight w:val="none"/>
        </w:rPr>
      </w:pPr>
    </w:p>
    <w:p w14:paraId="21ED30E6">
      <w:pPr>
        <w:spacing w:line="360" w:lineRule="auto"/>
        <w:rPr>
          <w:color w:val="auto"/>
          <w:highlight w:val="none"/>
        </w:rPr>
      </w:pPr>
    </w:p>
    <w:p w14:paraId="5B849360">
      <w:pPr>
        <w:pStyle w:val="202"/>
        <w:spacing w:line="360" w:lineRule="auto"/>
        <w:rPr>
          <w:color w:val="auto"/>
          <w:highlight w:val="none"/>
        </w:rPr>
      </w:pPr>
    </w:p>
    <w:p w14:paraId="74C60A4D">
      <w:pPr>
        <w:spacing w:line="360" w:lineRule="auto"/>
        <w:rPr>
          <w:rFonts w:hint="eastAsia" w:ascii="宋体" w:hAnsi="宋体"/>
          <w:color w:val="auto"/>
          <w:szCs w:val="21"/>
          <w:highlight w:val="none"/>
        </w:rPr>
      </w:pPr>
    </w:p>
    <w:p w14:paraId="68B48C75">
      <w:pPr>
        <w:spacing w:line="360" w:lineRule="auto"/>
        <w:ind w:firstLine="880"/>
        <w:jc w:val="center"/>
        <w:rPr>
          <w:rFonts w:ascii="宋体" w:hAnsi="宋体"/>
          <w:color w:val="auto"/>
          <w:sz w:val="44"/>
          <w:szCs w:val="44"/>
          <w:highlight w:val="none"/>
        </w:rPr>
      </w:pPr>
      <w:r>
        <w:rPr>
          <w:rFonts w:hint="eastAsia" w:ascii="宋体" w:hAnsi="宋体"/>
          <w:color w:val="auto"/>
          <w:sz w:val="44"/>
          <w:szCs w:val="44"/>
          <w:highlight w:val="none"/>
          <w:lang w:eastAsia="zh-CN"/>
        </w:rPr>
        <w:t>202</w:t>
      </w:r>
      <w:r>
        <w:rPr>
          <w:rFonts w:hint="eastAsia" w:ascii="宋体" w:hAnsi="宋体"/>
          <w:color w:val="auto"/>
          <w:sz w:val="44"/>
          <w:szCs w:val="44"/>
          <w:highlight w:val="none"/>
          <w:lang w:val="en-US" w:eastAsia="zh-CN"/>
        </w:rPr>
        <w:t>6</w:t>
      </w:r>
      <w:r>
        <w:rPr>
          <w:rFonts w:hint="eastAsia" w:ascii="宋体" w:hAnsi="宋体"/>
          <w:color w:val="auto"/>
          <w:sz w:val="44"/>
          <w:szCs w:val="44"/>
          <w:highlight w:val="none"/>
          <w:lang w:eastAsia="zh-CN"/>
        </w:rPr>
        <w:t>年度南京市浦口生态环境监测监控中心第三方实验室服务项目</w:t>
      </w:r>
      <w:r>
        <w:rPr>
          <w:rFonts w:hint="eastAsia" w:ascii="宋体" w:hAnsi="宋体"/>
          <w:color w:val="auto"/>
          <w:sz w:val="44"/>
          <w:szCs w:val="44"/>
          <w:highlight w:val="none"/>
        </w:rPr>
        <w:t>合同</w:t>
      </w:r>
    </w:p>
    <w:p w14:paraId="3579844F">
      <w:pPr>
        <w:spacing w:line="360" w:lineRule="auto"/>
        <w:ind w:firstLine="960"/>
        <w:jc w:val="center"/>
        <w:rPr>
          <w:rFonts w:ascii="宋体" w:hAnsi="宋体"/>
          <w:color w:val="auto"/>
          <w:sz w:val="48"/>
          <w:szCs w:val="48"/>
          <w:highlight w:val="none"/>
        </w:rPr>
      </w:pPr>
    </w:p>
    <w:p w14:paraId="506A68B3">
      <w:pPr>
        <w:spacing w:line="360" w:lineRule="auto"/>
        <w:ind w:firstLine="640"/>
        <w:jc w:val="center"/>
        <w:rPr>
          <w:rFonts w:hint="eastAsia" w:ascii="宋体" w:hAnsi="宋体"/>
          <w:color w:val="auto"/>
          <w:sz w:val="32"/>
          <w:szCs w:val="32"/>
          <w:highlight w:val="none"/>
        </w:rPr>
      </w:pPr>
      <w:r>
        <w:rPr>
          <w:rFonts w:ascii="宋体" w:hAnsi="宋体"/>
          <w:color w:val="auto"/>
          <w:sz w:val="32"/>
          <w:szCs w:val="32"/>
          <w:highlight w:val="none"/>
        </w:rPr>
        <w:t>项目编号</w:t>
      </w:r>
      <w:r>
        <w:rPr>
          <w:rFonts w:hint="eastAsia" w:ascii="宋体" w:hAnsi="宋体"/>
          <w:color w:val="auto"/>
          <w:sz w:val="32"/>
          <w:szCs w:val="32"/>
          <w:highlight w:val="none"/>
        </w:rPr>
        <w:t>：</w:t>
      </w:r>
    </w:p>
    <w:p w14:paraId="4431CE4D">
      <w:pPr>
        <w:spacing w:line="360" w:lineRule="auto"/>
        <w:ind w:firstLine="420"/>
        <w:jc w:val="center"/>
        <w:rPr>
          <w:rFonts w:ascii="宋体" w:hAnsi="宋体"/>
          <w:color w:val="auto"/>
          <w:szCs w:val="21"/>
          <w:highlight w:val="none"/>
        </w:rPr>
      </w:pPr>
    </w:p>
    <w:p w14:paraId="48EE3C10">
      <w:pPr>
        <w:spacing w:line="360" w:lineRule="auto"/>
        <w:ind w:firstLine="420"/>
        <w:jc w:val="center"/>
        <w:rPr>
          <w:rFonts w:ascii="宋体" w:hAnsi="宋体"/>
          <w:color w:val="auto"/>
          <w:szCs w:val="21"/>
          <w:highlight w:val="none"/>
        </w:rPr>
      </w:pPr>
    </w:p>
    <w:p w14:paraId="56F8681D">
      <w:pPr>
        <w:spacing w:line="360" w:lineRule="auto"/>
        <w:ind w:firstLine="420"/>
        <w:jc w:val="center"/>
        <w:rPr>
          <w:rFonts w:ascii="宋体" w:hAnsi="宋体"/>
          <w:color w:val="auto"/>
          <w:szCs w:val="21"/>
          <w:highlight w:val="none"/>
        </w:rPr>
      </w:pPr>
    </w:p>
    <w:p w14:paraId="4E3D3B9F">
      <w:pPr>
        <w:spacing w:line="360" w:lineRule="auto"/>
        <w:ind w:firstLine="420"/>
        <w:jc w:val="center"/>
        <w:rPr>
          <w:rFonts w:ascii="宋体" w:hAnsi="宋体"/>
          <w:color w:val="auto"/>
          <w:szCs w:val="21"/>
          <w:highlight w:val="none"/>
        </w:rPr>
      </w:pPr>
    </w:p>
    <w:p w14:paraId="45849C46">
      <w:pPr>
        <w:spacing w:line="360" w:lineRule="auto"/>
        <w:ind w:firstLine="420"/>
        <w:jc w:val="center"/>
        <w:rPr>
          <w:rFonts w:hint="eastAsia" w:ascii="宋体" w:hAnsi="宋体"/>
          <w:color w:val="auto"/>
          <w:szCs w:val="21"/>
          <w:highlight w:val="none"/>
        </w:rPr>
      </w:pPr>
    </w:p>
    <w:p w14:paraId="3953C3F7">
      <w:pPr>
        <w:spacing w:line="360" w:lineRule="auto"/>
        <w:rPr>
          <w:rFonts w:ascii="宋体" w:hAnsi="宋体"/>
          <w:color w:val="auto"/>
          <w:szCs w:val="21"/>
          <w:highlight w:val="none"/>
        </w:rPr>
      </w:pPr>
    </w:p>
    <w:p w14:paraId="0991D97B">
      <w:pPr>
        <w:pStyle w:val="202"/>
        <w:spacing w:line="360" w:lineRule="auto"/>
        <w:rPr>
          <w:rFonts w:hint="eastAsia"/>
          <w:color w:val="auto"/>
          <w:highlight w:val="none"/>
        </w:rPr>
      </w:pPr>
    </w:p>
    <w:p w14:paraId="38CF4C8C">
      <w:pPr>
        <w:spacing w:line="360" w:lineRule="auto"/>
        <w:ind w:firstLine="640"/>
        <w:jc w:val="left"/>
        <w:rPr>
          <w:rFonts w:ascii="宋体" w:hAnsi="宋体"/>
          <w:color w:val="auto"/>
          <w:sz w:val="32"/>
          <w:szCs w:val="32"/>
          <w:highlight w:val="none"/>
          <w:u w:val="single"/>
        </w:rPr>
      </w:pPr>
      <w:r>
        <w:rPr>
          <w:rFonts w:ascii="宋体" w:hAnsi="宋体"/>
          <w:color w:val="auto"/>
          <w:sz w:val="32"/>
          <w:szCs w:val="32"/>
          <w:highlight w:val="none"/>
        </w:rPr>
        <w:t>采购人</w:t>
      </w:r>
      <w:r>
        <w:rPr>
          <w:rFonts w:hint="eastAsia" w:ascii="宋体" w:hAnsi="宋体"/>
          <w:color w:val="auto"/>
          <w:sz w:val="32"/>
          <w:szCs w:val="32"/>
          <w:highlight w:val="none"/>
        </w:rPr>
        <w:t>：</w:t>
      </w:r>
    </w:p>
    <w:p w14:paraId="09EBDFC9">
      <w:pPr>
        <w:spacing w:line="360" w:lineRule="auto"/>
        <w:ind w:firstLine="640"/>
        <w:jc w:val="left"/>
        <w:rPr>
          <w:rFonts w:ascii="宋体" w:hAnsi="宋体"/>
          <w:color w:val="auto"/>
          <w:sz w:val="32"/>
          <w:szCs w:val="32"/>
          <w:highlight w:val="none"/>
        </w:rPr>
      </w:pPr>
      <w:r>
        <w:rPr>
          <w:rFonts w:ascii="宋体" w:hAnsi="宋体"/>
          <w:color w:val="auto"/>
          <w:sz w:val="32"/>
          <w:szCs w:val="32"/>
          <w:highlight w:val="none"/>
        </w:rPr>
        <w:t>供应商</w:t>
      </w:r>
      <w:r>
        <w:rPr>
          <w:rFonts w:hint="eastAsia" w:ascii="宋体" w:hAnsi="宋体"/>
          <w:color w:val="auto"/>
          <w:sz w:val="32"/>
          <w:szCs w:val="32"/>
          <w:highlight w:val="none"/>
        </w:rPr>
        <w:t>：</w:t>
      </w:r>
    </w:p>
    <w:p w14:paraId="200FD1E4">
      <w:pPr>
        <w:spacing w:line="360" w:lineRule="auto"/>
        <w:ind w:firstLine="640"/>
        <w:jc w:val="left"/>
        <w:rPr>
          <w:rFonts w:ascii="宋体" w:hAnsi="宋体"/>
          <w:color w:val="auto"/>
          <w:sz w:val="32"/>
          <w:szCs w:val="32"/>
          <w:highlight w:val="none"/>
        </w:rPr>
      </w:pPr>
      <w:r>
        <w:rPr>
          <w:rFonts w:ascii="宋体" w:hAnsi="宋体"/>
          <w:color w:val="auto"/>
          <w:sz w:val="32"/>
          <w:szCs w:val="32"/>
          <w:highlight w:val="none"/>
        </w:rPr>
        <w:t>日期</w:t>
      </w:r>
      <w:r>
        <w:rPr>
          <w:rFonts w:hint="eastAsia" w:ascii="宋体" w:hAnsi="宋体"/>
          <w:color w:val="auto"/>
          <w:sz w:val="32"/>
          <w:szCs w:val="32"/>
          <w:highlight w:val="none"/>
        </w:rPr>
        <w:t>：</w:t>
      </w:r>
    </w:p>
    <w:p w14:paraId="26E27AD8">
      <w:pPr>
        <w:pStyle w:val="202"/>
        <w:spacing w:line="360" w:lineRule="auto"/>
        <w:rPr>
          <w:color w:val="auto"/>
          <w:highlight w:val="none"/>
        </w:rPr>
      </w:pPr>
    </w:p>
    <w:p w14:paraId="593E3E44">
      <w:pPr>
        <w:spacing w:line="360" w:lineRule="auto"/>
        <w:rPr>
          <w:color w:val="auto"/>
          <w:highlight w:val="none"/>
        </w:rPr>
      </w:pPr>
    </w:p>
    <w:p w14:paraId="472DA84D">
      <w:pPr>
        <w:pStyle w:val="202"/>
        <w:spacing w:line="360" w:lineRule="auto"/>
        <w:rPr>
          <w:color w:val="auto"/>
          <w:highlight w:val="none"/>
        </w:rPr>
      </w:pPr>
    </w:p>
    <w:p w14:paraId="59FFBA69">
      <w:pPr>
        <w:spacing w:line="360" w:lineRule="auto"/>
        <w:rPr>
          <w:color w:val="auto"/>
          <w:highlight w:val="none"/>
        </w:rPr>
      </w:pPr>
    </w:p>
    <w:p w14:paraId="72C38DB7">
      <w:pPr>
        <w:pStyle w:val="202"/>
        <w:spacing w:line="360" w:lineRule="auto"/>
        <w:rPr>
          <w:color w:val="auto"/>
          <w:highlight w:val="none"/>
        </w:rPr>
      </w:pPr>
    </w:p>
    <w:p w14:paraId="2251D719">
      <w:pPr>
        <w:spacing w:line="360" w:lineRule="auto"/>
        <w:rPr>
          <w:color w:val="auto"/>
          <w:highlight w:val="none"/>
        </w:rPr>
      </w:pPr>
    </w:p>
    <w:p w14:paraId="0B815A0C">
      <w:pPr>
        <w:pStyle w:val="202"/>
        <w:spacing w:line="360" w:lineRule="auto"/>
        <w:rPr>
          <w:color w:val="auto"/>
          <w:highlight w:val="none"/>
        </w:rPr>
      </w:pPr>
    </w:p>
    <w:p w14:paraId="43FA64AD">
      <w:pPr>
        <w:spacing w:line="360" w:lineRule="auto"/>
        <w:rPr>
          <w:rFonts w:hint="eastAsia" w:ascii="方正仿宋_GBK" w:hAnsi="方正仿宋_GBK" w:eastAsia="方正仿宋_GBK" w:cs="方正仿宋_GBK"/>
          <w:color w:val="auto"/>
          <w:sz w:val="24"/>
          <w:szCs w:val="24"/>
          <w:highlight w:val="none"/>
        </w:rPr>
      </w:pPr>
    </w:p>
    <w:p w14:paraId="01DB2150">
      <w:pPr>
        <w:spacing w:line="360" w:lineRule="auto"/>
        <w:rPr>
          <w:rFonts w:ascii="宋体" w:hAnsi="宋体"/>
          <w:color w:val="auto"/>
          <w:sz w:val="22"/>
          <w:szCs w:val="22"/>
          <w:highlight w:val="none"/>
        </w:rPr>
      </w:pPr>
      <w:r>
        <w:rPr>
          <w:rFonts w:hint="eastAsia" w:ascii="宋体" w:hAnsi="宋体"/>
          <w:color w:val="auto"/>
          <w:sz w:val="22"/>
          <w:szCs w:val="22"/>
          <w:highlight w:val="none"/>
        </w:rPr>
        <w:t>采购人：（以下简称甲方）</w:t>
      </w:r>
    </w:p>
    <w:p w14:paraId="729CFE88">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住所地：</w:t>
      </w:r>
    </w:p>
    <w:p w14:paraId="0960FB56">
      <w:pPr>
        <w:spacing w:line="360" w:lineRule="auto"/>
        <w:rPr>
          <w:rFonts w:ascii="宋体" w:hAnsi="宋体"/>
          <w:color w:val="auto"/>
          <w:sz w:val="22"/>
          <w:szCs w:val="22"/>
          <w:highlight w:val="none"/>
        </w:rPr>
      </w:pPr>
      <w:r>
        <w:rPr>
          <w:rFonts w:hint="eastAsia" w:ascii="宋体" w:hAnsi="宋体"/>
          <w:color w:val="auto"/>
          <w:sz w:val="22"/>
          <w:szCs w:val="22"/>
          <w:highlight w:val="none"/>
        </w:rPr>
        <w:t>供应商：（以下简称乙方）</w:t>
      </w:r>
    </w:p>
    <w:p w14:paraId="5A099D49">
      <w:pPr>
        <w:spacing w:line="360" w:lineRule="auto"/>
        <w:rPr>
          <w:color w:val="auto"/>
          <w:highlight w:val="none"/>
        </w:rPr>
      </w:pPr>
      <w:r>
        <w:rPr>
          <w:rFonts w:hint="eastAsia" w:ascii="宋体" w:hAnsi="宋体"/>
          <w:color w:val="auto"/>
          <w:sz w:val="22"/>
          <w:szCs w:val="22"/>
          <w:highlight w:val="none"/>
        </w:rPr>
        <w:t>住所地：</w:t>
      </w:r>
      <w:r>
        <w:rPr>
          <w:color w:val="auto"/>
          <w:highlight w:val="none"/>
        </w:rPr>
        <w:t xml:space="preserve"> </w:t>
      </w:r>
    </w:p>
    <w:p w14:paraId="31ECCEB4">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根据《中华人民共和国政府采购法</w:t>
      </w:r>
      <w:r>
        <w:rPr>
          <w:rFonts w:hint="eastAsia" w:ascii="宋体" w:hAnsi="宋体"/>
          <w:color w:val="auto"/>
          <w:sz w:val="22"/>
          <w:szCs w:val="22"/>
          <w:highlight w:val="none"/>
          <w:lang w:eastAsia="zh-CN"/>
        </w:rPr>
        <w:t>》和</w:t>
      </w:r>
      <w:r>
        <w:rPr>
          <w:rFonts w:hint="eastAsia" w:ascii="宋体" w:hAnsi="宋体"/>
          <w:color w:val="auto"/>
          <w:sz w:val="22"/>
          <w:szCs w:val="22"/>
          <w:highlight w:val="none"/>
        </w:rPr>
        <w:t>《中华人民共和国</w:t>
      </w:r>
      <w:r>
        <w:rPr>
          <w:rFonts w:hint="eastAsia"/>
          <w:color w:val="auto"/>
          <w:sz w:val="22"/>
          <w:szCs w:val="22"/>
          <w:highlight w:val="none"/>
        </w:rPr>
        <w:t>民法典</w:t>
      </w:r>
      <w:r>
        <w:rPr>
          <w:rFonts w:hint="eastAsia" w:ascii="宋体" w:hAnsi="宋体"/>
          <w:color w:val="auto"/>
          <w:sz w:val="22"/>
          <w:szCs w:val="22"/>
          <w:highlight w:val="none"/>
        </w:rPr>
        <w:t>》等法律法规的规定，甲乙双方按照</w:t>
      </w:r>
      <w:r>
        <w:rPr>
          <w:rFonts w:hint="eastAsia"/>
          <w:color w:val="auto"/>
          <w:sz w:val="22"/>
          <w:szCs w:val="22"/>
          <w:highlight w:val="none"/>
        </w:rPr>
        <w:t>招标代理公司</w:t>
      </w:r>
      <w:r>
        <w:rPr>
          <w:rFonts w:hint="eastAsia" w:ascii="宋体" w:hAnsi="宋体"/>
          <w:color w:val="auto"/>
          <w:sz w:val="22"/>
          <w:szCs w:val="22"/>
          <w:highlight w:val="none"/>
        </w:rPr>
        <w:t>的结果签订本合同。</w:t>
      </w:r>
    </w:p>
    <w:p w14:paraId="306F7AEE">
      <w:pPr>
        <w:numPr>
          <w:ilvl w:val="0"/>
          <w:numId w:val="0"/>
        </w:numPr>
        <w:spacing w:line="360" w:lineRule="auto"/>
        <w:ind w:firstLine="442"/>
        <w:rPr>
          <w:rFonts w:hint="eastAsia" w:ascii="宋体" w:hAnsi="宋体"/>
          <w:b/>
          <w:bCs/>
          <w:color w:val="auto"/>
          <w:sz w:val="22"/>
          <w:szCs w:val="22"/>
          <w:highlight w:val="none"/>
        </w:rPr>
      </w:pPr>
      <w:r>
        <w:rPr>
          <w:rFonts w:hint="eastAsia" w:ascii="宋体" w:hAnsi="宋体"/>
          <w:b/>
          <w:bCs/>
          <w:color w:val="auto"/>
          <w:sz w:val="22"/>
          <w:szCs w:val="22"/>
          <w:highlight w:val="none"/>
          <w:lang w:val="en-US" w:eastAsia="zh-CN"/>
        </w:rPr>
        <w:t xml:space="preserve">第一条 </w:t>
      </w:r>
      <w:r>
        <w:rPr>
          <w:rFonts w:hint="eastAsia" w:ascii="宋体" w:hAnsi="宋体"/>
          <w:b/>
          <w:bCs/>
          <w:color w:val="auto"/>
          <w:sz w:val="22"/>
          <w:szCs w:val="22"/>
          <w:highlight w:val="none"/>
        </w:rPr>
        <w:t xml:space="preserve">合同标的 </w:t>
      </w:r>
    </w:p>
    <w:p w14:paraId="77144008">
      <w:pPr>
        <w:numPr>
          <w:ilvl w:val="0"/>
          <w:numId w:val="0"/>
        </w:numPr>
        <w:spacing w:line="360" w:lineRule="auto"/>
        <w:ind w:firstLine="440"/>
        <w:rPr>
          <w:rFonts w:hint="eastAsia" w:ascii="宋体" w:hAnsi="宋体"/>
          <w:color w:val="auto"/>
          <w:sz w:val="22"/>
          <w:szCs w:val="22"/>
          <w:highlight w:val="none"/>
        </w:rPr>
      </w:pPr>
      <w:r>
        <w:rPr>
          <w:rFonts w:hint="eastAsia" w:ascii="宋体" w:hAnsi="宋体"/>
          <w:color w:val="auto"/>
          <w:sz w:val="22"/>
          <w:szCs w:val="22"/>
          <w:highlight w:val="none"/>
        </w:rPr>
        <w:t>乙方根据甲方需求，按照本次招标文件的有关要求提供服务。</w:t>
      </w:r>
    </w:p>
    <w:p w14:paraId="57DACA20">
      <w:pPr>
        <w:spacing w:line="360" w:lineRule="auto"/>
        <w:ind w:firstLine="442"/>
        <w:rPr>
          <w:rFonts w:hint="eastAsia" w:ascii="宋体" w:hAnsi="宋体"/>
          <w:color w:val="auto"/>
          <w:sz w:val="22"/>
          <w:szCs w:val="22"/>
          <w:highlight w:val="none"/>
        </w:rPr>
      </w:pPr>
      <w:r>
        <w:rPr>
          <w:rFonts w:hint="eastAsia" w:ascii="宋体" w:hAnsi="宋体"/>
          <w:color w:val="auto"/>
          <w:sz w:val="22"/>
          <w:szCs w:val="22"/>
          <w:highlight w:val="none"/>
        </w:rPr>
        <w:t>服务期限为：年 月 日至年 月 日，具体服务内容为：</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w:t>
      </w:r>
    </w:p>
    <w:p w14:paraId="306A667E">
      <w:pPr>
        <w:spacing w:line="360" w:lineRule="auto"/>
        <w:ind w:firstLine="442"/>
        <w:rPr>
          <w:rFonts w:ascii="宋体" w:hAnsi="宋体"/>
          <w:color w:val="auto"/>
          <w:sz w:val="22"/>
          <w:szCs w:val="22"/>
          <w:highlight w:val="none"/>
        </w:rPr>
      </w:pPr>
      <w:r>
        <w:rPr>
          <w:rFonts w:hint="eastAsia" w:ascii="宋体" w:hAnsi="宋体"/>
          <w:b/>
          <w:bCs/>
          <w:color w:val="auto"/>
          <w:sz w:val="22"/>
          <w:szCs w:val="22"/>
          <w:highlight w:val="none"/>
        </w:rPr>
        <w:t>第二条 合同总价款</w:t>
      </w:r>
      <w:r>
        <w:rPr>
          <w:rFonts w:hint="eastAsia" w:ascii="宋体" w:hAnsi="宋体"/>
          <w:color w:val="auto"/>
          <w:sz w:val="22"/>
          <w:szCs w:val="22"/>
          <w:highlight w:val="none"/>
        </w:rPr>
        <w:t xml:space="preserve"> 本合同投标报价折扣为</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%（大写：百分之      ）。本合同执行期间折扣不变。</w:t>
      </w:r>
      <w:r>
        <w:rPr>
          <w:rFonts w:hint="eastAsia" w:ascii="宋体" w:hAnsi="宋体"/>
          <w:color w:val="auto"/>
          <w:sz w:val="22"/>
          <w:szCs w:val="22"/>
          <w:highlight w:val="none"/>
          <w:lang w:val="en-US" w:eastAsia="zh-CN"/>
        </w:rPr>
        <w:t>包括</w:t>
      </w:r>
      <w:r>
        <w:rPr>
          <w:rFonts w:hint="eastAsia" w:ascii="宋体" w:hAnsi="宋体"/>
          <w:color w:val="auto"/>
          <w:sz w:val="22"/>
          <w:szCs w:val="22"/>
          <w:highlight w:val="none"/>
        </w:rPr>
        <w:t>完成本项目所发生的所有含税费用、支付给员工的工资和国家强制缴纳的各种社会保障资金，以及供应商认为需要的其他费用等。</w:t>
      </w:r>
    </w:p>
    <w:p w14:paraId="43AA5761">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本合同总价款还包含乙方应当提供的伴随服务/售后服务费用。</w:t>
      </w:r>
    </w:p>
    <w:p w14:paraId="08B42E3F">
      <w:pPr>
        <w:spacing w:line="360" w:lineRule="auto"/>
        <w:ind w:firstLine="442"/>
        <w:rPr>
          <w:rFonts w:ascii="宋体" w:hAnsi="宋体"/>
          <w:color w:val="auto"/>
          <w:sz w:val="22"/>
          <w:szCs w:val="22"/>
          <w:highlight w:val="none"/>
        </w:rPr>
      </w:pPr>
      <w:r>
        <w:rPr>
          <w:rFonts w:hint="eastAsia" w:ascii="宋体" w:hAnsi="宋体"/>
          <w:b/>
          <w:bCs/>
          <w:color w:val="auto"/>
          <w:sz w:val="22"/>
          <w:szCs w:val="22"/>
          <w:highlight w:val="none"/>
        </w:rPr>
        <w:t>第三条 组成本合同的有关文件</w:t>
      </w:r>
      <w:r>
        <w:rPr>
          <w:rFonts w:hint="eastAsia" w:ascii="宋体" w:hAnsi="宋体"/>
          <w:color w:val="auto"/>
          <w:sz w:val="22"/>
          <w:szCs w:val="22"/>
          <w:highlight w:val="none"/>
        </w:rPr>
        <w:t xml:space="preserve"> 下列关于南京市政府采购</w:t>
      </w:r>
      <w:r>
        <w:rPr>
          <w:rFonts w:hint="eastAsia"/>
          <w:color w:val="auto"/>
          <w:sz w:val="22"/>
          <w:szCs w:val="22"/>
          <w:highlight w:val="none"/>
          <w:u w:val="single"/>
        </w:rPr>
        <w:t xml:space="preserve"> </w:t>
      </w:r>
      <w:r>
        <w:rPr>
          <w:rFonts w:hint="eastAsia" w:ascii="宋体" w:hAnsi="宋体"/>
          <w:color w:val="auto"/>
          <w:szCs w:val="21"/>
          <w:highlight w:val="none"/>
          <w:u w:val="single"/>
        </w:rPr>
        <w:t xml:space="preserve">        </w:t>
      </w:r>
      <w:r>
        <w:rPr>
          <w:rFonts w:hint="eastAsia"/>
          <w:color w:val="auto"/>
          <w:sz w:val="22"/>
          <w:szCs w:val="22"/>
          <w:highlight w:val="none"/>
          <w:u w:val="single"/>
        </w:rPr>
        <w:t xml:space="preserve"> </w:t>
      </w:r>
      <w:r>
        <w:rPr>
          <w:rFonts w:hint="eastAsia" w:ascii="宋体" w:hAnsi="宋体"/>
          <w:color w:val="auto"/>
          <w:sz w:val="22"/>
          <w:szCs w:val="22"/>
          <w:highlight w:val="none"/>
        </w:rPr>
        <w:t>招标文件、供应商</w:t>
      </w:r>
      <w:r>
        <w:rPr>
          <w:rFonts w:hint="eastAsia" w:ascii="宋体" w:hAnsi="宋体"/>
          <w:color w:val="auto"/>
          <w:sz w:val="22"/>
          <w:szCs w:val="22"/>
          <w:highlight w:val="none"/>
          <w:lang w:eastAsia="zh-CN"/>
        </w:rPr>
        <w:t>投标文件</w:t>
      </w:r>
      <w:r>
        <w:rPr>
          <w:rFonts w:hint="eastAsia" w:ascii="宋体" w:hAnsi="宋体"/>
          <w:color w:val="auto"/>
          <w:sz w:val="22"/>
          <w:szCs w:val="22"/>
          <w:highlight w:val="none"/>
        </w:rPr>
        <w:t>或与本次采购活动方式相适应的文件及有关附件是本合同不可分割的组成部分，与本合同具有同等法律效力，这些文件包括但不限于：</w:t>
      </w:r>
    </w:p>
    <w:p w14:paraId="094C1F69">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（1）乙方提供的</w:t>
      </w:r>
      <w:r>
        <w:rPr>
          <w:rFonts w:hint="eastAsia" w:ascii="宋体" w:hAnsi="宋体"/>
          <w:color w:val="auto"/>
          <w:sz w:val="22"/>
          <w:szCs w:val="22"/>
          <w:highlight w:val="none"/>
          <w:lang w:eastAsia="zh-CN"/>
        </w:rPr>
        <w:t>投标文件</w:t>
      </w:r>
      <w:r>
        <w:rPr>
          <w:rFonts w:hint="eastAsia" w:ascii="宋体" w:hAnsi="宋体"/>
          <w:color w:val="auto"/>
          <w:sz w:val="22"/>
          <w:szCs w:val="22"/>
          <w:highlight w:val="none"/>
        </w:rPr>
        <w:t>和报价表；   （2）供货一览表；</w:t>
      </w:r>
    </w:p>
    <w:p w14:paraId="38F8F07F">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（3）交货一览表；                   （4）技术规格响应表；</w:t>
      </w:r>
    </w:p>
    <w:p w14:paraId="1D603D81">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（5）乙方承诺；                     （6）服务承诺；</w:t>
      </w:r>
    </w:p>
    <w:p w14:paraId="5440703D">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（7）成交通知书；                   （8）甲乙双方商定的其他文件等。</w:t>
      </w:r>
    </w:p>
    <w:p w14:paraId="5DE8038C">
      <w:pPr>
        <w:spacing w:line="360" w:lineRule="auto"/>
        <w:ind w:firstLine="442"/>
        <w:rPr>
          <w:rFonts w:ascii="宋体" w:hAnsi="宋体"/>
          <w:b/>
          <w:bCs/>
          <w:color w:val="auto"/>
          <w:sz w:val="22"/>
          <w:szCs w:val="22"/>
          <w:highlight w:val="none"/>
        </w:rPr>
      </w:pPr>
      <w:r>
        <w:rPr>
          <w:rFonts w:hint="eastAsia" w:ascii="宋体" w:hAnsi="宋体"/>
          <w:b/>
          <w:bCs/>
          <w:color w:val="auto"/>
          <w:sz w:val="22"/>
          <w:szCs w:val="22"/>
          <w:highlight w:val="none"/>
        </w:rPr>
        <w:t>第四条 权利保证</w:t>
      </w:r>
    </w:p>
    <w:p w14:paraId="0A5211E9">
      <w:pPr>
        <w:spacing w:line="360" w:lineRule="auto"/>
        <w:ind w:firstLine="440"/>
        <w:rPr>
          <w:rFonts w:ascii="宋体" w:hAnsi="宋体"/>
          <w:b/>
          <w:bCs/>
          <w:color w:val="auto"/>
          <w:sz w:val="22"/>
          <w:szCs w:val="22"/>
          <w:highlight w:val="none"/>
        </w:rPr>
      </w:pPr>
      <w:r>
        <w:rPr>
          <w:rFonts w:hint="eastAsia" w:ascii="宋体" w:hAnsi="宋体"/>
          <w:color w:val="auto"/>
          <w:sz w:val="22"/>
          <w:szCs w:val="22"/>
          <w:highlight w:val="none"/>
        </w:rPr>
        <w:t>一旦出现侵权起诉或索赔，由乙方负责抗辩，并承担甲方维权产生的诉讼费、律师费、差旅费等，给甲方造成其他损失的，全部由乙方承担。若构成侵权的，甲方有权单方终止本合同。</w:t>
      </w:r>
      <w:r>
        <w:rPr>
          <w:rFonts w:hint="eastAsia" w:ascii="宋体" w:hAnsi="宋体"/>
          <w:b/>
          <w:bCs/>
          <w:color w:val="auto"/>
          <w:sz w:val="22"/>
          <w:szCs w:val="22"/>
          <w:highlight w:val="none"/>
        </w:rPr>
        <w:t>第五条 质量保证</w:t>
      </w:r>
    </w:p>
    <w:p w14:paraId="1A4D484F">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乙方所提供的货物的技术规格应与采购文件规定的技术规格及所附的“技术条款偏离表”相一致；若技术性能无特殊说明，则按国家有关部门最新颁布的标准及规范为准。</w:t>
      </w:r>
    </w:p>
    <w:p w14:paraId="2B89E4E0">
      <w:pPr>
        <w:spacing w:line="360" w:lineRule="auto"/>
        <w:ind w:firstLine="442"/>
        <w:rPr>
          <w:rFonts w:ascii="宋体" w:hAnsi="宋体"/>
          <w:b/>
          <w:bCs/>
          <w:color w:val="auto"/>
          <w:sz w:val="22"/>
          <w:szCs w:val="22"/>
          <w:highlight w:val="none"/>
        </w:rPr>
      </w:pPr>
      <w:r>
        <w:rPr>
          <w:rFonts w:hint="eastAsia" w:ascii="宋体" w:hAnsi="宋体"/>
          <w:b/>
          <w:bCs/>
          <w:color w:val="auto"/>
          <w:sz w:val="22"/>
          <w:szCs w:val="22"/>
          <w:highlight w:val="none"/>
        </w:rPr>
        <w:t>第六条 交货和验收</w:t>
      </w:r>
    </w:p>
    <w:p w14:paraId="1D28393E">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1.乙方应当在合同签订后</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天内完成服务事项。</w:t>
      </w:r>
    </w:p>
    <w:p w14:paraId="24E7E10C">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2.验收标准：按行业通行标准和乙方</w:t>
      </w:r>
      <w:r>
        <w:rPr>
          <w:rFonts w:hint="eastAsia" w:ascii="宋体" w:hAnsi="宋体"/>
          <w:color w:val="auto"/>
          <w:sz w:val="22"/>
          <w:szCs w:val="22"/>
          <w:highlight w:val="none"/>
          <w:lang w:eastAsia="zh-CN"/>
        </w:rPr>
        <w:t>投标文件</w:t>
      </w:r>
      <w:r>
        <w:rPr>
          <w:rFonts w:hint="eastAsia" w:ascii="宋体" w:hAnsi="宋体"/>
          <w:color w:val="auto"/>
          <w:sz w:val="22"/>
          <w:szCs w:val="22"/>
          <w:highlight w:val="none"/>
        </w:rPr>
        <w:t>的承诺（详见合同附件载明的标准，并不低于国家相关标准）。</w:t>
      </w:r>
    </w:p>
    <w:p w14:paraId="2EAC3A95">
      <w:pPr>
        <w:spacing w:line="360" w:lineRule="auto"/>
        <w:ind w:firstLine="442"/>
        <w:rPr>
          <w:rFonts w:ascii="宋体" w:hAnsi="宋体"/>
          <w:b/>
          <w:bCs/>
          <w:color w:val="auto"/>
          <w:sz w:val="22"/>
          <w:szCs w:val="22"/>
          <w:highlight w:val="none"/>
        </w:rPr>
      </w:pPr>
      <w:r>
        <w:rPr>
          <w:rFonts w:hint="eastAsia" w:ascii="宋体" w:hAnsi="宋体"/>
          <w:b/>
          <w:bCs/>
          <w:color w:val="auto"/>
          <w:sz w:val="22"/>
          <w:szCs w:val="22"/>
          <w:highlight w:val="none"/>
        </w:rPr>
        <w:t>第七条 合同款支付</w:t>
      </w:r>
    </w:p>
    <w:p w14:paraId="3C6D6A16">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1.本合同项下所有款项均以人民币支付。</w:t>
      </w:r>
    </w:p>
    <w:p w14:paraId="13F1E3ED">
      <w:pPr>
        <w:spacing w:line="360" w:lineRule="auto"/>
        <w:ind w:firstLine="440"/>
        <w:rPr>
          <w:rFonts w:hint="eastAsia" w:ascii="宋体" w:hAnsi="宋体"/>
          <w:color w:val="auto"/>
          <w:sz w:val="22"/>
          <w:szCs w:val="22"/>
          <w:highlight w:val="none"/>
        </w:rPr>
      </w:pPr>
      <w:r>
        <w:rPr>
          <w:rFonts w:hint="eastAsia" w:ascii="宋体" w:hAnsi="宋体"/>
          <w:color w:val="auto"/>
          <w:sz w:val="22"/>
          <w:szCs w:val="22"/>
          <w:highlight w:val="none"/>
        </w:rPr>
        <w:t>2.乙方不开具或开具不合格的，甲方有权迟延支付应付款项且不承担任何违约责任，且乙方各项合同义务仍应按合同约定履行。</w:t>
      </w:r>
    </w:p>
    <w:p w14:paraId="7BA7AB01">
      <w:pPr>
        <w:spacing w:line="360" w:lineRule="auto"/>
        <w:ind w:firstLine="440"/>
        <w:rPr>
          <w:rFonts w:hint="eastAsia" w:ascii="宋体" w:hAnsi="宋体"/>
          <w:color w:val="auto"/>
          <w:sz w:val="22"/>
          <w:szCs w:val="22"/>
          <w:highlight w:val="none"/>
        </w:rPr>
      </w:pPr>
      <w:r>
        <w:rPr>
          <w:rFonts w:hint="eastAsia" w:ascii="宋体" w:hAnsi="宋体"/>
          <w:color w:val="auto"/>
          <w:sz w:val="22"/>
          <w:szCs w:val="22"/>
          <w:highlight w:val="none"/>
        </w:rPr>
        <w:t>3.付款条件：</w:t>
      </w:r>
    </w:p>
    <w:p w14:paraId="5F03A531">
      <w:pPr>
        <w:spacing w:line="360" w:lineRule="auto"/>
        <w:ind w:firstLine="440"/>
        <w:rPr>
          <w:rFonts w:hint="eastAsia" w:ascii="宋体" w:hAnsi="宋体"/>
          <w:color w:val="auto"/>
          <w:sz w:val="22"/>
          <w:szCs w:val="22"/>
          <w:highlight w:val="none"/>
        </w:rPr>
      </w:pPr>
      <w:r>
        <w:rPr>
          <w:rFonts w:hint="eastAsia" w:ascii="宋体" w:hAnsi="宋体"/>
          <w:color w:val="auto"/>
          <w:sz w:val="22"/>
          <w:szCs w:val="22"/>
          <w:highlight w:val="none"/>
        </w:rPr>
        <w:t>南京市</w:t>
      </w:r>
      <w:r>
        <w:rPr>
          <w:rFonts w:hint="eastAsia" w:ascii="宋体" w:hAnsi="宋体"/>
          <w:color w:val="auto"/>
          <w:sz w:val="22"/>
          <w:szCs w:val="22"/>
          <w:highlight w:val="none"/>
          <w:lang w:eastAsia="zh-CN"/>
        </w:rPr>
        <w:t>浦口</w:t>
      </w:r>
      <w:r>
        <w:rPr>
          <w:rFonts w:hint="eastAsia" w:ascii="宋体" w:hAnsi="宋体"/>
          <w:color w:val="auto"/>
          <w:sz w:val="22"/>
          <w:szCs w:val="22"/>
          <w:highlight w:val="none"/>
        </w:rPr>
        <w:t>生态环境监测监控中心根据工作完成情况按季度支付项目款项。中标人根据季度内实际的检测工作量，确认季度内检测费用总额，提交检测项目费用核算单，由采购人进行审核，审核通过后支付相关费用。费用计算公式为：（采样费+样品前处理费+样品分析费+报告编制费+人员车辆费）*（</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折扣率）。付款前中标人应开具合法等额的发票。本项目由南京市</w:t>
      </w:r>
      <w:r>
        <w:rPr>
          <w:rFonts w:hint="eastAsia" w:ascii="宋体" w:hAnsi="宋体"/>
          <w:color w:val="auto"/>
          <w:sz w:val="22"/>
          <w:szCs w:val="22"/>
          <w:highlight w:val="none"/>
          <w:lang w:eastAsia="zh-CN"/>
        </w:rPr>
        <w:t>浦口</w:t>
      </w:r>
      <w:r>
        <w:rPr>
          <w:rFonts w:hint="eastAsia" w:ascii="宋体" w:hAnsi="宋体"/>
          <w:color w:val="auto"/>
          <w:sz w:val="22"/>
          <w:szCs w:val="22"/>
          <w:highlight w:val="none"/>
        </w:rPr>
        <w:t>生态环境监测监控中心进行采购，由南京市</w:t>
      </w:r>
      <w:r>
        <w:rPr>
          <w:rFonts w:hint="eastAsia" w:ascii="宋体" w:hAnsi="宋体"/>
          <w:color w:val="auto"/>
          <w:sz w:val="22"/>
          <w:szCs w:val="22"/>
          <w:highlight w:val="none"/>
          <w:lang w:eastAsia="zh-CN"/>
        </w:rPr>
        <w:t>浦口</w:t>
      </w:r>
      <w:r>
        <w:rPr>
          <w:rFonts w:hint="eastAsia" w:ascii="宋体" w:hAnsi="宋体"/>
          <w:color w:val="auto"/>
          <w:sz w:val="22"/>
          <w:szCs w:val="22"/>
          <w:highlight w:val="none"/>
        </w:rPr>
        <w:t>生态环境监测监控中心支付合同款项。</w:t>
      </w:r>
    </w:p>
    <w:p w14:paraId="21A97950">
      <w:pPr>
        <w:spacing w:line="360" w:lineRule="auto"/>
        <w:ind w:firstLine="440"/>
        <w:rPr>
          <w:rFonts w:hint="eastAsia" w:ascii="宋体" w:hAnsi="宋体"/>
          <w:color w:val="auto"/>
          <w:sz w:val="22"/>
          <w:szCs w:val="22"/>
          <w:highlight w:val="none"/>
        </w:rPr>
      </w:pPr>
      <w:r>
        <w:rPr>
          <w:rFonts w:hint="eastAsia" w:ascii="宋体" w:hAnsi="宋体"/>
          <w:color w:val="auto"/>
          <w:sz w:val="22"/>
          <w:szCs w:val="22"/>
          <w:highlight w:val="none"/>
        </w:rPr>
        <w:t>注：本项目年度支出总额受预算控制，本项目支出合计不得突破</w:t>
      </w:r>
      <w:r>
        <w:rPr>
          <w:rFonts w:hint="eastAsia" w:ascii="宋体" w:hAnsi="宋体"/>
          <w:color w:val="auto"/>
          <w:sz w:val="22"/>
          <w:szCs w:val="22"/>
          <w:highlight w:val="none"/>
          <w:lang w:val="en-US" w:eastAsia="zh-CN"/>
        </w:rPr>
        <w:t>50万元</w:t>
      </w:r>
      <w:r>
        <w:rPr>
          <w:rFonts w:hint="eastAsia" w:ascii="宋体" w:hAnsi="宋体"/>
          <w:color w:val="auto"/>
          <w:sz w:val="22"/>
          <w:szCs w:val="22"/>
          <w:highlight w:val="none"/>
        </w:rPr>
        <w:t>，</w:t>
      </w:r>
      <w:r>
        <w:rPr>
          <w:rFonts w:hint="eastAsia" w:ascii="宋体" w:hAnsi="宋体"/>
          <w:color w:val="auto"/>
          <w:sz w:val="22"/>
          <w:szCs w:val="22"/>
          <w:highlight w:val="none"/>
          <w:lang w:eastAsia="zh-CN"/>
        </w:rPr>
        <w:t>浦口</w:t>
      </w:r>
      <w:r>
        <w:rPr>
          <w:rFonts w:hint="eastAsia" w:ascii="宋体" w:hAnsi="宋体"/>
          <w:color w:val="auto"/>
          <w:sz w:val="22"/>
          <w:szCs w:val="22"/>
          <w:highlight w:val="none"/>
        </w:rPr>
        <w:t>区环境监测中心应做好项目费用使用情况统计，当项目实际发生费用达到</w:t>
      </w:r>
      <w:r>
        <w:rPr>
          <w:rFonts w:hint="eastAsia" w:ascii="宋体" w:hAnsi="宋体"/>
          <w:color w:val="auto"/>
          <w:sz w:val="22"/>
          <w:szCs w:val="22"/>
          <w:highlight w:val="none"/>
          <w:lang w:val="en-US" w:eastAsia="zh-CN"/>
        </w:rPr>
        <w:t>50万元</w:t>
      </w:r>
      <w:r>
        <w:rPr>
          <w:rFonts w:hint="eastAsia" w:ascii="宋体" w:hAnsi="宋体"/>
          <w:color w:val="auto"/>
          <w:sz w:val="22"/>
          <w:szCs w:val="22"/>
          <w:highlight w:val="none"/>
        </w:rPr>
        <w:t>时，本项目暂停。</w:t>
      </w:r>
    </w:p>
    <w:p w14:paraId="0D394CBD">
      <w:pPr>
        <w:spacing w:line="360" w:lineRule="auto"/>
        <w:ind w:firstLine="442"/>
        <w:rPr>
          <w:rFonts w:ascii="宋体" w:hAnsi="宋体"/>
          <w:b/>
          <w:bCs/>
          <w:color w:val="auto"/>
          <w:sz w:val="22"/>
          <w:szCs w:val="22"/>
          <w:highlight w:val="none"/>
        </w:rPr>
      </w:pPr>
      <w:r>
        <w:rPr>
          <w:rFonts w:hint="eastAsia" w:ascii="宋体" w:hAnsi="宋体"/>
          <w:b/>
          <w:bCs/>
          <w:color w:val="auto"/>
          <w:sz w:val="22"/>
          <w:szCs w:val="22"/>
          <w:highlight w:val="none"/>
        </w:rPr>
        <w:t>第八条 违约责任</w:t>
      </w:r>
    </w:p>
    <w:p w14:paraId="0191D759">
      <w:pPr>
        <w:spacing w:line="360" w:lineRule="auto"/>
        <w:ind w:firstLine="440"/>
        <w:rPr>
          <w:rFonts w:hint="eastAsia" w:ascii="宋体" w:hAnsi="宋体"/>
          <w:color w:val="auto"/>
          <w:sz w:val="22"/>
          <w:szCs w:val="22"/>
          <w:highlight w:val="none"/>
        </w:rPr>
      </w:pPr>
      <w:r>
        <w:rPr>
          <w:rFonts w:hint="eastAsia" w:ascii="宋体" w:hAnsi="宋体"/>
          <w:color w:val="auto"/>
          <w:sz w:val="22"/>
          <w:szCs w:val="22"/>
          <w:highlight w:val="none"/>
        </w:rPr>
        <w:t>中标人有下列行为之一的，将被暂停服务资格：</w:t>
      </w:r>
    </w:p>
    <w:p w14:paraId="23FE02AD">
      <w:pPr>
        <w:spacing w:line="360" w:lineRule="auto"/>
        <w:ind w:firstLine="440"/>
        <w:rPr>
          <w:rFonts w:hint="eastAsia" w:ascii="宋体" w:hAnsi="宋体"/>
          <w:color w:val="auto"/>
          <w:sz w:val="22"/>
          <w:szCs w:val="22"/>
          <w:highlight w:val="none"/>
        </w:rPr>
      </w:pPr>
      <w:r>
        <w:rPr>
          <w:rFonts w:hint="eastAsia" w:ascii="宋体" w:hAnsi="宋体"/>
          <w:color w:val="auto"/>
          <w:sz w:val="22"/>
          <w:szCs w:val="22"/>
          <w:highlight w:val="none"/>
          <w:lang w:eastAsia="zh-CN"/>
        </w:rPr>
        <w:t>1.</w:t>
      </w:r>
      <w:r>
        <w:rPr>
          <w:rFonts w:hint="eastAsia" w:ascii="宋体" w:hAnsi="宋体"/>
          <w:color w:val="auto"/>
          <w:sz w:val="22"/>
          <w:szCs w:val="22"/>
          <w:highlight w:val="none"/>
        </w:rPr>
        <w:t>无正当理由拒绝承担检测工作超过3次的；</w:t>
      </w:r>
    </w:p>
    <w:p w14:paraId="6110CE88">
      <w:pPr>
        <w:spacing w:line="360" w:lineRule="auto"/>
        <w:ind w:firstLine="440"/>
        <w:rPr>
          <w:rFonts w:hint="eastAsia" w:ascii="宋体" w:hAnsi="宋体"/>
          <w:color w:val="auto"/>
          <w:sz w:val="22"/>
          <w:szCs w:val="22"/>
          <w:highlight w:val="none"/>
        </w:rPr>
      </w:pPr>
      <w:r>
        <w:rPr>
          <w:rFonts w:hint="eastAsia" w:ascii="宋体" w:hAnsi="宋体"/>
          <w:color w:val="auto"/>
          <w:sz w:val="22"/>
          <w:szCs w:val="22"/>
          <w:highlight w:val="none"/>
          <w:lang w:eastAsia="zh-CN"/>
        </w:rPr>
        <w:t>2.</w:t>
      </w:r>
      <w:r>
        <w:rPr>
          <w:rFonts w:hint="eastAsia" w:ascii="宋体" w:hAnsi="宋体"/>
          <w:color w:val="auto"/>
          <w:sz w:val="22"/>
          <w:szCs w:val="22"/>
          <w:highlight w:val="none"/>
        </w:rPr>
        <w:t>未在规定期限内提交检测报告（数据）超过3次的；</w:t>
      </w:r>
    </w:p>
    <w:p w14:paraId="4DB754C5">
      <w:pPr>
        <w:spacing w:line="360" w:lineRule="auto"/>
        <w:ind w:firstLine="440"/>
        <w:rPr>
          <w:rFonts w:hint="eastAsia" w:ascii="宋体" w:hAnsi="宋体"/>
          <w:color w:val="auto"/>
          <w:sz w:val="22"/>
          <w:szCs w:val="22"/>
          <w:highlight w:val="none"/>
        </w:rPr>
      </w:pPr>
      <w:r>
        <w:rPr>
          <w:rFonts w:hint="eastAsia" w:ascii="宋体" w:hAnsi="宋体"/>
          <w:color w:val="auto"/>
          <w:sz w:val="22"/>
          <w:szCs w:val="22"/>
          <w:highlight w:val="none"/>
          <w:lang w:eastAsia="zh-CN"/>
        </w:rPr>
        <w:t>3.</w:t>
      </w:r>
      <w:r>
        <w:rPr>
          <w:rFonts w:hint="eastAsia" w:ascii="宋体" w:hAnsi="宋体"/>
          <w:color w:val="auto"/>
          <w:sz w:val="22"/>
          <w:szCs w:val="22"/>
          <w:highlight w:val="none"/>
        </w:rPr>
        <w:t>检测报告内容结论失实，或者一年内质量被评定为2次（含）以上不合格的；</w:t>
      </w:r>
    </w:p>
    <w:p w14:paraId="3E2DC230">
      <w:pPr>
        <w:spacing w:line="360" w:lineRule="auto"/>
        <w:ind w:firstLine="440"/>
        <w:rPr>
          <w:rFonts w:hint="eastAsia" w:ascii="宋体" w:hAnsi="宋体"/>
          <w:color w:val="auto"/>
          <w:sz w:val="22"/>
          <w:szCs w:val="22"/>
          <w:highlight w:val="none"/>
        </w:rPr>
      </w:pPr>
      <w:r>
        <w:rPr>
          <w:rFonts w:hint="eastAsia" w:ascii="宋体" w:hAnsi="宋体"/>
          <w:color w:val="auto"/>
          <w:sz w:val="22"/>
          <w:szCs w:val="22"/>
          <w:highlight w:val="none"/>
          <w:lang w:eastAsia="zh-CN"/>
        </w:rPr>
        <w:t>4.</w:t>
      </w:r>
      <w:r>
        <w:rPr>
          <w:rFonts w:hint="eastAsia" w:ascii="宋体" w:hAnsi="宋体"/>
          <w:color w:val="auto"/>
          <w:sz w:val="22"/>
          <w:szCs w:val="22"/>
          <w:highlight w:val="none"/>
        </w:rPr>
        <w:t>违规收取被检测单位费用的；</w:t>
      </w:r>
    </w:p>
    <w:p w14:paraId="483AD88B">
      <w:pPr>
        <w:spacing w:line="360" w:lineRule="auto"/>
        <w:ind w:firstLine="440"/>
        <w:rPr>
          <w:rFonts w:hint="eastAsia" w:ascii="宋体" w:hAnsi="宋体"/>
          <w:color w:val="auto"/>
          <w:sz w:val="22"/>
          <w:szCs w:val="22"/>
          <w:highlight w:val="none"/>
        </w:rPr>
      </w:pPr>
      <w:r>
        <w:rPr>
          <w:rFonts w:hint="eastAsia" w:ascii="宋体" w:hAnsi="宋体"/>
          <w:color w:val="auto"/>
          <w:sz w:val="22"/>
          <w:szCs w:val="22"/>
          <w:highlight w:val="none"/>
          <w:lang w:eastAsia="zh-CN"/>
        </w:rPr>
        <w:t>5.</w:t>
      </w:r>
      <w:r>
        <w:rPr>
          <w:rFonts w:hint="eastAsia" w:ascii="宋体" w:hAnsi="宋体"/>
          <w:color w:val="auto"/>
          <w:sz w:val="22"/>
          <w:szCs w:val="22"/>
          <w:highlight w:val="none"/>
        </w:rPr>
        <w:t>在各类质量检查中，出现严重影响数据可靠性情况的，南京市</w:t>
      </w:r>
      <w:r>
        <w:rPr>
          <w:rFonts w:hint="eastAsia" w:ascii="宋体" w:hAnsi="宋体"/>
          <w:color w:val="auto"/>
          <w:sz w:val="22"/>
          <w:szCs w:val="22"/>
          <w:highlight w:val="none"/>
          <w:lang w:eastAsia="zh-CN"/>
        </w:rPr>
        <w:t>浦口</w:t>
      </w:r>
      <w:r>
        <w:rPr>
          <w:rFonts w:hint="eastAsia" w:ascii="宋体" w:hAnsi="宋体"/>
          <w:color w:val="auto"/>
          <w:sz w:val="22"/>
          <w:szCs w:val="22"/>
          <w:highlight w:val="none"/>
        </w:rPr>
        <w:t>生态环境监测监控中心有权暂停其服务资格，待整改合格并经南京市</w:t>
      </w:r>
      <w:r>
        <w:rPr>
          <w:rFonts w:hint="eastAsia" w:ascii="宋体" w:hAnsi="宋体"/>
          <w:color w:val="auto"/>
          <w:sz w:val="22"/>
          <w:szCs w:val="22"/>
          <w:highlight w:val="none"/>
          <w:lang w:eastAsia="zh-CN"/>
        </w:rPr>
        <w:t>浦口</w:t>
      </w:r>
      <w:r>
        <w:rPr>
          <w:rFonts w:hint="eastAsia" w:ascii="宋体" w:hAnsi="宋体"/>
          <w:color w:val="auto"/>
          <w:sz w:val="22"/>
          <w:szCs w:val="22"/>
          <w:highlight w:val="none"/>
        </w:rPr>
        <w:t>生态环境监测监控中心认可后，方可继续提供服务。</w:t>
      </w:r>
    </w:p>
    <w:p w14:paraId="4B99232A">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中标人被暂停服务资格的，采购人有权将被暂停服务资格标段的监测服务任务分配给其他标段中标人。采购人根据</w:t>
      </w:r>
      <w:r>
        <w:rPr>
          <w:rFonts w:hint="eastAsia" w:ascii="宋体" w:hAnsi="宋体"/>
          <w:color w:val="auto"/>
          <w:sz w:val="22"/>
          <w:szCs w:val="22"/>
          <w:highlight w:val="none"/>
          <w:lang w:eastAsia="zh-CN"/>
        </w:rPr>
        <w:t>监测</w:t>
      </w:r>
      <w:r>
        <w:rPr>
          <w:rFonts w:hint="eastAsia" w:ascii="宋体" w:hAnsi="宋体"/>
          <w:color w:val="auto"/>
          <w:sz w:val="22"/>
          <w:szCs w:val="22"/>
          <w:highlight w:val="none"/>
        </w:rPr>
        <w:t>服务委托单及拟派中标人中标报价签订补充合同。</w:t>
      </w:r>
    </w:p>
    <w:p w14:paraId="796A6718">
      <w:pPr>
        <w:spacing w:line="360" w:lineRule="auto"/>
        <w:ind w:firstLine="442"/>
        <w:rPr>
          <w:rFonts w:ascii="宋体" w:hAnsi="宋体"/>
          <w:b/>
          <w:bCs/>
          <w:color w:val="auto"/>
          <w:sz w:val="22"/>
          <w:szCs w:val="22"/>
          <w:highlight w:val="none"/>
        </w:rPr>
      </w:pPr>
      <w:r>
        <w:rPr>
          <w:rFonts w:hint="eastAsia" w:ascii="宋体" w:hAnsi="宋体"/>
          <w:b/>
          <w:bCs/>
          <w:color w:val="auto"/>
          <w:sz w:val="22"/>
          <w:szCs w:val="22"/>
          <w:highlight w:val="none"/>
        </w:rPr>
        <w:t>第九条 合同的变更和终止</w:t>
      </w:r>
    </w:p>
    <w:p w14:paraId="4B166DC4">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1.除《中华人民共和国政府采购法》第五十条第二款规定的情形外，本合同一经签订，甲乙双方不得擅自变更、中止或终止合同。</w:t>
      </w:r>
    </w:p>
    <w:p w14:paraId="28007069">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2.除发生法律规定的不能预见、不能避免并不能克服的客观情况外，甲乙双方不得放弃或拒绝履行合同。乙方放弃或拒绝履行合同，三年内不得参加采购人组织的政府采购活动。</w:t>
      </w:r>
    </w:p>
    <w:p w14:paraId="7CF4D573">
      <w:pPr>
        <w:spacing w:line="360" w:lineRule="auto"/>
        <w:ind w:firstLine="442"/>
        <w:rPr>
          <w:rFonts w:ascii="宋体" w:hAnsi="宋体"/>
          <w:b/>
          <w:bCs/>
          <w:color w:val="auto"/>
          <w:sz w:val="22"/>
          <w:szCs w:val="22"/>
          <w:highlight w:val="none"/>
        </w:rPr>
      </w:pPr>
      <w:r>
        <w:rPr>
          <w:rFonts w:hint="eastAsia" w:ascii="宋体" w:hAnsi="宋体"/>
          <w:b/>
          <w:bCs/>
          <w:color w:val="auto"/>
          <w:sz w:val="22"/>
          <w:szCs w:val="22"/>
          <w:highlight w:val="none"/>
        </w:rPr>
        <w:t>第十条 合同的转让</w:t>
      </w:r>
    </w:p>
    <w:p w14:paraId="1B8769FF">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乙方不得擅自部分或全部转让其应履行的合同义务。</w:t>
      </w:r>
    </w:p>
    <w:p w14:paraId="473454D2">
      <w:pPr>
        <w:spacing w:line="360" w:lineRule="auto"/>
        <w:ind w:firstLine="442"/>
        <w:rPr>
          <w:rFonts w:ascii="宋体" w:hAnsi="宋体"/>
          <w:b/>
          <w:bCs/>
          <w:color w:val="auto"/>
          <w:sz w:val="22"/>
          <w:szCs w:val="22"/>
          <w:highlight w:val="none"/>
        </w:rPr>
      </w:pPr>
      <w:r>
        <w:rPr>
          <w:rFonts w:hint="eastAsia" w:ascii="宋体" w:hAnsi="宋体"/>
          <w:b/>
          <w:bCs/>
          <w:color w:val="auto"/>
          <w:sz w:val="22"/>
          <w:szCs w:val="22"/>
          <w:highlight w:val="none"/>
        </w:rPr>
        <w:t>第十一条 争议的解决</w:t>
      </w:r>
    </w:p>
    <w:p w14:paraId="118AE635">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1.因货物的质量问题发生争议的，应当邀请国家认可的质量检测机构对服务质量进行鉴定。符合标准的，鉴定费由甲方承担；不符合质量标准的，鉴定费由乙方承担。</w:t>
      </w:r>
    </w:p>
    <w:p w14:paraId="46D70189">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2.因履行本合同引起的或与本合同有关的争议，甲、乙双方应首先通过友好协商解决，如果协商不能解决争议，则采取以下第（1）种方式解决争议：</w:t>
      </w:r>
    </w:p>
    <w:p w14:paraId="54E4C024">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（1）向甲方所在地有管辖权的人民法院提起诉讼；</w:t>
      </w:r>
    </w:p>
    <w:p w14:paraId="739E3731">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（2）向南京仲裁委员会按其仲裁规则申请仲裁。</w:t>
      </w:r>
    </w:p>
    <w:p w14:paraId="38F39A5F">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如没有约定，默认采取第2种方式解决争议。</w:t>
      </w:r>
    </w:p>
    <w:p w14:paraId="5215CB6A">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3.在诉讼期间，本合同应继续履行。</w:t>
      </w:r>
    </w:p>
    <w:p w14:paraId="5C6F3557">
      <w:pPr>
        <w:spacing w:line="360" w:lineRule="auto"/>
        <w:ind w:firstLine="442"/>
        <w:rPr>
          <w:rFonts w:ascii="宋体" w:hAnsi="宋体"/>
          <w:color w:val="auto"/>
          <w:sz w:val="22"/>
          <w:szCs w:val="22"/>
          <w:highlight w:val="none"/>
        </w:rPr>
      </w:pPr>
      <w:r>
        <w:rPr>
          <w:rFonts w:hint="eastAsia" w:ascii="宋体" w:hAnsi="宋体"/>
          <w:b/>
          <w:bCs/>
          <w:color w:val="auto"/>
          <w:sz w:val="22"/>
          <w:szCs w:val="22"/>
          <w:highlight w:val="none"/>
        </w:rPr>
        <w:t>第十二条 诚实信用</w:t>
      </w:r>
    </w:p>
    <w:p w14:paraId="63D07979">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乙方应诚实信用，严格按照询价文件要求和响应承诺履行合同，不向甲方进行商业贿赂或者提供不正当利益。</w:t>
      </w:r>
    </w:p>
    <w:p w14:paraId="5BD74045">
      <w:pPr>
        <w:spacing w:line="360" w:lineRule="auto"/>
        <w:ind w:firstLine="442"/>
        <w:rPr>
          <w:rFonts w:ascii="宋体" w:hAnsi="宋体"/>
          <w:b/>
          <w:bCs/>
          <w:color w:val="auto"/>
          <w:sz w:val="22"/>
          <w:szCs w:val="22"/>
          <w:highlight w:val="none"/>
        </w:rPr>
      </w:pPr>
      <w:r>
        <w:rPr>
          <w:rFonts w:hint="eastAsia" w:ascii="宋体" w:hAnsi="宋体"/>
          <w:b/>
          <w:bCs/>
          <w:color w:val="auto"/>
          <w:sz w:val="22"/>
          <w:szCs w:val="22"/>
          <w:highlight w:val="none"/>
        </w:rPr>
        <w:t>第十三条 合同生效及其他</w:t>
      </w:r>
    </w:p>
    <w:p w14:paraId="7E9D6025">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1.本合同自双方代表签字盖章之日起生效。</w:t>
      </w:r>
    </w:p>
    <w:p w14:paraId="0EB70B61">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2.本合同一式柒份，甲乙双方各执叁份，壹份报送政府采购监督管理部门备案。</w:t>
      </w:r>
    </w:p>
    <w:p w14:paraId="73884516">
      <w:pPr>
        <w:spacing w:line="360" w:lineRule="auto"/>
        <w:ind w:firstLine="440"/>
        <w:rPr>
          <w:rFonts w:ascii="宋体" w:hAnsi="宋体"/>
          <w:color w:val="auto"/>
          <w:sz w:val="22"/>
          <w:szCs w:val="22"/>
          <w:highlight w:val="none"/>
        </w:rPr>
      </w:pPr>
      <w:r>
        <w:rPr>
          <w:rFonts w:hint="eastAsia" w:ascii="宋体" w:hAnsi="宋体"/>
          <w:color w:val="auto"/>
          <w:sz w:val="22"/>
          <w:szCs w:val="22"/>
          <w:highlight w:val="none"/>
        </w:rPr>
        <w:t>3.本合同应按照中华人民共和国的现行法律进行解释。</w:t>
      </w:r>
    </w:p>
    <w:p w14:paraId="66F58B2C">
      <w:pPr>
        <w:spacing w:line="360" w:lineRule="auto"/>
        <w:ind w:left="6380" w:right="-309" w:hanging="6380"/>
        <w:rPr>
          <w:rFonts w:hint="eastAsia" w:ascii="宋体" w:hAnsi="宋体"/>
          <w:color w:val="auto"/>
          <w:sz w:val="22"/>
          <w:szCs w:val="22"/>
          <w:highlight w:val="none"/>
        </w:rPr>
      </w:pPr>
    </w:p>
    <w:p w14:paraId="67EEFDAF">
      <w:pPr>
        <w:spacing w:line="360" w:lineRule="auto"/>
        <w:ind w:left="6380" w:right="-309" w:hanging="6380"/>
        <w:rPr>
          <w:rFonts w:hint="eastAsia" w:ascii="宋体" w:hAnsi="宋体"/>
          <w:color w:val="auto"/>
          <w:sz w:val="22"/>
          <w:szCs w:val="22"/>
          <w:highlight w:val="none"/>
        </w:rPr>
      </w:pPr>
    </w:p>
    <w:p w14:paraId="420E3EE6">
      <w:pPr>
        <w:spacing w:line="360" w:lineRule="auto"/>
        <w:ind w:left="6380" w:right="-309" w:hanging="6380"/>
        <w:rPr>
          <w:rFonts w:ascii="宋体" w:hAnsi="宋体"/>
          <w:color w:val="auto"/>
          <w:sz w:val="22"/>
          <w:szCs w:val="22"/>
          <w:highlight w:val="none"/>
        </w:rPr>
      </w:pPr>
      <w:r>
        <w:rPr>
          <w:rFonts w:hint="eastAsia" w:ascii="宋体" w:hAnsi="宋体"/>
          <w:color w:val="auto"/>
          <w:sz w:val="22"/>
          <w:szCs w:val="22"/>
          <w:highlight w:val="none"/>
        </w:rPr>
        <w:t>甲方（采购人）：                         乙方（供应商）：</w:t>
      </w:r>
      <w:r>
        <w:rPr>
          <w:rFonts w:ascii="宋体" w:hAnsi="宋体"/>
          <w:color w:val="auto"/>
          <w:sz w:val="22"/>
          <w:szCs w:val="22"/>
          <w:highlight w:val="none"/>
        </w:rPr>
        <w:t xml:space="preserve"> </w:t>
      </w:r>
    </w:p>
    <w:p w14:paraId="078BD23F">
      <w:pPr>
        <w:spacing w:line="360" w:lineRule="auto"/>
        <w:rPr>
          <w:rFonts w:ascii="宋体" w:hAnsi="宋体"/>
          <w:color w:val="auto"/>
          <w:sz w:val="22"/>
          <w:szCs w:val="22"/>
          <w:highlight w:val="none"/>
        </w:rPr>
      </w:pPr>
      <w:r>
        <w:rPr>
          <w:rFonts w:hint="eastAsia" w:ascii="宋体" w:hAnsi="宋体"/>
          <w:color w:val="auto"/>
          <w:sz w:val="22"/>
          <w:szCs w:val="22"/>
          <w:highlight w:val="none"/>
        </w:rPr>
        <w:t>（盖章）                                （盖章）</w:t>
      </w:r>
    </w:p>
    <w:p w14:paraId="3574AACB">
      <w:pPr>
        <w:spacing w:line="360" w:lineRule="auto"/>
        <w:rPr>
          <w:rFonts w:ascii="宋体" w:hAnsi="宋体"/>
          <w:color w:val="auto"/>
          <w:sz w:val="22"/>
          <w:szCs w:val="22"/>
          <w:highlight w:val="none"/>
        </w:rPr>
      </w:pPr>
      <w:r>
        <w:rPr>
          <w:rFonts w:hint="eastAsia" w:ascii="宋体" w:hAnsi="宋体"/>
          <w:color w:val="auto"/>
          <w:sz w:val="22"/>
          <w:szCs w:val="22"/>
          <w:highlight w:val="none"/>
        </w:rPr>
        <w:t>代表人：                                 代表人：</w:t>
      </w:r>
    </w:p>
    <w:p w14:paraId="40708123">
      <w:pPr>
        <w:spacing w:line="360" w:lineRule="auto"/>
        <w:rPr>
          <w:rFonts w:ascii="宋体" w:hAnsi="宋体"/>
          <w:color w:val="auto"/>
          <w:sz w:val="22"/>
          <w:szCs w:val="22"/>
          <w:highlight w:val="none"/>
        </w:rPr>
      </w:pPr>
      <w:r>
        <w:rPr>
          <w:rFonts w:hint="eastAsia" w:ascii="宋体" w:hAnsi="宋体"/>
          <w:color w:val="auto"/>
          <w:sz w:val="22"/>
          <w:szCs w:val="22"/>
          <w:highlight w:val="none"/>
        </w:rPr>
        <w:t>电话：                                   电话：</w:t>
      </w:r>
    </w:p>
    <w:p w14:paraId="484D7C44">
      <w:pPr>
        <w:spacing w:line="360" w:lineRule="auto"/>
        <w:ind w:right="-630"/>
        <w:rPr>
          <w:rFonts w:ascii="宋体" w:hAnsi="宋体"/>
          <w:color w:val="auto"/>
          <w:sz w:val="22"/>
          <w:szCs w:val="22"/>
          <w:highlight w:val="none"/>
        </w:rPr>
      </w:pPr>
      <w:r>
        <w:rPr>
          <w:rFonts w:hint="eastAsia" w:ascii="宋体" w:hAnsi="宋体"/>
          <w:color w:val="auto"/>
          <w:sz w:val="22"/>
          <w:szCs w:val="22"/>
          <w:highlight w:val="none"/>
        </w:rPr>
        <w:t>开户银行：                               开户银行：</w:t>
      </w:r>
      <w:r>
        <w:rPr>
          <w:rFonts w:ascii="宋体" w:hAnsi="宋体"/>
          <w:color w:val="auto"/>
          <w:sz w:val="22"/>
          <w:szCs w:val="22"/>
          <w:highlight w:val="none"/>
        </w:rPr>
        <w:t xml:space="preserve"> </w:t>
      </w:r>
    </w:p>
    <w:p w14:paraId="59987947">
      <w:pPr>
        <w:spacing w:line="360" w:lineRule="auto"/>
        <w:rPr>
          <w:color w:val="auto"/>
          <w:highlight w:val="none"/>
        </w:rPr>
      </w:pPr>
      <w:r>
        <w:rPr>
          <w:rFonts w:hint="eastAsia" w:ascii="宋体" w:hAnsi="宋体"/>
          <w:color w:val="auto"/>
          <w:sz w:val="22"/>
          <w:szCs w:val="22"/>
          <w:highlight w:val="none"/>
        </w:rPr>
        <w:t>账号：                                   账号：</w:t>
      </w:r>
    </w:p>
    <w:p w14:paraId="6A8B4A82">
      <w:pPr>
        <w:pStyle w:val="202"/>
        <w:spacing w:line="360" w:lineRule="auto"/>
        <w:ind w:left="0"/>
        <w:rPr>
          <w:rFonts w:ascii="宋体" w:hAnsi="宋体" w:cs="宋体"/>
          <w:b/>
          <w:color w:val="auto"/>
          <w:szCs w:val="21"/>
          <w:highlight w:val="none"/>
          <w:shd w:val="clear" w:color="auto" w:fill="FFFFFF"/>
        </w:rPr>
      </w:pPr>
    </w:p>
    <w:p w14:paraId="5B070D39">
      <w:pPr>
        <w:spacing w:line="360" w:lineRule="auto"/>
        <w:rPr>
          <w:color w:val="auto"/>
          <w:highlight w:val="none"/>
        </w:rPr>
      </w:pPr>
    </w:p>
    <w:p w14:paraId="47F103AA">
      <w:pPr>
        <w:pStyle w:val="202"/>
        <w:spacing w:line="360" w:lineRule="auto"/>
        <w:rPr>
          <w:color w:val="auto"/>
          <w:highlight w:val="none"/>
        </w:rPr>
      </w:pPr>
    </w:p>
    <w:p w14:paraId="2624D4A5">
      <w:pPr>
        <w:spacing w:line="360" w:lineRule="auto"/>
        <w:rPr>
          <w:color w:val="auto"/>
          <w:highlight w:val="none"/>
        </w:rPr>
      </w:pPr>
    </w:p>
    <w:p w14:paraId="5C689BF9">
      <w:pPr>
        <w:pStyle w:val="202"/>
        <w:spacing w:line="360" w:lineRule="auto"/>
        <w:rPr>
          <w:color w:val="auto"/>
          <w:highlight w:val="none"/>
        </w:rPr>
      </w:pPr>
    </w:p>
    <w:p w14:paraId="55BCC143">
      <w:pPr>
        <w:spacing w:line="360" w:lineRule="auto"/>
        <w:rPr>
          <w:color w:val="auto"/>
          <w:highlight w:val="none"/>
        </w:rPr>
      </w:pPr>
    </w:p>
    <w:p w14:paraId="3A938B0C">
      <w:pPr>
        <w:pStyle w:val="202"/>
        <w:spacing w:line="360" w:lineRule="auto"/>
        <w:rPr>
          <w:rFonts w:hint="eastAsia"/>
          <w:color w:val="auto"/>
          <w:highlight w:val="none"/>
        </w:rPr>
      </w:pPr>
    </w:p>
    <w:p w14:paraId="4542F147">
      <w:pPr>
        <w:rPr>
          <w:rFonts w:hint="eastAsia"/>
          <w:color w:val="auto"/>
          <w:highlight w:val="none"/>
        </w:rPr>
      </w:pPr>
    </w:p>
    <w:p w14:paraId="5977E827">
      <w:pPr>
        <w:spacing w:line="360" w:lineRule="auto"/>
        <w:jc w:val="left"/>
        <w:rPr>
          <w:rFonts w:ascii="宋体" w:hAnsi="宋体" w:cs="宋体"/>
          <w:color w:val="auto"/>
          <w:szCs w:val="21"/>
          <w:highlight w:val="none"/>
        </w:rPr>
      </w:pPr>
    </w:p>
    <w:p w14:paraId="5375A831">
      <w:pPr>
        <w:rPr>
          <w:rFonts w:hint="eastAsia" w:ascii="宋体" w:hAnsi="宋体"/>
          <w:b/>
          <w:bCs/>
          <w:color w:val="auto"/>
          <w:sz w:val="32"/>
          <w:szCs w:val="32"/>
          <w:highlight w:val="none"/>
          <w:lang w:val="zh-CN"/>
        </w:rPr>
      </w:pPr>
      <w:bookmarkStart w:id="69" w:name="_Toc55479021"/>
      <w:bookmarkStart w:id="70" w:name="_Toc44660265"/>
      <w:r>
        <w:rPr>
          <w:rFonts w:hint="eastAsia" w:ascii="宋体" w:hAnsi="宋体"/>
          <w:b/>
          <w:bCs/>
          <w:color w:val="auto"/>
          <w:sz w:val="32"/>
          <w:szCs w:val="32"/>
          <w:highlight w:val="none"/>
          <w:lang w:val="zh-CN"/>
        </w:rPr>
        <w:br w:type="page" w:clear="all"/>
      </w:r>
    </w:p>
    <w:p w14:paraId="1A528603">
      <w:pPr>
        <w:spacing w:line="360" w:lineRule="auto"/>
        <w:jc w:val="center"/>
        <w:outlineLvl w:val="0"/>
        <w:rPr>
          <w:rFonts w:hint="eastAsia" w:ascii="宋体" w:hAnsi="宋体"/>
          <w:b/>
          <w:bCs/>
          <w:color w:val="auto"/>
          <w:sz w:val="32"/>
          <w:szCs w:val="32"/>
          <w:highlight w:val="none"/>
          <w:lang w:val="zh-CN"/>
        </w:rPr>
      </w:pPr>
      <w:r>
        <w:rPr>
          <w:rFonts w:hint="eastAsia" w:ascii="宋体" w:hAnsi="宋体"/>
          <w:b/>
          <w:bCs/>
          <w:color w:val="auto"/>
          <w:sz w:val="32"/>
          <w:szCs w:val="32"/>
          <w:highlight w:val="none"/>
          <w:lang w:val="zh-CN"/>
        </w:rPr>
        <w:t>第六章 投标文件</w:t>
      </w:r>
      <w:r>
        <w:rPr>
          <w:rFonts w:ascii="宋体" w:hAnsi="宋体"/>
          <w:b/>
          <w:bCs/>
          <w:color w:val="auto"/>
          <w:sz w:val="32"/>
          <w:szCs w:val="32"/>
          <w:highlight w:val="none"/>
          <w:lang w:val="zh-CN"/>
        </w:rPr>
        <w:t>格式</w:t>
      </w:r>
      <w:r>
        <w:rPr>
          <w:rFonts w:hint="eastAsia" w:ascii="宋体" w:hAnsi="宋体"/>
          <w:b/>
          <w:bCs/>
          <w:color w:val="auto"/>
          <w:sz w:val="32"/>
          <w:szCs w:val="32"/>
          <w:highlight w:val="none"/>
          <w:lang w:val="zh-CN"/>
        </w:rPr>
        <w:t>及附件</w:t>
      </w:r>
      <w:bookmarkEnd w:id="69"/>
      <w:bookmarkEnd w:id="70"/>
    </w:p>
    <w:p w14:paraId="18C6C22F">
      <w:pPr>
        <w:spacing w:line="360" w:lineRule="auto"/>
        <w:jc w:val="center"/>
        <w:rPr>
          <w:rFonts w:ascii="宋体" w:hAnsi="宋体"/>
          <w:color w:val="auto"/>
          <w:szCs w:val="21"/>
          <w:highlight w:val="none"/>
        </w:rPr>
      </w:pPr>
    </w:p>
    <w:p w14:paraId="01943A3D">
      <w:pPr>
        <w:spacing w:line="360" w:lineRule="auto"/>
        <w:jc w:val="center"/>
        <w:rPr>
          <w:rFonts w:ascii="宋体" w:hAnsi="宋体"/>
          <w:color w:val="auto"/>
          <w:szCs w:val="21"/>
          <w:highlight w:val="none"/>
        </w:rPr>
      </w:pPr>
    </w:p>
    <w:p w14:paraId="022838B4">
      <w:pPr>
        <w:spacing w:line="360" w:lineRule="auto"/>
        <w:jc w:val="center"/>
        <w:rPr>
          <w:rFonts w:ascii="宋体" w:hAnsi="宋体"/>
          <w:color w:val="auto"/>
          <w:szCs w:val="21"/>
          <w:highlight w:val="none"/>
        </w:rPr>
      </w:pPr>
    </w:p>
    <w:p w14:paraId="480101D3">
      <w:pPr>
        <w:spacing w:line="360" w:lineRule="auto"/>
        <w:rPr>
          <w:rFonts w:hint="eastAsia" w:ascii="宋体" w:hAnsi="宋体"/>
          <w:b/>
          <w:color w:val="auto"/>
          <w:sz w:val="48"/>
          <w:szCs w:val="48"/>
          <w:highlight w:val="none"/>
        </w:rPr>
      </w:pPr>
    </w:p>
    <w:p w14:paraId="4D453EB1">
      <w:pPr>
        <w:spacing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投标文件</w:t>
      </w:r>
    </w:p>
    <w:p w14:paraId="62BCDE25">
      <w:pPr>
        <w:spacing w:line="360" w:lineRule="auto"/>
        <w:ind w:firstLine="2155"/>
        <w:rPr>
          <w:rFonts w:hint="eastAsia" w:ascii="宋体" w:hAnsi="宋体"/>
          <w:color w:val="auto"/>
          <w:szCs w:val="21"/>
          <w:highlight w:val="none"/>
        </w:rPr>
      </w:pPr>
    </w:p>
    <w:p w14:paraId="25DE65C0">
      <w:pPr>
        <w:spacing w:line="360" w:lineRule="auto"/>
        <w:jc w:val="center"/>
        <w:rPr>
          <w:rFonts w:hint="eastAsia" w:ascii="宋体" w:hAnsi="宋体"/>
          <w:color w:val="auto"/>
          <w:szCs w:val="21"/>
          <w:highlight w:val="none"/>
        </w:rPr>
      </w:pPr>
    </w:p>
    <w:p w14:paraId="4287D357">
      <w:pPr>
        <w:spacing w:line="360" w:lineRule="auto"/>
        <w:jc w:val="center"/>
        <w:rPr>
          <w:rFonts w:hint="eastAsia" w:ascii="宋体" w:hAnsi="宋体"/>
          <w:color w:val="auto"/>
          <w:szCs w:val="21"/>
          <w:highlight w:val="none"/>
        </w:rPr>
      </w:pPr>
    </w:p>
    <w:p w14:paraId="256A3BBE">
      <w:pPr>
        <w:spacing w:line="360" w:lineRule="auto"/>
        <w:jc w:val="center"/>
        <w:rPr>
          <w:rFonts w:ascii="宋体" w:hAnsi="宋体"/>
          <w:color w:val="auto"/>
          <w:szCs w:val="21"/>
          <w:highlight w:val="none"/>
        </w:rPr>
      </w:pPr>
    </w:p>
    <w:p w14:paraId="5D5B4D8F">
      <w:pPr>
        <w:pStyle w:val="202"/>
        <w:spacing w:line="360" w:lineRule="auto"/>
        <w:rPr>
          <w:color w:val="auto"/>
          <w:highlight w:val="none"/>
        </w:rPr>
      </w:pPr>
    </w:p>
    <w:p w14:paraId="4C41689A">
      <w:pPr>
        <w:spacing w:line="360" w:lineRule="auto"/>
        <w:rPr>
          <w:rFonts w:hint="eastAsia"/>
          <w:color w:val="auto"/>
          <w:highlight w:val="none"/>
        </w:rPr>
      </w:pPr>
    </w:p>
    <w:p w14:paraId="6F7C91BB">
      <w:pPr>
        <w:spacing w:line="360" w:lineRule="auto"/>
        <w:jc w:val="center"/>
        <w:rPr>
          <w:rFonts w:hint="eastAsia" w:ascii="宋体" w:hAnsi="宋体"/>
          <w:color w:val="auto"/>
          <w:szCs w:val="21"/>
          <w:highlight w:val="none"/>
        </w:rPr>
      </w:pPr>
    </w:p>
    <w:p w14:paraId="4EC396B5">
      <w:pPr>
        <w:spacing w:line="360" w:lineRule="auto"/>
        <w:ind w:firstLine="960"/>
        <w:rPr>
          <w:rFonts w:hint="eastAsia" w:ascii="宋体" w:hAnsi="宋体"/>
          <w:color w:val="auto"/>
          <w:sz w:val="32"/>
          <w:szCs w:val="32"/>
          <w:highlight w:val="none"/>
        </w:rPr>
      </w:pPr>
      <w:r>
        <w:rPr>
          <w:rFonts w:hint="eastAsia" w:ascii="宋体" w:hAnsi="宋体"/>
          <w:color w:val="auto"/>
          <w:sz w:val="32"/>
          <w:szCs w:val="32"/>
          <w:highlight w:val="none"/>
        </w:rPr>
        <w:t>项目编号：</w:t>
      </w:r>
    </w:p>
    <w:p w14:paraId="281441A3">
      <w:pPr>
        <w:spacing w:line="360" w:lineRule="auto"/>
        <w:ind w:firstLine="960"/>
        <w:rPr>
          <w:rFonts w:hint="eastAsia" w:ascii="宋体" w:hAnsi="宋体"/>
          <w:color w:val="auto"/>
          <w:sz w:val="32"/>
          <w:szCs w:val="32"/>
          <w:highlight w:val="none"/>
          <w:u w:val="single"/>
        </w:rPr>
      </w:pPr>
      <w:r>
        <w:rPr>
          <w:rFonts w:hint="eastAsia" w:ascii="宋体" w:hAnsi="宋体"/>
          <w:color w:val="auto"/>
          <w:sz w:val="32"/>
          <w:szCs w:val="32"/>
          <w:highlight w:val="none"/>
        </w:rPr>
        <w:t>项目名称：</w:t>
      </w:r>
    </w:p>
    <w:p w14:paraId="5AD040F5">
      <w:pPr>
        <w:spacing w:line="360" w:lineRule="auto"/>
        <w:rPr>
          <w:rFonts w:ascii="宋体" w:hAnsi="宋体"/>
          <w:color w:val="auto"/>
          <w:sz w:val="32"/>
          <w:szCs w:val="32"/>
          <w:highlight w:val="none"/>
        </w:rPr>
      </w:pPr>
    </w:p>
    <w:p w14:paraId="5A9AF0DA">
      <w:pPr>
        <w:pStyle w:val="202"/>
        <w:spacing w:line="360" w:lineRule="auto"/>
        <w:rPr>
          <w:color w:val="auto"/>
          <w:highlight w:val="none"/>
        </w:rPr>
      </w:pPr>
    </w:p>
    <w:p w14:paraId="57081A3D">
      <w:pPr>
        <w:spacing w:line="360" w:lineRule="auto"/>
        <w:rPr>
          <w:color w:val="auto"/>
          <w:highlight w:val="none"/>
        </w:rPr>
      </w:pPr>
    </w:p>
    <w:p w14:paraId="4E10119C">
      <w:pPr>
        <w:pStyle w:val="202"/>
        <w:spacing w:line="360" w:lineRule="auto"/>
        <w:rPr>
          <w:color w:val="auto"/>
          <w:highlight w:val="none"/>
        </w:rPr>
      </w:pPr>
    </w:p>
    <w:p w14:paraId="105868E2">
      <w:pPr>
        <w:spacing w:line="360" w:lineRule="auto"/>
        <w:rPr>
          <w:color w:val="auto"/>
          <w:highlight w:val="none"/>
        </w:rPr>
      </w:pPr>
    </w:p>
    <w:p w14:paraId="14A8B522">
      <w:pPr>
        <w:pStyle w:val="202"/>
        <w:spacing w:line="360" w:lineRule="auto"/>
        <w:rPr>
          <w:color w:val="auto"/>
          <w:highlight w:val="none"/>
        </w:rPr>
      </w:pPr>
    </w:p>
    <w:p w14:paraId="0C8EBB24">
      <w:pPr>
        <w:spacing w:line="360" w:lineRule="auto"/>
        <w:rPr>
          <w:rFonts w:hint="eastAsia"/>
          <w:color w:val="auto"/>
          <w:highlight w:val="none"/>
        </w:rPr>
      </w:pPr>
    </w:p>
    <w:p w14:paraId="472C7159">
      <w:pPr>
        <w:spacing w:line="360" w:lineRule="auto"/>
        <w:ind w:firstLine="960"/>
        <w:rPr>
          <w:rFonts w:hint="eastAsia" w:ascii="宋体" w:hAnsi="宋体"/>
          <w:color w:val="auto"/>
          <w:sz w:val="32"/>
          <w:szCs w:val="32"/>
          <w:highlight w:val="none"/>
          <w:u w:val="single"/>
        </w:rPr>
      </w:pPr>
      <w:r>
        <w:rPr>
          <w:rFonts w:hint="eastAsia" w:ascii="宋体" w:hAnsi="宋体"/>
          <w:color w:val="auto"/>
          <w:sz w:val="32"/>
          <w:szCs w:val="32"/>
          <w:highlight w:val="none"/>
        </w:rPr>
        <w:t>投标人名称：</w:t>
      </w:r>
    </w:p>
    <w:p w14:paraId="4C43802D">
      <w:pPr>
        <w:spacing w:line="360" w:lineRule="auto"/>
        <w:ind w:firstLine="960"/>
        <w:rPr>
          <w:rFonts w:hint="eastAsia" w:ascii="宋体" w:hAnsi="宋体"/>
          <w:color w:val="auto"/>
          <w:sz w:val="32"/>
          <w:szCs w:val="32"/>
          <w:highlight w:val="none"/>
        </w:rPr>
      </w:pPr>
      <w:r>
        <w:rPr>
          <w:rFonts w:hint="eastAsia" w:ascii="宋体" w:hAnsi="宋体"/>
          <w:color w:val="auto"/>
          <w:sz w:val="32"/>
          <w:szCs w:val="32"/>
          <w:highlight w:val="none"/>
        </w:rPr>
        <w:t>日期：</w:t>
      </w:r>
    </w:p>
    <w:p w14:paraId="44E04BD6">
      <w:pPr>
        <w:spacing w:line="360" w:lineRule="auto"/>
        <w:jc w:val="center"/>
        <w:rPr>
          <w:rFonts w:hint="eastAsia" w:ascii="宋体" w:hAnsi="宋体"/>
          <w:bCs/>
          <w:color w:val="auto"/>
          <w:szCs w:val="21"/>
          <w:highlight w:val="none"/>
        </w:rPr>
      </w:pPr>
    </w:p>
    <w:p w14:paraId="5612F05C">
      <w:pPr>
        <w:spacing w:line="360" w:lineRule="auto"/>
        <w:jc w:val="center"/>
        <w:rPr>
          <w:rFonts w:hint="eastAsia" w:ascii="宋体" w:hAnsi="宋体"/>
          <w:bCs/>
          <w:color w:val="auto"/>
          <w:szCs w:val="21"/>
          <w:highlight w:val="none"/>
        </w:rPr>
      </w:pPr>
    </w:p>
    <w:p w14:paraId="41386453">
      <w:pPr>
        <w:spacing w:line="360" w:lineRule="auto"/>
        <w:jc w:val="center"/>
        <w:rPr>
          <w:rFonts w:hint="eastAsia" w:ascii="宋体" w:hAnsi="宋体"/>
          <w:b/>
          <w:bCs/>
          <w:color w:val="auto"/>
          <w:sz w:val="32"/>
          <w:szCs w:val="32"/>
          <w:highlight w:val="none"/>
        </w:rPr>
      </w:pPr>
      <w:r>
        <w:rPr>
          <w:rFonts w:ascii="宋体" w:hAnsi="宋体"/>
          <w:bCs/>
          <w:color w:val="auto"/>
          <w:szCs w:val="21"/>
          <w:highlight w:val="none"/>
        </w:rPr>
        <w:br w:type="page" w:clear="all"/>
      </w:r>
      <w:bookmarkStart w:id="71" w:name="_Toc489655320"/>
      <w:r>
        <w:rPr>
          <w:rFonts w:hint="eastAsia" w:ascii="宋体" w:hAnsi="宋体"/>
          <w:b/>
          <w:bCs/>
          <w:color w:val="auto"/>
          <w:sz w:val="32"/>
          <w:szCs w:val="32"/>
          <w:highlight w:val="none"/>
        </w:rPr>
        <w:t>投标文件主要目录</w:t>
      </w:r>
      <w:bookmarkEnd w:id="71"/>
      <w:r>
        <w:rPr>
          <w:rFonts w:hint="eastAsia" w:ascii="宋体" w:hAnsi="宋体"/>
          <w:b/>
          <w:bCs/>
          <w:color w:val="auto"/>
          <w:sz w:val="32"/>
          <w:szCs w:val="32"/>
          <w:highlight w:val="none"/>
        </w:rPr>
        <w:t>及相关证明材料格式、附件</w:t>
      </w:r>
    </w:p>
    <w:p w14:paraId="7150CB25">
      <w:pPr>
        <w:spacing w:line="360" w:lineRule="auto"/>
        <w:rPr>
          <w:rFonts w:ascii="宋体" w:hAnsi="宋体"/>
          <w:color w:val="auto"/>
          <w:szCs w:val="21"/>
          <w:highlight w:val="none"/>
        </w:rPr>
      </w:pPr>
    </w:p>
    <w:p w14:paraId="7C0D2597">
      <w:pPr>
        <w:spacing w:line="360" w:lineRule="auto"/>
        <w:rPr>
          <w:rFonts w:hint="eastAsia"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、投标函</w:t>
      </w:r>
    </w:p>
    <w:p w14:paraId="6F9AAF3D">
      <w:pPr>
        <w:spacing w:line="360" w:lineRule="auto"/>
        <w:rPr>
          <w:rFonts w:hint="eastAsia" w:ascii="宋体" w:hAnsi="宋体"/>
          <w:color w:val="auto"/>
          <w:szCs w:val="21"/>
          <w:highlight w:val="none"/>
        </w:rPr>
      </w:pPr>
      <w:r>
        <w:rPr>
          <w:rFonts w:hint="eastAsia" w:ascii="宋体" w:hAnsi="宋体"/>
          <w:color w:val="auto"/>
          <w:szCs w:val="21"/>
          <w:highlight w:val="none"/>
        </w:rPr>
        <w:t>二、法定代表人授权书及委托代理人的身份证复印件</w:t>
      </w:r>
    </w:p>
    <w:p w14:paraId="40C4BA65">
      <w:pPr>
        <w:spacing w:line="360" w:lineRule="auto"/>
        <w:rPr>
          <w:rFonts w:ascii="宋体" w:hAnsi="宋体"/>
          <w:color w:val="auto"/>
          <w:szCs w:val="21"/>
          <w:highlight w:val="none"/>
        </w:rPr>
      </w:pPr>
      <w:r>
        <w:rPr>
          <w:rFonts w:hint="eastAsia" w:ascii="宋体" w:hAnsi="宋体"/>
          <w:color w:val="auto"/>
          <w:szCs w:val="21"/>
          <w:highlight w:val="none"/>
        </w:rPr>
        <w:t>三、资格证明文件（</w:t>
      </w:r>
      <w:r>
        <w:rPr>
          <w:rFonts w:hint="eastAsia" w:ascii="宋体" w:hAnsi="宋体" w:cs="宋体"/>
          <w:color w:val="auto"/>
          <w:szCs w:val="21"/>
          <w:highlight w:val="none"/>
        </w:rPr>
        <w:t>第一章招标公告中的“</w:t>
      </w:r>
      <w:r>
        <w:rPr>
          <w:rFonts w:hint="eastAsia" w:ascii="宋体" w:hAnsi="宋体"/>
          <w:color w:val="auto"/>
          <w:szCs w:val="21"/>
          <w:highlight w:val="none"/>
        </w:rPr>
        <w:t>二、申请人的资格要求</w:t>
      </w:r>
      <w:r>
        <w:rPr>
          <w:rFonts w:hint="eastAsia" w:ascii="宋体" w:hAnsi="宋体" w:cs="宋体"/>
          <w:color w:val="auto"/>
          <w:szCs w:val="21"/>
          <w:highlight w:val="none"/>
        </w:rPr>
        <w:t>”</w:t>
      </w:r>
      <w:r>
        <w:rPr>
          <w:rFonts w:hint="eastAsia" w:ascii="宋体" w:hAnsi="宋体" w:cs="宋体"/>
          <w:bCs/>
          <w:color w:val="auto"/>
          <w:szCs w:val="21"/>
          <w:highlight w:val="none"/>
        </w:rPr>
        <w:t>，投标人提供相关证明文件</w:t>
      </w:r>
      <w:r>
        <w:rPr>
          <w:rFonts w:hint="eastAsia" w:ascii="宋体" w:hAnsi="宋体"/>
          <w:color w:val="auto"/>
          <w:szCs w:val="21"/>
          <w:highlight w:val="none"/>
        </w:rPr>
        <w:t>）</w:t>
      </w:r>
    </w:p>
    <w:p w14:paraId="7363AB5F">
      <w:pPr>
        <w:spacing w:line="360" w:lineRule="auto"/>
        <w:rPr>
          <w:rFonts w:ascii="宋体" w:hAnsi="宋体"/>
          <w:color w:val="auto"/>
          <w:szCs w:val="21"/>
          <w:highlight w:val="none"/>
        </w:rPr>
      </w:pPr>
      <w:r>
        <w:rPr>
          <w:rFonts w:hint="eastAsia" w:ascii="宋体" w:hAnsi="宋体"/>
          <w:color w:val="auto"/>
          <w:szCs w:val="21"/>
          <w:highlight w:val="none"/>
        </w:rPr>
        <w:t>四、投标人基本情况表</w:t>
      </w:r>
    </w:p>
    <w:p w14:paraId="23EB8BF3">
      <w:pPr>
        <w:spacing w:line="360" w:lineRule="auto"/>
        <w:rPr>
          <w:rFonts w:ascii="宋体" w:hAnsi="宋体"/>
          <w:color w:val="auto"/>
          <w:szCs w:val="21"/>
          <w:highlight w:val="none"/>
        </w:rPr>
      </w:pPr>
      <w:r>
        <w:rPr>
          <w:rFonts w:ascii="宋体" w:hAnsi="宋体"/>
          <w:color w:val="auto"/>
          <w:szCs w:val="21"/>
          <w:highlight w:val="none"/>
        </w:rPr>
        <w:t>五</w:t>
      </w:r>
      <w:r>
        <w:rPr>
          <w:rFonts w:hint="eastAsia" w:ascii="宋体" w:hAnsi="宋体"/>
          <w:color w:val="auto"/>
          <w:szCs w:val="21"/>
          <w:highlight w:val="none"/>
        </w:rPr>
        <w:t>、商务条款偏离表</w:t>
      </w:r>
    </w:p>
    <w:p w14:paraId="6D0F5CE7">
      <w:pPr>
        <w:spacing w:line="360" w:lineRule="auto"/>
        <w:rPr>
          <w:rFonts w:hint="eastAsia" w:ascii="宋体" w:hAnsi="宋体"/>
          <w:color w:val="auto"/>
          <w:szCs w:val="21"/>
          <w:highlight w:val="none"/>
        </w:rPr>
      </w:pPr>
      <w:r>
        <w:rPr>
          <w:rFonts w:ascii="宋体" w:hAnsi="宋体"/>
          <w:color w:val="auto"/>
          <w:szCs w:val="21"/>
          <w:highlight w:val="none"/>
        </w:rPr>
        <w:t>六</w:t>
      </w:r>
      <w:r>
        <w:rPr>
          <w:rFonts w:hint="eastAsia" w:ascii="宋体" w:hAnsi="宋体"/>
          <w:color w:val="auto"/>
          <w:szCs w:val="21"/>
          <w:highlight w:val="none"/>
        </w:rPr>
        <w:t>、技术条款偏离表</w:t>
      </w:r>
    </w:p>
    <w:p w14:paraId="72C0FE84">
      <w:pPr>
        <w:spacing w:line="360" w:lineRule="auto"/>
        <w:rPr>
          <w:rFonts w:hint="eastAsia" w:ascii="宋体" w:hAnsi="宋体"/>
          <w:color w:val="auto"/>
          <w:szCs w:val="21"/>
          <w:highlight w:val="none"/>
        </w:rPr>
      </w:pPr>
      <w:r>
        <w:rPr>
          <w:rFonts w:ascii="宋体" w:hAnsi="宋体"/>
          <w:color w:val="auto"/>
          <w:szCs w:val="21"/>
          <w:highlight w:val="none"/>
        </w:rPr>
        <w:t>七</w:t>
      </w:r>
      <w:r>
        <w:rPr>
          <w:rFonts w:hint="eastAsia" w:ascii="宋体" w:hAnsi="宋体"/>
          <w:color w:val="auto"/>
          <w:szCs w:val="21"/>
          <w:highlight w:val="none"/>
        </w:rPr>
        <w:t>、投标人（企业）业绩表；</w:t>
      </w:r>
    </w:p>
    <w:p w14:paraId="0B8E25E3">
      <w:pPr>
        <w:spacing w:line="360" w:lineRule="auto"/>
        <w:rPr>
          <w:rFonts w:ascii="宋体" w:hAnsi="宋体"/>
          <w:color w:val="auto"/>
          <w:szCs w:val="21"/>
          <w:highlight w:val="none"/>
        </w:rPr>
      </w:pPr>
      <w:r>
        <w:rPr>
          <w:rFonts w:ascii="宋体" w:hAnsi="宋体"/>
          <w:color w:val="auto"/>
          <w:szCs w:val="21"/>
          <w:highlight w:val="none"/>
        </w:rPr>
        <w:t>八</w:t>
      </w:r>
      <w:r>
        <w:rPr>
          <w:rFonts w:hint="eastAsia" w:ascii="宋体" w:hAnsi="宋体"/>
          <w:color w:val="auto"/>
          <w:szCs w:val="21"/>
          <w:highlight w:val="none"/>
        </w:rPr>
        <w:t>、人员配备一览表</w:t>
      </w:r>
    </w:p>
    <w:p w14:paraId="43090D2A">
      <w:pPr>
        <w:spacing w:line="360" w:lineRule="auto"/>
        <w:rPr>
          <w:rFonts w:hint="eastAsia" w:ascii="宋体" w:hAnsi="宋体"/>
          <w:color w:val="auto"/>
          <w:szCs w:val="21"/>
          <w:highlight w:val="none"/>
        </w:rPr>
      </w:pPr>
      <w:r>
        <w:rPr>
          <w:rFonts w:ascii="宋体" w:hAnsi="宋体"/>
          <w:color w:val="auto"/>
          <w:szCs w:val="21"/>
          <w:highlight w:val="none"/>
        </w:rPr>
        <w:t>九</w:t>
      </w:r>
      <w:r>
        <w:rPr>
          <w:rFonts w:hint="eastAsia" w:ascii="宋体" w:hAnsi="宋体"/>
          <w:color w:val="auto"/>
          <w:szCs w:val="21"/>
          <w:highlight w:val="none"/>
        </w:rPr>
        <w:t>、</w:t>
      </w:r>
      <w:r>
        <w:rPr>
          <w:rFonts w:ascii="宋体" w:hAnsi="宋体"/>
          <w:color w:val="auto"/>
          <w:szCs w:val="21"/>
          <w:highlight w:val="none"/>
        </w:rPr>
        <w:t>技术方案</w:t>
      </w:r>
    </w:p>
    <w:p w14:paraId="4C361183">
      <w:pPr>
        <w:spacing w:line="360" w:lineRule="auto"/>
        <w:rPr>
          <w:rFonts w:hint="eastAsia" w:ascii="宋体" w:hAnsi="宋体"/>
          <w:color w:val="auto"/>
          <w:szCs w:val="21"/>
          <w:highlight w:val="none"/>
        </w:rPr>
      </w:pPr>
      <w:r>
        <w:rPr>
          <w:rFonts w:hint="eastAsia" w:ascii="宋体" w:hAnsi="宋体"/>
          <w:color w:val="auto"/>
          <w:szCs w:val="21"/>
          <w:highlight w:val="none"/>
        </w:rPr>
        <w:t>十、投标需要的其他证明文件及材料（若有）</w:t>
      </w:r>
    </w:p>
    <w:p w14:paraId="3113EB5D">
      <w:pPr>
        <w:spacing w:line="360" w:lineRule="auto"/>
        <w:ind w:left="142"/>
        <w:rPr>
          <w:rFonts w:ascii="宋体" w:hAnsi="宋体"/>
          <w:color w:val="auto"/>
          <w:szCs w:val="21"/>
          <w:highlight w:val="none"/>
        </w:rPr>
      </w:pPr>
      <w:r>
        <w:rPr>
          <w:rFonts w:hint="eastAsia" w:ascii="宋体" w:hAnsi="宋体"/>
          <w:color w:val="auto"/>
          <w:szCs w:val="21"/>
          <w:highlight w:val="none"/>
        </w:rPr>
        <w:t>附件一、中小企业声明函格式</w:t>
      </w:r>
    </w:p>
    <w:p w14:paraId="17AC6D7C">
      <w:pPr>
        <w:spacing w:line="360" w:lineRule="auto"/>
        <w:ind w:left="142"/>
        <w:rPr>
          <w:rFonts w:ascii="宋体" w:hAnsi="宋体"/>
          <w:color w:val="auto"/>
          <w:szCs w:val="21"/>
          <w:highlight w:val="none"/>
        </w:rPr>
      </w:pPr>
      <w:r>
        <w:rPr>
          <w:rFonts w:hint="eastAsia" w:ascii="宋体" w:hAnsi="宋体"/>
          <w:color w:val="auto"/>
          <w:szCs w:val="21"/>
          <w:highlight w:val="none"/>
        </w:rPr>
        <w:t>附件二、投标人诚信承诺书</w:t>
      </w:r>
    </w:p>
    <w:p w14:paraId="01CC79A1">
      <w:pPr>
        <w:spacing w:line="360" w:lineRule="auto"/>
        <w:ind w:left="142"/>
        <w:rPr>
          <w:rFonts w:hint="eastAsia" w:ascii="宋体" w:hAnsi="宋体"/>
          <w:color w:val="auto"/>
          <w:szCs w:val="21"/>
          <w:highlight w:val="none"/>
        </w:rPr>
      </w:pPr>
      <w:r>
        <w:rPr>
          <w:rFonts w:hint="eastAsia" w:ascii="宋体" w:hAnsi="宋体"/>
          <w:color w:val="auto"/>
          <w:szCs w:val="21"/>
          <w:highlight w:val="none"/>
        </w:rPr>
        <w:t>附件三、信用查询</w:t>
      </w:r>
    </w:p>
    <w:p w14:paraId="31289822">
      <w:pPr>
        <w:spacing w:line="360" w:lineRule="auto"/>
        <w:rPr>
          <w:rFonts w:hint="eastAsia" w:ascii="宋体" w:hAnsi="宋体"/>
          <w:color w:val="auto"/>
          <w:szCs w:val="21"/>
          <w:highlight w:val="none"/>
        </w:rPr>
      </w:pPr>
    </w:p>
    <w:p w14:paraId="65B7D8BB">
      <w:pPr>
        <w:spacing w:line="360" w:lineRule="auto"/>
        <w:rPr>
          <w:rFonts w:hint="eastAsia" w:ascii="宋体" w:hAnsi="宋体"/>
          <w:color w:val="auto"/>
          <w:szCs w:val="21"/>
          <w:highlight w:val="none"/>
        </w:rPr>
      </w:pPr>
    </w:p>
    <w:p w14:paraId="04D89E43">
      <w:pPr>
        <w:spacing w:line="360" w:lineRule="auto"/>
        <w:rPr>
          <w:rFonts w:hint="eastAsia" w:ascii="宋体" w:hAnsi="宋体"/>
          <w:color w:val="auto"/>
          <w:szCs w:val="21"/>
          <w:highlight w:val="none"/>
        </w:rPr>
      </w:pPr>
    </w:p>
    <w:p w14:paraId="266E7B4E">
      <w:pPr>
        <w:spacing w:line="360" w:lineRule="auto"/>
        <w:jc w:val="center"/>
        <w:outlineLvl w:val="0"/>
        <w:rPr>
          <w:rFonts w:hint="eastAsia" w:ascii="宋体" w:hAnsi="宋体"/>
          <w:b/>
          <w:color w:val="auto"/>
          <w:sz w:val="32"/>
          <w:szCs w:val="32"/>
          <w:highlight w:val="none"/>
        </w:rPr>
      </w:pPr>
      <w:r>
        <w:rPr>
          <w:rFonts w:ascii="宋体" w:hAnsi="宋体"/>
          <w:color w:val="auto"/>
          <w:szCs w:val="21"/>
          <w:highlight w:val="none"/>
        </w:rPr>
        <w:br w:type="page" w:clear="all"/>
      </w:r>
      <w:bookmarkStart w:id="72" w:name="_Toc55479022"/>
      <w:bookmarkStart w:id="73" w:name="_Toc44660266"/>
      <w:r>
        <w:rPr>
          <w:rFonts w:hint="eastAsia" w:ascii="宋体" w:hAnsi="宋体"/>
          <w:b/>
          <w:color w:val="auto"/>
          <w:sz w:val="32"/>
          <w:szCs w:val="32"/>
          <w:highlight w:val="none"/>
        </w:rPr>
        <w:t>一、投标函</w:t>
      </w:r>
      <w:bookmarkEnd w:id="72"/>
      <w:bookmarkEnd w:id="73"/>
    </w:p>
    <w:p w14:paraId="5CC9DA1E">
      <w:pPr>
        <w:spacing w:line="360" w:lineRule="auto"/>
        <w:rPr>
          <w:rFonts w:ascii="宋体" w:hAnsi="宋体"/>
          <w:color w:val="auto"/>
          <w:szCs w:val="21"/>
          <w:highlight w:val="none"/>
          <w:lang w:val="zh-CN"/>
        </w:rPr>
      </w:pPr>
      <w:r>
        <w:rPr>
          <w:rFonts w:hint="eastAsia" w:ascii="宋体" w:hAnsi="宋体"/>
          <w:color w:val="auto"/>
          <w:szCs w:val="21"/>
          <w:highlight w:val="none"/>
          <w:lang w:val="zh-CN"/>
        </w:rPr>
        <w:t>致：南京市浦口生态环境监测监控中心</w:t>
      </w:r>
    </w:p>
    <w:p w14:paraId="0EAC60DA">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根据贵方</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（项目名称）（项目编号</w:t>
      </w:r>
      <w:r>
        <w:rPr>
          <w:rFonts w:hint="eastAsia" w:ascii="宋体" w:hAnsi="宋体"/>
          <w:color w:val="auto"/>
          <w:szCs w:val="21"/>
          <w:highlight w:val="none"/>
          <w:u w:val="single"/>
          <w:lang w:val="zh-CN"/>
        </w:rPr>
        <w:t xml:space="preserve"> </w:t>
      </w:r>
      <w:r>
        <w:rPr>
          <w:rFonts w:ascii="宋体" w:hAnsi="宋体"/>
          <w:color w:val="auto"/>
          <w:szCs w:val="21"/>
          <w:highlight w:val="none"/>
          <w:u w:val="single"/>
          <w:lang w:val="zh-CN"/>
        </w:rPr>
        <w:t xml:space="preserve">         </w:t>
      </w:r>
      <w:r>
        <w:rPr>
          <w:rFonts w:hint="eastAsia" w:ascii="宋体" w:hAnsi="宋体"/>
          <w:color w:val="auto"/>
          <w:szCs w:val="21"/>
          <w:highlight w:val="none"/>
          <w:lang w:val="zh-CN"/>
        </w:rPr>
        <w:t>）招标文件，正式授权下述签字人</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姓名和职务）代表</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（投标人名称），提交投标文件并声明如下。</w:t>
      </w:r>
    </w:p>
    <w:p w14:paraId="3C38C4D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据此函，签字人兹宣布同意如下：</w:t>
      </w:r>
    </w:p>
    <w:p w14:paraId="2ECA115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zh-CN"/>
        </w:rPr>
        <w:t>我们的资格条件完全符合政府采购法和本次招标要求，</w:t>
      </w:r>
      <w:r>
        <w:rPr>
          <w:rFonts w:hint="eastAsia" w:ascii="宋体" w:hAnsi="宋体"/>
          <w:color w:val="auto"/>
          <w:szCs w:val="21"/>
          <w:highlight w:val="none"/>
        </w:rPr>
        <w:t>我们</w:t>
      </w:r>
      <w:r>
        <w:rPr>
          <w:rFonts w:hint="eastAsia" w:ascii="宋体" w:hAnsi="宋体"/>
          <w:color w:val="auto"/>
          <w:szCs w:val="21"/>
          <w:highlight w:val="none"/>
          <w:lang w:val="zh-CN"/>
        </w:rPr>
        <w:t>同意并向贵方提供了与本次招标活动有关的所有证据和资料</w:t>
      </w:r>
      <w:r>
        <w:rPr>
          <w:rFonts w:hint="eastAsia" w:ascii="宋体" w:hAnsi="宋体"/>
          <w:color w:val="auto"/>
          <w:szCs w:val="21"/>
          <w:highlight w:val="none"/>
        </w:rPr>
        <w:t>。</w:t>
      </w:r>
    </w:p>
    <w:p w14:paraId="1DD31862">
      <w:pPr>
        <w:spacing w:line="360" w:lineRule="auto"/>
        <w:ind w:firstLine="420"/>
        <w:rPr>
          <w:rFonts w:hint="eastAsia" w:ascii="宋体" w:hAnsi="宋体"/>
          <w:color w:val="auto"/>
          <w:szCs w:val="21"/>
          <w:highlight w:val="none"/>
          <w:u w:val="single"/>
          <w:lang w:val="zh-CN"/>
        </w:rPr>
      </w:pPr>
      <w:r>
        <w:rPr>
          <w:rFonts w:hint="eastAsia" w:ascii="宋体" w:hAnsi="宋体"/>
          <w:color w:val="auto"/>
          <w:szCs w:val="21"/>
          <w:highlight w:val="none"/>
        </w:rPr>
        <w:t>2.我方拟派项目负责人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19CCC2ED">
      <w:pPr>
        <w:spacing w:line="360" w:lineRule="auto"/>
        <w:ind w:firstLine="420"/>
        <w:rPr>
          <w:rFonts w:ascii="宋体" w:hAnsi="宋体"/>
          <w:color w:val="auto"/>
          <w:szCs w:val="21"/>
          <w:highlight w:val="none"/>
        </w:rPr>
      </w:pPr>
      <w:r>
        <w:rPr>
          <w:rFonts w:hint="eastAsia" w:ascii="宋体" w:hAnsi="宋体"/>
          <w:color w:val="auto"/>
          <w:szCs w:val="21"/>
          <w:highlight w:val="none"/>
        </w:rPr>
        <w:t>3.按招标要求，我们的投标报价折扣率为（分包号：</w:t>
      </w:r>
      <w:r>
        <w:rPr>
          <w:rFonts w:hint="eastAsia" w:ascii="宋体" w:hAnsi="宋体"/>
          <w:color w:val="auto"/>
          <w:szCs w:val="21"/>
          <w:highlight w:val="none"/>
          <w:u w:val="single"/>
        </w:rPr>
        <w:t>    </w:t>
      </w:r>
      <w:r>
        <w:rPr>
          <w:rFonts w:hint="eastAsia" w:ascii="宋体" w:hAnsi="宋体"/>
          <w:color w:val="auto"/>
          <w:szCs w:val="21"/>
          <w:highlight w:val="none"/>
        </w:rPr>
        <w:t>）：</w:t>
      </w:r>
      <w:r>
        <w:rPr>
          <w:rFonts w:hint="eastAsia" w:ascii="宋体" w:hAnsi="宋体"/>
          <w:color w:val="auto"/>
          <w:szCs w:val="21"/>
          <w:highlight w:val="none"/>
          <w:u w:val="single"/>
        </w:rPr>
        <w:t>   </w:t>
      </w:r>
      <w:r>
        <w:rPr>
          <w:rFonts w:hint="eastAsia" w:ascii="宋体" w:hAnsi="宋体"/>
          <w:color w:val="auto"/>
          <w:szCs w:val="21"/>
          <w:highlight w:val="none"/>
        </w:rPr>
        <w:t>%（大写）</w:t>
      </w:r>
      <w:r>
        <w:rPr>
          <w:rFonts w:hint="eastAsia" w:ascii="宋体" w:hAnsi="宋体"/>
          <w:color w:val="auto"/>
          <w:szCs w:val="21"/>
          <w:highlight w:val="none"/>
          <w:u w:val="single"/>
        </w:rPr>
        <w:t>百分之</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。合同履行期限：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。我方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是/否）</w:t>
      </w:r>
      <w:r>
        <w:rPr>
          <w:rFonts w:hint="eastAsia"/>
          <w:color w:val="auto"/>
          <w:highlight w:val="none"/>
        </w:rPr>
        <w:t xml:space="preserve"> 中</w:t>
      </w:r>
      <w:r>
        <w:rPr>
          <w:rFonts w:hint="eastAsia" w:ascii="宋体" w:hAnsi="宋体"/>
          <w:color w:val="auto"/>
          <w:szCs w:val="21"/>
          <w:highlight w:val="none"/>
        </w:rPr>
        <w:t>小微企业/监狱戒毒企业/残疾人福利性单位。</w:t>
      </w:r>
    </w:p>
    <w:p w14:paraId="282D6078">
      <w:pPr>
        <w:spacing w:line="360" w:lineRule="auto"/>
        <w:ind w:firstLine="420"/>
        <w:rPr>
          <w:rFonts w:ascii="宋体" w:hAnsi="宋体"/>
          <w:color w:val="auto"/>
          <w:szCs w:val="21"/>
          <w:highlight w:val="none"/>
          <w:lang w:val="zh-CN"/>
        </w:rPr>
      </w:pPr>
      <w:r>
        <w:rPr>
          <w:rFonts w:hint="eastAsia" w:ascii="宋体" w:hAnsi="宋体"/>
          <w:color w:val="auto"/>
          <w:szCs w:val="21"/>
          <w:highlight w:val="none"/>
        </w:rPr>
        <w:t>4.</w:t>
      </w:r>
      <w:r>
        <w:rPr>
          <w:rFonts w:hint="eastAsia" w:ascii="宋体" w:hAnsi="宋体"/>
          <w:color w:val="auto"/>
          <w:szCs w:val="21"/>
          <w:highlight w:val="none"/>
          <w:lang w:val="zh-CN"/>
        </w:rPr>
        <w:t>我们已详细审核全部招标文件及其有效补充文件，我们放弃对招标文件任何误解的权利，在提交投标文件后，不对招标文件本身提出质疑。否则，属于不诚信和故意扰乱政府采购活动行为，我们将无条件接受处罚。</w:t>
      </w:r>
    </w:p>
    <w:p w14:paraId="248DEF2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5.我方同意从规定的开标日期起遵循本投标文件，并在规定的投标有效期期满之前均具有约束力。</w:t>
      </w:r>
    </w:p>
    <w:p w14:paraId="73506F4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6.一旦我方中标，将根据招标文件的规定严格履行合同，并保证按承诺的时间完成服务的启动/集成、调试等服务，交付采购人验收、使用。</w:t>
      </w:r>
    </w:p>
    <w:p w14:paraId="25384B0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7.我方决不提供虚假材料谋取成交、决不采取不正当手段诋毁、排挤其他投标人、决不与采购人、其他投标人或者代理机构恶意串通、决不向采购人、代理机构工作人员和评标委员会进行商业贿赂、决不拒绝有关部门监督检查或提供虚假情况，如有违反，无条件接受贵方及相关管理部门的处罚。</w:t>
      </w:r>
    </w:p>
    <w:p w14:paraId="238E93A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8.我方正式通讯方式为：</w:t>
      </w:r>
    </w:p>
    <w:p w14:paraId="0D8D4815">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地址：</w:t>
      </w:r>
    </w:p>
    <w:p w14:paraId="3BC5108F">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电话：</w:t>
      </w:r>
    </w:p>
    <w:p w14:paraId="7024C603">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传真：</w:t>
      </w:r>
    </w:p>
    <w:p w14:paraId="5F8818D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9.我方正式开户银行和账号为：</w:t>
      </w:r>
    </w:p>
    <w:p w14:paraId="24EEEBAA">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开户银行：</w:t>
      </w:r>
    </w:p>
    <w:p w14:paraId="7ECA8100">
      <w:pPr>
        <w:tabs>
          <w:tab w:val="left" w:pos="3504"/>
        </w:tabs>
        <w:spacing w:line="360" w:lineRule="auto"/>
        <w:ind w:firstLine="420"/>
        <w:rPr>
          <w:rFonts w:hint="eastAsia" w:ascii="宋体" w:hAnsi="宋体"/>
          <w:color w:val="auto"/>
          <w:szCs w:val="21"/>
          <w:highlight w:val="none"/>
        </w:rPr>
      </w:pPr>
      <w:r>
        <w:rPr>
          <w:rFonts w:hint="eastAsia" w:ascii="宋体" w:hAnsi="宋体"/>
          <w:color w:val="auto"/>
          <w:szCs w:val="21"/>
          <w:highlight w:val="none"/>
        </w:rPr>
        <w:t>账号：</w:t>
      </w:r>
      <w:r>
        <w:rPr>
          <w:rFonts w:ascii="宋体" w:hAnsi="宋体"/>
          <w:color w:val="auto"/>
          <w:szCs w:val="21"/>
          <w:highlight w:val="none"/>
        </w:rPr>
        <w:tab/>
      </w:r>
    </w:p>
    <w:p w14:paraId="4A22CC1C">
      <w:pPr>
        <w:spacing w:line="360" w:lineRule="auto"/>
        <w:ind w:firstLine="420"/>
        <w:rPr>
          <w:rFonts w:ascii="宋体" w:hAnsi="宋体"/>
          <w:color w:val="auto"/>
          <w:szCs w:val="21"/>
          <w:highlight w:val="none"/>
        </w:rPr>
      </w:pPr>
      <w:r>
        <w:rPr>
          <w:rFonts w:hint="eastAsia" w:ascii="宋体" w:hAnsi="宋体"/>
          <w:color w:val="auto"/>
          <w:szCs w:val="21"/>
          <w:highlight w:val="none"/>
        </w:rPr>
        <w:t>投标人名称（公章）：</w:t>
      </w:r>
    </w:p>
    <w:p w14:paraId="7A4D0983">
      <w:pPr>
        <w:spacing w:line="360" w:lineRule="auto"/>
        <w:ind w:firstLine="420"/>
        <w:rPr>
          <w:rFonts w:ascii="宋体" w:hAnsi="宋体"/>
          <w:color w:val="auto"/>
          <w:szCs w:val="21"/>
          <w:highlight w:val="none"/>
          <w:lang w:val="zh-CN"/>
        </w:rPr>
      </w:pPr>
      <w:r>
        <w:rPr>
          <w:rFonts w:hint="eastAsia" w:ascii="宋体" w:hAnsi="宋体"/>
          <w:color w:val="auto"/>
          <w:szCs w:val="21"/>
          <w:highlight w:val="none"/>
          <w:lang w:val="zh-CN"/>
        </w:rPr>
        <w:t>法定代表人签字/盖章：</w:t>
      </w:r>
    </w:p>
    <w:p w14:paraId="5FDB1B53">
      <w:pPr>
        <w:spacing w:line="360" w:lineRule="auto"/>
        <w:ind w:firstLine="420"/>
        <w:rPr>
          <w:rFonts w:ascii="宋体" w:hAnsi="宋体"/>
          <w:color w:val="auto"/>
          <w:szCs w:val="21"/>
          <w:highlight w:val="none"/>
        </w:rPr>
      </w:pPr>
      <w:r>
        <w:rPr>
          <w:rFonts w:hint="eastAsia" w:ascii="宋体" w:hAnsi="宋体"/>
          <w:color w:val="auto"/>
          <w:szCs w:val="21"/>
          <w:highlight w:val="none"/>
        </w:rPr>
        <w:t>日期：年月日</w:t>
      </w:r>
    </w:p>
    <w:p w14:paraId="6188E7BE">
      <w:pPr>
        <w:pStyle w:val="202"/>
        <w:spacing w:line="360" w:lineRule="auto"/>
        <w:rPr>
          <w:color w:val="auto"/>
          <w:highlight w:val="none"/>
        </w:rPr>
      </w:pPr>
    </w:p>
    <w:p w14:paraId="674C2EED">
      <w:pPr>
        <w:spacing w:line="360" w:lineRule="auto"/>
        <w:jc w:val="center"/>
        <w:outlineLvl w:val="0"/>
        <w:rPr>
          <w:rFonts w:hint="eastAsia" w:ascii="宋体" w:hAnsi="宋体"/>
          <w:b/>
          <w:color w:val="auto"/>
          <w:sz w:val="32"/>
          <w:szCs w:val="32"/>
          <w:highlight w:val="none"/>
        </w:rPr>
      </w:pPr>
      <w:r>
        <w:rPr>
          <w:color w:val="auto"/>
          <w:highlight w:val="none"/>
        </w:rPr>
        <w:br w:type="page" w:clear="all"/>
      </w:r>
      <w:r>
        <w:rPr>
          <w:rFonts w:ascii="宋体" w:hAnsi="宋体"/>
          <w:b/>
          <w:color w:val="auto"/>
          <w:sz w:val="32"/>
          <w:szCs w:val="32"/>
          <w:highlight w:val="none"/>
        </w:rPr>
        <w:t>（一）分项报价表</w:t>
      </w:r>
    </w:p>
    <w:p w14:paraId="11D44436">
      <w:pPr>
        <w:pBdr>
          <w:top w:val="none" w:color="000000" w:sz="0" w:space="0"/>
          <w:left w:val="none" w:color="000000" w:sz="0" w:space="0"/>
          <w:bottom w:val="none" w:color="000000" w:sz="0" w:space="0"/>
          <w:right w:val="none" w:color="000000" w:sz="0" w:space="0"/>
        </w:pBdr>
        <w:spacing w:before="0" w:after="0" w:line="113" w:lineRule="atLeast"/>
        <w:ind w:left="0" w:right="0" w:firstLine="0"/>
        <w:jc w:val="center"/>
        <w:rPr>
          <w:color w:val="auto"/>
          <w:highlight w:val="none"/>
        </w:rPr>
      </w:pPr>
      <w:r>
        <w:rPr>
          <w:rFonts w:ascii="Arial" w:hAnsi="Arial" w:eastAsia="Arial" w:cs="Arial"/>
          <w:color w:val="auto"/>
          <w:sz w:val="32"/>
          <w:highlight w:val="none"/>
        </w:rPr>
        <w:t>开标一览表</w:t>
      </w:r>
    </w:p>
    <w:p w14:paraId="4D0649AD">
      <w:pPr>
        <w:pBdr>
          <w:top w:val="none" w:color="000000" w:sz="0" w:space="0"/>
          <w:left w:val="none" w:color="000000" w:sz="0" w:space="0"/>
          <w:bottom w:val="none" w:color="000000" w:sz="0" w:space="0"/>
          <w:right w:val="none" w:color="000000" w:sz="0" w:space="0"/>
        </w:pBdr>
        <w:spacing w:before="0" w:after="0"/>
        <w:ind w:left="0" w:right="0" w:firstLine="480"/>
        <w:jc w:val="both"/>
        <w:rPr>
          <w:color w:val="auto"/>
          <w:highlight w:val="none"/>
        </w:rPr>
      </w:pPr>
      <w:r>
        <w:rPr>
          <w:rFonts w:ascii="宋体" w:hAnsi="宋体" w:eastAsia="宋体" w:cs="宋体"/>
          <w:color w:val="auto"/>
          <w:sz w:val="24"/>
          <w:highlight w:val="none"/>
        </w:rPr>
        <w:t>投标人名称：（加盖公章）</w:t>
      </w:r>
    </w:p>
    <w:p w14:paraId="7A715B4A">
      <w:pPr>
        <w:pBdr>
          <w:top w:val="none" w:color="000000" w:sz="0" w:space="0"/>
          <w:left w:val="none" w:color="000000" w:sz="0" w:space="0"/>
          <w:bottom w:val="none" w:color="000000" w:sz="0" w:space="0"/>
          <w:right w:val="none" w:color="000000" w:sz="0" w:space="0"/>
        </w:pBdr>
        <w:spacing w:before="0" w:after="0"/>
        <w:ind w:left="0" w:right="0" w:firstLine="480"/>
        <w:jc w:val="both"/>
        <w:rPr>
          <w:color w:val="auto"/>
          <w:highlight w:val="none"/>
        </w:rPr>
      </w:pPr>
      <w:r>
        <w:rPr>
          <w:rFonts w:ascii="宋体" w:hAnsi="宋体" w:eastAsia="宋体" w:cs="宋体"/>
          <w:color w:val="auto"/>
          <w:sz w:val="24"/>
          <w:highlight w:val="none"/>
        </w:rPr>
        <w:t>项目名称：</w:t>
      </w:r>
    </w:p>
    <w:p w14:paraId="45BF77AD">
      <w:pPr>
        <w:pBdr>
          <w:top w:val="none" w:color="000000" w:sz="0" w:space="0"/>
          <w:left w:val="none" w:color="000000" w:sz="0" w:space="0"/>
          <w:bottom w:val="none" w:color="000000" w:sz="0" w:space="0"/>
          <w:right w:val="none" w:color="000000" w:sz="0" w:space="0"/>
        </w:pBdr>
        <w:spacing w:before="0" w:after="0"/>
        <w:ind w:left="0" w:right="0" w:firstLine="480"/>
        <w:jc w:val="both"/>
        <w:rPr>
          <w:color w:val="auto"/>
          <w:highlight w:val="none"/>
        </w:rPr>
      </w:pPr>
      <w:r>
        <w:rPr>
          <w:rFonts w:ascii="宋体" w:hAnsi="宋体" w:eastAsia="宋体" w:cs="宋体"/>
          <w:color w:val="auto"/>
          <w:sz w:val="24"/>
          <w:highlight w:val="none"/>
        </w:rPr>
        <w:t>项目编号：分包号：</w:t>
      </w:r>
    </w:p>
    <w:tbl>
      <w:tblPr>
        <w:tblStyle w:val="37"/>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944"/>
        <w:gridCol w:w="4194"/>
      </w:tblGrid>
      <w:tr w14:paraId="313A5A5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725" w:hRule="atLeast"/>
        </w:trPr>
        <w:tc>
          <w:tcPr>
            <w:tcW w:w="494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B59A96">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color w:val="auto"/>
                <w:highlight w:val="none"/>
              </w:rPr>
            </w:pPr>
            <w:r>
              <w:rPr>
                <w:rFonts w:ascii="宋体" w:hAnsi="宋体" w:eastAsia="宋体" w:cs="宋体"/>
                <w:color w:val="auto"/>
                <w:sz w:val="24"/>
                <w:highlight w:val="none"/>
              </w:rPr>
              <w:t>      投标优惠率</w:t>
            </w:r>
          </w:p>
        </w:tc>
        <w:tc>
          <w:tcPr>
            <w:tcW w:w="419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E06EEB">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color w:val="auto"/>
                <w:highlight w:val="none"/>
              </w:rPr>
            </w:pPr>
            <w:r>
              <w:rPr>
                <w:rFonts w:ascii="宋体" w:hAnsi="宋体" w:eastAsia="宋体" w:cs="宋体"/>
                <w:color w:val="auto"/>
                <w:sz w:val="24"/>
                <w:highlight w:val="none"/>
              </w:rPr>
              <w:t>     投标报价折扣率</w:t>
            </w:r>
          </w:p>
        </w:tc>
      </w:tr>
      <w:tr w14:paraId="6AC156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2" w:hRule="atLeast"/>
        </w:trPr>
        <w:tc>
          <w:tcPr>
            <w:tcW w:w="49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D2D1CD">
            <w:pPr>
              <w:pBdr>
                <w:top w:val="none" w:color="000000" w:sz="0" w:space="0"/>
                <w:left w:val="none" w:color="000000" w:sz="0" w:space="0"/>
                <w:bottom w:val="none" w:color="000000" w:sz="0" w:space="0"/>
                <w:right w:val="none" w:color="000000" w:sz="0" w:space="0"/>
              </w:pBdr>
              <w:spacing w:before="0" w:after="0" w:line="499" w:lineRule="atLeast"/>
              <w:ind w:left="0" w:right="0" w:firstLine="0"/>
              <w:rPr>
                <w:color w:val="auto"/>
                <w:highlight w:val="none"/>
              </w:rPr>
            </w:pPr>
            <w:r>
              <w:rPr>
                <w:rFonts w:hint="eastAsia" w:ascii="宋体" w:hAnsi="宋体" w:cs="宋体"/>
                <w:color w:val="auto"/>
                <w:sz w:val="24"/>
                <w:highlight w:val="none"/>
                <w:lang w:val="en-US" w:eastAsia="zh-CN"/>
              </w:rPr>
              <w:t>大</w:t>
            </w:r>
            <w:r>
              <w:rPr>
                <w:rFonts w:ascii="宋体" w:hAnsi="宋体" w:eastAsia="宋体" w:cs="宋体"/>
                <w:color w:val="auto"/>
                <w:sz w:val="24"/>
                <w:highlight w:val="none"/>
              </w:rPr>
              <w:t>写：</w:t>
            </w:r>
            <w:r>
              <w:rPr>
                <w:rFonts w:ascii="宋体" w:hAnsi="宋体" w:eastAsia="宋体" w:cs="宋体"/>
                <w:color w:val="auto"/>
                <w:sz w:val="24"/>
                <w:highlight w:val="none"/>
                <w:u w:val="single"/>
              </w:rPr>
              <w:t>         </w:t>
            </w:r>
            <w:r>
              <w:rPr>
                <w:rFonts w:ascii="宋体" w:hAnsi="宋体" w:eastAsia="宋体" w:cs="宋体"/>
                <w:color w:val="auto"/>
                <w:sz w:val="24"/>
                <w:highlight w:val="none"/>
              </w:rPr>
              <w:t>  %</w:t>
            </w:r>
          </w:p>
        </w:tc>
        <w:tc>
          <w:tcPr>
            <w:tcW w:w="419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1F5541">
            <w:pPr>
              <w:pBdr>
                <w:top w:val="none" w:color="000000" w:sz="0" w:space="0"/>
                <w:left w:val="none" w:color="000000" w:sz="0" w:space="0"/>
                <w:bottom w:val="none" w:color="000000" w:sz="0" w:space="0"/>
                <w:right w:val="none" w:color="000000" w:sz="0" w:space="0"/>
              </w:pBdr>
              <w:spacing w:before="0" w:after="0" w:line="499" w:lineRule="atLeast"/>
              <w:ind w:left="0" w:right="0" w:firstLine="0"/>
              <w:rPr>
                <w:color w:val="auto"/>
                <w:highlight w:val="none"/>
              </w:rPr>
            </w:pPr>
            <w:r>
              <w:rPr>
                <w:rFonts w:ascii="宋体" w:hAnsi="宋体" w:eastAsia="宋体" w:cs="宋体"/>
                <w:color w:val="auto"/>
                <w:sz w:val="24"/>
                <w:highlight w:val="none"/>
              </w:rPr>
              <w:t>小写：</w:t>
            </w:r>
            <w:r>
              <w:rPr>
                <w:rFonts w:ascii="宋体" w:hAnsi="宋体" w:eastAsia="宋体" w:cs="宋体"/>
                <w:color w:val="auto"/>
                <w:sz w:val="24"/>
                <w:highlight w:val="none"/>
                <w:u w:val="single"/>
              </w:rPr>
              <w:t>         </w:t>
            </w:r>
            <w:r>
              <w:rPr>
                <w:rFonts w:ascii="宋体" w:hAnsi="宋体" w:eastAsia="宋体" w:cs="宋体"/>
                <w:color w:val="auto"/>
                <w:sz w:val="24"/>
                <w:highlight w:val="none"/>
              </w:rPr>
              <w:t>  %</w:t>
            </w:r>
          </w:p>
        </w:tc>
      </w:tr>
      <w:tr w14:paraId="187B47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2" w:hRule="atLeast"/>
        </w:trPr>
        <w:tc>
          <w:tcPr>
            <w:tcW w:w="9138"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C8AF02">
            <w:pPr>
              <w:pBdr>
                <w:top w:val="none" w:color="000000" w:sz="0" w:space="0"/>
                <w:left w:val="none" w:color="000000" w:sz="0" w:space="0"/>
                <w:bottom w:val="none" w:color="000000" w:sz="0" w:space="0"/>
                <w:right w:val="none" w:color="000000" w:sz="0" w:space="0"/>
              </w:pBdr>
              <w:spacing w:before="0" w:after="0" w:line="499" w:lineRule="atLeast"/>
              <w:ind w:left="0" w:right="0" w:firstLine="0"/>
              <w:rPr>
                <w:color w:val="auto"/>
                <w:highlight w:val="none"/>
              </w:rPr>
            </w:pPr>
            <w:r>
              <w:rPr>
                <w:rFonts w:ascii="宋体" w:hAnsi="宋体" w:eastAsia="宋体" w:cs="宋体"/>
                <w:color w:val="auto"/>
                <w:sz w:val="24"/>
                <w:highlight w:val="none"/>
              </w:rPr>
              <w:t>备注：投标报价折扣率=1-投标优惠率，且不得高于80%。</w:t>
            </w:r>
          </w:p>
        </w:tc>
      </w:tr>
    </w:tbl>
    <w:p w14:paraId="243FE950">
      <w:pPr>
        <w:pBdr>
          <w:top w:val="none" w:color="000000" w:sz="0" w:space="0"/>
          <w:left w:val="none" w:color="000000" w:sz="0" w:space="0"/>
          <w:bottom w:val="none" w:color="000000" w:sz="0" w:space="0"/>
          <w:right w:val="none" w:color="000000" w:sz="0" w:space="0"/>
        </w:pBdr>
        <w:spacing w:before="0" w:after="0"/>
        <w:ind w:left="0" w:right="0" w:firstLine="0"/>
        <w:jc w:val="both"/>
        <w:rPr>
          <w:color w:val="auto"/>
          <w:highlight w:val="none"/>
        </w:rPr>
      </w:pPr>
      <w:r>
        <w:rPr>
          <w:rFonts w:ascii="宋体" w:hAnsi="宋体" w:eastAsia="宋体" w:cs="宋体"/>
          <w:color w:val="auto"/>
          <w:sz w:val="24"/>
          <w:highlight w:val="none"/>
        </w:rPr>
        <w:t> </w:t>
      </w:r>
    </w:p>
    <w:p w14:paraId="49E00E22">
      <w:pPr>
        <w:pBdr>
          <w:top w:val="none" w:color="000000" w:sz="0" w:space="0"/>
          <w:left w:val="none" w:color="000000" w:sz="0" w:space="0"/>
          <w:bottom w:val="none" w:color="000000" w:sz="0" w:space="0"/>
          <w:right w:val="none" w:color="000000" w:sz="0" w:space="0"/>
        </w:pBdr>
        <w:spacing w:before="0" w:after="0" w:line="113" w:lineRule="atLeast"/>
        <w:ind w:left="0" w:right="0" w:firstLine="480"/>
        <w:jc w:val="both"/>
        <w:rPr>
          <w:color w:val="auto"/>
          <w:highlight w:val="none"/>
        </w:rPr>
      </w:pPr>
      <w:r>
        <w:rPr>
          <w:rFonts w:ascii="宋体" w:hAnsi="宋体" w:eastAsia="宋体" w:cs="宋体"/>
          <w:color w:val="auto"/>
          <w:sz w:val="24"/>
          <w:highlight w:val="none"/>
        </w:rPr>
        <w:t>                                              </w:t>
      </w:r>
      <w:r>
        <w:rPr>
          <w:rFonts w:hint="eastAsia" w:ascii="宋体" w:hAnsi="宋体" w:cs="宋体"/>
          <w:color w:val="auto"/>
          <w:sz w:val="24"/>
          <w:highlight w:val="none"/>
          <w:lang w:val="en-US" w:eastAsia="zh-CN"/>
        </w:rPr>
        <w:t xml:space="preserve">                                </w:t>
      </w:r>
      <w:r>
        <w:rPr>
          <w:rFonts w:ascii="宋体" w:hAnsi="宋体" w:eastAsia="宋体" w:cs="宋体"/>
          <w:color w:val="auto"/>
          <w:sz w:val="24"/>
          <w:highlight w:val="none"/>
        </w:rPr>
        <w:t>日期：</w:t>
      </w:r>
    </w:p>
    <w:p w14:paraId="3A68559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说明：</w:t>
      </w:r>
    </w:p>
    <w:p w14:paraId="514F199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项目单价=（采样费+样品前处理费+样品分析费+报告编制费+人员车辆费）*投标报价折扣率</w:t>
      </w:r>
    </w:p>
    <w:p w14:paraId="75BF75D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采样费、样品分析费及报告编制费：以《江苏省环境监测专业服务收费管理办法》和《江苏省环境监测专业服务收费标准》</w:t>
      </w:r>
      <w:r>
        <w:rPr>
          <w:rFonts w:hint="eastAsia" w:ascii="宋体" w:hAnsi="宋体"/>
          <w:color w:val="auto"/>
          <w:szCs w:val="21"/>
          <w:highlight w:val="none"/>
          <w:lang w:eastAsia="zh-CN"/>
        </w:rPr>
        <w:t>（</w:t>
      </w:r>
      <w:r>
        <w:rPr>
          <w:rFonts w:hint="eastAsia" w:ascii="宋体" w:hAnsi="宋体"/>
          <w:color w:val="auto"/>
          <w:szCs w:val="21"/>
          <w:highlight w:val="none"/>
        </w:rPr>
        <w:t>苏价费</w:t>
      </w:r>
      <w:r>
        <w:rPr>
          <w:rFonts w:hint="eastAsia" w:ascii="宋体" w:hAnsi="宋体"/>
          <w:color w:val="auto"/>
          <w:szCs w:val="21"/>
          <w:highlight w:val="none"/>
          <w:lang w:eastAsia="zh-CN"/>
        </w:rPr>
        <w:t>〔2006〕397号</w:t>
      </w:r>
      <w:r>
        <w:rPr>
          <w:rFonts w:hint="eastAsia" w:ascii="宋体" w:hAnsi="宋体"/>
          <w:color w:val="auto"/>
          <w:szCs w:val="21"/>
          <w:highlight w:val="none"/>
        </w:rPr>
        <w:t>、苏财综</w:t>
      </w:r>
      <w:r>
        <w:rPr>
          <w:rFonts w:hint="eastAsia" w:ascii="宋体" w:hAnsi="宋体"/>
          <w:color w:val="auto"/>
          <w:szCs w:val="21"/>
          <w:highlight w:val="none"/>
          <w:lang w:eastAsia="zh-CN"/>
        </w:rPr>
        <w:t>〔2006〕80号</w:t>
      </w:r>
      <w:r>
        <w:rPr>
          <w:rFonts w:hint="eastAsia" w:ascii="宋体" w:hAnsi="宋体"/>
          <w:color w:val="auto"/>
          <w:szCs w:val="21"/>
          <w:highlight w:val="none"/>
        </w:rPr>
        <w:t>、苏环计</w:t>
      </w:r>
      <w:r>
        <w:rPr>
          <w:rFonts w:hint="eastAsia" w:ascii="宋体" w:hAnsi="宋体"/>
          <w:color w:val="auto"/>
          <w:szCs w:val="21"/>
          <w:highlight w:val="none"/>
          <w:lang w:eastAsia="zh-CN"/>
        </w:rPr>
        <w:t>〔2006〕30号）</w:t>
      </w:r>
      <w:r>
        <w:rPr>
          <w:rFonts w:hint="eastAsia" w:ascii="宋体" w:hAnsi="宋体"/>
          <w:color w:val="auto"/>
          <w:szCs w:val="21"/>
          <w:highlight w:val="none"/>
        </w:rPr>
        <w:t>为计费基础。</w:t>
      </w:r>
    </w:p>
    <w:p w14:paraId="6F64534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注：包1：</w:t>
      </w:r>
      <w:r>
        <w:rPr>
          <w:rFonts w:hint="eastAsia" w:ascii="宋体" w:hAnsi="宋体"/>
          <w:color w:val="auto"/>
          <w:szCs w:val="21"/>
          <w:highlight w:val="none"/>
          <w:lang w:eastAsia="zh-CN"/>
        </w:rPr>
        <w:t>浦口</w:t>
      </w:r>
      <w:r>
        <w:rPr>
          <w:rFonts w:hint="eastAsia" w:ascii="宋体" w:hAnsi="宋体"/>
          <w:color w:val="auto"/>
          <w:szCs w:val="21"/>
          <w:highlight w:val="none"/>
        </w:rPr>
        <w:t>区环境质量监测包含人员车辆费；人员车辆费：监测日当日出动的所有人员及车辆费用总和，该费用不超过500元（计算折扣前），相同监测日期，人员、车辆仅结算一次。</w:t>
      </w:r>
    </w:p>
    <w:p w14:paraId="70058DE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例如：投标报价折扣率（精确到小数点后两位）为80%，即按照以上所述文件收费标准基础上打8折收取采样费+样品前处理费+样品分析费+报告编制费，人员车辆费最高不超过400元。</w:t>
      </w:r>
    </w:p>
    <w:p w14:paraId="44134051">
      <w:pPr>
        <w:spacing w:line="360" w:lineRule="auto"/>
        <w:ind w:firstLine="420"/>
        <w:rPr>
          <w:rFonts w:hint="eastAsia" w:ascii="宋体" w:hAnsi="宋体"/>
          <w:color w:val="auto"/>
          <w:szCs w:val="21"/>
          <w:highlight w:val="none"/>
          <w:lang w:val="zh-CN"/>
        </w:rPr>
      </w:pPr>
    </w:p>
    <w:p w14:paraId="015BC0F6">
      <w:pPr>
        <w:spacing w:line="360" w:lineRule="auto"/>
        <w:ind w:firstLine="420"/>
        <w:rPr>
          <w:rFonts w:hint="eastAsia" w:ascii="宋体" w:hAnsi="宋体"/>
          <w:color w:val="auto"/>
          <w:szCs w:val="21"/>
          <w:highlight w:val="none"/>
          <w:lang w:val="zh-CN"/>
        </w:rPr>
      </w:pPr>
    </w:p>
    <w:p w14:paraId="45A25899">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lang w:val="zh-CN"/>
        </w:rPr>
        <w:t>投标人名称：（盖章）</w:t>
      </w:r>
    </w:p>
    <w:p w14:paraId="68E35B0F">
      <w:pPr>
        <w:spacing w:line="360" w:lineRule="auto"/>
        <w:ind w:firstLine="420"/>
        <w:rPr>
          <w:rFonts w:hint="eastAsia" w:ascii="宋体" w:hAnsi="宋体"/>
          <w:color w:val="auto"/>
          <w:szCs w:val="21"/>
          <w:highlight w:val="none"/>
          <w:lang w:val="zh-CN"/>
        </w:rPr>
      </w:pPr>
      <w:r>
        <w:rPr>
          <w:rFonts w:hint="eastAsia" w:ascii="宋体" w:hAnsi="宋体"/>
          <w:color w:val="auto"/>
          <w:szCs w:val="21"/>
          <w:highlight w:val="none"/>
        </w:rPr>
        <w:t>法定代表人或委托代理人（签字或盖章）：</w:t>
      </w:r>
    </w:p>
    <w:p w14:paraId="7FDD252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日期：</w:t>
      </w:r>
    </w:p>
    <w:p w14:paraId="624A1D7D">
      <w:pPr>
        <w:pStyle w:val="202"/>
        <w:rPr>
          <w:color w:val="auto"/>
          <w:highlight w:val="none"/>
        </w:rPr>
      </w:pPr>
    </w:p>
    <w:p w14:paraId="73DFF09C">
      <w:pPr>
        <w:rPr>
          <w:color w:val="auto"/>
          <w:highlight w:val="none"/>
        </w:rPr>
      </w:pPr>
    </w:p>
    <w:p w14:paraId="138A01B6">
      <w:pPr>
        <w:pStyle w:val="202"/>
        <w:rPr>
          <w:color w:val="auto"/>
          <w:highlight w:val="none"/>
        </w:rPr>
      </w:pPr>
    </w:p>
    <w:p w14:paraId="3845432D">
      <w:pPr>
        <w:rPr>
          <w:color w:val="auto"/>
          <w:highlight w:val="none"/>
        </w:rPr>
      </w:pPr>
    </w:p>
    <w:p w14:paraId="1CD0F4F4">
      <w:pPr>
        <w:pStyle w:val="202"/>
        <w:rPr>
          <w:color w:val="auto"/>
          <w:highlight w:val="none"/>
        </w:rPr>
      </w:pPr>
    </w:p>
    <w:p w14:paraId="042B8AF9">
      <w:pPr>
        <w:rPr>
          <w:color w:val="auto"/>
          <w:highlight w:val="none"/>
        </w:rPr>
      </w:pPr>
    </w:p>
    <w:p w14:paraId="314B7868">
      <w:pPr>
        <w:pStyle w:val="202"/>
        <w:rPr>
          <w:color w:val="auto"/>
          <w:highlight w:val="none"/>
        </w:rPr>
      </w:pPr>
    </w:p>
    <w:p w14:paraId="2A6A8753">
      <w:pPr>
        <w:rPr>
          <w:color w:val="auto"/>
          <w:highlight w:val="none"/>
        </w:rPr>
      </w:pPr>
    </w:p>
    <w:p w14:paraId="70EC0DC3">
      <w:pPr>
        <w:pStyle w:val="202"/>
        <w:rPr>
          <w:color w:val="auto"/>
          <w:highlight w:val="none"/>
        </w:rPr>
      </w:pPr>
    </w:p>
    <w:p w14:paraId="3AFAC8BE">
      <w:pPr>
        <w:rPr>
          <w:color w:val="auto"/>
          <w:highlight w:val="none"/>
        </w:rPr>
      </w:pPr>
    </w:p>
    <w:p w14:paraId="113B0495">
      <w:pPr>
        <w:pStyle w:val="202"/>
        <w:rPr>
          <w:color w:val="auto"/>
          <w:highlight w:val="none"/>
        </w:rPr>
      </w:pPr>
    </w:p>
    <w:p w14:paraId="01D5EDD5">
      <w:pPr>
        <w:rPr>
          <w:color w:val="auto"/>
          <w:highlight w:val="none"/>
        </w:rPr>
      </w:pPr>
    </w:p>
    <w:p w14:paraId="39D832FB">
      <w:pPr>
        <w:pStyle w:val="202"/>
        <w:spacing w:line="360" w:lineRule="auto"/>
        <w:ind w:left="0"/>
        <w:rPr>
          <w:rFonts w:hint="eastAsia"/>
          <w:color w:val="auto"/>
          <w:highlight w:val="none"/>
        </w:rPr>
      </w:pPr>
    </w:p>
    <w:p w14:paraId="57884D1E">
      <w:pPr>
        <w:spacing w:line="360" w:lineRule="auto"/>
        <w:jc w:val="center"/>
        <w:outlineLvl w:val="0"/>
        <w:rPr>
          <w:rFonts w:ascii="宋体" w:hAnsi="宋体"/>
          <w:b/>
          <w:color w:val="auto"/>
          <w:sz w:val="32"/>
          <w:szCs w:val="32"/>
          <w:highlight w:val="none"/>
        </w:rPr>
      </w:pPr>
      <w:bookmarkStart w:id="74" w:name="_Toc44660267"/>
      <w:bookmarkStart w:id="75" w:name="_Toc55479023"/>
      <w:r>
        <w:rPr>
          <w:rFonts w:hint="eastAsia" w:ascii="宋体" w:hAnsi="宋体"/>
          <w:b/>
          <w:color w:val="auto"/>
          <w:sz w:val="32"/>
          <w:szCs w:val="32"/>
          <w:highlight w:val="none"/>
        </w:rPr>
        <w:t>二、法定代表人授权书</w:t>
      </w:r>
      <w:bookmarkEnd w:id="74"/>
      <w:r>
        <w:rPr>
          <w:rFonts w:hint="eastAsia" w:ascii="宋体" w:hAnsi="宋体"/>
          <w:b/>
          <w:color w:val="auto"/>
          <w:sz w:val="32"/>
          <w:szCs w:val="32"/>
          <w:highlight w:val="none"/>
        </w:rPr>
        <w:t>及委托代理人的身份证复印件</w:t>
      </w:r>
      <w:bookmarkEnd w:id="75"/>
    </w:p>
    <w:p w14:paraId="19472789">
      <w:pPr>
        <w:spacing w:line="360" w:lineRule="auto"/>
        <w:rPr>
          <w:rFonts w:ascii="宋体" w:hAnsi="宋体"/>
          <w:color w:val="auto"/>
          <w:szCs w:val="21"/>
          <w:highlight w:val="none"/>
        </w:rPr>
      </w:pPr>
    </w:p>
    <w:p w14:paraId="42D5C183">
      <w:pPr>
        <w:spacing w:line="360" w:lineRule="auto"/>
        <w:rPr>
          <w:rFonts w:ascii="宋体" w:hAnsi="宋体"/>
          <w:color w:val="auto"/>
          <w:szCs w:val="21"/>
          <w:highlight w:val="none"/>
          <w:lang w:val="zh-CN"/>
        </w:rPr>
      </w:pPr>
      <w:r>
        <w:rPr>
          <w:rFonts w:ascii="宋体" w:hAnsi="宋体"/>
          <w:color w:val="auto"/>
          <w:szCs w:val="21"/>
          <w:highlight w:val="none"/>
        </w:rPr>
        <w:t>致</w:t>
      </w:r>
      <w:r>
        <w:rPr>
          <w:rFonts w:hint="eastAsia" w:ascii="宋体" w:hAnsi="宋体"/>
          <w:color w:val="auto"/>
          <w:szCs w:val="21"/>
          <w:highlight w:val="none"/>
        </w:rPr>
        <w:t>：南京市浦口生态环境监测监控中心</w:t>
      </w:r>
    </w:p>
    <w:p w14:paraId="58846D4D">
      <w:pPr>
        <w:spacing w:line="360" w:lineRule="auto"/>
        <w:ind w:firstLine="420"/>
        <w:rPr>
          <w:rFonts w:ascii="宋体" w:hAnsi="宋体"/>
          <w:color w:val="auto"/>
          <w:szCs w:val="21"/>
          <w:highlight w:val="none"/>
          <w:u w:val="single"/>
          <w:lang w:val="zh-CN"/>
        </w:rPr>
      </w:pPr>
      <w:r>
        <w:rPr>
          <w:rFonts w:hint="eastAsia" w:ascii="宋体" w:hAnsi="宋体"/>
          <w:color w:val="auto"/>
          <w:szCs w:val="21"/>
          <w:highlight w:val="none"/>
          <w:lang w:val="zh-CN"/>
        </w:rPr>
        <w:t>本授权书声明：注册于</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（投标人住址）的</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（投标人名称）法定代表人</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（法定代表人姓名、职务）代表本公司授权在下面签字的</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（投标人代表姓名、职务）为本公司的合法代理人，就贵方组织的</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（项目名称）（项目编号）投标，以本公司名义处理一切与之有关的事务。</w:t>
      </w:r>
    </w:p>
    <w:p w14:paraId="253BD055">
      <w:pPr>
        <w:spacing w:line="360" w:lineRule="auto"/>
        <w:rPr>
          <w:rFonts w:ascii="宋体" w:hAnsi="宋体"/>
          <w:color w:val="auto"/>
          <w:szCs w:val="21"/>
          <w:highlight w:val="none"/>
          <w:lang w:val="zh-CN"/>
        </w:rPr>
      </w:pPr>
      <w:r>
        <w:rPr>
          <w:rFonts w:hint="eastAsia" w:ascii="宋体" w:hAnsi="宋体"/>
          <w:color w:val="auto"/>
          <w:szCs w:val="21"/>
          <w:highlight w:val="none"/>
          <w:lang w:val="zh-CN"/>
        </w:rPr>
        <w:t>本授权书于年月日签字生效，特此声明。</w:t>
      </w:r>
    </w:p>
    <w:p w14:paraId="5AF9ED63">
      <w:pPr>
        <w:widowControl/>
        <w:spacing w:line="360" w:lineRule="auto"/>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投标人名称：（盖章）</w:t>
      </w:r>
    </w:p>
    <w:p w14:paraId="287251ED">
      <w:pPr>
        <w:spacing w:line="360" w:lineRule="auto"/>
        <w:rPr>
          <w:rFonts w:ascii="宋体" w:hAnsi="宋体"/>
          <w:color w:val="auto"/>
          <w:szCs w:val="21"/>
          <w:highlight w:val="none"/>
          <w:lang w:val="zh-CN"/>
        </w:rPr>
      </w:pPr>
      <w:r>
        <w:rPr>
          <w:rFonts w:hint="eastAsia" w:ascii="宋体" w:hAnsi="宋体"/>
          <w:color w:val="auto"/>
          <w:szCs w:val="21"/>
          <w:highlight w:val="none"/>
          <w:lang w:val="zh-CN"/>
        </w:rPr>
        <w:t>法定代表人签字/盖章：</w:t>
      </w:r>
    </w:p>
    <w:p w14:paraId="62243E08">
      <w:pPr>
        <w:spacing w:line="360" w:lineRule="auto"/>
        <w:rPr>
          <w:rFonts w:ascii="宋体" w:hAnsi="宋体"/>
          <w:color w:val="auto"/>
          <w:szCs w:val="21"/>
          <w:highlight w:val="none"/>
          <w:lang w:val="zh-CN"/>
        </w:rPr>
      </w:pPr>
      <w:r>
        <w:rPr>
          <w:rFonts w:hint="eastAsia" w:ascii="宋体" w:hAnsi="宋体"/>
          <w:color w:val="auto"/>
          <w:szCs w:val="21"/>
          <w:highlight w:val="none"/>
          <w:lang w:val="zh-CN"/>
        </w:rPr>
        <w:t>代理人签字：</w:t>
      </w:r>
    </w:p>
    <w:p w14:paraId="60A36675">
      <w:pPr>
        <w:tabs>
          <w:tab w:val="left" w:pos="1440"/>
        </w:tabs>
        <w:spacing w:line="360" w:lineRule="auto"/>
        <w:rPr>
          <w:rFonts w:hint="eastAsia" w:ascii="宋体" w:hAnsi="宋体"/>
          <w:color w:val="auto"/>
          <w:szCs w:val="21"/>
          <w:highlight w:val="none"/>
          <w:lang w:val="zh-CN"/>
        </w:rPr>
      </w:pPr>
      <w:r>
        <w:rPr>
          <w:rFonts w:hint="eastAsia" w:ascii="宋体" w:hAnsi="宋体"/>
          <w:color w:val="auto"/>
          <w:szCs w:val="21"/>
          <w:highlight w:val="none"/>
          <w:lang w:val="zh-CN"/>
        </w:rPr>
        <w:t>日期：年 月 日</w:t>
      </w:r>
    </w:p>
    <w:p w14:paraId="7B0C470B">
      <w:pPr>
        <w:tabs>
          <w:tab w:val="left" w:pos="1440"/>
        </w:tabs>
        <w:spacing w:line="360" w:lineRule="auto"/>
        <w:rPr>
          <w:rFonts w:hint="eastAsia" w:ascii="宋体" w:hAnsi="宋体"/>
          <w:color w:val="auto"/>
          <w:szCs w:val="21"/>
          <w:highlight w:val="none"/>
          <w:lang w:val="zh-CN"/>
        </w:rPr>
      </w:pPr>
    </w:p>
    <w:p w14:paraId="232AF880">
      <w:pPr>
        <w:tabs>
          <w:tab w:val="left" w:pos="1440"/>
        </w:tabs>
        <w:spacing w:line="360" w:lineRule="auto"/>
        <w:rPr>
          <w:rFonts w:hint="eastAsia" w:ascii="宋体" w:hAnsi="宋体"/>
          <w:color w:val="auto"/>
          <w:szCs w:val="21"/>
          <w:highlight w:val="none"/>
          <w:lang w:val="zh-CN"/>
        </w:rPr>
      </w:pPr>
    </w:p>
    <w:p w14:paraId="4A606C6E">
      <w:pPr>
        <w:tabs>
          <w:tab w:val="left" w:pos="1440"/>
        </w:tabs>
        <w:spacing w:line="360" w:lineRule="auto"/>
        <w:rPr>
          <w:rFonts w:hint="eastAsia" w:ascii="宋体" w:hAnsi="宋体"/>
          <w:color w:val="auto"/>
          <w:szCs w:val="21"/>
          <w:highlight w:val="none"/>
          <w:lang w:val="zh-CN"/>
        </w:rPr>
      </w:pPr>
    </w:p>
    <w:p w14:paraId="28BA6A92">
      <w:pPr>
        <w:tabs>
          <w:tab w:val="left" w:pos="1440"/>
        </w:tabs>
        <w:spacing w:line="360" w:lineRule="auto"/>
        <w:rPr>
          <w:rFonts w:hint="eastAsia" w:ascii="宋体" w:hAnsi="宋体"/>
          <w:color w:val="auto"/>
          <w:szCs w:val="21"/>
          <w:highlight w:val="none"/>
          <w:lang w:val="zh-CN"/>
        </w:rPr>
      </w:pPr>
    </w:p>
    <w:p w14:paraId="5041F070">
      <w:pPr>
        <w:tabs>
          <w:tab w:val="left" w:pos="1440"/>
        </w:tabs>
        <w:spacing w:line="360" w:lineRule="auto"/>
        <w:rPr>
          <w:rFonts w:hint="eastAsia" w:ascii="宋体" w:hAnsi="宋体"/>
          <w:color w:val="auto"/>
          <w:szCs w:val="21"/>
          <w:highlight w:val="none"/>
          <w:lang w:val="zh-CN"/>
        </w:rPr>
      </w:pPr>
    </w:p>
    <w:p w14:paraId="14DC19A2">
      <w:pPr>
        <w:tabs>
          <w:tab w:val="left" w:pos="1440"/>
        </w:tabs>
        <w:spacing w:line="360" w:lineRule="auto"/>
        <w:rPr>
          <w:rFonts w:hint="eastAsia" w:ascii="宋体" w:hAnsi="宋体"/>
          <w:color w:val="auto"/>
          <w:szCs w:val="21"/>
          <w:highlight w:val="none"/>
          <w:lang w:val="zh-CN"/>
        </w:rPr>
      </w:pPr>
    </w:p>
    <w:p w14:paraId="616DC980">
      <w:pPr>
        <w:tabs>
          <w:tab w:val="left" w:pos="1440"/>
        </w:tabs>
        <w:spacing w:line="360" w:lineRule="auto"/>
        <w:rPr>
          <w:rFonts w:hint="eastAsia" w:ascii="宋体" w:hAnsi="宋体"/>
          <w:color w:val="auto"/>
          <w:szCs w:val="21"/>
          <w:highlight w:val="none"/>
          <w:lang w:val="zh-CN"/>
        </w:rPr>
      </w:pPr>
    </w:p>
    <w:p w14:paraId="0105D861">
      <w:pPr>
        <w:tabs>
          <w:tab w:val="left" w:pos="1440"/>
        </w:tabs>
        <w:spacing w:line="360" w:lineRule="auto"/>
        <w:rPr>
          <w:rFonts w:hint="eastAsia" w:ascii="宋体" w:hAnsi="宋体"/>
          <w:color w:val="auto"/>
          <w:szCs w:val="21"/>
          <w:highlight w:val="none"/>
          <w:lang w:val="zh-CN"/>
        </w:rPr>
      </w:pPr>
    </w:p>
    <w:p w14:paraId="3FC35F9F">
      <w:pPr>
        <w:tabs>
          <w:tab w:val="left" w:pos="1440"/>
        </w:tabs>
        <w:spacing w:line="360" w:lineRule="auto"/>
        <w:rPr>
          <w:rFonts w:hint="eastAsia" w:ascii="宋体" w:hAnsi="宋体"/>
          <w:color w:val="auto"/>
          <w:szCs w:val="21"/>
          <w:highlight w:val="none"/>
          <w:lang w:val="zh-CN"/>
        </w:rPr>
      </w:pPr>
    </w:p>
    <w:p w14:paraId="6706619F">
      <w:pPr>
        <w:tabs>
          <w:tab w:val="left" w:pos="1440"/>
        </w:tabs>
        <w:spacing w:line="360" w:lineRule="auto"/>
        <w:rPr>
          <w:rFonts w:hint="eastAsia" w:ascii="宋体" w:hAnsi="宋体"/>
          <w:color w:val="auto"/>
          <w:szCs w:val="21"/>
          <w:highlight w:val="none"/>
          <w:lang w:val="zh-CN"/>
        </w:rPr>
      </w:pPr>
    </w:p>
    <w:p w14:paraId="770A13C3">
      <w:pPr>
        <w:tabs>
          <w:tab w:val="left" w:pos="1440"/>
        </w:tabs>
        <w:spacing w:line="360" w:lineRule="auto"/>
        <w:rPr>
          <w:rFonts w:hint="eastAsia" w:ascii="宋体" w:hAnsi="宋体"/>
          <w:color w:val="auto"/>
          <w:szCs w:val="21"/>
          <w:highlight w:val="none"/>
          <w:lang w:val="zh-CN"/>
        </w:rPr>
      </w:pPr>
    </w:p>
    <w:p w14:paraId="4D8E7C64">
      <w:pPr>
        <w:tabs>
          <w:tab w:val="left" w:pos="1440"/>
        </w:tabs>
        <w:spacing w:line="360" w:lineRule="auto"/>
        <w:rPr>
          <w:rFonts w:hint="eastAsia" w:ascii="宋体" w:hAnsi="宋体"/>
          <w:color w:val="auto"/>
          <w:szCs w:val="21"/>
          <w:highlight w:val="none"/>
          <w:lang w:val="zh-CN"/>
        </w:rPr>
      </w:pPr>
    </w:p>
    <w:p w14:paraId="5D7EE6E3">
      <w:pPr>
        <w:tabs>
          <w:tab w:val="left" w:pos="1440"/>
        </w:tabs>
        <w:spacing w:line="360" w:lineRule="auto"/>
        <w:rPr>
          <w:rFonts w:hint="eastAsia" w:ascii="宋体" w:hAnsi="宋体"/>
          <w:color w:val="auto"/>
          <w:szCs w:val="21"/>
          <w:highlight w:val="none"/>
          <w:lang w:val="zh-CN"/>
        </w:rPr>
      </w:pPr>
    </w:p>
    <w:p w14:paraId="2A3740F4">
      <w:pPr>
        <w:tabs>
          <w:tab w:val="left" w:pos="1440"/>
        </w:tabs>
        <w:spacing w:line="360" w:lineRule="auto"/>
        <w:rPr>
          <w:rFonts w:hint="eastAsia" w:ascii="宋体" w:hAnsi="宋体"/>
          <w:color w:val="auto"/>
          <w:szCs w:val="21"/>
          <w:highlight w:val="none"/>
          <w:lang w:val="zh-CN"/>
        </w:rPr>
      </w:pPr>
    </w:p>
    <w:p w14:paraId="44ABC9AF">
      <w:pPr>
        <w:tabs>
          <w:tab w:val="left" w:pos="1440"/>
        </w:tabs>
        <w:spacing w:line="360" w:lineRule="auto"/>
        <w:rPr>
          <w:rFonts w:hint="eastAsia" w:ascii="宋体" w:hAnsi="宋体"/>
          <w:color w:val="auto"/>
          <w:szCs w:val="21"/>
          <w:highlight w:val="none"/>
          <w:lang w:val="zh-CN"/>
        </w:rPr>
      </w:pPr>
    </w:p>
    <w:p w14:paraId="3FC4FD4D">
      <w:pPr>
        <w:tabs>
          <w:tab w:val="left" w:pos="1440"/>
        </w:tabs>
        <w:spacing w:line="360" w:lineRule="auto"/>
        <w:rPr>
          <w:rFonts w:hint="eastAsia" w:ascii="宋体" w:hAnsi="宋体"/>
          <w:color w:val="auto"/>
          <w:szCs w:val="21"/>
          <w:highlight w:val="none"/>
          <w:lang w:val="zh-CN"/>
        </w:rPr>
      </w:pPr>
    </w:p>
    <w:p w14:paraId="23D0970A">
      <w:pPr>
        <w:tabs>
          <w:tab w:val="left" w:pos="1440"/>
        </w:tabs>
        <w:spacing w:line="360" w:lineRule="auto"/>
        <w:rPr>
          <w:rFonts w:hint="eastAsia" w:ascii="宋体" w:hAnsi="宋体"/>
          <w:color w:val="auto"/>
          <w:szCs w:val="21"/>
          <w:highlight w:val="none"/>
          <w:lang w:val="zh-CN"/>
        </w:rPr>
      </w:pPr>
    </w:p>
    <w:p w14:paraId="7F595D83">
      <w:pPr>
        <w:tabs>
          <w:tab w:val="left" w:pos="1440"/>
        </w:tabs>
        <w:spacing w:line="360" w:lineRule="auto"/>
        <w:rPr>
          <w:rFonts w:hint="eastAsia" w:ascii="宋体" w:hAnsi="宋体"/>
          <w:color w:val="auto"/>
          <w:szCs w:val="21"/>
          <w:highlight w:val="none"/>
          <w:lang w:val="zh-CN"/>
        </w:rPr>
      </w:pPr>
    </w:p>
    <w:p w14:paraId="41F4606F">
      <w:pPr>
        <w:tabs>
          <w:tab w:val="left" w:pos="1440"/>
        </w:tabs>
        <w:spacing w:line="360" w:lineRule="auto"/>
        <w:rPr>
          <w:rFonts w:hint="eastAsia" w:ascii="宋体" w:hAnsi="宋体"/>
          <w:color w:val="auto"/>
          <w:szCs w:val="21"/>
          <w:highlight w:val="none"/>
          <w:lang w:val="zh-CN"/>
        </w:rPr>
      </w:pPr>
    </w:p>
    <w:p w14:paraId="33C90F77">
      <w:pPr>
        <w:tabs>
          <w:tab w:val="left" w:pos="1440"/>
        </w:tabs>
        <w:spacing w:line="360" w:lineRule="auto"/>
        <w:rPr>
          <w:rFonts w:hint="eastAsia" w:ascii="宋体" w:hAnsi="宋体"/>
          <w:color w:val="auto"/>
          <w:szCs w:val="21"/>
          <w:highlight w:val="none"/>
          <w:lang w:val="zh-CN"/>
        </w:rPr>
      </w:pPr>
    </w:p>
    <w:p w14:paraId="42557469">
      <w:pPr>
        <w:tabs>
          <w:tab w:val="left" w:pos="1440"/>
        </w:tabs>
        <w:spacing w:line="360" w:lineRule="auto"/>
        <w:ind w:firstLine="420"/>
        <w:rPr>
          <w:rFonts w:ascii="宋体" w:hAnsi="宋体"/>
          <w:color w:val="auto"/>
          <w:szCs w:val="21"/>
          <w:highlight w:val="none"/>
          <w:lang w:val="zh-CN"/>
        </w:rPr>
      </w:pPr>
    </w:p>
    <w:p w14:paraId="3E49E70F">
      <w:pPr>
        <w:tabs>
          <w:tab w:val="left" w:pos="1440"/>
        </w:tabs>
        <w:spacing w:line="360" w:lineRule="auto"/>
        <w:ind w:firstLine="420"/>
        <w:rPr>
          <w:rFonts w:ascii="宋体" w:hAnsi="宋体"/>
          <w:color w:val="auto"/>
          <w:szCs w:val="21"/>
          <w:highlight w:val="none"/>
          <w:lang w:val="zh-CN"/>
        </w:rPr>
      </w:pPr>
    </w:p>
    <w:p w14:paraId="4A0CC2DA">
      <w:pPr>
        <w:spacing w:line="360" w:lineRule="auto"/>
        <w:jc w:val="center"/>
        <w:outlineLvl w:val="0"/>
        <w:rPr>
          <w:rFonts w:hint="eastAsia" w:ascii="宋体" w:hAnsi="宋体"/>
          <w:color w:val="auto"/>
          <w:szCs w:val="21"/>
          <w:highlight w:val="none"/>
        </w:rPr>
      </w:pPr>
      <w:bookmarkStart w:id="76" w:name="_Toc55479024"/>
      <w:r>
        <w:rPr>
          <w:rFonts w:hint="eastAsia" w:ascii="宋体" w:hAnsi="宋体"/>
          <w:b/>
          <w:color w:val="auto"/>
          <w:sz w:val="32"/>
          <w:szCs w:val="32"/>
          <w:highlight w:val="none"/>
        </w:rPr>
        <w:t>三、资格证明文件</w:t>
      </w:r>
      <w:bookmarkEnd w:id="76"/>
    </w:p>
    <w:p w14:paraId="1FE917BA">
      <w:pPr>
        <w:spacing w:line="360" w:lineRule="auto"/>
        <w:rPr>
          <w:rFonts w:hint="eastAsia" w:ascii="宋体" w:hAnsi="宋体"/>
          <w:color w:val="auto"/>
          <w:szCs w:val="21"/>
          <w:highlight w:val="none"/>
          <w:lang w:val="zh-CN"/>
        </w:rPr>
      </w:pPr>
      <w:r>
        <w:rPr>
          <w:rFonts w:hint="eastAsia" w:ascii="宋体" w:hAnsi="宋体"/>
          <w:color w:val="auto"/>
          <w:szCs w:val="21"/>
          <w:highlight w:val="none"/>
          <w:lang w:val="zh-CN"/>
        </w:rPr>
        <w:t>一、申请人的资格要求：</w:t>
      </w:r>
    </w:p>
    <w:p w14:paraId="4FB0D7FB">
      <w:pPr>
        <w:spacing w:line="360" w:lineRule="auto"/>
        <w:ind w:firstLine="420"/>
        <w:rPr>
          <w:rFonts w:hint="eastAsia" w:ascii="宋体" w:hAnsi="宋体"/>
          <w:color w:val="auto"/>
          <w:highlight w:val="none"/>
        </w:rPr>
      </w:pPr>
      <w:r>
        <w:rPr>
          <w:rFonts w:ascii="宋体" w:hAnsi="宋体"/>
          <w:color w:val="auto"/>
          <w:highlight w:val="none"/>
        </w:rPr>
        <w:t>（一）</w:t>
      </w:r>
      <w:r>
        <w:rPr>
          <w:rFonts w:hint="eastAsia" w:ascii="宋体" w:hAnsi="宋体"/>
          <w:color w:val="auto"/>
          <w:highlight w:val="none"/>
        </w:rPr>
        <w:t xml:space="preserve">满足《中华人民共和国政府采购法》第二十二条规定： </w:t>
      </w:r>
    </w:p>
    <w:p w14:paraId="635209C0">
      <w:pPr>
        <w:spacing w:line="360" w:lineRule="auto"/>
        <w:ind w:firstLine="420"/>
        <w:rPr>
          <w:rFonts w:hint="eastAsia" w:ascii="宋体" w:hAnsi="宋体"/>
          <w:color w:val="auto"/>
          <w:highlight w:val="none"/>
        </w:rPr>
      </w:pPr>
      <w:r>
        <w:rPr>
          <w:rFonts w:hint="eastAsia" w:ascii="宋体" w:hAnsi="宋体"/>
          <w:color w:val="auto"/>
          <w:highlight w:val="none"/>
        </w:rPr>
        <w:t>1.法人或者其他组织的营业执照等证明文件，自然人的身份证明。</w:t>
      </w:r>
    </w:p>
    <w:p w14:paraId="43BB0417">
      <w:pPr>
        <w:spacing w:line="360" w:lineRule="auto"/>
        <w:ind w:firstLine="420"/>
        <w:rPr>
          <w:rFonts w:hint="eastAsia" w:ascii="宋体" w:hAnsi="宋体"/>
          <w:color w:val="auto"/>
          <w:highlight w:val="none"/>
        </w:rPr>
      </w:pPr>
      <w:r>
        <w:rPr>
          <w:rFonts w:hint="eastAsia" w:ascii="宋体" w:hAnsi="宋体"/>
          <w:color w:val="auto"/>
          <w:highlight w:val="none"/>
        </w:rPr>
        <w:t>2.上一年度的财务状况报告（成立不满一年不需提供）。</w:t>
      </w:r>
    </w:p>
    <w:p w14:paraId="457C80D5">
      <w:pPr>
        <w:spacing w:line="360" w:lineRule="auto"/>
        <w:ind w:firstLine="420"/>
        <w:rPr>
          <w:rFonts w:hint="eastAsia" w:ascii="宋体" w:hAnsi="宋体"/>
          <w:color w:val="auto"/>
          <w:highlight w:val="none"/>
        </w:rPr>
      </w:pPr>
      <w:r>
        <w:rPr>
          <w:rFonts w:hint="eastAsia" w:ascii="宋体" w:hAnsi="宋体"/>
          <w:color w:val="auto"/>
          <w:highlight w:val="none"/>
        </w:rPr>
        <w:t>3.依法缴纳税收和社会保障资金的相关材料。</w:t>
      </w:r>
    </w:p>
    <w:p w14:paraId="0C84CE69">
      <w:pPr>
        <w:spacing w:line="360" w:lineRule="auto"/>
        <w:ind w:firstLine="420"/>
        <w:rPr>
          <w:rFonts w:hint="eastAsia" w:ascii="宋体" w:hAnsi="宋体"/>
          <w:color w:val="auto"/>
          <w:highlight w:val="none"/>
        </w:rPr>
      </w:pPr>
      <w:r>
        <w:rPr>
          <w:rFonts w:hint="eastAsia" w:ascii="宋体" w:hAnsi="宋体"/>
          <w:color w:val="auto"/>
          <w:highlight w:val="none"/>
        </w:rPr>
        <w:t>4.具备履行合同所必需的设备和专业技术能力的书面声明。</w:t>
      </w:r>
    </w:p>
    <w:p w14:paraId="54072524">
      <w:pPr>
        <w:spacing w:line="360" w:lineRule="auto"/>
        <w:ind w:firstLine="420"/>
        <w:rPr>
          <w:rFonts w:hint="eastAsia" w:ascii="宋体" w:hAnsi="宋体"/>
          <w:color w:val="auto"/>
          <w:highlight w:val="none"/>
        </w:rPr>
      </w:pPr>
      <w:r>
        <w:rPr>
          <w:rFonts w:hint="eastAsia" w:ascii="宋体" w:hAnsi="宋体"/>
          <w:color w:val="auto"/>
          <w:highlight w:val="none"/>
        </w:rPr>
        <w:t>5.参加政府采购活动前3年内在经营活动中没有重大违法记录的书面声明。</w:t>
      </w:r>
    </w:p>
    <w:p w14:paraId="0CDC6D7D">
      <w:pPr>
        <w:spacing w:line="360" w:lineRule="auto"/>
        <w:ind w:firstLine="420"/>
        <w:rPr>
          <w:rFonts w:hint="eastAsia" w:ascii="宋体" w:hAnsi="宋体"/>
          <w:color w:val="auto"/>
          <w:highlight w:val="none"/>
        </w:rPr>
      </w:pPr>
      <w:r>
        <w:rPr>
          <w:rFonts w:hint="eastAsia" w:ascii="宋体" w:hAnsi="宋体"/>
          <w:color w:val="auto"/>
          <w:highlight w:val="none"/>
        </w:rPr>
        <w:t>（二）落实政府采购政策需满足的资格要求：</w:t>
      </w:r>
    </w:p>
    <w:p w14:paraId="112CFBD8">
      <w:pPr>
        <w:spacing w:line="360" w:lineRule="auto"/>
        <w:ind w:firstLine="420"/>
        <w:rPr>
          <w:rFonts w:hint="eastAsia" w:ascii="宋体" w:hAnsi="宋体"/>
          <w:color w:val="auto"/>
          <w:highlight w:val="none"/>
        </w:rPr>
      </w:pPr>
      <w:r>
        <w:rPr>
          <w:rFonts w:hint="eastAsia" w:ascii="宋体" w:hAnsi="宋体"/>
          <w:color w:val="auto"/>
          <w:highlight w:val="none"/>
        </w:rPr>
        <w:t>按照采用以下第</w:t>
      </w:r>
      <w:r>
        <w:rPr>
          <w:rFonts w:hint="eastAsia" w:ascii="宋体" w:hAnsi="宋体"/>
          <w:color w:val="auto"/>
          <w:highlight w:val="none"/>
          <w:lang w:eastAsia="zh-CN"/>
        </w:rPr>
        <w:t>（</w:t>
      </w:r>
      <w:r>
        <w:rPr>
          <w:rFonts w:hint="eastAsia" w:ascii="宋体" w:hAnsi="宋体"/>
          <w:color w:val="auto"/>
          <w:highlight w:val="none"/>
        </w:rPr>
        <w:t>4</w:t>
      </w:r>
      <w:r>
        <w:rPr>
          <w:rFonts w:hint="eastAsia" w:ascii="宋体" w:hAnsi="宋体"/>
          <w:color w:val="auto"/>
          <w:highlight w:val="none"/>
          <w:lang w:eastAsia="zh-CN"/>
        </w:rPr>
        <w:t>）</w:t>
      </w:r>
      <w:r>
        <w:rPr>
          <w:rFonts w:hint="eastAsia" w:ascii="宋体" w:hAnsi="宋体"/>
          <w:color w:val="auto"/>
          <w:highlight w:val="none"/>
        </w:rPr>
        <w:t>种方式落实政府采购促进中小企业发展的要求：</w:t>
      </w:r>
    </w:p>
    <w:p w14:paraId="3489D6DB">
      <w:pPr>
        <w:spacing w:line="360" w:lineRule="auto"/>
        <w:ind w:firstLine="420"/>
        <w:rPr>
          <w:rFonts w:hint="eastAsia" w:ascii="宋体" w:hAnsi="宋体"/>
          <w:color w:val="auto"/>
          <w:highlight w:val="none"/>
        </w:rPr>
      </w:pPr>
      <w:r>
        <w:rPr>
          <w:rFonts w:hint="eastAsia" w:ascii="宋体" w:hAnsi="宋体"/>
          <w:color w:val="auto"/>
          <w:highlight w:val="none"/>
        </w:rPr>
        <w:t>（1）本项目整体专门面向中小企业采购服务。</w:t>
      </w:r>
    </w:p>
    <w:p w14:paraId="5C6D283E">
      <w:pPr>
        <w:spacing w:line="360" w:lineRule="auto"/>
        <w:ind w:firstLine="420"/>
        <w:rPr>
          <w:rFonts w:hint="eastAsia" w:ascii="宋体" w:hAnsi="宋体"/>
          <w:color w:val="auto"/>
          <w:highlight w:val="none"/>
        </w:rPr>
      </w:pPr>
      <w:r>
        <w:rPr>
          <w:rFonts w:hint="eastAsia" w:ascii="宋体" w:hAnsi="宋体"/>
          <w:color w:val="auto"/>
          <w:highlight w:val="none"/>
        </w:rPr>
        <w:t>（2）本项目整体专门面向小微企业采购服务。</w:t>
      </w:r>
    </w:p>
    <w:p w14:paraId="2820A981">
      <w:pPr>
        <w:spacing w:line="360" w:lineRule="auto"/>
        <w:ind w:firstLine="420"/>
        <w:rPr>
          <w:rFonts w:hint="eastAsia" w:ascii="宋体" w:hAnsi="宋体"/>
          <w:color w:val="auto"/>
          <w:highlight w:val="none"/>
        </w:rPr>
      </w:pPr>
      <w:r>
        <w:rPr>
          <w:rFonts w:hint="eastAsia" w:ascii="宋体" w:hAnsi="宋体"/>
          <w:color w:val="auto"/>
          <w:highlight w:val="none"/>
        </w:rPr>
        <w:t>（3）本项目通过以下第种方式预留部分采购份额采购中小企业服务：</w:t>
      </w:r>
    </w:p>
    <w:p w14:paraId="73BB888E">
      <w:pPr>
        <w:spacing w:line="360" w:lineRule="auto"/>
        <w:ind w:firstLine="420"/>
        <w:rPr>
          <w:rFonts w:hint="eastAsia" w:ascii="宋体" w:hAnsi="宋体"/>
          <w:color w:val="auto"/>
          <w:highlight w:val="none"/>
        </w:rPr>
      </w:pPr>
      <w:r>
        <w:rPr>
          <w:rFonts w:hint="eastAsia" w:ascii="宋体" w:hAnsi="宋体"/>
          <w:color w:val="auto"/>
          <w:highlight w:val="none"/>
        </w:rPr>
        <w:t>①本项目要求供应商以联合体形式参加，企业合同金额应当达到的比例为%。</w:t>
      </w:r>
    </w:p>
    <w:p w14:paraId="6DC8E319">
      <w:pPr>
        <w:spacing w:line="360" w:lineRule="auto"/>
        <w:ind w:firstLine="420"/>
        <w:rPr>
          <w:rFonts w:hint="eastAsia" w:ascii="宋体" w:hAnsi="宋体"/>
          <w:color w:val="auto"/>
          <w:highlight w:val="none"/>
        </w:rPr>
      </w:pPr>
      <w:r>
        <w:rPr>
          <w:rFonts w:hint="eastAsia" w:ascii="宋体" w:hAnsi="宋体"/>
          <w:color w:val="auto"/>
          <w:highlight w:val="none"/>
        </w:rPr>
        <w:t>②本项目要求供应商进行合同分包，企业合同金额应当达到的比例为%。</w:t>
      </w:r>
    </w:p>
    <w:p w14:paraId="4ACC4F35">
      <w:pPr>
        <w:spacing w:line="360" w:lineRule="auto"/>
        <w:ind w:firstLine="420"/>
        <w:rPr>
          <w:rFonts w:hint="eastAsia" w:ascii="宋体" w:hAnsi="宋体"/>
          <w:color w:val="auto"/>
          <w:highlight w:val="none"/>
        </w:rPr>
      </w:pPr>
      <w:r>
        <w:rPr>
          <w:rFonts w:hint="eastAsia" w:ascii="宋体" w:hAnsi="宋体"/>
          <w:color w:val="auto"/>
          <w:highlight w:val="none"/>
        </w:rPr>
        <w:t>（4）本项目为非预留份额的采购项目或采购包，执行价格扣除优惠政策，具体详见采购文件。</w:t>
      </w:r>
    </w:p>
    <w:p w14:paraId="159D1E64">
      <w:pPr>
        <w:spacing w:line="360" w:lineRule="auto"/>
        <w:ind w:firstLine="420"/>
        <w:rPr>
          <w:rFonts w:ascii="宋体" w:hAnsi="宋体"/>
          <w:color w:val="auto"/>
          <w:szCs w:val="21"/>
          <w:highlight w:val="none"/>
        </w:rPr>
      </w:pPr>
      <w:r>
        <w:rPr>
          <w:rFonts w:ascii="宋体" w:hAnsi="宋体"/>
          <w:color w:val="auto"/>
          <w:szCs w:val="21"/>
          <w:highlight w:val="none"/>
        </w:rPr>
        <w:t>（三）</w:t>
      </w:r>
      <w:r>
        <w:rPr>
          <w:rFonts w:hint="eastAsia" w:ascii="宋体" w:hAnsi="宋体"/>
          <w:color w:val="auto"/>
          <w:szCs w:val="21"/>
          <w:highlight w:val="none"/>
        </w:rPr>
        <w:t>采购人根据采购项目的特殊要求规定的特定条件：无</w:t>
      </w:r>
    </w:p>
    <w:p w14:paraId="3A3A1F23">
      <w:pPr>
        <w:spacing w:line="360" w:lineRule="auto"/>
        <w:ind w:firstLine="42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四</w:t>
      </w:r>
      <w:r>
        <w:rPr>
          <w:rFonts w:ascii="宋体" w:hAnsi="宋体"/>
          <w:color w:val="auto"/>
          <w:szCs w:val="21"/>
          <w:highlight w:val="none"/>
        </w:rPr>
        <w:t>）</w:t>
      </w:r>
      <w:r>
        <w:rPr>
          <w:rFonts w:hint="eastAsia" w:ascii="宋体" w:hAnsi="宋体"/>
          <w:color w:val="auto"/>
          <w:szCs w:val="21"/>
          <w:highlight w:val="none"/>
        </w:rPr>
        <w:t>拒绝下述供应商参加本次采购活动：</w:t>
      </w:r>
    </w:p>
    <w:p w14:paraId="24E46D9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供应商单位负责人为同一人或者存在直接控股、管理关系的不同供应商，不得参加同一合同项下的采购活动。</w:t>
      </w:r>
    </w:p>
    <w:p w14:paraId="71271BA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凡为采购项目提供整体设计、规范编制或者项目管理、监理、检测等服务的供应商，不得再参加本项目的采购活动。</w:t>
      </w:r>
    </w:p>
    <w:p w14:paraId="4BD82D2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拒绝列入失信被执行人、重大税收违法案件当事人名单、政府采购严重违法失信行为记录名单中的供应商参加本项目的采购活动。采购人或代理机构通过“信用中国”网站（www.creditchina.gov.cn）、“中国政府采购网”网站（www.ccgp.gov.cn）等渠道查询供应商信用记录并保存。（提供查阅记录截图并加盖企业公章）。</w:t>
      </w:r>
    </w:p>
    <w:p w14:paraId="3FFCEA3D">
      <w:pPr>
        <w:spacing w:line="360" w:lineRule="auto"/>
        <w:ind w:firstLine="420"/>
        <w:rPr>
          <w:rFonts w:ascii="宋体" w:hAnsi="宋体"/>
          <w:color w:val="auto"/>
          <w:szCs w:val="21"/>
          <w:highlight w:val="none"/>
        </w:rPr>
      </w:pPr>
      <w:r>
        <w:rPr>
          <w:rFonts w:ascii="宋体" w:hAnsi="宋体"/>
          <w:color w:val="auto"/>
          <w:szCs w:val="21"/>
          <w:highlight w:val="none"/>
        </w:rPr>
        <w:t>（五）南京市政府采购供应商信用记录表暨信用承诺书（打印并加盖企业公章）</w:t>
      </w:r>
    </w:p>
    <w:p w14:paraId="32C3AF3A">
      <w:pPr>
        <w:spacing w:line="360" w:lineRule="auto"/>
        <w:ind w:firstLine="420"/>
        <w:rPr>
          <w:rFonts w:ascii="宋体" w:hAnsi="宋体"/>
          <w:color w:val="auto"/>
          <w:szCs w:val="21"/>
          <w:highlight w:val="none"/>
        </w:rPr>
      </w:pPr>
    </w:p>
    <w:p w14:paraId="3FF01D5F">
      <w:pPr>
        <w:spacing w:line="360" w:lineRule="auto"/>
        <w:ind w:firstLine="420"/>
        <w:rPr>
          <w:rFonts w:ascii="宋体" w:hAnsi="宋体"/>
          <w:color w:val="auto"/>
          <w:szCs w:val="21"/>
          <w:highlight w:val="none"/>
        </w:rPr>
      </w:pPr>
    </w:p>
    <w:p w14:paraId="6A60B121">
      <w:pPr>
        <w:spacing w:line="360" w:lineRule="auto"/>
        <w:ind w:firstLine="420"/>
        <w:rPr>
          <w:rFonts w:ascii="宋体" w:hAnsi="宋体"/>
          <w:color w:val="auto"/>
          <w:szCs w:val="21"/>
          <w:highlight w:val="none"/>
        </w:rPr>
      </w:pPr>
    </w:p>
    <w:p w14:paraId="4728C5B0">
      <w:pPr>
        <w:spacing w:line="360" w:lineRule="auto"/>
        <w:ind w:firstLine="420"/>
        <w:rPr>
          <w:rFonts w:ascii="宋体" w:hAnsi="宋体"/>
          <w:color w:val="auto"/>
          <w:szCs w:val="21"/>
          <w:highlight w:val="none"/>
        </w:rPr>
      </w:pPr>
    </w:p>
    <w:p w14:paraId="249B634B">
      <w:pPr>
        <w:spacing w:line="360" w:lineRule="auto"/>
        <w:ind w:firstLine="420"/>
        <w:rPr>
          <w:rFonts w:ascii="宋体" w:hAnsi="宋体"/>
          <w:color w:val="auto"/>
          <w:szCs w:val="21"/>
          <w:highlight w:val="none"/>
        </w:rPr>
      </w:pPr>
    </w:p>
    <w:p w14:paraId="2E5CAC94">
      <w:pPr>
        <w:spacing w:line="360" w:lineRule="auto"/>
        <w:ind w:firstLine="420"/>
        <w:rPr>
          <w:rFonts w:ascii="宋体" w:hAnsi="宋体"/>
          <w:color w:val="auto"/>
          <w:szCs w:val="21"/>
          <w:highlight w:val="none"/>
        </w:rPr>
      </w:pPr>
    </w:p>
    <w:p w14:paraId="19CC3830">
      <w:pPr>
        <w:spacing w:line="360" w:lineRule="auto"/>
        <w:rPr>
          <w:rFonts w:hint="eastAsia" w:ascii="宋体" w:hAnsi="宋体"/>
          <w:color w:val="auto"/>
          <w:szCs w:val="21"/>
          <w:highlight w:val="none"/>
        </w:rPr>
      </w:pPr>
    </w:p>
    <w:p w14:paraId="3AEC35C0">
      <w:pPr>
        <w:spacing w:line="360" w:lineRule="auto"/>
        <w:jc w:val="center"/>
        <w:outlineLvl w:val="0"/>
        <w:rPr>
          <w:rFonts w:hint="eastAsia" w:ascii="宋体" w:hAnsi="宋体"/>
          <w:color w:val="auto"/>
          <w:szCs w:val="21"/>
          <w:highlight w:val="none"/>
        </w:rPr>
      </w:pPr>
      <w:bookmarkStart w:id="77" w:name="_Toc55479027"/>
      <w:r>
        <w:rPr>
          <w:rFonts w:ascii="宋体" w:hAnsi="宋体"/>
          <w:b/>
          <w:color w:val="auto"/>
          <w:sz w:val="32"/>
          <w:szCs w:val="32"/>
          <w:highlight w:val="none"/>
        </w:rPr>
        <w:t>四</w:t>
      </w:r>
      <w:r>
        <w:rPr>
          <w:rFonts w:hint="eastAsia" w:ascii="宋体" w:hAnsi="宋体"/>
          <w:b/>
          <w:color w:val="auto"/>
          <w:sz w:val="32"/>
          <w:szCs w:val="32"/>
          <w:highlight w:val="none"/>
        </w:rPr>
        <w:t>、投标人基本情况表</w:t>
      </w:r>
      <w:bookmarkEnd w:id="77"/>
    </w:p>
    <w:tbl>
      <w:tblPr>
        <w:tblStyle w:val="36"/>
        <w:tblW w:w="0" w:type="auto"/>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52"/>
        <w:gridCol w:w="2268"/>
        <w:gridCol w:w="1418"/>
        <w:gridCol w:w="2835"/>
      </w:tblGrid>
      <w:tr w14:paraId="75724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7" w:hRule="atLeast"/>
        </w:trPr>
        <w:tc>
          <w:tcPr>
            <w:tcW w:w="2552" w:type="dxa"/>
            <w:noWrap w:val="0"/>
            <w:vAlign w:val="top"/>
          </w:tcPr>
          <w:p w14:paraId="5CA0AC98">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法定代表人（负责人）</w:t>
            </w:r>
          </w:p>
        </w:tc>
        <w:tc>
          <w:tcPr>
            <w:tcW w:w="2268" w:type="dxa"/>
            <w:noWrap w:val="0"/>
            <w:vAlign w:val="top"/>
          </w:tcPr>
          <w:p w14:paraId="663D9722">
            <w:pPr>
              <w:pStyle w:val="46"/>
              <w:spacing w:line="360" w:lineRule="auto"/>
              <w:ind w:firstLine="0"/>
              <w:rPr>
                <w:rFonts w:ascii="宋体" w:hAnsi="宋体"/>
                <w:color w:val="auto"/>
                <w:szCs w:val="21"/>
                <w:highlight w:val="none"/>
              </w:rPr>
            </w:pPr>
          </w:p>
        </w:tc>
        <w:tc>
          <w:tcPr>
            <w:tcW w:w="1418" w:type="dxa"/>
            <w:noWrap w:val="0"/>
            <w:vAlign w:val="top"/>
          </w:tcPr>
          <w:p w14:paraId="0353C1A1">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成立日期</w:t>
            </w:r>
          </w:p>
        </w:tc>
        <w:tc>
          <w:tcPr>
            <w:tcW w:w="2835" w:type="dxa"/>
            <w:noWrap w:val="0"/>
            <w:vAlign w:val="top"/>
          </w:tcPr>
          <w:p w14:paraId="36975234">
            <w:pPr>
              <w:pStyle w:val="46"/>
              <w:spacing w:line="360" w:lineRule="auto"/>
              <w:ind w:firstLine="0"/>
              <w:rPr>
                <w:rFonts w:ascii="宋体" w:hAnsi="宋体"/>
                <w:color w:val="auto"/>
                <w:szCs w:val="21"/>
                <w:highlight w:val="none"/>
              </w:rPr>
            </w:pPr>
          </w:p>
        </w:tc>
      </w:tr>
      <w:tr w14:paraId="7DDC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 w:hRule="atLeast"/>
        </w:trPr>
        <w:tc>
          <w:tcPr>
            <w:tcW w:w="2552" w:type="dxa"/>
            <w:noWrap w:val="0"/>
            <w:vAlign w:val="top"/>
          </w:tcPr>
          <w:p w14:paraId="514161D9">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注册地址</w:t>
            </w:r>
          </w:p>
        </w:tc>
        <w:tc>
          <w:tcPr>
            <w:tcW w:w="2268" w:type="dxa"/>
            <w:noWrap w:val="0"/>
            <w:vAlign w:val="top"/>
          </w:tcPr>
          <w:p w14:paraId="090477FE">
            <w:pPr>
              <w:pStyle w:val="46"/>
              <w:spacing w:line="360" w:lineRule="auto"/>
              <w:ind w:firstLine="0"/>
              <w:rPr>
                <w:rFonts w:ascii="宋体" w:hAnsi="宋体"/>
                <w:color w:val="auto"/>
                <w:szCs w:val="21"/>
                <w:highlight w:val="none"/>
              </w:rPr>
            </w:pPr>
          </w:p>
        </w:tc>
        <w:tc>
          <w:tcPr>
            <w:tcW w:w="1418" w:type="dxa"/>
            <w:noWrap w:val="0"/>
            <w:vAlign w:val="top"/>
          </w:tcPr>
          <w:p w14:paraId="022F35C8">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注册资金</w:t>
            </w:r>
          </w:p>
        </w:tc>
        <w:tc>
          <w:tcPr>
            <w:tcW w:w="2835" w:type="dxa"/>
            <w:noWrap w:val="0"/>
            <w:vAlign w:val="top"/>
          </w:tcPr>
          <w:p w14:paraId="6E0894C2">
            <w:pPr>
              <w:pStyle w:val="46"/>
              <w:spacing w:line="360" w:lineRule="auto"/>
              <w:ind w:firstLine="2160"/>
              <w:rPr>
                <w:rFonts w:ascii="宋体" w:hAnsi="宋体"/>
                <w:color w:val="auto"/>
                <w:szCs w:val="21"/>
                <w:highlight w:val="none"/>
              </w:rPr>
            </w:pPr>
          </w:p>
        </w:tc>
      </w:tr>
      <w:tr w14:paraId="7275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0" w:hRule="atLeast"/>
        </w:trPr>
        <w:tc>
          <w:tcPr>
            <w:tcW w:w="2552" w:type="dxa"/>
            <w:noWrap w:val="0"/>
            <w:vAlign w:val="top"/>
          </w:tcPr>
          <w:p w14:paraId="1675B2D8">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经营范围</w:t>
            </w:r>
          </w:p>
        </w:tc>
        <w:tc>
          <w:tcPr>
            <w:tcW w:w="6521" w:type="dxa"/>
            <w:gridSpan w:val="3"/>
            <w:noWrap w:val="0"/>
            <w:vAlign w:val="top"/>
          </w:tcPr>
          <w:p w14:paraId="6C16F43E">
            <w:pPr>
              <w:pStyle w:val="46"/>
              <w:spacing w:line="360" w:lineRule="auto"/>
              <w:ind w:firstLine="0"/>
              <w:rPr>
                <w:rFonts w:ascii="宋体" w:hAnsi="宋体"/>
                <w:color w:val="auto"/>
                <w:szCs w:val="21"/>
                <w:highlight w:val="none"/>
              </w:rPr>
            </w:pPr>
          </w:p>
        </w:tc>
      </w:tr>
      <w:tr w14:paraId="38E03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4" w:hRule="atLeast"/>
        </w:trPr>
        <w:tc>
          <w:tcPr>
            <w:tcW w:w="2552" w:type="dxa"/>
            <w:noWrap w:val="0"/>
            <w:vAlign w:val="center"/>
          </w:tcPr>
          <w:p w14:paraId="38EB2DDE">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企业资质</w:t>
            </w:r>
          </w:p>
        </w:tc>
        <w:tc>
          <w:tcPr>
            <w:tcW w:w="2268" w:type="dxa"/>
            <w:noWrap w:val="0"/>
            <w:vAlign w:val="bottom"/>
          </w:tcPr>
          <w:p w14:paraId="480DE301">
            <w:pPr>
              <w:pStyle w:val="46"/>
              <w:spacing w:line="360" w:lineRule="auto"/>
              <w:ind w:firstLine="0"/>
              <w:jc w:val="right"/>
              <w:rPr>
                <w:rFonts w:ascii="宋体" w:hAnsi="宋体"/>
                <w:color w:val="auto"/>
                <w:szCs w:val="21"/>
                <w:highlight w:val="none"/>
              </w:rPr>
            </w:pPr>
          </w:p>
        </w:tc>
        <w:tc>
          <w:tcPr>
            <w:tcW w:w="1418" w:type="dxa"/>
            <w:noWrap w:val="0"/>
            <w:vAlign w:val="center"/>
          </w:tcPr>
          <w:p w14:paraId="60D7E88E">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员工总人数</w:t>
            </w:r>
          </w:p>
        </w:tc>
        <w:tc>
          <w:tcPr>
            <w:tcW w:w="2835" w:type="dxa"/>
            <w:noWrap w:val="0"/>
            <w:vAlign w:val="bottom"/>
          </w:tcPr>
          <w:p w14:paraId="4BD56465">
            <w:pPr>
              <w:pStyle w:val="46"/>
              <w:spacing w:line="360" w:lineRule="auto"/>
              <w:ind w:firstLine="0"/>
              <w:jc w:val="right"/>
              <w:rPr>
                <w:rFonts w:ascii="宋体" w:hAnsi="宋体"/>
                <w:color w:val="auto"/>
                <w:szCs w:val="21"/>
                <w:highlight w:val="none"/>
              </w:rPr>
            </w:pPr>
          </w:p>
        </w:tc>
      </w:tr>
      <w:tr w14:paraId="54FF5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0" w:hRule="atLeast"/>
        </w:trPr>
        <w:tc>
          <w:tcPr>
            <w:tcW w:w="2552" w:type="dxa"/>
            <w:noWrap w:val="0"/>
            <w:vAlign w:val="center"/>
          </w:tcPr>
          <w:p w14:paraId="63BB7611">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办公面积</w:t>
            </w:r>
          </w:p>
        </w:tc>
        <w:tc>
          <w:tcPr>
            <w:tcW w:w="6521" w:type="dxa"/>
            <w:gridSpan w:val="3"/>
            <w:noWrap w:val="0"/>
            <w:vAlign w:val="bottom"/>
          </w:tcPr>
          <w:p w14:paraId="28A5F455">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平方米</w:t>
            </w:r>
          </w:p>
        </w:tc>
      </w:tr>
      <w:tr w14:paraId="275AC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7" w:hRule="atLeast"/>
        </w:trPr>
        <w:tc>
          <w:tcPr>
            <w:tcW w:w="2552" w:type="dxa"/>
            <w:noWrap w:val="0"/>
            <w:vAlign w:val="top"/>
          </w:tcPr>
          <w:p w14:paraId="589D7485">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基本户开户行</w:t>
            </w:r>
          </w:p>
        </w:tc>
        <w:tc>
          <w:tcPr>
            <w:tcW w:w="6521" w:type="dxa"/>
            <w:gridSpan w:val="3"/>
            <w:noWrap w:val="0"/>
            <w:vAlign w:val="top"/>
          </w:tcPr>
          <w:p w14:paraId="5C9EEA0C">
            <w:pPr>
              <w:pStyle w:val="46"/>
              <w:spacing w:line="360" w:lineRule="auto"/>
              <w:ind w:firstLine="0"/>
              <w:rPr>
                <w:rFonts w:ascii="宋体" w:hAnsi="宋体"/>
                <w:color w:val="auto"/>
                <w:szCs w:val="21"/>
                <w:highlight w:val="none"/>
              </w:rPr>
            </w:pPr>
          </w:p>
        </w:tc>
      </w:tr>
      <w:tr w14:paraId="133C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2" w:hRule="atLeast"/>
        </w:trPr>
        <w:tc>
          <w:tcPr>
            <w:tcW w:w="2552" w:type="dxa"/>
            <w:noWrap w:val="0"/>
            <w:vAlign w:val="top"/>
          </w:tcPr>
          <w:p w14:paraId="102091B9">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基本户账号</w:t>
            </w:r>
          </w:p>
        </w:tc>
        <w:tc>
          <w:tcPr>
            <w:tcW w:w="6521" w:type="dxa"/>
            <w:gridSpan w:val="3"/>
            <w:noWrap w:val="0"/>
            <w:vAlign w:val="top"/>
          </w:tcPr>
          <w:p w14:paraId="07AE8B05">
            <w:pPr>
              <w:pStyle w:val="46"/>
              <w:spacing w:line="360" w:lineRule="auto"/>
              <w:ind w:firstLine="0"/>
              <w:rPr>
                <w:rFonts w:ascii="宋体" w:hAnsi="宋体"/>
                <w:color w:val="auto"/>
                <w:szCs w:val="21"/>
                <w:highlight w:val="none"/>
              </w:rPr>
            </w:pPr>
          </w:p>
        </w:tc>
      </w:tr>
      <w:tr w14:paraId="563E8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28" w:hRule="atLeast"/>
        </w:trPr>
        <w:tc>
          <w:tcPr>
            <w:tcW w:w="2552" w:type="dxa"/>
            <w:noWrap w:val="0"/>
            <w:vAlign w:val="center"/>
          </w:tcPr>
          <w:p w14:paraId="73F0CBA7">
            <w:pPr>
              <w:pStyle w:val="46"/>
              <w:spacing w:line="360" w:lineRule="auto"/>
              <w:ind w:firstLine="0"/>
              <w:jc w:val="left"/>
              <w:rPr>
                <w:rFonts w:ascii="宋体" w:hAnsi="宋体"/>
                <w:color w:val="auto"/>
                <w:szCs w:val="21"/>
                <w:highlight w:val="none"/>
              </w:rPr>
            </w:pPr>
            <w:r>
              <w:rPr>
                <w:rFonts w:ascii="宋体" w:hAnsi="宋体"/>
                <w:color w:val="auto"/>
                <w:szCs w:val="21"/>
                <w:highlight w:val="none"/>
              </w:rPr>
              <w:t>单位简介</w:t>
            </w:r>
          </w:p>
        </w:tc>
        <w:tc>
          <w:tcPr>
            <w:tcW w:w="6521" w:type="dxa"/>
            <w:gridSpan w:val="3"/>
            <w:noWrap w:val="0"/>
            <w:vAlign w:val="top"/>
          </w:tcPr>
          <w:p w14:paraId="4C57787B">
            <w:pPr>
              <w:pStyle w:val="46"/>
              <w:spacing w:line="360" w:lineRule="auto"/>
              <w:ind w:firstLine="0"/>
              <w:rPr>
                <w:rFonts w:ascii="宋体" w:hAnsi="宋体"/>
                <w:color w:val="auto"/>
                <w:szCs w:val="21"/>
                <w:highlight w:val="none"/>
              </w:rPr>
            </w:pPr>
          </w:p>
        </w:tc>
      </w:tr>
      <w:tr w14:paraId="080BF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0" w:hRule="atLeast"/>
        </w:trPr>
        <w:tc>
          <w:tcPr>
            <w:tcW w:w="2552" w:type="dxa"/>
            <w:noWrap w:val="0"/>
            <w:vAlign w:val="center"/>
          </w:tcPr>
          <w:p w14:paraId="4AC4B98A">
            <w:pPr>
              <w:pStyle w:val="46"/>
              <w:spacing w:line="360" w:lineRule="auto"/>
              <w:ind w:firstLine="0"/>
              <w:rPr>
                <w:rFonts w:ascii="宋体" w:hAnsi="宋体"/>
                <w:color w:val="auto"/>
                <w:szCs w:val="21"/>
                <w:highlight w:val="none"/>
              </w:rPr>
            </w:pPr>
            <w:r>
              <w:rPr>
                <w:rFonts w:hint="eastAsia" w:ascii="宋体" w:hAnsi="宋体"/>
                <w:color w:val="auto"/>
                <w:szCs w:val="21"/>
                <w:highlight w:val="none"/>
              </w:rPr>
              <w:t>其他需要说明的情况</w:t>
            </w:r>
          </w:p>
        </w:tc>
        <w:tc>
          <w:tcPr>
            <w:tcW w:w="6521" w:type="dxa"/>
            <w:gridSpan w:val="3"/>
            <w:noWrap w:val="0"/>
            <w:vAlign w:val="top"/>
          </w:tcPr>
          <w:p w14:paraId="57CF92E4">
            <w:pPr>
              <w:pStyle w:val="46"/>
              <w:spacing w:line="360" w:lineRule="auto"/>
              <w:ind w:firstLine="0"/>
              <w:rPr>
                <w:rFonts w:ascii="宋体" w:hAnsi="宋体"/>
                <w:color w:val="auto"/>
                <w:szCs w:val="21"/>
                <w:highlight w:val="none"/>
              </w:rPr>
            </w:pPr>
          </w:p>
        </w:tc>
      </w:tr>
    </w:tbl>
    <w:p w14:paraId="7FC7A3C9">
      <w:pPr>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Cs/>
          <w:color w:val="auto"/>
          <w:szCs w:val="21"/>
          <w:highlight w:val="none"/>
        </w:rPr>
        <w:t>本页不够可另</w:t>
      </w:r>
      <w:r>
        <w:rPr>
          <w:rFonts w:hint="eastAsia" w:ascii="宋体" w:hAnsi="宋体"/>
          <w:bCs/>
          <w:color w:val="auto"/>
          <w:szCs w:val="21"/>
          <w:highlight w:val="none"/>
          <w:lang w:eastAsia="zh-CN"/>
        </w:rPr>
        <w:t>加一</w:t>
      </w:r>
      <w:r>
        <w:rPr>
          <w:rFonts w:hint="eastAsia" w:ascii="宋体" w:hAnsi="宋体"/>
          <w:bCs/>
          <w:color w:val="auto"/>
          <w:szCs w:val="21"/>
          <w:highlight w:val="none"/>
        </w:rPr>
        <w:t>页附后</w:t>
      </w:r>
      <w:r>
        <w:rPr>
          <w:rFonts w:hint="eastAsia" w:ascii="宋体" w:hAnsi="宋体"/>
          <w:color w:val="auto"/>
          <w:szCs w:val="21"/>
          <w:highlight w:val="none"/>
        </w:rPr>
        <w:t>）</w:t>
      </w:r>
    </w:p>
    <w:p w14:paraId="034B7A89">
      <w:pPr>
        <w:spacing w:line="360" w:lineRule="auto"/>
        <w:ind w:firstLine="368"/>
        <w:jc w:val="left"/>
        <w:rPr>
          <w:rFonts w:hint="eastAsia" w:ascii="宋体" w:hAnsi="宋体"/>
          <w:bCs/>
          <w:color w:val="auto"/>
          <w:szCs w:val="21"/>
          <w:highlight w:val="none"/>
        </w:rPr>
      </w:pPr>
    </w:p>
    <w:p w14:paraId="570A4869">
      <w:pPr>
        <w:widowControl/>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投标人名称：（盖章）</w:t>
      </w:r>
    </w:p>
    <w:p w14:paraId="182F5BCE">
      <w:pPr>
        <w:widowControl/>
        <w:spacing w:line="360" w:lineRule="auto"/>
        <w:jc w:val="left"/>
        <w:rPr>
          <w:rFonts w:ascii="宋体" w:hAnsi="宋体" w:cs="宋体"/>
          <w:color w:val="auto"/>
          <w:szCs w:val="21"/>
          <w:highlight w:val="none"/>
          <w:lang w:val="zh-CN"/>
        </w:rPr>
      </w:pPr>
      <w:r>
        <w:rPr>
          <w:rFonts w:hint="eastAsia" w:ascii="宋体" w:hAnsi="宋体"/>
          <w:color w:val="auto"/>
          <w:szCs w:val="21"/>
          <w:highlight w:val="none"/>
        </w:rPr>
        <w:t>法定代表人或委托代理人（签字或盖章）</w:t>
      </w:r>
      <w:r>
        <w:rPr>
          <w:rFonts w:hint="eastAsia" w:ascii="宋体" w:hAnsi="宋体"/>
          <w:bCs/>
          <w:color w:val="auto"/>
          <w:szCs w:val="21"/>
          <w:highlight w:val="none"/>
        </w:rPr>
        <w:t>：</w:t>
      </w:r>
    </w:p>
    <w:p w14:paraId="0B17315E">
      <w:pPr>
        <w:widowControl/>
        <w:spacing w:line="360" w:lineRule="auto"/>
        <w:jc w:val="left"/>
        <w:rPr>
          <w:rFonts w:ascii="宋体" w:hAnsi="宋体"/>
          <w:bCs/>
          <w:color w:val="auto"/>
          <w:szCs w:val="21"/>
          <w:highlight w:val="none"/>
        </w:rPr>
      </w:pPr>
      <w:r>
        <w:rPr>
          <w:rFonts w:hint="eastAsia" w:ascii="宋体" w:hAnsi="宋体"/>
          <w:bCs/>
          <w:color w:val="auto"/>
          <w:szCs w:val="21"/>
          <w:highlight w:val="none"/>
        </w:rPr>
        <w:t>日期：</w:t>
      </w:r>
    </w:p>
    <w:p w14:paraId="34B16EB7">
      <w:pPr>
        <w:spacing w:line="360" w:lineRule="auto"/>
        <w:rPr>
          <w:rFonts w:ascii="宋体" w:hAnsi="宋体"/>
          <w:color w:val="auto"/>
          <w:szCs w:val="21"/>
          <w:highlight w:val="none"/>
        </w:rPr>
      </w:pPr>
      <w:r>
        <w:rPr>
          <w:rFonts w:ascii="宋体" w:hAnsi="宋体"/>
          <w:color w:val="auto"/>
          <w:szCs w:val="21"/>
          <w:highlight w:val="none"/>
        </w:rPr>
        <w:br w:type="page" w:clear="all"/>
      </w:r>
    </w:p>
    <w:p w14:paraId="67FEAE97">
      <w:pPr>
        <w:spacing w:line="360" w:lineRule="auto"/>
        <w:jc w:val="center"/>
        <w:outlineLvl w:val="0"/>
        <w:rPr>
          <w:rFonts w:ascii="宋体" w:hAnsi="宋体"/>
          <w:b/>
          <w:color w:val="auto"/>
          <w:sz w:val="32"/>
          <w:szCs w:val="32"/>
          <w:highlight w:val="none"/>
        </w:rPr>
      </w:pPr>
      <w:bookmarkStart w:id="78" w:name="_Toc55479029"/>
      <w:r>
        <w:rPr>
          <w:rFonts w:hint="eastAsia" w:ascii="宋体" w:hAnsi="宋体"/>
          <w:b/>
          <w:color w:val="auto"/>
          <w:sz w:val="32"/>
          <w:szCs w:val="32"/>
          <w:highlight w:val="none"/>
        </w:rPr>
        <w:t>五、商务条款偏离表</w:t>
      </w:r>
      <w:bookmarkEnd w:id="78"/>
    </w:p>
    <w:p w14:paraId="71FCD6DA">
      <w:pPr>
        <w:widowControl/>
        <w:spacing w:line="360" w:lineRule="auto"/>
        <w:jc w:val="left"/>
        <w:rPr>
          <w:rFonts w:ascii="宋体" w:hAnsi="宋体"/>
          <w:color w:val="auto"/>
          <w:szCs w:val="21"/>
          <w:highlight w:val="none"/>
        </w:rPr>
      </w:pPr>
      <w:r>
        <w:rPr>
          <w:rFonts w:ascii="宋体" w:hAnsi="宋体" w:cs="Calibri"/>
          <w:color w:val="auto"/>
          <w:szCs w:val="21"/>
          <w:highlight w:val="none"/>
        </w:rPr>
        <w:t> </w:t>
      </w:r>
    </w:p>
    <w:p w14:paraId="1E8E3940">
      <w:pPr>
        <w:widowControl/>
        <w:tabs>
          <w:tab w:val="left" w:pos="5366"/>
        </w:tabs>
        <w:spacing w:line="360" w:lineRule="auto"/>
        <w:ind w:firstLine="97"/>
        <w:jc w:val="left"/>
        <w:rPr>
          <w:rFonts w:ascii="宋体" w:hAnsi="宋体"/>
          <w:color w:val="auto"/>
          <w:szCs w:val="21"/>
          <w:highlight w:val="none"/>
        </w:rPr>
      </w:pPr>
      <w:r>
        <w:rPr>
          <w:rFonts w:hint="eastAsia" w:ascii="宋体" w:hAnsi="宋体"/>
          <w:color w:val="auto"/>
          <w:szCs w:val="21"/>
          <w:highlight w:val="none"/>
        </w:rPr>
        <w:t>项目名称：</w:t>
      </w:r>
      <w:r>
        <w:rPr>
          <w:rFonts w:ascii="宋体" w:hAnsi="宋体"/>
          <w:color w:val="auto"/>
          <w:szCs w:val="21"/>
          <w:highlight w:val="none"/>
        </w:rPr>
        <w:tab/>
      </w:r>
      <w:r>
        <w:rPr>
          <w:rFonts w:hint="eastAsia" w:ascii="宋体" w:hAnsi="宋体"/>
          <w:color w:val="auto"/>
          <w:szCs w:val="21"/>
          <w:highlight w:val="none"/>
        </w:rPr>
        <w:t>项目编号：</w:t>
      </w:r>
      <w:r>
        <w:rPr>
          <w:rFonts w:ascii="宋体" w:hAnsi="宋体" w:cs="Calibri"/>
          <w:color w:val="auto"/>
          <w:szCs w:val="21"/>
          <w:highlight w:val="none"/>
        </w:rPr>
        <w:t>         </w:t>
      </w:r>
    </w:p>
    <w:tbl>
      <w:tblPr>
        <w:tblStyle w:val="36"/>
        <w:tblW w:w="8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0"/>
        <w:gridCol w:w="1679"/>
        <w:gridCol w:w="2488"/>
        <w:gridCol w:w="3004"/>
        <w:gridCol w:w="1201"/>
      </w:tblGrid>
      <w:tr w14:paraId="016F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24D4DECE">
            <w:pPr>
              <w:widowControl/>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679" w:type="dxa"/>
            <w:noWrap w:val="0"/>
            <w:tcMar>
              <w:top w:w="0" w:type="dxa"/>
              <w:left w:w="10" w:type="dxa"/>
              <w:bottom w:w="0" w:type="dxa"/>
              <w:right w:w="10" w:type="dxa"/>
            </w:tcMar>
            <w:vAlign w:val="center"/>
          </w:tcPr>
          <w:p w14:paraId="4EEA9274">
            <w:pPr>
              <w:widowControl/>
              <w:spacing w:line="360" w:lineRule="auto"/>
              <w:jc w:val="center"/>
              <w:rPr>
                <w:rFonts w:ascii="宋体" w:hAnsi="宋体"/>
                <w:color w:val="auto"/>
                <w:szCs w:val="21"/>
                <w:highlight w:val="none"/>
              </w:rPr>
            </w:pPr>
            <w:r>
              <w:rPr>
                <w:rFonts w:hint="eastAsia" w:ascii="宋体" w:hAnsi="宋体"/>
                <w:color w:val="auto"/>
                <w:szCs w:val="21"/>
                <w:highlight w:val="none"/>
              </w:rPr>
              <w:t>招标文件条目号</w:t>
            </w:r>
          </w:p>
        </w:tc>
        <w:tc>
          <w:tcPr>
            <w:tcW w:w="2488" w:type="dxa"/>
            <w:noWrap w:val="0"/>
            <w:tcMar>
              <w:top w:w="0" w:type="dxa"/>
              <w:left w:w="10" w:type="dxa"/>
              <w:bottom w:w="0" w:type="dxa"/>
              <w:right w:w="10" w:type="dxa"/>
            </w:tcMar>
            <w:vAlign w:val="center"/>
          </w:tcPr>
          <w:p w14:paraId="14E8749D">
            <w:pPr>
              <w:widowControl/>
              <w:spacing w:line="360" w:lineRule="auto"/>
              <w:jc w:val="center"/>
              <w:rPr>
                <w:rFonts w:ascii="宋体" w:hAnsi="宋体"/>
                <w:color w:val="auto"/>
                <w:szCs w:val="21"/>
                <w:highlight w:val="none"/>
              </w:rPr>
            </w:pPr>
            <w:r>
              <w:rPr>
                <w:rFonts w:hint="eastAsia" w:ascii="宋体" w:hAnsi="宋体"/>
                <w:color w:val="auto"/>
                <w:szCs w:val="21"/>
                <w:highlight w:val="none"/>
              </w:rPr>
              <w:t>招标文件要求的商务条款</w:t>
            </w:r>
          </w:p>
        </w:tc>
        <w:tc>
          <w:tcPr>
            <w:tcW w:w="3004" w:type="dxa"/>
            <w:noWrap w:val="0"/>
            <w:tcMar>
              <w:top w:w="0" w:type="dxa"/>
              <w:left w:w="10" w:type="dxa"/>
              <w:bottom w:w="0" w:type="dxa"/>
              <w:right w:w="10" w:type="dxa"/>
            </w:tcMar>
            <w:vAlign w:val="center"/>
          </w:tcPr>
          <w:p w14:paraId="56ECDBAF">
            <w:pPr>
              <w:widowControl/>
              <w:spacing w:line="360" w:lineRule="auto"/>
              <w:jc w:val="center"/>
              <w:rPr>
                <w:rFonts w:ascii="宋体" w:hAnsi="宋体"/>
                <w:color w:val="auto"/>
                <w:szCs w:val="21"/>
                <w:highlight w:val="none"/>
              </w:rPr>
            </w:pPr>
            <w:r>
              <w:rPr>
                <w:rFonts w:hint="eastAsia" w:ascii="宋体" w:hAnsi="宋体"/>
                <w:color w:val="auto"/>
                <w:szCs w:val="21"/>
                <w:highlight w:val="none"/>
              </w:rPr>
              <w:t>投标响应</w:t>
            </w:r>
          </w:p>
        </w:tc>
        <w:tc>
          <w:tcPr>
            <w:tcW w:w="1201" w:type="dxa"/>
            <w:noWrap w:val="0"/>
            <w:tcMar>
              <w:top w:w="0" w:type="dxa"/>
              <w:left w:w="10" w:type="dxa"/>
              <w:bottom w:w="0" w:type="dxa"/>
              <w:right w:w="10" w:type="dxa"/>
            </w:tcMar>
            <w:vAlign w:val="center"/>
          </w:tcPr>
          <w:p w14:paraId="445BFB0A">
            <w:pPr>
              <w:widowControl/>
              <w:spacing w:line="360" w:lineRule="auto"/>
              <w:jc w:val="center"/>
              <w:rPr>
                <w:rFonts w:ascii="宋体" w:hAnsi="宋体"/>
                <w:color w:val="auto"/>
                <w:szCs w:val="21"/>
                <w:highlight w:val="none"/>
              </w:rPr>
            </w:pPr>
            <w:r>
              <w:rPr>
                <w:rFonts w:hint="eastAsia" w:ascii="宋体" w:hAnsi="宋体"/>
                <w:color w:val="auto"/>
                <w:szCs w:val="21"/>
                <w:highlight w:val="none"/>
              </w:rPr>
              <w:t>偏离</w:t>
            </w:r>
          </w:p>
        </w:tc>
      </w:tr>
      <w:tr w14:paraId="57F6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74BB717C">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679" w:type="dxa"/>
            <w:noWrap w:val="0"/>
            <w:tcMar>
              <w:top w:w="0" w:type="dxa"/>
              <w:left w:w="10" w:type="dxa"/>
              <w:bottom w:w="0" w:type="dxa"/>
              <w:right w:w="10" w:type="dxa"/>
            </w:tcMar>
            <w:vAlign w:val="center"/>
          </w:tcPr>
          <w:p w14:paraId="2993B4C5">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2488" w:type="dxa"/>
            <w:noWrap w:val="0"/>
            <w:tcMar>
              <w:top w:w="0" w:type="dxa"/>
              <w:left w:w="10" w:type="dxa"/>
              <w:bottom w:w="0" w:type="dxa"/>
              <w:right w:w="10" w:type="dxa"/>
            </w:tcMar>
            <w:vAlign w:val="center"/>
          </w:tcPr>
          <w:p w14:paraId="0103A596">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3004" w:type="dxa"/>
            <w:noWrap w:val="0"/>
            <w:tcMar>
              <w:top w:w="0" w:type="dxa"/>
              <w:left w:w="10" w:type="dxa"/>
              <w:bottom w:w="0" w:type="dxa"/>
              <w:right w:w="10" w:type="dxa"/>
            </w:tcMar>
            <w:vAlign w:val="center"/>
          </w:tcPr>
          <w:p w14:paraId="6F0185D3">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201" w:type="dxa"/>
            <w:noWrap w:val="0"/>
            <w:tcMar>
              <w:top w:w="0" w:type="dxa"/>
              <w:left w:w="10" w:type="dxa"/>
              <w:bottom w:w="0" w:type="dxa"/>
              <w:right w:w="10" w:type="dxa"/>
            </w:tcMar>
            <w:vAlign w:val="center"/>
          </w:tcPr>
          <w:p w14:paraId="26ED5614">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r>
      <w:tr w14:paraId="69778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15E3E808">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679" w:type="dxa"/>
            <w:noWrap w:val="0"/>
            <w:tcMar>
              <w:top w:w="0" w:type="dxa"/>
              <w:left w:w="10" w:type="dxa"/>
              <w:bottom w:w="0" w:type="dxa"/>
              <w:right w:w="10" w:type="dxa"/>
            </w:tcMar>
            <w:vAlign w:val="center"/>
          </w:tcPr>
          <w:p w14:paraId="39D24B49">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2488" w:type="dxa"/>
            <w:noWrap w:val="0"/>
            <w:tcMar>
              <w:top w:w="0" w:type="dxa"/>
              <w:left w:w="10" w:type="dxa"/>
              <w:bottom w:w="0" w:type="dxa"/>
              <w:right w:w="10" w:type="dxa"/>
            </w:tcMar>
            <w:vAlign w:val="center"/>
          </w:tcPr>
          <w:p w14:paraId="69C043D9">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3004" w:type="dxa"/>
            <w:noWrap w:val="0"/>
            <w:tcMar>
              <w:top w:w="0" w:type="dxa"/>
              <w:left w:w="10" w:type="dxa"/>
              <w:bottom w:w="0" w:type="dxa"/>
              <w:right w:w="10" w:type="dxa"/>
            </w:tcMar>
            <w:vAlign w:val="center"/>
          </w:tcPr>
          <w:p w14:paraId="705AE2B6">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201" w:type="dxa"/>
            <w:noWrap w:val="0"/>
            <w:tcMar>
              <w:top w:w="0" w:type="dxa"/>
              <w:left w:w="10" w:type="dxa"/>
              <w:bottom w:w="0" w:type="dxa"/>
              <w:right w:w="10" w:type="dxa"/>
            </w:tcMar>
            <w:vAlign w:val="center"/>
          </w:tcPr>
          <w:p w14:paraId="04AEFFA2">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r>
      <w:tr w14:paraId="0F842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04C36133">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679" w:type="dxa"/>
            <w:noWrap w:val="0"/>
            <w:tcMar>
              <w:top w:w="0" w:type="dxa"/>
              <w:left w:w="10" w:type="dxa"/>
              <w:bottom w:w="0" w:type="dxa"/>
              <w:right w:w="10" w:type="dxa"/>
            </w:tcMar>
            <w:vAlign w:val="center"/>
          </w:tcPr>
          <w:p w14:paraId="18C249A0">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2488" w:type="dxa"/>
            <w:noWrap w:val="0"/>
            <w:tcMar>
              <w:top w:w="0" w:type="dxa"/>
              <w:left w:w="10" w:type="dxa"/>
              <w:bottom w:w="0" w:type="dxa"/>
              <w:right w:w="10" w:type="dxa"/>
            </w:tcMar>
            <w:vAlign w:val="center"/>
          </w:tcPr>
          <w:p w14:paraId="681C8B8B">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3004" w:type="dxa"/>
            <w:noWrap w:val="0"/>
            <w:tcMar>
              <w:top w:w="0" w:type="dxa"/>
              <w:left w:w="10" w:type="dxa"/>
              <w:bottom w:w="0" w:type="dxa"/>
              <w:right w:w="10" w:type="dxa"/>
            </w:tcMar>
            <w:vAlign w:val="center"/>
          </w:tcPr>
          <w:p w14:paraId="31528C15">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201" w:type="dxa"/>
            <w:noWrap w:val="0"/>
            <w:tcMar>
              <w:top w:w="0" w:type="dxa"/>
              <w:left w:w="10" w:type="dxa"/>
              <w:bottom w:w="0" w:type="dxa"/>
              <w:right w:w="10" w:type="dxa"/>
            </w:tcMar>
            <w:vAlign w:val="center"/>
          </w:tcPr>
          <w:p w14:paraId="7C3B040E">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r>
      <w:tr w14:paraId="2085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31207D14">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679" w:type="dxa"/>
            <w:noWrap w:val="0"/>
            <w:tcMar>
              <w:top w:w="0" w:type="dxa"/>
              <w:left w:w="10" w:type="dxa"/>
              <w:bottom w:w="0" w:type="dxa"/>
              <w:right w:w="10" w:type="dxa"/>
            </w:tcMar>
            <w:vAlign w:val="center"/>
          </w:tcPr>
          <w:p w14:paraId="51FDD7E1">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2488" w:type="dxa"/>
            <w:noWrap w:val="0"/>
            <w:tcMar>
              <w:top w:w="0" w:type="dxa"/>
              <w:left w:w="10" w:type="dxa"/>
              <w:bottom w:w="0" w:type="dxa"/>
              <w:right w:w="10" w:type="dxa"/>
            </w:tcMar>
            <w:vAlign w:val="center"/>
          </w:tcPr>
          <w:p w14:paraId="7F4D2704">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3004" w:type="dxa"/>
            <w:noWrap w:val="0"/>
            <w:tcMar>
              <w:top w:w="0" w:type="dxa"/>
              <w:left w:w="10" w:type="dxa"/>
              <w:bottom w:w="0" w:type="dxa"/>
              <w:right w:w="10" w:type="dxa"/>
            </w:tcMar>
            <w:vAlign w:val="center"/>
          </w:tcPr>
          <w:p w14:paraId="2218C8F2">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201" w:type="dxa"/>
            <w:noWrap w:val="0"/>
            <w:tcMar>
              <w:top w:w="0" w:type="dxa"/>
              <w:left w:w="10" w:type="dxa"/>
              <w:bottom w:w="0" w:type="dxa"/>
              <w:right w:w="10" w:type="dxa"/>
            </w:tcMar>
            <w:vAlign w:val="center"/>
          </w:tcPr>
          <w:p w14:paraId="266DE7C0">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r>
      <w:tr w14:paraId="05B2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4CC0C44E">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679" w:type="dxa"/>
            <w:noWrap w:val="0"/>
            <w:tcMar>
              <w:top w:w="0" w:type="dxa"/>
              <w:left w:w="10" w:type="dxa"/>
              <w:bottom w:w="0" w:type="dxa"/>
              <w:right w:w="10" w:type="dxa"/>
            </w:tcMar>
            <w:vAlign w:val="center"/>
          </w:tcPr>
          <w:p w14:paraId="358EC6B1">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2488" w:type="dxa"/>
            <w:noWrap w:val="0"/>
            <w:tcMar>
              <w:top w:w="0" w:type="dxa"/>
              <w:left w:w="10" w:type="dxa"/>
              <w:bottom w:w="0" w:type="dxa"/>
              <w:right w:w="10" w:type="dxa"/>
            </w:tcMar>
            <w:vAlign w:val="center"/>
          </w:tcPr>
          <w:p w14:paraId="3B2AF837">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3004" w:type="dxa"/>
            <w:noWrap w:val="0"/>
            <w:tcMar>
              <w:top w:w="0" w:type="dxa"/>
              <w:left w:w="10" w:type="dxa"/>
              <w:bottom w:w="0" w:type="dxa"/>
              <w:right w:w="10" w:type="dxa"/>
            </w:tcMar>
            <w:vAlign w:val="center"/>
          </w:tcPr>
          <w:p w14:paraId="26C417CF">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201" w:type="dxa"/>
            <w:noWrap w:val="0"/>
            <w:tcMar>
              <w:top w:w="0" w:type="dxa"/>
              <w:left w:w="10" w:type="dxa"/>
              <w:bottom w:w="0" w:type="dxa"/>
              <w:right w:w="10" w:type="dxa"/>
            </w:tcMar>
            <w:vAlign w:val="center"/>
          </w:tcPr>
          <w:p w14:paraId="23849980">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r>
      <w:tr w14:paraId="1AAD6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697A0318">
            <w:pPr>
              <w:widowControl/>
              <w:spacing w:line="360" w:lineRule="auto"/>
              <w:jc w:val="center"/>
              <w:rPr>
                <w:rFonts w:ascii="宋体" w:hAnsi="宋体"/>
                <w:color w:val="auto"/>
                <w:szCs w:val="21"/>
                <w:highlight w:val="none"/>
              </w:rPr>
            </w:pPr>
          </w:p>
        </w:tc>
        <w:tc>
          <w:tcPr>
            <w:tcW w:w="1679" w:type="dxa"/>
            <w:noWrap w:val="0"/>
            <w:tcMar>
              <w:top w:w="0" w:type="dxa"/>
              <w:left w:w="10" w:type="dxa"/>
              <w:bottom w:w="0" w:type="dxa"/>
              <w:right w:w="10" w:type="dxa"/>
            </w:tcMar>
            <w:vAlign w:val="center"/>
          </w:tcPr>
          <w:p w14:paraId="7793F494">
            <w:pPr>
              <w:widowControl/>
              <w:spacing w:line="360" w:lineRule="auto"/>
              <w:jc w:val="center"/>
              <w:rPr>
                <w:rFonts w:ascii="宋体" w:hAnsi="宋体"/>
                <w:color w:val="auto"/>
                <w:szCs w:val="21"/>
                <w:highlight w:val="none"/>
              </w:rPr>
            </w:pPr>
          </w:p>
        </w:tc>
        <w:tc>
          <w:tcPr>
            <w:tcW w:w="2488" w:type="dxa"/>
            <w:noWrap w:val="0"/>
            <w:tcMar>
              <w:top w:w="0" w:type="dxa"/>
              <w:left w:w="10" w:type="dxa"/>
              <w:bottom w:w="0" w:type="dxa"/>
              <w:right w:w="10" w:type="dxa"/>
            </w:tcMar>
            <w:vAlign w:val="center"/>
          </w:tcPr>
          <w:p w14:paraId="13803E17">
            <w:pPr>
              <w:widowControl/>
              <w:spacing w:line="360" w:lineRule="auto"/>
              <w:jc w:val="center"/>
              <w:rPr>
                <w:rFonts w:ascii="宋体" w:hAnsi="宋体"/>
                <w:color w:val="auto"/>
                <w:szCs w:val="21"/>
                <w:highlight w:val="none"/>
              </w:rPr>
            </w:pPr>
          </w:p>
        </w:tc>
        <w:tc>
          <w:tcPr>
            <w:tcW w:w="3004" w:type="dxa"/>
            <w:noWrap w:val="0"/>
            <w:tcMar>
              <w:top w:w="0" w:type="dxa"/>
              <w:left w:w="10" w:type="dxa"/>
              <w:bottom w:w="0" w:type="dxa"/>
              <w:right w:w="10" w:type="dxa"/>
            </w:tcMar>
            <w:vAlign w:val="center"/>
          </w:tcPr>
          <w:p w14:paraId="6B86BC02">
            <w:pPr>
              <w:widowControl/>
              <w:spacing w:line="360" w:lineRule="auto"/>
              <w:jc w:val="center"/>
              <w:rPr>
                <w:rFonts w:ascii="宋体" w:hAnsi="宋体"/>
                <w:color w:val="auto"/>
                <w:szCs w:val="21"/>
                <w:highlight w:val="none"/>
              </w:rPr>
            </w:pPr>
          </w:p>
        </w:tc>
        <w:tc>
          <w:tcPr>
            <w:tcW w:w="1201" w:type="dxa"/>
            <w:noWrap w:val="0"/>
            <w:tcMar>
              <w:top w:w="0" w:type="dxa"/>
              <w:left w:w="10" w:type="dxa"/>
              <w:bottom w:w="0" w:type="dxa"/>
              <w:right w:w="10" w:type="dxa"/>
            </w:tcMar>
            <w:vAlign w:val="center"/>
          </w:tcPr>
          <w:p w14:paraId="1A5EA620">
            <w:pPr>
              <w:widowControl/>
              <w:spacing w:line="360" w:lineRule="auto"/>
              <w:jc w:val="center"/>
              <w:rPr>
                <w:rFonts w:ascii="宋体" w:hAnsi="宋体"/>
                <w:color w:val="auto"/>
                <w:szCs w:val="21"/>
                <w:highlight w:val="none"/>
              </w:rPr>
            </w:pPr>
          </w:p>
        </w:tc>
      </w:tr>
      <w:tr w14:paraId="5B2F9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13C8DB5B">
            <w:pPr>
              <w:widowControl/>
              <w:spacing w:line="360" w:lineRule="auto"/>
              <w:jc w:val="center"/>
              <w:rPr>
                <w:rFonts w:ascii="宋体" w:hAnsi="宋体"/>
                <w:color w:val="auto"/>
                <w:szCs w:val="21"/>
                <w:highlight w:val="none"/>
              </w:rPr>
            </w:pPr>
          </w:p>
        </w:tc>
        <w:tc>
          <w:tcPr>
            <w:tcW w:w="1679" w:type="dxa"/>
            <w:noWrap w:val="0"/>
            <w:tcMar>
              <w:top w:w="0" w:type="dxa"/>
              <w:left w:w="10" w:type="dxa"/>
              <w:bottom w:w="0" w:type="dxa"/>
              <w:right w:w="10" w:type="dxa"/>
            </w:tcMar>
            <w:vAlign w:val="center"/>
          </w:tcPr>
          <w:p w14:paraId="19B19B3F">
            <w:pPr>
              <w:widowControl/>
              <w:spacing w:line="360" w:lineRule="auto"/>
              <w:jc w:val="center"/>
              <w:rPr>
                <w:rFonts w:ascii="宋体" w:hAnsi="宋体"/>
                <w:color w:val="auto"/>
                <w:szCs w:val="21"/>
                <w:highlight w:val="none"/>
              </w:rPr>
            </w:pPr>
          </w:p>
        </w:tc>
        <w:tc>
          <w:tcPr>
            <w:tcW w:w="2488" w:type="dxa"/>
            <w:noWrap w:val="0"/>
            <w:tcMar>
              <w:top w:w="0" w:type="dxa"/>
              <w:left w:w="10" w:type="dxa"/>
              <w:bottom w:w="0" w:type="dxa"/>
              <w:right w:w="10" w:type="dxa"/>
            </w:tcMar>
            <w:vAlign w:val="center"/>
          </w:tcPr>
          <w:p w14:paraId="69DAE208">
            <w:pPr>
              <w:widowControl/>
              <w:spacing w:line="360" w:lineRule="auto"/>
              <w:jc w:val="center"/>
              <w:rPr>
                <w:rFonts w:ascii="宋体" w:hAnsi="宋体"/>
                <w:color w:val="auto"/>
                <w:szCs w:val="21"/>
                <w:highlight w:val="none"/>
              </w:rPr>
            </w:pPr>
          </w:p>
        </w:tc>
        <w:tc>
          <w:tcPr>
            <w:tcW w:w="3004" w:type="dxa"/>
            <w:noWrap w:val="0"/>
            <w:tcMar>
              <w:top w:w="0" w:type="dxa"/>
              <w:left w:w="10" w:type="dxa"/>
              <w:bottom w:w="0" w:type="dxa"/>
              <w:right w:w="10" w:type="dxa"/>
            </w:tcMar>
            <w:vAlign w:val="center"/>
          </w:tcPr>
          <w:p w14:paraId="23B211BB">
            <w:pPr>
              <w:widowControl/>
              <w:spacing w:line="360" w:lineRule="auto"/>
              <w:jc w:val="center"/>
              <w:rPr>
                <w:rFonts w:ascii="宋体" w:hAnsi="宋体"/>
                <w:color w:val="auto"/>
                <w:szCs w:val="21"/>
                <w:highlight w:val="none"/>
              </w:rPr>
            </w:pPr>
          </w:p>
        </w:tc>
        <w:tc>
          <w:tcPr>
            <w:tcW w:w="1201" w:type="dxa"/>
            <w:noWrap w:val="0"/>
            <w:tcMar>
              <w:top w:w="0" w:type="dxa"/>
              <w:left w:w="10" w:type="dxa"/>
              <w:bottom w:w="0" w:type="dxa"/>
              <w:right w:w="10" w:type="dxa"/>
            </w:tcMar>
            <w:vAlign w:val="center"/>
          </w:tcPr>
          <w:p w14:paraId="5EC7813C">
            <w:pPr>
              <w:widowControl/>
              <w:spacing w:line="360" w:lineRule="auto"/>
              <w:jc w:val="center"/>
              <w:rPr>
                <w:rFonts w:ascii="宋体" w:hAnsi="宋体"/>
                <w:color w:val="auto"/>
                <w:szCs w:val="21"/>
                <w:highlight w:val="none"/>
              </w:rPr>
            </w:pPr>
          </w:p>
        </w:tc>
      </w:tr>
    </w:tbl>
    <w:p w14:paraId="1BC6970B">
      <w:pPr>
        <w:widowControl/>
        <w:spacing w:line="360" w:lineRule="auto"/>
        <w:jc w:val="left"/>
        <w:rPr>
          <w:rFonts w:ascii="宋体" w:hAnsi="宋体"/>
          <w:color w:val="auto"/>
          <w:szCs w:val="21"/>
          <w:highlight w:val="none"/>
        </w:rPr>
      </w:pPr>
      <w:r>
        <w:rPr>
          <w:rFonts w:hint="eastAsia" w:ascii="宋体" w:hAnsi="宋体"/>
          <w:color w:val="auto"/>
          <w:szCs w:val="21"/>
          <w:highlight w:val="none"/>
        </w:rPr>
        <w:t>说明：如果行数不够，请自行增加。</w:t>
      </w:r>
    </w:p>
    <w:p w14:paraId="3B04D657">
      <w:pPr>
        <w:widowControl/>
        <w:spacing w:line="360" w:lineRule="auto"/>
        <w:jc w:val="left"/>
        <w:rPr>
          <w:rFonts w:ascii="宋体" w:hAnsi="宋体" w:cs="宋体"/>
          <w:color w:val="auto"/>
          <w:szCs w:val="21"/>
          <w:highlight w:val="none"/>
        </w:rPr>
      </w:pPr>
    </w:p>
    <w:p w14:paraId="0125BF4F">
      <w:pPr>
        <w:widowControl/>
        <w:spacing w:line="360" w:lineRule="auto"/>
        <w:jc w:val="left"/>
        <w:rPr>
          <w:rFonts w:ascii="宋体" w:hAnsi="宋体" w:cs="宋体"/>
          <w:color w:val="auto"/>
          <w:szCs w:val="21"/>
          <w:highlight w:val="none"/>
        </w:rPr>
      </w:pPr>
    </w:p>
    <w:p w14:paraId="37BE33D3">
      <w:pPr>
        <w:widowControl/>
        <w:spacing w:line="360" w:lineRule="auto"/>
        <w:jc w:val="left"/>
        <w:rPr>
          <w:rFonts w:ascii="宋体" w:hAnsi="宋体" w:cs="宋体"/>
          <w:color w:val="auto"/>
          <w:szCs w:val="21"/>
          <w:highlight w:val="none"/>
        </w:rPr>
      </w:pPr>
    </w:p>
    <w:p w14:paraId="5DE3510B">
      <w:pPr>
        <w:widowControl/>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投标人名称：（盖章）</w:t>
      </w:r>
    </w:p>
    <w:p w14:paraId="3488BBEB">
      <w:pPr>
        <w:widowControl/>
        <w:spacing w:line="360" w:lineRule="auto"/>
        <w:jc w:val="left"/>
        <w:rPr>
          <w:rFonts w:ascii="宋体" w:hAnsi="宋体" w:cs="宋体"/>
          <w:color w:val="auto"/>
          <w:szCs w:val="21"/>
          <w:highlight w:val="none"/>
          <w:lang w:val="zh-CN"/>
        </w:rPr>
      </w:pPr>
      <w:r>
        <w:rPr>
          <w:rFonts w:hint="eastAsia" w:ascii="宋体" w:hAnsi="宋体"/>
          <w:color w:val="auto"/>
          <w:szCs w:val="21"/>
          <w:highlight w:val="none"/>
        </w:rPr>
        <w:t>法定代表人或委托代理人（签字或盖章）</w:t>
      </w:r>
      <w:r>
        <w:rPr>
          <w:rFonts w:hint="eastAsia" w:ascii="宋体" w:hAnsi="宋体"/>
          <w:bCs/>
          <w:color w:val="auto"/>
          <w:szCs w:val="21"/>
          <w:highlight w:val="none"/>
        </w:rPr>
        <w:t>：</w:t>
      </w:r>
    </w:p>
    <w:p w14:paraId="545CC5E5">
      <w:pPr>
        <w:widowControl/>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日期：</w:t>
      </w:r>
    </w:p>
    <w:p w14:paraId="2B9AE053">
      <w:pPr>
        <w:spacing w:line="360" w:lineRule="auto"/>
        <w:rPr>
          <w:rFonts w:ascii="宋体" w:hAnsi="宋体"/>
          <w:color w:val="auto"/>
          <w:szCs w:val="21"/>
          <w:highlight w:val="none"/>
        </w:rPr>
      </w:pPr>
      <w:r>
        <w:rPr>
          <w:rFonts w:ascii="宋体" w:hAnsi="宋体"/>
          <w:color w:val="auto"/>
          <w:szCs w:val="21"/>
          <w:highlight w:val="none"/>
        </w:rPr>
        <w:br w:type="page" w:clear="all"/>
      </w:r>
    </w:p>
    <w:p w14:paraId="46CF3EAF">
      <w:pPr>
        <w:spacing w:line="360" w:lineRule="auto"/>
        <w:jc w:val="center"/>
        <w:outlineLvl w:val="0"/>
        <w:rPr>
          <w:rFonts w:ascii="宋体" w:hAnsi="宋体"/>
          <w:b/>
          <w:color w:val="auto"/>
          <w:sz w:val="32"/>
          <w:szCs w:val="32"/>
          <w:highlight w:val="none"/>
        </w:rPr>
      </w:pPr>
      <w:bookmarkStart w:id="79" w:name="_Toc55479030"/>
      <w:r>
        <w:rPr>
          <w:rFonts w:hint="eastAsia" w:ascii="宋体" w:hAnsi="宋体"/>
          <w:b/>
          <w:color w:val="auto"/>
          <w:sz w:val="32"/>
          <w:szCs w:val="32"/>
          <w:highlight w:val="none"/>
        </w:rPr>
        <w:t>六、技术条款偏离表</w:t>
      </w:r>
      <w:bookmarkEnd w:id="79"/>
    </w:p>
    <w:p w14:paraId="77AAFBAA">
      <w:pPr>
        <w:widowControl/>
        <w:spacing w:line="360" w:lineRule="auto"/>
        <w:jc w:val="left"/>
        <w:rPr>
          <w:rFonts w:ascii="宋体" w:hAnsi="宋体"/>
          <w:color w:val="auto"/>
          <w:szCs w:val="21"/>
          <w:highlight w:val="none"/>
        </w:rPr>
      </w:pPr>
      <w:r>
        <w:rPr>
          <w:rFonts w:ascii="宋体" w:hAnsi="宋体" w:cs="Calibri"/>
          <w:color w:val="auto"/>
          <w:szCs w:val="21"/>
          <w:highlight w:val="none"/>
        </w:rPr>
        <w:t>                       </w:t>
      </w:r>
    </w:p>
    <w:p w14:paraId="0EB7ED0A">
      <w:pPr>
        <w:widowControl/>
        <w:tabs>
          <w:tab w:val="left" w:pos="5397"/>
        </w:tabs>
        <w:spacing w:line="360" w:lineRule="auto"/>
        <w:ind w:firstLine="84"/>
        <w:jc w:val="left"/>
        <w:rPr>
          <w:rFonts w:ascii="宋体" w:hAnsi="宋体"/>
          <w:color w:val="auto"/>
          <w:szCs w:val="21"/>
          <w:highlight w:val="none"/>
        </w:rPr>
      </w:pPr>
      <w:r>
        <w:rPr>
          <w:rFonts w:hint="eastAsia" w:ascii="宋体" w:hAnsi="宋体"/>
          <w:color w:val="auto"/>
          <w:szCs w:val="21"/>
          <w:highlight w:val="none"/>
        </w:rPr>
        <w:t>项目名称：</w:t>
      </w:r>
      <w:r>
        <w:rPr>
          <w:rFonts w:ascii="宋体" w:hAnsi="宋体"/>
          <w:color w:val="auto"/>
          <w:szCs w:val="21"/>
          <w:highlight w:val="none"/>
        </w:rPr>
        <w:tab/>
      </w:r>
      <w:r>
        <w:rPr>
          <w:rFonts w:hint="eastAsia" w:ascii="宋体" w:hAnsi="宋体"/>
          <w:color w:val="auto"/>
          <w:szCs w:val="21"/>
          <w:highlight w:val="none"/>
        </w:rPr>
        <w:t>项目编号：</w:t>
      </w:r>
      <w:r>
        <w:rPr>
          <w:rFonts w:ascii="宋体" w:hAnsi="宋体" w:cs="Calibri"/>
          <w:color w:val="auto"/>
          <w:szCs w:val="21"/>
          <w:highlight w:val="none"/>
        </w:rPr>
        <w:t>  </w:t>
      </w:r>
    </w:p>
    <w:tbl>
      <w:tblPr>
        <w:tblStyle w:val="36"/>
        <w:tblW w:w="85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1678"/>
        <w:gridCol w:w="1931"/>
        <w:gridCol w:w="3012"/>
        <w:gridCol w:w="1246"/>
      </w:tblGrid>
      <w:tr w14:paraId="4A197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2C707302">
            <w:pPr>
              <w:widowControl/>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678" w:type="dxa"/>
            <w:noWrap w:val="0"/>
            <w:tcMar>
              <w:top w:w="0" w:type="dxa"/>
              <w:left w:w="10" w:type="dxa"/>
              <w:bottom w:w="0" w:type="dxa"/>
              <w:right w:w="10" w:type="dxa"/>
            </w:tcMar>
            <w:vAlign w:val="center"/>
          </w:tcPr>
          <w:p w14:paraId="0135720E">
            <w:pPr>
              <w:widowControl/>
              <w:spacing w:line="360" w:lineRule="auto"/>
              <w:jc w:val="center"/>
              <w:rPr>
                <w:rFonts w:ascii="宋体" w:hAnsi="宋体"/>
                <w:color w:val="auto"/>
                <w:szCs w:val="21"/>
                <w:highlight w:val="none"/>
              </w:rPr>
            </w:pPr>
            <w:r>
              <w:rPr>
                <w:rFonts w:hint="eastAsia" w:ascii="宋体" w:hAnsi="宋体"/>
                <w:color w:val="auto"/>
                <w:szCs w:val="21"/>
                <w:highlight w:val="none"/>
              </w:rPr>
              <w:t>招标文件条目号</w:t>
            </w:r>
          </w:p>
        </w:tc>
        <w:tc>
          <w:tcPr>
            <w:tcW w:w="1931" w:type="dxa"/>
            <w:noWrap w:val="0"/>
            <w:tcMar>
              <w:top w:w="0" w:type="dxa"/>
              <w:left w:w="10" w:type="dxa"/>
              <w:bottom w:w="0" w:type="dxa"/>
              <w:right w:w="10" w:type="dxa"/>
            </w:tcMar>
            <w:vAlign w:val="center"/>
          </w:tcPr>
          <w:p w14:paraId="1E77EB94">
            <w:pPr>
              <w:widowControl/>
              <w:spacing w:line="360" w:lineRule="auto"/>
              <w:jc w:val="center"/>
              <w:rPr>
                <w:rFonts w:ascii="宋体" w:hAnsi="宋体"/>
                <w:color w:val="auto"/>
                <w:szCs w:val="21"/>
                <w:highlight w:val="none"/>
              </w:rPr>
            </w:pPr>
            <w:r>
              <w:rPr>
                <w:rFonts w:hint="eastAsia" w:ascii="宋体" w:hAnsi="宋体"/>
                <w:color w:val="auto"/>
                <w:szCs w:val="21"/>
                <w:highlight w:val="none"/>
              </w:rPr>
              <w:t>招标要求规格</w:t>
            </w:r>
          </w:p>
        </w:tc>
        <w:tc>
          <w:tcPr>
            <w:tcW w:w="3012" w:type="dxa"/>
            <w:noWrap w:val="0"/>
            <w:tcMar>
              <w:top w:w="0" w:type="dxa"/>
              <w:left w:w="10" w:type="dxa"/>
              <w:bottom w:w="0" w:type="dxa"/>
              <w:right w:w="10" w:type="dxa"/>
            </w:tcMar>
            <w:vAlign w:val="center"/>
          </w:tcPr>
          <w:p w14:paraId="31333064">
            <w:pPr>
              <w:widowControl/>
              <w:spacing w:line="360" w:lineRule="auto"/>
              <w:jc w:val="center"/>
              <w:rPr>
                <w:rFonts w:ascii="宋体" w:hAnsi="宋体"/>
                <w:color w:val="auto"/>
                <w:szCs w:val="21"/>
                <w:highlight w:val="none"/>
              </w:rPr>
            </w:pPr>
            <w:r>
              <w:rPr>
                <w:rFonts w:hint="eastAsia" w:ascii="宋体" w:hAnsi="宋体"/>
                <w:color w:val="auto"/>
                <w:szCs w:val="21"/>
                <w:highlight w:val="none"/>
              </w:rPr>
              <w:t>投标响应</w:t>
            </w:r>
          </w:p>
        </w:tc>
        <w:tc>
          <w:tcPr>
            <w:tcW w:w="1246" w:type="dxa"/>
            <w:noWrap w:val="0"/>
            <w:tcMar>
              <w:top w:w="0" w:type="dxa"/>
              <w:left w:w="10" w:type="dxa"/>
              <w:bottom w:w="0" w:type="dxa"/>
              <w:right w:w="10" w:type="dxa"/>
            </w:tcMar>
            <w:vAlign w:val="center"/>
          </w:tcPr>
          <w:p w14:paraId="6F9FD681">
            <w:pPr>
              <w:widowControl/>
              <w:spacing w:line="360" w:lineRule="auto"/>
              <w:jc w:val="center"/>
              <w:rPr>
                <w:rFonts w:ascii="宋体" w:hAnsi="宋体"/>
                <w:color w:val="auto"/>
                <w:szCs w:val="21"/>
                <w:highlight w:val="none"/>
              </w:rPr>
            </w:pPr>
            <w:r>
              <w:rPr>
                <w:rFonts w:hint="eastAsia" w:ascii="宋体" w:hAnsi="宋体"/>
                <w:color w:val="auto"/>
                <w:szCs w:val="21"/>
                <w:highlight w:val="none"/>
              </w:rPr>
              <w:t>偏离</w:t>
            </w:r>
          </w:p>
        </w:tc>
      </w:tr>
      <w:tr w14:paraId="2A9F3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79F52C92">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678" w:type="dxa"/>
            <w:noWrap w:val="0"/>
            <w:tcMar>
              <w:top w:w="0" w:type="dxa"/>
              <w:left w:w="10" w:type="dxa"/>
              <w:bottom w:w="0" w:type="dxa"/>
              <w:right w:w="10" w:type="dxa"/>
            </w:tcMar>
            <w:vAlign w:val="center"/>
          </w:tcPr>
          <w:p w14:paraId="24573D16">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931" w:type="dxa"/>
            <w:noWrap w:val="0"/>
            <w:tcMar>
              <w:top w:w="0" w:type="dxa"/>
              <w:left w:w="10" w:type="dxa"/>
              <w:bottom w:w="0" w:type="dxa"/>
              <w:right w:w="10" w:type="dxa"/>
            </w:tcMar>
            <w:vAlign w:val="center"/>
          </w:tcPr>
          <w:p w14:paraId="5EE4870C">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3012" w:type="dxa"/>
            <w:noWrap w:val="0"/>
            <w:tcMar>
              <w:top w:w="0" w:type="dxa"/>
              <w:left w:w="10" w:type="dxa"/>
              <w:bottom w:w="0" w:type="dxa"/>
              <w:right w:w="10" w:type="dxa"/>
            </w:tcMar>
            <w:vAlign w:val="center"/>
          </w:tcPr>
          <w:p w14:paraId="44F6EC33">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246" w:type="dxa"/>
            <w:noWrap w:val="0"/>
            <w:tcMar>
              <w:top w:w="0" w:type="dxa"/>
              <w:left w:w="10" w:type="dxa"/>
              <w:bottom w:w="0" w:type="dxa"/>
              <w:right w:w="10" w:type="dxa"/>
            </w:tcMar>
            <w:vAlign w:val="center"/>
          </w:tcPr>
          <w:p w14:paraId="60EAD2B7">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r>
      <w:tr w14:paraId="527E2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2B2A98FB">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678" w:type="dxa"/>
            <w:noWrap w:val="0"/>
            <w:tcMar>
              <w:top w:w="0" w:type="dxa"/>
              <w:left w:w="10" w:type="dxa"/>
              <w:bottom w:w="0" w:type="dxa"/>
              <w:right w:w="10" w:type="dxa"/>
            </w:tcMar>
            <w:vAlign w:val="center"/>
          </w:tcPr>
          <w:p w14:paraId="405ED57F">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931" w:type="dxa"/>
            <w:noWrap w:val="0"/>
            <w:tcMar>
              <w:top w:w="0" w:type="dxa"/>
              <w:left w:w="10" w:type="dxa"/>
              <w:bottom w:w="0" w:type="dxa"/>
              <w:right w:w="10" w:type="dxa"/>
            </w:tcMar>
            <w:vAlign w:val="center"/>
          </w:tcPr>
          <w:p w14:paraId="287BEF31">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3012" w:type="dxa"/>
            <w:noWrap w:val="0"/>
            <w:tcMar>
              <w:top w:w="0" w:type="dxa"/>
              <w:left w:w="10" w:type="dxa"/>
              <w:bottom w:w="0" w:type="dxa"/>
              <w:right w:w="10" w:type="dxa"/>
            </w:tcMar>
            <w:vAlign w:val="center"/>
          </w:tcPr>
          <w:p w14:paraId="23A334C5">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246" w:type="dxa"/>
            <w:noWrap w:val="0"/>
            <w:tcMar>
              <w:top w:w="0" w:type="dxa"/>
              <w:left w:w="10" w:type="dxa"/>
              <w:bottom w:w="0" w:type="dxa"/>
              <w:right w:w="10" w:type="dxa"/>
            </w:tcMar>
            <w:vAlign w:val="center"/>
          </w:tcPr>
          <w:p w14:paraId="69956885">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r>
      <w:tr w14:paraId="3140C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1192A416">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678" w:type="dxa"/>
            <w:noWrap w:val="0"/>
            <w:tcMar>
              <w:top w:w="0" w:type="dxa"/>
              <w:left w:w="10" w:type="dxa"/>
              <w:bottom w:w="0" w:type="dxa"/>
              <w:right w:w="10" w:type="dxa"/>
            </w:tcMar>
            <w:vAlign w:val="center"/>
          </w:tcPr>
          <w:p w14:paraId="04B244EB">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931" w:type="dxa"/>
            <w:noWrap w:val="0"/>
            <w:tcMar>
              <w:top w:w="0" w:type="dxa"/>
              <w:left w:w="10" w:type="dxa"/>
              <w:bottom w:w="0" w:type="dxa"/>
              <w:right w:w="10" w:type="dxa"/>
            </w:tcMar>
            <w:vAlign w:val="center"/>
          </w:tcPr>
          <w:p w14:paraId="36734E94">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3012" w:type="dxa"/>
            <w:noWrap w:val="0"/>
            <w:tcMar>
              <w:top w:w="0" w:type="dxa"/>
              <w:left w:w="10" w:type="dxa"/>
              <w:bottom w:w="0" w:type="dxa"/>
              <w:right w:w="10" w:type="dxa"/>
            </w:tcMar>
            <w:vAlign w:val="center"/>
          </w:tcPr>
          <w:p w14:paraId="44E5CCC9">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c>
          <w:tcPr>
            <w:tcW w:w="1246" w:type="dxa"/>
            <w:noWrap w:val="0"/>
            <w:tcMar>
              <w:top w:w="0" w:type="dxa"/>
              <w:left w:w="10" w:type="dxa"/>
              <w:bottom w:w="0" w:type="dxa"/>
              <w:right w:w="10" w:type="dxa"/>
            </w:tcMar>
            <w:vAlign w:val="center"/>
          </w:tcPr>
          <w:p w14:paraId="024320A9">
            <w:pPr>
              <w:widowControl/>
              <w:spacing w:line="360" w:lineRule="auto"/>
              <w:jc w:val="center"/>
              <w:rPr>
                <w:rFonts w:ascii="宋体" w:hAnsi="宋体"/>
                <w:color w:val="auto"/>
                <w:szCs w:val="21"/>
                <w:highlight w:val="none"/>
              </w:rPr>
            </w:pPr>
            <w:r>
              <w:rPr>
                <w:rFonts w:ascii="宋体" w:hAnsi="宋体" w:cs="Calibri"/>
                <w:color w:val="auto"/>
                <w:szCs w:val="21"/>
                <w:highlight w:val="none"/>
              </w:rPr>
              <w:t> </w:t>
            </w:r>
          </w:p>
        </w:tc>
      </w:tr>
      <w:tr w14:paraId="76927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031A45D2">
            <w:pPr>
              <w:widowControl/>
              <w:spacing w:line="360" w:lineRule="auto"/>
              <w:jc w:val="center"/>
              <w:rPr>
                <w:rFonts w:ascii="宋体" w:hAnsi="宋体"/>
                <w:color w:val="auto"/>
                <w:szCs w:val="21"/>
                <w:highlight w:val="none"/>
              </w:rPr>
            </w:pPr>
          </w:p>
        </w:tc>
        <w:tc>
          <w:tcPr>
            <w:tcW w:w="1678" w:type="dxa"/>
            <w:noWrap w:val="0"/>
            <w:tcMar>
              <w:top w:w="0" w:type="dxa"/>
              <w:left w:w="10" w:type="dxa"/>
              <w:bottom w:w="0" w:type="dxa"/>
              <w:right w:w="10" w:type="dxa"/>
            </w:tcMar>
            <w:vAlign w:val="center"/>
          </w:tcPr>
          <w:p w14:paraId="365AB9E9">
            <w:pPr>
              <w:widowControl/>
              <w:spacing w:line="360" w:lineRule="auto"/>
              <w:jc w:val="center"/>
              <w:rPr>
                <w:rFonts w:ascii="宋体" w:hAnsi="宋体"/>
                <w:color w:val="auto"/>
                <w:szCs w:val="21"/>
                <w:highlight w:val="none"/>
              </w:rPr>
            </w:pPr>
          </w:p>
        </w:tc>
        <w:tc>
          <w:tcPr>
            <w:tcW w:w="1931" w:type="dxa"/>
            <w:noWrap w:val="0"/>
            <w:tcMar>
              <w:top w:w="0" w:type="dxa"/>
              <w:left w:w="10" w:type="dxa"/>
              <w:bottom w:w="0" w:type="dxa"/>
              <w:right w:w="10" w:type="dxa"/>
            </w:tcMar>
            <w:vAlign w:val="center"/>
          </w:tcPr>
          <w:p w14:paraId="6E36CDEB">
            <w:pPr>
              <w:widowControl/>
              <w:spacing w:line="360" w:lineRule="auto"/>
              <w:jc w:val="center"/>
              <w:rPr>
                <w:rFonts w:ascii="宋体" w:hAnsi="宋体"/>
                <w:color w:val="auto"/>
                <w:szCs w:val="21"/>
                <w:highlight w:val="none"/>
              </w:rPr>
            </w:pPr>
          </w:p>
        </w:tc>
        <w:tc>
          <w:tcPr>
            <w:tcW w:w="3012" w:type="dxa"/>
            <w:noWrap w:val="0"/>
            <w:tcMar>
              <w:top w:w="0" w:type="dxa"/>
              <w:left w:w="10" w:type="dxa"/>
              <w:bottom w:w="0" w:type="dxa"/>
              <w:right w:w="10" w:type="dxa"/>
            </w:tcMar>
            <w:vAlign w:val="center"/>
          </w:tcPr>
          <w:p w14:paraId="7765BFBB">
            <w:pPr>
              <w:widowControl/>
              <w:spacing w:line="360" w:lineRule="auto"/>
              <w:jc w:val="center"/>
              <w:rPr>
                <w:rFonts w:ascii="宋体" w:hAnsi="宋体"/>
                <w:color w:val="auto"/>
                <w:szCs w:val="21"/>
                <w:highlight w:val="none"/>
              </w:rPr>
            </w:pPr>
          </w:p>
        </w:tc>
        <w:tc>
          <w:tcPr>
            <w:tcW w:w="1246" w:type="dxa"/>
            <w:noWrap w:val="0"/>
            <w:tcMar>
              <w:top w:w="0" w:type="dxa"/>
              <w:left w:w="10" w:type="dxa"/>
              <w:bottom w:w="0" w:type="dxa"/>
              <w:right w:w="10" w:type="dxa"/>
            </w:tcMar>
            <w:vAlign w:val="center"/>
          </w:tcPr>
          <w:p w14:paraId="2D1D64C6">
            <w:pPr>
              <w:widowControl/>
              <w:spacing w:line="360" w:lineRule="auto"/>
              <w:jc w:val="center"/>
              <w:rPr>
                <w:rFonts w:ascii="宋体" w:hAnsi="宋体"/>
                <w:color w:val="auto"/>
                <w:szCs w:val="21"/>
                <w:highlight w:val="none"/>
              </w:rPr>
            </w:pPr>
          </w:p>
        </w:tc>
      </w:tr>
      <w:tr w14:paraId="4B44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10974F81">
            <w:pPr>
              <w:widowControl/>
              <w:spacing w:line="360" w:lineRule="auto"/>
              <w:jc w:val="center"/>
              <w:rPr>
                <w:rFonts w:ascii="宋体" w:hAnsi="宋体"/>
                <w:color w:val="auto"/>
                <w:szCs w:val="21"/>
                <w:highlight w:val="none"/>
              </w:rPr>
            </w:pPr>
          </w:p>
        </w:tc>
        <w:tc>
          <w:tcPr>
            <w:tcW w:w="1678" w:type="dxa"/>
            <w:noWrap w:val="0"/>
            <w:tcMar>
              <w:top w:w="0" w:type="dxa"/>
              <w:left w:w="10" w:type="dxa"/>
              <w:bottom w:w="0" w:type="dxa"/>
              <w:right w:w="10" w:type="dxa"/>
            </w:tcMar>
            <w:vAlign w:val="center"/>
          </w:tcPr>
          <w:p w14:paraId="3D22119F">
            <w:pPr>
              <w:widowControl/>
              <w:spacing w:line="360" w:lineRule="auto"/>
              <w:jc w:val="center"/>
              <w:rPr>
                <w:rFonts w:ascii="宋体" w:hAnsi="宋体"/>
                <w:color w:val="auto"/>
                <w:szCs w:val="21"/>
                <w:highlight w:val="none"/>
              </w:rPr>
            </w:pPr>
          </w:p>
        </w:tc>
        <w:tc>
          <w:tcPr>
            <w:tcW w:w="1931" w:type="dxa"/>
            <w:noWrap w:val="0"/>
            <w:tcMar>
              <w:top w:w="0" w:type="dxa"/>
              <w:left w:w="10" w:type="dxa"/>
              <w:bottom w:w="0" w:type="dxa"/>
              <w:right w:w="10" w:type="dxa"/>
            </w:tcMar>
            <w:vAlign w:val="center"/>
          </w:tcPr>
          <w:p w14:paraId="54B8A981">
            <w:pPr>
              <w:widowControl/>
              <w:spacing w:line="360" w:lineRule="auto"/>
              <w:jc w:val="center"/>
              <w:rPr>
                <w:rFonts w:ascii="宋体" w:hAnsi="宋体"/>
                <w:color w:val="auto"/>
                <w:szCs w:val="21"/>
                <w:highlight w:val="none"/>
              </w:rPr>
            </w:pPr>
          </w:p>
        </w:tc>
        <w:tc>
          <w:tcPr>
            <w:tcW w:w="3012" w:type="dxa"/>
            <w:noWrap w:val="0"/>
            <w:tcMar>
              <w:top w:w="0" w:type="dxa"/>
              <w:left w:w="10" w:type="dxa"/>
              <w:bottom w:w="0" w:type="dxa"/>
              <w:right w:w="10" w:type="dxa"/>
            </w:tcMar>
            <w:vAlign w:val="center"/>
          </w:tcPr>
          <w:p w14:paraId="1376E9FA">
            <w:pPr>
              <w:widowControl/>
              <w:spacing w:line="360" w:lineRule="auto"/>
              <w:jc w:val="center"/>
              <w:rPr>
                <w:rFonts w:ascii="宋体" w:hAnsi="宋体"/>
                <w:color w:val="auto"/>
                <w:szCs w:val="21"/>
                <w:highlight w:val="none"/>
              </w:rPr>
            </w:pPr>
          </w:p>
        </w:tc>
        <w:tc>
          <w:tcPr>
            <w:tcW w:w="1246" w:type="dxa"/>
            <w:noWrap w:val="0"/>
            <w:tcMar>
              <w:top w:w="0" w:type="dxa"/>
              <w:left w:w="10" w:type="dxa"/>
              <w:bottom w:w="0" w:type="dxa"/>
              <w:right w:w="10" w:type="dxa"/>
            </w:tcMar>
            <w:vAlign w:val="center"/>
          </w:tcPr>
          <w:p w14:paraId="67AEAC61">
            <w:pPr>
              <w:widowControl/>
              <w:spacing w:line="360" w:lineRule="auto"/>
              <w:jc w:val="center"/>
              <w:rPr>
                <w:rFonts w:ascii="宋体" w:hAnsi="宋体"/>
                <w:color w:val="auto"/>
                <w:szCs w:val="21"/>
                <w:highlight w:val="none"/>
              </w:rPr>
            </w:pPr>
          </w:p>
        </w:tc>
      </w:tr>
      <w:tr w14:paraId="66716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73BE5334">
            <w:pPr>
              <w:widowControl/>
              <w:spacing w:line="360" w:lineRule="auto"/>
              <w:jc w:val="center"/>
              <w:rPr>
                <w:rFonts w:ascii="宋体" w:hAnsi="宋体"/>
                <w:color w:val="auto"/>
                <w:szCs w:val="21"/>
                <w:highlight w:val="none"/>
              </w:rPr>
            </w:pPr>
          </w:p>
        </w:tc>
        <w:tc>
          <w:tcPr>
            <w:tcW w:w="1678" w:type="dxa"/>
            <w:noWrap w:val="0"/>
            <w:tcMar>
              <w:top w:w="0" w:type="dxa"/>
              <w:left w:w="10" w:type="dxa"/>
              <w:bottom w:w="0" w:type="dxa"/>
              <w:right w:w="10" w:type="dxa"/>
            </w:tcMar>
            <w:vAlign w:val="center"/>
          </w:tcPr>
          <w:p w14:paraId="628D7A6D">
            <w:pPr>
              <w:widowControl/>
              <w:spacing w:line="360" w:lineRule="auto"/>
              <w:jc w:val="center"/>
              <w:rPr>
                <w:rFonts w:ascii="宋体" w:hAnsi="宋体"/>
                <w:color w:val="auto"/>
                <w:szCs w:val="21"/>
                <w:highlight w:val="none"/>
              </w:rPr>
            </w:pPr>
          </w:p>
        </w:tc>
        <w:tc>
          <w:tcPr>
            <w:tcW w:w="1931" w:type="dxa"/>
            <w:noWrap w:val="0"/>
            <w:tcMar>
              <w:top w:w="0" w:type="dxa"/>
              <w:left w:w="10" w:type="dxa"/>
              <w:bottom w:w="0" w:type="dxa"/>
              <w:right w:w="10" w:type="dxa"/>
            </w:tcMar>
            <w:vAlign w:val="center"/>
          </w:tcPr>
          <w:p w14:paraId="59BCE093">
            <w:pPr>
              <w:widowControl/>
              <w:spacing w:line="360" w:lineRule="auto"/>
              <w:jc w:val="center"/>
              <w:rPr>
                <w:rFonts w:ascii="宋体" w:hAnsi="宋体"/>
                <w:color w:val="auto"/>
                <w:szCs w:val="21"/>
                <w:highlight w:val="none"/>
              </w:rPr>
            </w:pPr>
          </w:p>
        </w:tc>
        <w:tc>
          <w:tcPr>
            <w:tcW w:w="3012" w:type="dxa"/>
            <w:noWrap w:val="0"/>
            <w:tcMar>
              <w:top w:w="0" w:type="dxa"/>
              <w:left w:w="10" w:type="dxa"/>
              <w:bottom w:w="0" w:type="dxa"/>
              <w:right w:w="10" w:type="dxa"/>
            </w:tcMar>
            <w:vAlign w:val="center"/>
          </w:tcPr>
          <w:p w14:paraId="3DD3A0DD">
            <w:pPr>
              <w:widowControl/>
              <w:spacing w:line="360" w:lineRule="auto"/>
              <w:jc w:val="center"/>
              <w:rPr>
                <w:rFonts w:ascii="宋体" w:hAnsi="宋体"/>
                <w:color w:val="auto"/>
                <w:szCs w:val="21"/>
                <w:highlight w:val="none"/>
              </w:rPr>
            </w:pPr>
          </w:p>
        </w:tc>
        <w:tc>
          <w:tcPr>
            <w:tcW w:w="1246" w:type="dxa"/>
            <w:noWrap w:val="0"/>
            <w:tcMar>
              <w:top w:w="0" w:type="dxa"/>
              <w:left w:w="10" w:type="dxa"/>
              <w:bottom w:w="0" w:type="dxa"/>
              <w:right w:w="10" w:type="dxa"/>
            </w:tcMar>
            <w:vAlign w:val="center"/>
          </w:tcPr>
          <w:p w14:paraId="2383EF11">
            <w:pPr>
              <w:widowControl/>
              <w:spacing w:line="360" w:lineRule="auto"/>
              <w:jc w:val="center"/>
              <w:rPr>
                <w:rFonts w:ascii="宋体" w:hAnsi="宋体"/>
                <w:color w:val="auto"/>
                <w:szCs w:val="21"/>
                <w:highlight w:val="none"/>
              </w:rPr>
            </w:pPr>
          </w:p>
        </w:tc>
      </w:tr>
    </w:tbl>
    <w:p w14:paraId="2B7C7E96">
      <w:pPr>
        <w:widowControl/>
        <w:spacing w:line="360" w:lineRule="auto"/>
        <w:jc w:val="left"/>
        <w:rPr>
          <w:rFonts w:ascii="宋体" w:hAnsi="宋体"/>
          <w:color w:val="auto"/>
          <w:szCs w:val="21"/>
          <w:highlight w:val="none"/>
        </w:rPr>
      </w:pPr>
      <w:r>
        <w:rPr>
          <w:rFonts w:hint="eastAsia" w:ascii="宋体" w:hAnsi="宋体"/>
          <w:color w:val="auto"/>
          <w:szCs w:val="21"/>
          <w:highlight w:val="none"/>
        </w:rPr>
        <w:t>说明：</w:t>
      </w:r>
      <w:r>
        <w:rPr>
          <w:rFonts w:ascii="宋体" w:hAnsi="宋体"/>
          <w:color w:val="auto"/>
          <w:szCs w:val="21"/>
          <w:highlight w:val="none"/>
        </w:rPr>
        <w:t>如果行数不够，请自行增加。</w:t>
      </w:r>
    </w:p>
    <w:p w14:paraId="27AB0339">
      <w:pPr>
        <w:widowControl/>
        <w:spacing w:line="360" w:lineRule="auto"/>
        <w:jc w:val="left"/>
        <w:rPr>
          <w:rFonts w:ascii="宋体" w:hAnsi="宋体" w:cs="宋体"/>
          <w:color w:val="auto"/>
          <w:szCs w:val="21"/>
          <w:highlight w:val="none"/>
          <w:lang w:val="zh-CN"/>
        </w:rPr>
      </w:pPr>
    </w:p>
    <w:p w14:paraId="1E24B71C">
      <w:pPr>
        <w:widowControl/>
        <w:spacing w:line="360" w:lineRule="auto"/>
        <w:jc w:val="left"/>
        <w:rPr>
          <w:rFonts w:ascii="宋体" w:hAnsi="宋体" w:cs="宋体"/>
          <w:color w:val="auto"/>
          <w:szCs w:val="21"/>
          <w:highlight w:val="none"/>
          <w:lang w:val="zh-CN"/>
        </w:rPr>
      </w:pPr>
    </w:p>
    <w:p w14:paraId="0049364E">
      <w:pPr>
        <w:widowControl/>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投标人名称：（盖章）</w:t>
      </w:r>
    </w:p>
    <w:p w14:paraId="73FB641F">
      <w:pPr>
        <w:widowControl/>
        <w:spacing w:line="360" w:lineRule="auto"/>
        <w:jc w:val="left"/>
        <w:rPr>
          <w:rFonts w:ascii="宋体" w:hAnsi="宋体" w:cs="宋体"/>
          <w:color w:val="auto"/>
          <w:szCs w:val="21"/>
          <w:highlight w:val="none"/>
          <w:lang w:val="zh-CN"/>
        </w:rPr>
      </w:pPr>
      <w:r>
        <w:rPr>
          <w:rFonts w:hint="eastAsia" w:ascii="宋体" w:hAnsi="宋体"/>
          <w:color w:val="auto"/>
          <w:szCs w:val="21"/>
          <w:highlight w:val="none"/>
        </w:rPr>
        <w:t>法定代表人或委托代理人（签字或盖章）</w:t>
      </w:r>
      <w:r>
        <w:rPr>
          <w:rFonts w:hint="eastAsia" w:ascii="宋体" w:hAnsi="宋体"/>
          <w:bCs/>
          <w:color w:val="auto"/>
          <w:szCs w:val="21"/>
          <w:highlight w:val="none"/>
        </w:rPr>
        <w:t>：</w:t>
      </w:r>
    </w:p>
    <w:p w14:paraId="2CF75BC8">
      <w:pPr>
        <w:widowControl/>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日期：</w:t>
      </w:r>
    </w:p>
    <w:p w14:paraId="1138068D">
      <w:pPr>
        <w:spacing w:line="360" w:lineRule="auto"/>
        <w:rPr>
          <w:rFonts w:hint="eastAsia" w:ascii="宋体" w:hAnsi="宋体" w:cs="宋体"/>
          <w:color w:val="auto"/>
          <w:szCs w:val="21"/>
          <w:highlight w:val="none"/>
        </w:rPr>
      </w:pPr>
      <w:r>
        <w:rPr>
          <w:rFonts w:ascii="宋体" w:hAnsi="宋体"/>
          <w:color w:val="auto"/>
          <w:szCs w:val="21"/>
          <w:highlight w:val="none"/>
        </w:rPr>
        <w:br w:type="page" w:clear="all"/>
      </w:r>
    </w:p>
    <w:p w14:paraId="0B43F50D">
      <w:pPr>
        <w:spacing w:line="360" w:lineRule="auto"/>
        <w:jc w:val="center"/>
        <w:outlineLvl w:val="0"/>
        <w:rPr>
          <w:rFonts w:ascii="宋体" w:hAnsi="宋体"/>
          <w:b/>
          <w:color w:val="auto"/>
          <w:sz w:val="32"/>
          <w:szCs w:val="32"/>
          <w:highlight w:val="none"/>
        </w:rPr>
      </w:pPr>
      <w:bookmarkStart w:id="80" w:name="_Toc55479031"/>
      <w:r>
        <w:rPr>
          <w:rFonts w:ascii="宋体" w:hAnsi="宋体"/>
          <w:b/>
          <w:color w:val="auto"/>
          <w:sz w:val="32"/>
          <w:szCs w:val="32"/>
          <w:highlight w:val="none"/>
        </w:rPr>
        <w:t>七</w:t>
      </w:r>
      <w:r>
        <w:rPr>
          <w:rFonts w:hint="eastAsia" w:ascii="宋体" w:hAnsi="宋体"/>
          <w:b/>
          <w:color w:val="auto"/>
          <w:sz w:val="32"/>
          <w:szCs w:val="32"/>
          <w:highlight w:val="none"/>
        </w:rPr>
        <w:t>、供应商（企业）业绩表</w:t>
      </w:r>
      <w:bookmarkEnd w:id="80"/>
    </w:p>
    <w:tbl>
      <w:tblPr>
        <w:tblStyle w:val="36"/>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1315"/>
        <w:gridCol w:w="1400"/>
        <w:gridCol w:w="1112"/>
        <w:gridCol w:w="1559"/>
        <w:gridCol w:w="1229"/>
        <w:gridCol w:w="898"/>
      </w:tblGrid>
      <w:tr w14:paraId="4ACF8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498" w:type="dxa"/>
            <w:gridSpan w:val="7"/>
            <w:noWrap w:val="0"/>
            <w:vAlign w:val="center"/>
          </w:tcPr>
          <w:p w14:paraId="6D234800">
            <w:pPr>
              <w:pStyle w:val="229"/>
              <w:spacing w:line="360" w:lineRule="auto"/>
              <w:jc w:val="center"/>
              <w:rPr>
                <w:rFonts w:hAnsi="宋体" w:cs="Courier New"/>
                <w:color w:val="auto"/>
                <w:szCs w:val="21"/>
                <w:highlight w:val="none"/>
              </w:rPr>
            </w:pPr>
            <w:r>
              <w:rPr>
                <w:rFonts w:hAnsi="宋体" w:cs="Courier New"/>
                <w:color w:val="auto"/>
                <w:szCs w:val="21"/>
                <w:highlight w:val="none"/>
              </w:rPr>
              <w:t>供应商业绩</w:t>
            </w:r>
          </w:p>
        </w:tc>
      </w:tr>
      <w:tr w14:paraId="56D2F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85" w:type="dxa"/>
            <w:noWrap w:val="0"/>
            <w:vAlign w:val="center"/>
          </w:tcPr>
          <w:p w14:paraId="51F895BA">
            <w:pPr>
              <w:pStyle w:val="229"/>
              <w:spacing w:line="360" w:lineRule="auto"/>
              <w:jc w:val="center"/>
              <w:rPr>
                <w:rFonts w:hAnsi="宋体" w:cs="Courier New"/>
                <w:color w:val="auto"/>
                <w:szCs w:val="21"/>
                <w:highlight w:val="none"/>
              </w:rPr>
            </w:pPr>
            <w:r>
              <w:rPr>
                <w:rFonts w:hAnsi="宋体" w:cs="Courier New"/>
                <w:color w:val="auto"/>
                <w:szCs w:val="21"/>
                <w:highlight w:val="none"/>
              </w:rPr>
              <w:t>项目名称</w:t>
            </w:r>
          </w:p>
        </w:tc>
        <w:tc>
          <w:tcPr>
            <w:tcW w:w="1315" w:type="dxa"/>
            <w:noWrap w:val="0"/>
            <w:vAlign w:val="center"/>
          </w:tcPr>
          <w:p w14:paraId="5B0B7FEF">
            <w:pPr>
              <w:pStyle w:val="229"/>
              <w:spacing w:line="360" w:lineRule="auto"/>
              <w:jc w:val="center"/>
              <w:rPr>
                <w:rFonts w:hAnsi="宋体" w:cs="Courier New"/>
                <w:color w:val="auto"/>
                <w:szCs w:val="21"/>
                <w:highlight w:val="none"/>
              </w:rPr>
            </w:pPr>
            <w:r>
              <w:rPr>
                <w:rFonts w:hAnsi="宋体" w:cs="Courier New"/>
                <w:color w:val="auto"/>
                <w:szCs w:val="21"/>
                <w:highlight w:val="none"/>
              </w:rPr>
              <w:t>采购内容</w:t>
            </w:r>
          </w:p>
        </w:tc>
        <w:tc>
          <w:tcPr>
            <w:tcW w:w="1400" w:type="dxa"/>
            <w:noWrap w:val="0"/>
            <w:vAlign w:val="center"/>
          </w:tcPr>
          <w:p w14:paraId="56FA8FFA">
            <w:pPr>
              <w:pStyle w:val="229"/>
              <w:spacing w:line="360" w:lineRule="auto"/>
              <w:jc w:val="center"/>
              <w:rPr>
                <w:rFonts w:hAnsi="宋体" w:cs="Courier New"/>
                <w:color w:val="auto"/>
                <w:szCs w:val="21"/>
                <w:highlight w:val="none"/>
              </w:rPr>
            </w:pPr>
            <w:r>
              <w:rPr>
                <w:rFonts w:hAnsi="宋体" w:cs="Courier New"/>
                <w:color w:val="auto"/>
                <w:szCs w:val="21"/>
                <w:highlight w:val="none"/>
              </w:rPr>
              <w:t>合同价</w:t>
            </w:r>
          </w:p>
        </w:tc>
        <w:tc>
          <w:tcPr>
            <w:tcW w:w="1112" w:type="dxa"/>
            <w:noWrap w:val="0"/>
            <w:vAlign w:val="center"/>
          </w:tcPr>
          <w:p w14:paraId="36C85BBF">
            <w:pPr>
              <w:pStyle w:val="229"/>
              <w:spacing w:line="360" w:lineRule="auto"/>
              <w:jc w:val="center"/>
              <w:rPr>
                <w:rFonts w:hAnsi="宋体" w:cs="Courier New"/>
                <w:color w:val="auto"/>
                <w:szCs w:val="21"/>
                <w:highlight w:val="none"/>
              </w:rPr>
            </w:pPr>
            <w:r>
              <w:rPr>
                <w:rFonts w:hint="eastAsia" w:hAnsi="宋体" w:cs="Courier New"/>
                <w:color w:val="auto"/>
                <w:szCs w:val="21"/>
                <w:highlight w:val="none"/>
              </w:rPr>
              <w:t>签订日期</w:t>
            </w:r>
          </w:p>
        </w:tc>
        <w:tc>
          <w:tcPr>
            <w:tcW w:w="1559" w:type="dxa"/>
            <w:noWrap w:val="0"/>
            <w:vAlign w:val="center"/>
          </w:tcPr>
          <w:p w14:paraId="5DEF47BA">
            <w:pPr>
              <w:pStyle w:val="229"/>
              <w:spacing w:line="360" w:lineRule="auto"/>
              <w:jc w:val="center"/>
              <w:rPr>
                <w:rFonts w:hAnsi="宋体" w:cs="Courier New"/>
                <w:color w:val="auto"/>
                <w:szCs w:val="21"/>
                <w:highlight w:val="none"/>
              </w:rPr>
            </w:pPr>
            <w:r>
              <w:rPr>
                <w:rFonts w:hAnsi="宋体" w:cs="Courier New"/>
                <w:color w:val="auto"/>
                <w:szCs w:val="21"/>
                <w:highlight w:val="none"/>
              </w:rPr>
              <w:t>采购人方联系人、联系方式</w:t>
            </w:r>
          </w:p>
        </w:tc>
        <w:tc>
          <w:tcPr>
            <w:tcW w:w="1229" w:type="dxa"/>
            <w:noWrap w:val="0"/>
            <w:vAlign w:val="center"/>
          </w:tcPr>
          <w:p w14:paraId="2C413D48">
            <w:pPr>
              <w:pStyle w:val="229"/>
              <w:spacing w:line="360" w:lineRule="auto"/>
              <w:jc w:val="center"/>
              <w:rPr>
                <w:rFonts w:hAnsi="宋体" w:cs="Courier New"/>
                <w:color w:val="auto"/>
                <w:szCs w:val="21"/>
                <w:highlight w:val="none"/>
              </w:rPr>
            </w:pPr>
            <w:r>
              <w:rPr>
                <w:rFonts w:hint="eastAsia" w:hAnsi="宋体" w:cs="Courier New"/>
                <w:color w:val="auto"/>
                <w:szCs w:val="21"/>
                <w:highlight w:val="none"/>
              </w:rPr>
              <w:t>其他情况</w:t>
            </w:r>
          </w:p>
        </w:tc>
        <w:tc>
          <w:tcPr>
            <w:tcW w:w="898" w:type="dxa"/>
            <w:noWrap w:val="0"/>
            <w:vAlign w:val="center"/>
          </w:tcPr>
          <w:p w14:paraId="60B3FB39">
            <w:pPr>
              <w:pStyle w:val="229"/>
              <w:spacing w:line="360" w:lineRule="auto"/>
              <w:jc w:val="center"/>
              <w:rPr>
                <w:rFonts w:hAnsi="宋体" w:cs="Courier New"/>
                <w:color w:val="auto"/>
                <w:szCs w:val="21"/>
                <w:highlight w:val="none"/>
              </w:rPr>
            </w:pPr>
            <w:r>
              <w:rPr>
                <w:rFonts w:hAnsi="宋体" w:cs="Courier New"/>
                <w:color w:val="auto"/>
                <w:szCs w:val="21"/>
                <w:highlight w:val="none"/>
              </w:rPr>
              <w:t>备注</w:t>
            </w:r>
          </w:p>
        </w:tc>
      </w:tr>
      <w:tr w14:paraId="43580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1" w:hRule="atLeast"/>
        </w:trPr>
        <w:tc>
          <w:tcPr>
            <w:tcW w:w="1985" w:type="dxa"/>
            <w:noWrap w:val="0"/>
            <w:vAlign w:val="center"/>
          </w:tcPr>
          <w:p w14:paraId="0115F06C">
            <w:pPr>
              <w:pStyle w:val="229"/>
              <w:spacing w:line="360" w:lineRule="auto"/>
              <w:rPr>
                <w:rFonts w:hAnsi="宋体" w:cs="Courier New"/>
                <w:color w:val="auto"/>
                <w:szCs w:val="21"/>
                <w:highlight w:val="none"/>
              </w:rPr>
            </w:pPr>
          </w:p>
        </w:tc>
        <w:tc>
          <w:tcPr>
            <w:tcW w:w="1315" w:type="dxa"/>
            <w:noWrap w:val="0"/>
            <w:vAlign w:val="center"/>
          </w:tcPr>
          <w:p w14:paraId="47E914AE">
            <w:pPr>
              <w:pStyle w:val="229"/>
              <w:spacing w:line="360" w:lineRule="auto"/>
              <w:rPr>
                <w:rFonts w:hAnsi="宋体" w:cs="Courier New"/>
                <w:color w:val="auto"/>
                <w:szCs w:val="21"/>
                <w:highlight w:val="none"/>
              </w:rPr>
            </w:pPr>
          </w:p>
        </w:tc>
        <w:tc>
          <w:tcPr>
            <w:tcW w:w="1400" w:type="dxa"/>
            <w:noWrap w:val="0"/>
            <w:vAlign w:val="center"/>
          </w:tcPr>
          <w:p w14:paraId="476D5FEC">
            <w:pPr>
              <w:pStyle w:val="229"/>
              <w:spacing w:line="360" w:lineRule="auto"/>
              <w:rPr>
                <w:rFonts w:hAnsi="宋体" w:cs="Courier New"/>
                <w:color w:val="auto"/>
                <w:szCs w:val="21"/>
                <w:highlight w:val="none"/>
              </w:rPr>
            </w:pPr>
          </w:p>
        </w:tc>
        <w:tc>
          <w:tcPr>
            <w:tcW w:w="1112" w:type="dxa"/>
            <w:noWrap w:val="0"/>
            <w:vAlign w:val="center"/>
          </w:tcPr>
          <w:p w14:paraId="7521B521">
            <w:pPr>
              <w:pStyle w:val="229"/>
              <w:spacing w:line="360" w:lineRule="auto"/>
              <w:rPr>
                <w:rFonts w:hAnsi="宋体" w:cs="Courier New"/>
                <w:color w:val="auto"/>
                <w:szCs w:val="21"/>
                <w:highlight w:val="none"/>
              </w:rPr>
            </w:pPr>
          </w:p>
        </w:tc>
        <w:tc>
          <w:tcPr>
            <w:tcW w:w="1559" w:type="dxa"/>
            <w:noWrap w:val="0"/>
            <w:vAlign w:val="center"/>
          </w:tcPr>
          <w:p w14:paraId="6589F068">
            <w:pPr>
              <w:pStyle w:val="229"/>
              <w:spacing w:line="360" w:lineRule="auto"/>
              <w:rPr>
                <w:rFonts w:hAnsi="宋体" w:cs="Courier New"/>
                <w:color w:val="auto"/>
                <w:szCs w:val="21"/>
                <w:highlight w:val="none"/>
              </w:rPr>
            </w:pPr>
          </w:p>
        </w:tc>
        <w:tc>
          <w:tcPr>
            <w:tcW w:w="1229" w:type="dxa"/>
            <w:noWrap w:val="0"/>
            <w:vAlign w:val="center"/>
          </w:tcPr>
          <w:p w14:paraId="1856A9CF">
            <w:pPr>
              <w:pStyle w:val="229"/>
              <w:spacing w:line="360" w:lineRule="auto"/>
              <w:rPr>
                <w:rFonts w:hAnsi="宋体" w:cs="Courier New"/>
                <w:color w:val="auto"/>
                <w:szCs w:val="21"/>
                <w:highlight w:val="none"/>
              </w:rPr>
            </w:pPr>
          </w:p>
        </w:tc>
        <w:tc>
          <w:tcPr>
            <w:tcW w:w="898" w:type="dxa"/>
            <w:noWrap w:val="0"/>
            <w:vAlign w:val="center"/>
          </w:tcPr>
          <w:p w14:paraId="7BA00A45">
            <w:pPr>
              <w:pStyle w:val="229"/>
              <w:spacing w:line="360" w:lineRule="auto"/>
              <w:rPr>
                <w:rFonts w:hAnsi="宋体" w:cs="Courier New"/>
                <w:color w:val="auto"/>
                <w:szCs w:val="21"/>
                <w:highlight w:val="none"/>
              </w:rPr>
            </w:pPr>
          </w:p>
        </w:tc>
      </w:tr>
      <w:tr w14:paraId="72D18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3" w:hRule="atLeast"/>
        </w:trPr>
        <w:tc>
          <w:tcPr>
            <w:tcW w:w="1985" w:type="dxa"/>
            <w:noWrap w:val="0"/>
            <w:vAlign w:val="center"/>
          </w:tcPr>
          <w:p w14:paraId="2B1A3BF4">
            <w:pPr>
              <w:pStyle w:val="229"/>
              <w:spacing w:line="360" w:lineRule="auto"/>
              <w:rPr>
                <w:rFonts w:hAnsi="宋体" w:cs="Courier New"/>
                <w:color w:val="auto"/>
                <w:szCs w:val="21"/>
                <w:highlight w:val="none"/>
              </w:rPr>
            </w:pPr>
          </w:p>
        </w:tc>
        <w:tc>
          <w:tcPr>
            <w:tcW w:w="1315" w:type="dxa"/>
            <w:noWrap w:val="0"/>
            <w:vAlign w:val="center"/>
          </w:tcPr>
          <w:p w14:paraId="4A169D5A">
            <w:pPr>
              <w:pStyle w:val="229"/>
              <w:spacing w:line="360" w:lineRule="auto"/>
              <w:rPr>
                <w:rFonts w:hAnsi="宋体" w:cs="Courier New"/>
                <w:color w:val="auto"/>
                <w:szCs w:val="21"/>
                <w:highlight w:val="none"/>
              </w:rPr>
            </w:pPr>
          </w:p>
        </w:tc>
        <w:tc>
          <w:tcPr>
            <w:tcW w:w="1400" w:type="dxa"/>
            <w:noWrap w:val="0"/>
            <w:vAlign w:val="center"/>
          </w:tcPr>
          <w:p w14:paraId="312F7F08">
            <w:pPr>
              <w:pStyle w:val="229"/>
              <w:spacing w:line="360" w:lineRule="auto"/>
              <w:rPr>
                <w:rFonts w:hAnsi="宋体" w:cs="Courier New"/>
                <w:color w:val="auto"/>
                <w:szCs w:val="21"/>
                <w:highlight w:val="none"/>
              </w:rPr>
            </w:pPr>
          </w:p>
        </w:tc>
        <w:tc>
          <w:tcPr>
            <w:tcW w:w="1112" w:type="dxa"/>
            <w:noWrap w:val="0"/>
            <w:vAlign w:val="center"/>
          </w:tcPr>
          <w:p w14:paraId="0CCFE07A">
            <w:pPr>
              <w:pStyle w:val="229"/>
              <w:spacing w:line="360" w:lineRule="auto"/>
              <w:rPr>
                <w:rFonts w:hAnsi="宋体" w:cs="Courier New"/>
                <w:color w:val="auto"/>
                <w:szCs w:val="21"/>
                <w:highlight w:val="none"/>
              </w:rPr>
            </w:pPr>
          </w:p>
        </w:tc>
        <w:tc>
          <w:tcPr>
            <w:tcW w:w="1559" w:type="dxa"/>
            <w:noWrap w:val="0"/>
            <w:vAlign w:val="center"/>
          </w:tcPr>
          <w:p w14:paraId="12EC1720">
            <w:pPr>
              <w:pStyle w:val="229"/>
              <w:spacing w:line="360" w:lineRule="auto"/>
              <w:rPr>
                <w:rFonts w:hAnsi="宋体" w:cs="Courier New"/>
                <w:color w:val="auto"/>
                <w:szCs w:val="21"/>
                <w:highlight w:val="none"/>
              </w:rPr>
            </w:pPr>
          </w:p>
        </w:tc>
        <w:tc>
          <w:tcPr>
            <w:tcW w:w="1229" w:type="dxa"/>
            <w:noWrap w:val="0"/>
            <w:vAlign w:val="center"/>
          </w:tcPr>
          <w:p w14:paraId="10946DB2">
            <w:pPr>
              <w:pStyle w:val="229"/>
              <w:spacing w:line="360" w:lineRule="auto"/>
              <w:rPr>
                <w:rFonts w:hAnsi="宋体" w:cs="Courier New"/>
                <w:color w:val="auto"/>
                <w:szCs w:val="21"/>
                <w:highlight w:val="none"/>
              </w:rPr>
            </w:pPr>
          </w:p>
        </w:tc>
        <w:tc>
          <w:tcPr>
            <w:tcW w:w="898" w:type="dxa"/>
            <w:noWrap w:val="0"/>
            <w:vAlign w:val="center"/>
          </w:tcPr>
          <w:p w14:paraId="55E7D081">
            <w:pPr>
              <w:pStyle w:val="229"/>
              <w:spacing w:line="360" w:lineRule="auto"/>
              <w:rPr>
                <w:rFonts w:hAnsi="宋体" w:cs="Courier New"/>
                <w:color w:val="auto"/>
                <w:szCs w:val="21"/>
                <w:highlight w:val="none"/>
              </w:rPr>
            </w:pPr>
          </w:p>
        </w:tc>
      </w:tr>
      <w:tr w14:paraId="5507E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3" w:hRule="atLeast"/>
        </w:trPr>
        <w:tc>
          <w:tcPr>
            <w:tcW w:w="1985" w:type="dxa"/>
            <w:noWrap w:val="0"/>
            <w:vAlign w:val="center"/>
          </w:tcPr>
          <w:p w14:paraId="045FCF6A">
            <w:pPr>
              <w:pStyle w:val="229"/>
              <w:spacing w:line="360" w:lineRule="auto"/>
              <w:rPr>
                <w:rFonts w:hAnsi="宋体" w:cs="Courier New"/>
                <w:color w:val="auto"/>
                <w:szCs w:val="21"/>
                <w:highlight w:val="none"/>
              </w:rPr>
            </w:pPr>
          </w:p>
        </w:tc>
        <w:tc>
          <w:tcPr>
            <w:tcW w:w="1315" w:type="dxa"/>
            <w:noWrap w:val="0"/>
            <w:vAlign w:val="center"/>
          </w:tcPr>
          <w:p w14:paraId="336AEEFE">
            <w:pPr>
              <w:pStyle w:val="229"/>
              <w:spacing w:line="360" w:lineRule="auto"/>
              <w:rPr>
                <w:rFonts w:hAnsi="宋体" w:cs="Courier New"/>
                <w:color w:val="auto"/>
                <w:szCs w:val="21"/>
                <w:highlight w:val="none"/>
              </w:rPr>
            </w:pPr>
          </w:p>
        </w:tc>
        <w:tc>
          <w:tcPr>
            <w:tcW w:w="1400" w:type="dxa"/>
            <w:noWrap w:val="0"/>
            <w:vAlign w:val="center"/>
          </w:tcPr>
          <w:p w14:paraId="48463724">
            <w:pPr>
              <w:pStyle w:val="229"/>
              <w:spacing w:line="360" w:lineRule="auto"/>
              <w:rPr>
                <w:rFonts w:hAnsi="宋体" w:cs="Courier New"/>
                <w:color w:val="auto"/>
                <w:szCs w:val="21"/>
                <w:highlight w:val="none"/>
              </w:rPr>
            </w:pPr>
          </w:p>
        </w:tc>
        <w:tc>
          <w:tcPr>
            <w:tcW w:w="1112" w:type="dxa"/>
            <w:noWrap w:val="0"/>
            <w:vAlign w:val="center"/>
          </w:tcPr>
          <w:p w14:paraId="7DB97BB1">
            <w:pPr>
              <w:pStyle w:val="229"/>
              <w:spacing w:line="360" w:lineRule="auto"/>
              <w:rPr>
                <w:rFonts w:hAnsi="宋体" w:cs="Courier New"/>
                <w:color w:val="auto"/>
                <w:szCs w:val="21"/>
                <w:highlight w:val="none"/>
              </w:rPr>
            </w:pPr>
          </w:p>
        </w:tc>
        <w:tc>
          <w:tcPr>
            <w:tcW w:w="1559" w:type="dxa"/>
            <w:noWrap w:val="0"/>
            <w:vAlign w:val="center"/>
          </w:tcPr>
          <w:p w14:paraId="7868BB6A">
            <w:pPr>
              <w:pStyle w:val="229"/>
              <w:spacing w:line="360" w:lineRule="auto"/>
              <w:rPr>
                <w:rFonts w:hAnsi="宋体" w:cs="Courier New"/>
                <w:color w:val="auto"/>
                <w:szCs w:val="21"/>
                <w:highlight w:val="none"/>
              </w:rPr>
            </w:pPr>
          </w:p>
        </w:tc>
        <w:tc>
          <w:tcPr>
            <w:tcW w:w="1229" w:type="dxa"/>
            <w:noWrap w:val="0"/>
            <w:vAlign w:val="center"/>
          </w:tcPr>
          <w:p w14:paraId="455436F8">
            <w:pPr>
              <w:pStyle w:val="229"/>
              <w:spacing w:line="360" w:lineRule="auto"/>
              <w:rPr>
                <w:rFonts w:hAnsi="宋体" w:cs="Courier New"/>
                <w:color w:val="auto"/>
                <w:szCs w:val="21"/>
                <w:highlight w:val="none"/>
              </w:rPr>
            </w:pPr>
          </w:p>
        </w:tc>
        <w:tc>
          <w:tcPr>
            <w:tcW w:w="898" w:type="dxa"/>
            <w:noWrap w:val="0"/>
            <w:vAlign w:val="center"/>
          </w:tcPr>
          <w:p w14:paraId="275D0B84">
            <w:pPr>
              <w:pStyle w:val="229"/>
              <w:spacing w:line="360" w:lineRule="auto"/>
              <w:rPr>
                <w:rFonts w:hAnsi="宋体" w:cs="Courier New"/>
                <w:color w:val="auto"/>
                <w:szCs w:val="21"/>
                <w:highlight w:val="none"/>
              </w:rPr>
            </w:pPr>
          </w:p>
        </w:tc>
      </w:tr>
      <w:tr w14:paraId="39AD7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8" w:hRule="atLeast"/>
        </w:trPr>
        <w:tc>
          <w:tcPr>
            <w:tcW w:w="1985" w:type="dxa"/>
            <w:noWrap w:val="0"/>
            <w:vAlign w:val="center"/>
          </w:tcPr>
          <w:p w14:paraId="5955A388">
            <w:pPr>
              <w:pStyle w:val="229"/>
              <w:spacing w:line="360" w:lineRule="auto"/>
              <w:rPr>
                <w:rFonts w:hAnsi="宋体" w:cs="Courier New"/>
                <w:color w:val="auto"/>
                <w:szCs w:val="21"/>
                <w:highlight w:val="none"/>
              </w:rPr>
            </w:pPr>
          </w:p>
        </w:tc>
        <w:tc>
          <w:tcPr>
            <w:tcW w:w="1315" w:type="dxa"/>
            <w:noWrap w:val="0"/>
            <w:vAlign w:val="center"/>
          </w:tcPr>
          <w:p w14:paraId="093882AA">
            <w:pPr>
              <w:pStyle w:val="229"/>
              <w:spacing w:line="360" w:lineRule="auto"/>
              <w:rPr>
                <w:rFonts w:hAnsi="宋体" w:cs="Courier New"/>
                <w:color w:val="auto"/>
                <w:szCs w:val="21"/>
                <w:highlight w:val="none"/>
              </w:rPr>
            </w:pPr>
          </w:p>
        </w:tc>
        <w:tc>
          <w:tcPr>
            <w:tcW w:w="1400" w:type="dxa"/>
            <w:noWrap w:val="0"/>
            <w:vAlign w:val="center"/>
          </w:tcPr>
          <w:p w14:paraId="09E097B1">
            <w:pPr>
              <w:pStyle w:val="229"/>
              <w:spacing w:line="360" w:lineRule="auto"/>
              <w:rPr>
                <w:rFonts w:hAnsi="宋体" w:cs="Courier New"/>
                <w:color w:val="auto"/>
                <w:szCs w:val="21"/>
                <w:highlight w:val="none"/>
              </w:rPr>
            </w:pPr>
          </w:p>
        </w:tc>
        <w:tc>
          <w:tcPr>
            <w:tcW w:w="1112" w:type="dxa"/>
            <w:noWrap w:val="0"/>
            <w:vAlign w:val="center"/>
          </w:tcPr>
          <w:p w14:paraId="6A3C08AE">
            <w:pPr>
              <w:pStyle w:val="229"/>
              <w:spacing w:line="360" w:lineRule="auto"/>
              <w:rPr>
                <w:rFonts w:hAnsi="宋体" w:cs="Courier New"/>
                <w:color w:val="auto"/>
                <w:szCs w:val="21"/>
                <w:highlight w:val="none"/>
              </w:rPr>
            </w:pPr>
          </w:p>
        </w:tc>
        <w:tc>
          <w:tcPr>
            <w:tcW w:w="1559" w:type="dxa"/>
            <w:noWrap w:val="0"/>
            <w:vAlign w:val="center"/>
          </w:tcPr>
          <w:p w14:paraId="30BD8B4F">
            <w:pPr>
              <w:pStyle w:val="229"/>
              <w:spacing w:line="360" w:lineRule="auto"/>
              <w:rPr>
                <w:rFonts w:hAnsi="宋体" w:cs="Courier New"/>
                <w:color w:val="auto"/>
                <w:szCs w:val="21"/>
                <w:highlight w:val="none"/>
              </w:rPr>
            </w:pPr>
          </w:p>
        </w:tc>
        <w:tc>
          <w:tcPr>
            <w:tcW w:w="1229" w:type="dxa"/>
            <w:noWrap w:val="0"/>
            <w:vAlign w:val="center"/>
          </w:tcPr>
          <w:p w14:paraId="1852B8EF">
            <w:pPr>
              <w:pStyle w:val="229"/>
              <w:spacing w:line="360" w:lineRule="auto"/>
              <w:rPr>
                <w:rFonts w:hAnsi="宋体" w:cs="Courier New"/>
                <w:color w:val="auto"/>
                <w:szCs w:val="21"/>
                <w:highlight w:val="none"/>
              </w:rPr>
            </w:pPr>
          </w:p>
        </w:tc>
        <w:tc>
          <w:tcPr>
            <w:tcW w:w="898" w:type="dxa"/>
            <w:noWrap w:val="0"/>
            <w:vAlign w:val="center"/>
          </w:tcPr>
          <w:p w14:paraId="1D53987B">
            <w:pPr>
              <w:pStyle w:val="229"/>
              <w:spacing w:line="360" w:lineRule="auto"/>
              <w:rPr>
                <w:rFonts w:hAnsi="宋体" w:cs="Courier New"/>
                <w:color w:val="auto"/>
                <w:szCs w:val="21"/>
                <w:highlight w:val="none"/>
              </w:rPr>
            </w:pPr>
          </w:p>
        </w:tc>
      </w:tr>
    </w:tbl>
    <w:p w14:paraId="2CABFCDB">
      <w:pPr>
        <w:spacing w:line="360" w:lineRule="auto"/>
        <w:ind w:right="-82"/>
        <w:rPr>
          <w:rFonts w:ascii="宋体" w:hAnsi="宋体"/>
          <w:i/>
          <w:color w:val="auto"/>
          <w:szCs w:val="21"/>
          <w:highlight w:val="none"/>
        </w:rPr>
      </w:pPr>
      <w:r>
        <w:rPr>
          <w:rFonts w:hint="eastAsia" w:ascii="宋体" w:hAnsi="宋体"/>
          <w:color w:val="auto"/>
          <w:szCs w:val="21"/>
          <w:highlight w:val="none"/>
        </w:rPr>
        <w:t>注：本表后应附合同复印件（加盖公章）</w:t>
      </w:r>
    </w:p>
    <w:p w14:paraId="34E964F5">
      <w:pPr>
        <w:widowControl/>
        <w:spacing w:line="360" w:lineRule="auto"/>
        <w:jc w:val="left"/>
        <w:rPr>
          <w:rFonts w:ascii="宋体" w:hAnsi="宋体"/>
          <w:color w:val="auto"/>
          <w:szCs w:val="21"/>
          <w:highlight w:val="none"/>
        </w:rPr>
      </w:pPr>
    </w:p>
    <w:p w14:paraId="3301EEBA">
      <w:pPr>
        <w:spacing w:line="360" w:lineRule="auto"/>
        <w:jc w:val="center"/>
        <w:outlineLvl w:val="0"/>
        <w:rPr>
          <w:rFonts w:ascii="宋体" w:hAnsi="宋体"/>
          <w:color w:val="auto"/>
          <w:szCs w:val="21"/>
          <w:highlight w:val="none"/>
        </w:rPr>
      </w:pPr>
      <w:r>
        <w:rPr>
          <w:rFonts w:ascii="宋体" w:hAnsi="宋体" w:cs="宋体"/>
          <w:color w:val="auto"/>
          <w:szCs w:val="21"/>
          <w:highlight w:val="none"/>
        </w:rPr>
        <w:br w:type="page" w:clear="all"/>
      </w:r>
      <w:bookmarkStart w:id="81" w:name="_Toc55479032"/>
      <w:r>
        <w:rPr>
          <w:rFonts w:ascii="宋体" w:hAnsi="宋体"/>
          <w:b/>
          <w:color w:val="auto"/>
          <w:sz w:val="32"/>
          <w:szCs w:val="32"/>
          <w:highlight w:val="none"/>
        </w:rPr>
        <w:t>八</w:t>
      </w:r>
      <w:r>
        <w:rPr>
          <w:rFonts w:hint="eastAsia" w:ascii="宋体" w:hAnsi="宋体"/>
          <w:b/>
          <w:color w:val="auto"/>
          <w:sz w:val="32"/>
          <w:szCs w:val="32"/>
          <w:highlight w:val="none"/>
        </w:rPr>
        <w:t>、人员配备一览表</w:t>
      </w:r>
      <w:bookmarkEnd w:id="81"/>
    </w:p>
    <w:p w14:paraId="00CDC40C">
      <w:pPr>
        <w:spacing w:line="360" w:lineRule="auto"/>
        <w:rPr>
          <w:rFonts w:hint="eastAsia" w:ascii="宋体" w:hAnsi="宋体"/>
          <w:color w:val="auto"/>
          <w:szCs w:val="21"/>
          <w:highlight w:val="none"/>
        </w:rPr>
      </w:pPr>
    </w:p>
    <w:tbl>
      <w:tblPr>
        <w:tblStyle w:val="36"/>
        <w:tblW w:w="9464" w:type="dxa"/>
        <w:tblInd w:w="0" w:type="dxa"/>
        <w:tblLayout w:type="fixed"/>
        <w:tblCellMar>
          <w:top w:w="0" w:type="dxa"/>
          <w:left w:w="108" w:type="dxa"/>
          <w:bottom w:w="0" w:type="dxa"/>
          <w:right w:w="108" w:type="dxa"/>
        </w:tblCellMar>
      </w:tblPr>
      <w:tblGrid>
        <w:gridCol w:w="675"/>
        <w:gridCol w:w="1276"/>
        <w:gridCol w:w="1276"/>
        <w:gridCol w:w="1134"/>
        <w:gridCol w:w="1984"/>
        <w:gridCol w:w="1460"/>
        <w:gridCol w:w="1659"/>
      </w:tblGrid>
      <w:tr w14:paraId="0BC315F9">
        <w:tblPrEx>
          <w:tblCellMar>
            <w:top w:w="0" w:type="dxa"/>
            <w:left w:w="108" w:type="dxa"/>
            <w:bottom w:w="0" w:type="dxa"/>
            <w:right w:w="108" w:type="dxa"/>
          </w:tblCellMar>
        </w:tblPrEx>
        <w:trPr>
          <w:trHeight w:val="525"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3E626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B2CCC1">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拟在本项目中担任职务</w:t>
            </w:r>
          </w:p>
        </w:tc>
        <w:tc>
          <w:tcPr>
            <w:tcW w:w="1276" w:type="dxa"/>
            <w:tcBorders>
              <w:top w:val="single" w:color="000000" w:sz="4" w:space="0"/>
              <w:left w:val="nil"/>
              <w:bottom w:val="single" w:color="000000" w:sz="4" w:space="0"/>
              <w:right w:val="single" w:color="000000" w:sz="4" w:space="0"/>
            </w:tcBorders>
            <w:noWrap w:val="0"/>
            <w:vAlign w:val="center"/>
          </w:tcPr>
          <w:p w14:paraId="206C6036">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134" w:type="dxa"/>
            <w:tcBorders>
              <w:top w:val="single" w:color="000000" w:sz="4" w:space="0"/>
              <w:left w:val="nil"/>
              <w:bottom w:val="single" w:color="000000" w:sz="4" w:space="0"/>
              <w:right w:val="single" w:color="000000" w:sz="4" w:space="0"/>
            </w:tcBorders>
            <w:noWrap w:val="0"/>
            <w:vAlign w:val="center"/>
          </w:tcPr>
          <w:p w14:paraId="2A165FF7">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984" w:type="dxa"/>
            <w:tcBorders>
              <w:top w:val="single" w:color="000000" w:sz="4" w:space="0"/>
              <w:left w:val="nil"/>
              <w:bottom w:val="single" w:color="000000" w:sz="4" w:space="0"/>
              <w:right w:val="single" w:color="000000" w:sz="4" w:space="0"/>
            </w:tcBorders>
            <w:noWrap w:val="0"/>
            <w:vAlign w:val="center"/>
          </w:tcPr>
          <w:p w14:paraId="6C7258CB">
            <w:pPr>
              <w:widowControl/>
              <w:spacing w:line="360" w:lineRule="auto"/>
              <w:jc w:val="center"/>
              <w:rPr>
                <w:rFonts w:hint="eastAsia" w:ascii="宋体" w:hAnsi="宋体" w:cs="宋体"/>
                <w:color w:val="auto"/>
                <w:szCs w:val="21"/>
                <w:highlight w:val="none"/>
              </w:rPr>
            </w:pPr>
            <w:r>
              <w:rPr>
                <w:rFonts w:ascii="宋体" w:hAnsi="宋体" w:cs="宋体"/>
                <w:color w:val="auto"/>
                <w:szCs w:val="21"/>
                <w:highlight w:val="none"/>
              </w:rPr>
              <w:t>身份证号</w:t>
            </w:r>
          </w:p>
        </w:tc>
        <w:tc>
          <w:tcPr>
            <w:tcW w:w="1460" w:type="dxa"/>
            <w:tcBorders>
              <w:top w:val="single" w:color="000000" w:sz="4" w:space="0"/>
              <w:left w:val="nil"/>
              <w:bottom w:val="single" w:color="000000" w:sz="4" w:space="0"/>
              <w:right w:val="single" w:color="000000" w:sz="4" w:space="0"/>
            </w:tcBorders>
            <w:noWrap w:val="0"/>
            <w:vAlign w:val="center"/>
          </w:tcPr>
          <w:p w14:paraId="62E41A95">
            <w:pPr>
              <w:widowControl/>
              <w:spacing w:line="360" w:lineRule="auto"/>
              <w:jc w:val="center"/>
              <w:rPr>
                <w:rFonts w:ascii="宋体" w:hAnsi="宋体" w:cs="宋体"/>
                <w:color w:val="auto"/>
                <w:szCs w:val="21"/>
                <w:highlight w:val="none"/>
              </w:rPr>
            </w:pPr>
            <w:r>
              <w:rPr>
                <w:rFonts w:ascii="宋体" w:hAnsi="宋体" w:cs="宋体"/>
                <w:color w:val="auto"/>
                <w:szCs w:val="21"/>
                <w:highlight w:val="none"/>
              </w:rPr>
              <w:t>联系电话</w:t>
            </w:r>
          </w:p>
        </w:tc>
        <w:tc>
          <w:tcPr>
            <w:tcW w:w="1659" w:type="dxa"/>
            <w:tcBorders>
              <w:top w:val="single" w:color="000000" w:sz="4" w:space="0"/>
              <w:left w:val="nil"/>
              <w:bottom w:val="single" w:color="000000" w:sz="4" w:space="0"/>
              <w:right w:val="single" w:color="000000" w:sz="4" w:space="0"/>
            </w:tcBorders>
            <w:noWrap w:val="0"/>
            <w:vAlign w:val="center"/>
          </w:tcPr>
          <w:p w14:paraId="1B2B4B88">
            <w:pPr>
              <w:widowControl/>
              <w:spacing w:line="360" w:lineRule="auto"/>
              <w:jc w:val="center"/>
              <w:rPr>
                <w:rFonts w:hint="eastAsia" w:ascii="宋体" w:hAnsi="宋体" w:cs="宋体"/>
                <w:color w:val="auto"/>
                <w:szCs w:val="21"/>
                <w:highlight w:val="none"/>
              </w:rPr>
            </w:pPr>
            <w:r>
              <w:rPr>
                <w:rFonts w:ascii="宋体" w:hAnsi="宋体" w:cs="宋体"/>
                <w:color w:val="auto"/>
                <w:szCs w:val="21"/>
                <w:highlight w:val="none"/>
              </w:rPr>
              <w:t>备注</w:t>
            </w:r>
          </w:p>
        </w:tc>
      </w:tr>
      <w:tr w14:paraId="23A3BF3B">
        <w:tblPrEx>
          <w:tblCellMar>
            <w:top w:w="0" w:type="dxa"/>
            <w:left w:w="108" w:type="dxa"/>
            <w:bottom w:w="0" w:type="dxa"/>
            <w:right w:w="108" w:type="dxa"/>
          </w:tblCellMar>
        </w:tblPrEx>
        <w:trPr>
          <w:trHeight w:val="525" w:hRule="atLeast"/>
        </w:trPr>
        <w:tc>
          <w:tcPr>
            <w:tcW w:w="675" w:type="dxa"/>
            <w:tcBorders>
              <w:top w:val="nil"/>
              <w:left w:val="single" w:color="000000" w:sz="4" w:space="0"/>
              <w:bottom w:val="single" w:color="000000" w:sz="4" w:space="0"/>
              <w:right w:val="single" w:color="000000" w:sz="4" w:space="0"/>
            </w:tcBorders>
            <w:noWrap w:val="0"/>
            <w:vAlign w:val="center"/>
          </w:tcPr>
          <w:p w14:paraId="1E919333">
            <w:pPr>
              <w:widowControl/>
              <w:spacing w:line="360" w:lineRule="auto"/>
              <w:jc w:val="center"/>
              <w:rPr>
                <w:rFonts w:ascii="宋体" w:hAnsi="宋体" w:cs="宋体"/>
                <w:color w:val="auto"/>
                <w:szCs w:val="21"/>
                <w:highlight w:val="none"/>
              </w:rPr>
            </w:pPr>
          </w:p>
        </w:tc>
        <w:tc>
          <w:tcPr>
            <w:tcW w:w="1276" w:type="dxa"/>
            <w:tcBorders>
              <w:top w:val="nil"/>
              <w:left w:val="single" w:color="000000" w:sz="4" w:space="0"/>
              <w:bottom w:val="single" w:color="000000" w:sz="4" w:space="0"/>
              <w:right w:val="single" w:color="000000" w:sz="4" w:space="0"/>
            </w:tcBorders>
            <w:noWrap w:val="0"/>
            <w:vAlign w:val="center"/>
          </w:tcPr>
          <w:p w14:paraId="22BDD36A">
            <w:pPr>
              <w:widowControl/>
              <w:spacing w:line="360" w:lineRule="auto"/>
              <w:jc w:val="center"/>
              <w:rPr>
                <w:rFonts w:ascii="宋体" w:hAnsi="宋体" w:cs="宋体"/>
                <w:color w:val="auto"/>
                <w:szCs w:val="21"/>
                <w:highlight w:val="none"/>
              </w:rPr>
            </w:pPr>
          </w:p>
        </w:tc>
        <w:tc>
          <w:tcPr>
            <w:tcW w:w="1276" w:type="dxa"/>
            <w:tcBorders>
              <w:top w:val="nil"/>
              <w:left w:val="nil"/>
              <w:bottom w:val="single" w:color="000000" w:sz="4" w:space="0"/>
              <w:right w:val="single" w:color="000000" w:sz="4" w:space="0"/>
            </w:tcBorders>
            <w:noWrap w:val="0"/>
            <w:vAlign w:val="center"/>
          </w:tcPr>
          <w:p w14:paraId="003777AD">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134" w:type="dxa"/>
            <w:tcBorders>
              <w:top w:val="nil"/>
              <w:left w:val="nil"/>
              <w:bottom w:val="single" w:color="000000" w:sz="4" w:space="0"/>
              <w:right w:val="single" w:color="000000" w:sz="4" w:space="0"/>
            </w:tcBorders>
            <w:noWrap w:val="0"/>
            <w:vAlign w:val="center"/>
          </w:tcPr>
          <w:p w14:paraId="2FBF203A">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984" w:type="dxa"/>
            <w:tcBorders>
              <w:top w:val="nil"/>
              <w:left w:val="nil"/>
              <w:bottom w:val="single" w:color="000000" w:sz="4" w:space="0"/>
              <w:right w:val="single" w:color="000000" w:sz="4" w:space="0"/>
            </w:tcBorders>
            <w:noWrap w:val="0"/>
            <w:vAlign w:val="center"/>
          </w:tcPr>
          <w:p w14:paraId="32F03175">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460" w:type="dxa"/>
            <w:tcBorders>
              <w:top w:val="nil"/>
              <w:left w:val="nil"/>
              <w:bottom w:val="single" w:color="000000" w:sz="4" w:space="0"/>
              <w:right w:val="single" w:color="000000" w:sz="4" w:space="0"/>
            </w:tcBorders>
            <w:noWrap w:val="0"/>
            <w:vAlign w:val="center"/>
          </w:tcPr>
          <w:p w14:paraId="4C63243E">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659" w:type="dxa"/>
            <w:tcBorders>
              <w:top w:val="nil"/>
              <w:left w:val="nil"/>
              <w:bottom w:val="single" w:color="000000" w:sz="4" w:space="0"/>
              <w:right w:val="single" w:color="000000" w:sz="4" w:space="0"/>
            </w:tcBorders>
            <w:noWrap w:val="0"/>
            <w:vAlign w:val="center"/>
          </w:tcPr>
          <w:p w14:paraId="372479D2">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r>
      <w:tr w14:paraId="253E88AE">
        <w:tblPrEx>
          <w:tblCellMar>
            <w:top w:w="0" w:type="dxa"/>
            <w:left w:w="108" w:type="dxa"/>
            <w:bottom w:w="0" w:type="dxa"/>
            <w:right w:w="108" w:type="dxa"/>
          </w:tblCellMar>
        </w:tblPrEx>
        <w:trPr>
          <w:trHeight w:val="525" w:hRule="atLeast"/>
        </w:trPr>
        <w:tc>
          <w:tcPr>
            <w:tcW w:w="675" w:type="dxa"/>
            <w:tcBorders>
              <w:top w:val="nil"/>
              <w:left w:val="single" w:color="000000" w:sz="4" w:space="0"/>
              <w:bottom w:val="single" w:color="000000" w:sz="4" w:space="0"/>
              <w:right w:val="single" w:color="000000" w:sz="4" w:space="0"/>
            </w:tcBorders>
            <w:noWrap w:val="0"/>
            <w:vAlign w:val="center"/>
          </w:tcPr>
          <w:p w14:paraId="7DC897A0">
            <w:pPr>
              <w:widowControl/>
              <w:spacing w:line="360" w:lineRule="auto"/>
              <w:jc w:val="center"/>
              <w:rPr>
                <w:rFonts w:ascii="宋体" w:hAnsi="宋体" w:cs="宋体"/>
                <w:color w:val="auto"/>
                <w:szCs w:val="21"/>
                <w:highlight w:val="none"/>
              </w:rPr>
            </w:pPr>
          </w:p>
        </w:tc>
        <w:tc>
          <w:tcPr>
            <w:tcW w:w="1276" w:type="dxa"/>
            <w:tcBorders>
              <w:top w:val="nil"/>
              <w:left w:val="single" w:color="000000" w:sz="4" w:space="0"/>
              <w:bottom w:val="single" w:color="000000" w:sz="4" w:space="0"/>
              <w:right w:val="single" w:color="000000" w:sz="4" w:space="0"/>
            </w:tcBorders>
            <w:noWrap w:val="0"/>
            <w:vAlign w:val="center"/>
          </w:tcPr>
          <w:p w14:paraId="1F19D98C">
            <w:pPr>
              <w:widowControl/>
              <w:spacing w:line="360" w:lineRule="auto"/>
              <w:jc w:val="center"/>
              <w:rPr>
                <w:rFonts w:ascii="宋体" w:hAnsi="宋体" w:cs="宋体"/>
                <w:color w:val="auto"/>
                <w:szCs w:val="21"/>
                <w:highlight w:val="none"/>
              </w:rPr>
            </w:pPr>
          </w:p>
        </w:tc>
        <w:tc>
          <w:tcPr>
            <w:tcW w:w="1276" w:type="dxa"/>
            <w:tcBorders>
              <w:top w:val="nil"/>
              <w:left w:val="nil"/>
              <w:bottom w:val="single" w:color="000000" w:sz="4" w:space="0"/>
              <w:right w:val="single" w:color="000000" w:sz="4" w:space="0"/>
            </w:tcBorders>
            <w:noWrap w:val="0"/>
            <w:vAlign w:val="center"/>
          </w:tcPr>
          <w:p w14:paraId="60FDD10F">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134" w:type="dxa"/>
            <w:tcBorders>
              <w:top w:val="nil"/>
              <w:left w:val="nil"/>
              <w:bottom w:val="single" w:color="000000" w:sz="4" w:space="0"/>
              <w:right w:val="single" w:color="000000" w:sz="4" w:space="0"/>
            </w:tcBorders>
            <w:noWrap w:val="0"/>
            <w:vAlign w:val="center"/>
          </w:tcPr>
          <w:p w14:paraId="2E324B7D">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984" w:type="dxa"/>
            <w:tcBorders>
              <w:top w:val="nil"/>
              <w:left w:val="nil"/>
              <w:bottom w:val="single" w:color="000000" w:sz="4" w:space="0"/>
              <w:right w:val="single" w:color="000000" w:sz="4" w:space="0"/>
            </w:tcBorders>
            <w:noWrap w:val="0"/>
            <w:vAlign w:val="center"/>
          </w:tcPr>
          <w:p w14:paraId="105F7509">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460" w:type="dxa"/>
            <w:tcBorders>
              <w:top w:val="nil"/>
              <w:left w:val="nil"/>
              <w:bottom w:val="single" w:color="000000" w:sz="4" w:space="0"/>
              <w:right w:val="single" w:color="000000" w:sz="4" w:space="0"/>
            </w:tcBorders>
            <w:noWrap w:val="0"/>
            <w:vAlign w:val="center"/>
          </w:tcPr>
          <w:p w14:paraId="04E2DCD4">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659" w:type="dxa"/>
            <w:tcBorders>
              <w:top w:val="nil"/>
              <w:left w:val="nil"/>
              <w:bottom w:val="single" w:color="000000" w:sz="4" w:space="0"/>
              <w:right w:val="single" w:color="000000" w:sz="4" w:space="0"/>
            </w:tcBorders>
            <w:noWrap w:val="0"/>
            <w:vAlign w:val="center"/>
          </w:tcPr>
          <w:p w14:paraId="50861111">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r>
      <w:tr w14:paraId="2856E886">
        <w:tblPrEx>
          <w:tblCellMar>
            <w:top w:w="0" w:type="dxa"/>
            <w:left w:w="108" w:type="dxa"/>
            <w:bottom w:w="0" w:type="dxa"/>
            <w:right w:w="108" w:type="dxa"/>
          </w:tblCellMar>
        </w:tblPrEx>
        <w:trPr>
          <w:trHeight w:val="525" w:hRule="atLeast"/>
        </w:trPr>
        <w:tc>
          <w:tcPr>
            <w:tcW w:w="675" w:type="dxa"/>
            <w:tcBorders>
              <w:top w:val="nil"/>
              <w:left w:val="single" w:color="000000" w:sz="4" w:space="0"/>
              <w:bottom w:val="single" w:color="000000" w:sz="4" w:space="0"/>
              <w:right w:val="single" w:color="000000" w:sz="4" w:space="0"/>
            </w:tcBorders>
            <w:noWrap w:val="0"/>
            <w:vAlign w:val="center"/>
          </w:tcPr>
          <w:p w14:paraId="799C928C">
            <w:pPr>
              <w:widowControl/>
              <w:spacing w:line="360" w:lineRule="auto"/>
              <w:jc w:val="center"/>
              <w:rPr>
                <w:rFonts w:hint="eastAsia" w:ascii="宋体" w:hAnsi="宋体" w:cs="宋体"/>
                <w:color w:val="auto"/>
                <w:szCs w:val="21"/>
                <w:highlight w:val="none"/>
              </w:rPr>
            </w:pPr>
          </w:p>
        </w:tc>
        <w:tc>
          <w:tcPr>
            <w:tcW w:w="1276" w:type="dxa"/>
            <w:tcBorders>
              <w:top w:val="nil"/>
              <w:left w:val="single" w:color="000000" w:sz="4" w:space="0"/>
              <w:bottom w:val="single" w:color="000000" w:sz="4" w:space="0"/>
              <w:right w:val="single" w:color="000000" w:sz="4" w:space="0"/>
            </w:tcBorders>
            <w:noWrap w:val="0"/>
            <w:vAlign w:val="center"/>
          </w:tcPr>
          <w:p w14:paraId="017793D7">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276" w:type="dxa"/>
            <w:tcBorders>
              <w:top w:val="nil"/>
              <w:left w:val="nil"/>
              <w:bottom w:val="single" w:color="000000" w:sz="4" w:space="0"/>
              <w:right w:val="single" w:color="000000" w:sz="4" w:space="0"/>
            </w:tcBorders>
            <w:noWrap w:val="0"/>
            <w:vAlign w:val="center"/>
          </w:tcPr>
          <w:p w14:paraId="528766D8">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134" w:type="dxa"/>
            <w:tcBorders>
              <w:top w:val="nil"/>
              <w:left w:val="nil"/>
              <w:bottom w:val="single" w:color="000000" w:sz="4" w:space="0"/>
              <w:right w:val="single" w:color="000000" w:sz="4" w:space="0"/>
            </w:tcBorders>
            <w:noWrap w:val="0"/>
            <w:vAlign w:val="center"/>
          </w:tcPr>
          <w:p w14:paraId="3D9F3F93">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984" w:type="dxa"/>
            <w:tcBorders>
              <w:top w:val="nil"/>
              <w:left w:val="nil"/>
              <w:bottom w:val="single" w:color="000000" w:sz="4" w:space="0"/>
              <w:right w:val="single" w:color="000000" w:sz="4" w:space="0"/>
            </w:tcBorders>
            <w:noWrap w:val="0"/>
            <w:vAlign w:val="center"/>
          </w:tcPr>
          <w:p w14:paraId="31FBC89A">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460" w:type="dxa"/>
            <w:tcBorders>
              <w:top w:val="nil"/>
              <w:left w:val="nil"/>
              <w:bottom w:val="single" w:color="000000" w:sz="4" w:space="0"/>
              <w:right w:val="single" w:color="000000" w:sz="4" w:space="0"/>
            </w:tcBorders>
            <w:noWrap w:val="0"/>
            <w:vAlign w:val="center"/>
          </w:tcPr>
          <w:p w14:paraId="4A001B74">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659" w:type="dxa"/>
            <w:tcBorders>
              <w:top w:val="nil"/>
              <w:left w:val="nil"/>
              <w:bottom w:val="single" w:color="000000" w:sz="4" w:space="0"/>
              <w:right w:val="single" w:color="000000" w:sz="4" w:space="0"/>
            </w:tcBorders>
            <w:noWrap w:val="0"/>
            <w:vAlign w:val="center"/>
          </w:tcPr>
          <w:p w14:paraId="57F53D09">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r>
      <w:tr w14:paraId="63A3934D">
        <w:tblPrEx>
          <w:tblCellMar>
            <w:top w:w="0" w:type="dxa"/>
            <w:left w:w="108" w:type="dxa"/>
            <w:bottom w:w="0" w:type="dxa"/>
            <w:right w:w="108" w:type="dxa"/>
          </w:tblCellMar>
        </w:tblPrEx>
        <w:trPr>
          <w:trHeight w:val="525"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B7F7DB">
            <w:pPr>
              <w:widowControl/>
              <w:spacing w:line="360" w:lineRule="auto"/>
              <w:jc w:val="center"/>
              <w:rPr>
                <w:rFonts w:hint="eastAsia" w:ascii="宋体" w:hAnsi="宋体" w:cs="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2C42713">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276" w:type="dxa"/>
            <w:tcBorders>
              <w:top w:val="single" w:color="000000" w:sz="4" w:space="0"/>
              <w:left w:val="nil"/>
              <w:bottom w:val="single" w:color="000000" w:sz="4" w:space="0"/>
              <w:right w:val="single" w:color="000000" w:sz="4" w:space="0"/>
            </w:tcBorders>
            <w:noWrap w:val="0"/>
            <w:vAlign w:val="center"/>
          </w:tcPr>
          <w:p w14:paraId="3B6D1D4C">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134" w:type="dxa"/>
            <w:tcBorders>
              <w:top w:val="single" w:color="000000" w:sz="4" w:space="0"/>
              <w:left w:val="nil"/>
              <w:bottom w:val="single" w:color="000000" w:sz="4" w:space="0"/>
              <w:right w:val="single" w:color="000000" w:sz="4" w:space="0"/>
            </w:tcBorders>
            <w:noWrap w:val="0"/>
            <w:vAlign w:val="center"/>
          </w:tcPr>
          <w:p w14:paraId="160ABA0C">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984" w:type="dxa"/>
            <w:tcBorders>
              <w:top w:val="single" w:color="000000" w:sz="4" w:space="0"/>
              <w:left w:val="nil"/>
              <w:bottom w:val="single" w:color="000000" w:sz="4" w:space="0"/>
              <w:right w:val="single" w:color="000000" w:sz="4" w:space="0"/>
            </w:tcBorders>
            <w:noWrap w:val="0"/>
            <w:vAlign w:val="center"/>
          </w:tcPr>
          <w:p w14:paraId="24C2B3FA">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460" w:type="dxa"/>
            <w:tcBorders>
              <w:top w:val="single" w:color="000000" w:sz="4" w:space="0"/>
              <w:left w:val="nil"/>
              <w:bottom w:val="single" w:color="000000" w:sz="4" w:space="0"/>
              <w:right w:val="single" w:color="000000" w:sz="4" w:space="0"/>
            </w:tcBorders>
            <w:noWrap w:val="0"/>
            <w:vAlign w:val="center"/>
          </w:tcPr>
          <w:p w14:paraId="67D0DEF3">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c>
          <w:tcPr>
            <w:tcW w:w="1659" w:type="dxa"/>
            <w:tcBorders>
              <w:top w:val="single" w:color="000000" w:sz="4" w:space="0"/>
              <w:left w:val="nil"/>
              <w:bottom w:val="single" w:color="000000" w:sz="4" w:space="0"/>
              <w:right w:val="single" w:color="000000" w:sz="4" w:space="0"/>
            </w:tcBorders>
            <w:noWrap w:val="0"/>
            <w:vAlign w:val="center"/>
          </w:tcPr>
          <w:p w14:paraId="1B2F54D1">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　</w:t>
            </w:r>
          </w:p>
        </w:tc>
      </w:tr>
      <w:tr w14:paraId="31E38276">
        <w:tblPrEx>
          <w:tblCellMar>
            <w:top w:w="0" w:type="dxa"/>
            <w:left w:w="108" w:type="dxa"/>
            <w:bottom w:w="0" w:type="dxa"/>
            <w:right w:w="108" w:type="dxa"/>
          </w:tblCellMar>
        </w:tblPrEx>
        <w:trPr>
          <w:trHeight w:val="525"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401584">
            <w:pPr>
              <w:widowControl/>
              <w:spacing w:line="360" w:lineRule="auto"/>
              <w:jc w:val="center"/>
              <w:rPr>
                <w:rFonts w:hint="eastAsia" w:ascii="宋体" w:hAnsi="宋体" w:cs="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01FA473">
            <w:pPr>
              <w:widowControl/>
              <w:spacing w:line="360" w:lineRule="auto"/>
              <w:jc w:val="center"/>
              <w:rPr>
                <w:rFonts w:hint="eastAsia" w:ascii="宋体" w:hAnsi="宋体" w:cs="宋体"/>
                <w:color w:val="auto"/>
                <w:szCs w:val="21"/>
                <w:highlight w:val="none"/>
              </w:rPr>
            </w:pPr>
          </w:p>
        </w:tc>
        <w:tc>
          <w:tcPr>
            <w:tcW w:w="1276" w:type="dxa"/>
            <w:tcBorders>
              <w:top w:val="single" w:color="000000" w:sz="4" w:space="0"/>
              <w:left w:val="nil"/>
              <w:bottom w:val="single" w:color="000000" w:sz="4" w:space="0"/>
              <w:right w:val="single" w:color="000000" w:sz="4" w:space="0"/>
            </w:tcBorders>
            <w:noWrap w:val="0"/>
            <w:vAlign w:val="center"/>
          </w:tcPr>
          <w:p w14:paraId="63EA3936">
            <w:pPr>
              <w:widowControl/>
              <w:spacing w:line="360" w:lineRule="auto"/>
              <w:jc w:val="center"/>
              <w:rPr>
                <w:rFonts w:hint="eastAsia"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37B7BBF4">
            <w:pPr>
              <w:widowControl/>
              <w:spacing w:line="360" w:lineRule="auto"/>
              <w:jc w:val="center"/>
              <w:rPr>
                <w:rFonts w:hint="eastAsia" w:ascii="宋体" w:hAnsi="宋体" w:cs="宋体"/>
                <w:color w:val="auto"/>
                <w:szCs w:val="21"/>
                <w:highlight w:val="none"/>
              </w:rPr>
            </w:pPr>
          </w:p>
        </w:tc>
        <w:tc>
          <w:tcPr>
            <w:tcW w:w="1984" w:type="dxa"/>
            <w:tcBorders>
              <w:top w:val="single" w:color="000000" w:sz="4" w:space="0"/>
              <w:left w:val="nil"/>
              <w:bottom w:val="single" w:color="000000" w:sz="4" w:space="0"/>
              <w:right w:val="single" w:color="000000" w:sz="4" w:space="0"/>
            </w:tcBorders>
            <w:noWrap w:val="0"/>
            <w:vAlign w:val="center"/>
          </w:tcPr>
          <w:p w14:paraId="3D3C5D74">
            <w:pPr>
              <w:widowControl/>
              <w:spacing w:line="360" w:lineRule="auto"/>
              <w:jc w:val="center"/>
              <w:rPr>
                <w:rFonts w:hint="eastAsia" w:ascii="宋体" w:hAnsi="宋体" w:cs="宋体"/>
                <w:color w:val="auto"/>
                <w:szCs w:val="21"/>
                <w:highlight w:val="none"/>
              </w:rPr>
            </w:pPr>
          </w:p>
        </w:tc>
        <w:tc>
          <w:tcPr>
            <w:tcW w:w="1460" w:type="dxa"/>
            <w:tcBorders>
              <w:top w:val="single" w:color="000000" w:sz="4" w:space="0"/>
              <w:left w:val="nil"/>
              <w:bottom w:val="single" w:color="000000" w:sz="4" w:space="0"/>
              <w:right w:val="single" w:color="000000" w:sz="4" w:space="0"/>
            </w:tcBorders>
            <w:noWrap w:val="0"/>
            <w:vAlign w:val="center"/>
          </w:tcPr>
          <w:p w14:paraId="5B043D75">
            <w:pPr>
              <w:widowControl/>
              <w:spacing w:line="360" w:lineRule="auto"/>
              <w:jc w:val="center"/>
              <w:rPr>
                <w:rFonts w:hint="eastAsia" w:ascii="宋体" w:hAnsi="宋体" w:cs="宋体"/>
                <w:color w:val="auto"/>
                <w:szCs w:val="21"/>
                <w:highlight w:val="none"/>
              </w:rPr>
            </w:pPr>
          </w:p>
        </w:tc>
        <w:tc>
          <w:tcPr>
            <w:tcW w:w="1659" w:type="dxa"/>
            <w:tcBorders>
              <w:top w:val="single" w:color="000000" w:sz="4" w:space="0"/>
              <w:left w:val="nil"/>
              <w:bottom w:val="single" w:color="000000" w:sz="4" w:space="0"/>
              <w:right w:val="single" w:color="000000" w:sz="4" w:space="0"/>
            </w:tcBorders>
            <w:noWrap w:val="0"/>
            <w:vAlign w:val="center"/>
          </w:tcPr>
          <w:p w14:paraId="5DFCC665">
            <w:pPr>
              <w:widowControl/>
              <w:spacing w:line="360" w:lineRule="auto"/>
              <w:jc w:val="center"/>
              <w:rPr>
                <w:rFonts w:hint="eastAsia" w:ascii="宋体" w:hAnsi="宋体" w:cs="宋体"/>
                <w:color w:val="auto"/>
                <w:szCs w:val="21"/>
                <w:highlight w:val="none"/>
              </w:rPr>
            </w:pPr>
          </w:p>
        </w:tc>
      </w:tr>
      <w:tr w14:paraId="6E535294">
        <w:tblPrEx>
          <w:tblCellMar>
            <w:top w:w="0" w:type="dxa"/>
            <w:left w:w="108" w:type="dxa"/>
            <w:bottom w:w="0" w:type="dxa"/>
            <w:right w:w="108" w:type="dxa"/>
          </w:tblCellMar>
        </w:tblPrEx>
        <w:trPr>
          <w:trHeight w:val="525" w:hRule="atLeast"/>
        </w:trPr>
        <w:tc>
          <w:tcPr>
            <w:tcW w:w="675" w:type="dxa"/>
            <w:tcBorders>
              <w:top w:val="nil"/>
              <w:left w:val="single" w:color="000000" w:sz="4" w:space="0"/>
              <w:bottom w:val="single" w:color="000000" w:sz="4" w:space="0"/>
              <w:right w:val="single" w:color="000000" w:sz="4" w:space="0"/>
            </w:tcBorders>
            <w:noWrap w:val="0"/>
            <w:vAlign w:val="center"/>
          </w:tcPr>
          <w:p w14:paraId="1A36AE38">
            <w:pPr>
              <w:widowControl/>
              <w:spacing w:line="360" w:lineRule="auto"/>
              <w:jc w:val="center"/>
              <w:rPr>
                <w:rFonts w:hint="eastAsia" w:ascii="宋体" w:hAnsi="宋体" w:cs="宋体"/>
                <w:color w:val="auto"/>
                <w:szCs w:val="21"/>
                <w:highlight w:val="none"/>
              </w:rPr>
            </w:pPr>
          </w:p>
        </w:tc>
        <w:tc>
          <w:tcPr>
            <w:tcW w:w="1276" w:type="dxa"/>
            <w:tcBorders>
              <w:top w:val="nil"/>
              <w:left w:val="single" w:color="000000" w:sz="4" w:space="0"/>
              <w:bottom w:val="single" w:color="000000" w:sz="4" w:space="0"/>
              <w:right w:val="single" w:color="000000" w:sz="4" w:space="0"/>
            </w:tcBorders>
            <w:noWrap w:val="0"/>
            <w:vAlign w:val="center"/>
          </w:tcPr>
          <w:p w14:paraId="3B20C082">
            <w:pPr>
              <w:widowControl/>
              <w:spacing w:line="360" w:lineRule="auto"/>
              <w:jc w:val="center"/>
              <w:rPr>
                <w:rFonts w:hint="eastAsia" w:ascii="宋体" w:hAnsi="宋体" w:cs="宋体"/>
                <w:color w:val="auto"/>
                <w:szCs w:val="21"/>
                <w:highlight w:val="none"/>
              </w:rPr>
            </w:pPr>
          </w:p>
        </w:tc>
        <w:tc>
          <w:tcPr>
            <w:tcW w:w="1276" w:type="dxa"/>
            <w:tcBorders>
              <w:top w:val="nil"/>
              <w:left w:val="nil"/>
              <w:bottom w:val="single" w:color="000000" w:sz="4" w:space="0"/>
              <w:right w:val="single" w:color="000000" w:sz="4" w:space="0"/>
            </w:tcBorders>
            <w:noWrap w:val="0"/>
            <w:vAlign w:val="center"/>
          </w:tcPr>
          <w:p w14:paraId="0F14272F">
            <w:pPr>
              <w:widowControl/>
              <w:spacing w:line="360" w:lineRule="auto"/>
              <w:jc w:val="center"/>
              <w:rPr>
                <w:rFonts w:hint="eastAsia" w:ascii="宋体" w:hAnsi="宋体" w:cs="宋体"/>
                <w:color w:val="auto"/>
                <w:szCs w:val="21"/>
                <w:highlight w:val="none"/>
              </w:rPr>
            </w:pPr>
          </w:p>
        </w:tc>
        <w:tc>
          <w:tcPr>
            <w:tcW w:w="1134" w:type="dxa"/>
            <w:tcBorders>
              <w:top w:val="nil"/>
              <w:left w:val="nil"/>
              <w:bottom w:val="single" w:color="000000" w:sz="4" w:space="0"/>
              <w:right w:val="single" w:color="000000" w:sz="4" w:space="0"/>
            </w:tcBorders>
            <w:noWrap w:val="0"/>
            <w:vAlign w:val="center"/>
          </w:tcPr>
          <w:p w14:paraId="1E8EC27C">
            <w:pPr>
              <w:widowControl/>
              <w:spacing w:line="360" w:lineRule="auto"/>
              <w:jc w:val="center"/>
              <w:rPr>
                <w:rFonts w:hint="eastAsia" w:ascii="宋体" w:hAnsi="宋体" w:cs="宋体"/>
                <w:color w:val="auto"/>
                <w:szCs w:val="21"/>
                <w:highlight w:val="none"/>
              </w:rPr>
            </w:pPr>
          </w:p>
        </w:tc>
        <w:tc>
          <w:tcPr>
            <w:tcW w:w="1984" w:type="dxa"/>
            <w:tcBorders>
              <w:top w:val="nil"/>
              <w:left w:val="nil"/>
              <w:bottom w:val="single" w:color="000000" w:sz="4" w:space="0"/>
              <w:right w:val="single" w:color="000000" w:sz="4" w:space="0"/>
            </w:tcBorders>
            <w:noWrap w:val="0"/>
            <w:vAlign w:val="center"/>
          </w:tcPr>
          <w:p w14:paraId="3B4D4C76">
            <w:pPr>
              <w:widowControl/>
              <w:spacing w:line="360" w:lineRule="auto"/>
              <w:jc w:val="center"/>
              <w:rPr>
                <w:rFonts w:hint="eastAsia" w:ascii="宋体" w:hAnsi="宋体" w:cs="宋体"/>
                <w:color w:val="auto"/>
                <w:szCs w:val="21"/>
                <w:highlight w:val="none"/>
              </w:rPr>
            </w:pPr>
          </w:p>
        </w:tc>
        <w:tc>
          <w:tcPr>
            <w:tcW w:w="1460" w:type="dxa"/>
            <w:tcBorders>
              <w:top w:val="nil"/>
              <w:left w:val="nil"/>
              <w:bottom w:val="single" w:color="000000" w:sz="4" w:space="0"/>
              <w:right w:val="single" w:color="000000" w:sz="4" w:space="0"/>
            </w:tcBorders>
            <w:noWrap w:val="0"/>
            <w:vAlign w:val="center"/>
          </w:tcPr>
          <w:p w14:paraId="637E337B">
            <w:pPr>
              <w:widowControl/>
              <w:spacing w:line="360" w:lineRule="auto"/>
              <w:jc w:val="center"/>
              <w:rPr>
                <w:rFonts w:hint="eastAsia" w:ascii="宋体" w:hAnsi="宋体" w:cs="宋体"/>
                <w:color w:val="auto"/>
                <w:szCs w:val="21"/>
                <w:highlight w:val="none"/>
              </w:rPr>
            </w:pPr>
          </w:p>
        </w:tc>
        <w:tc>
          <w:tcPr>
            <w:tcW w:w="1659" w:type="dxa"/>
            <w:tcBorders>
              <w:top w:val="nil"/>
              <w:left w:val="nil"/>
              <w:bottom w:val="single" w:color="000000" w:sz="4" w:space="0"/>
              <w:right w:val="single" w:color="000000" w:sz="4" w:space="0"/>
            </w:tcBorders>
            <w:noWrap w:val="0"/>
            <w:vAlign w:val="center"/>
          </w:tcPr>
          <w:p w14:paraId="06201A1F">
            <w:pPr>
              <w:widowControl/>
              <w:spacing w:line="360" w:lineRule="auto"/>
              <w:jc w:val="center"/>
              <w:rPr>
                <w:rFonts w:hint="eastAsia" w:ascii="宋体" w:hAnsi="宋体" w:cs="宋体"/>
                <w:color w:val="auto"/>
                <w:szCs w:val="21"/>
                <w:highlight w:val="none"/>
              </w:rPr>
            </w:pPr>
          </w:p>
        </w:tc>
      </w:tr>
    </w:tbl>
    <w:p w14:paraId="49A962BF">
      <w:pPr>
        <w:spacing w:line="360" w:lineRule="auto"/>
        <w:ind w:right="-82"/>
        <w:rPr>
          <w:rFonts w:ascii="宋体" w:hAnsi="宋体"/>
          <w:color w:val="auto"/>
          <w:szCs w:val="21"/>
          <w:highlight w:val="none"/>
        </w:rPr>
      </w:pPr>
      <w:r>
        <w:rPr>
          <w:rFonts w:hint="eastAsia" w:ascii="宋体" w:hAnsi="宋体"/>
          <w:color w:val="auto"/>
          <w:szCs w:val="21"/>
          <w:highlight w:val="none"/>
        </w:rPr>
        <w:t>注：本表后应附项目组成员相关资料复印件（加盖公章）</w:t>
      </w:r>
    </w:p>
    <w:p w14:paraId="511E89B6">
      <w:pPr>
        <w:spacing w:line="360" w:lineRule="auto"/>
        <w:jc w:val="center"/>
        <w:outlineLvl w:val="0"/>
        <w:rPr>
          <w:rFonts w:ascii="宋体" w:hAnsi="宋体"/>
          <w:b/>
          <w:color w:val="auto"/>
          <w:sz w:val="32"/>
          <w:szCs w:val="32"/>
          <w:highlight w:val="none"/>
        </w:rPr>
      </w:pPr>
      <w:r>
        <w:rPr>
          <w:rFonts w:ascii="宋体" w:hAnsi="宋体"/>
          <w:color w:val="auto"/>
          <w:szCs w:val="21"/>
          <w:highlight w:val="none"/>
        </w:rPr>
        <w:br w:type="page" w:clear="all"/>
      </w:r>
      <w:bookmarkStart w:id="82" w:name="_Toc55479033"/>
      <w:r>
        <w:rPr>
          <w:rFonts w:hint="eastAsia" w:ascii="宋体" w:hAnsi="宋体"/>
          <w:b/>
          <w:color w:val="auto"/>
          <w:sz w:val="32"/>
          <w:szCs w:val="32"/>
          <w:highlight w:val="none"/>
        </w:rPr>
        <w:t>九、技术方案</w:t>
      </w:r>
      <w:bookmarkEnd w:id="82"/>
    </w:p>
    <w:p w14:paraId="58ECD95C">
      <w:pPr>
        <w:spacing w:line="360" w:lineRule="auto"/>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自行编制，格式自拟</w:t>
      </w:r>
      <w:r>
        <w:rPr>
          <w:rFonts w:hint="eastAsia" w:ascii="宋体" w:hAnsi="宋体"/>
          <w:color w:val="auto"/>
          <w:szCs w:val="21"/>
          <w:highlight w:val="none"/>
        </w:rPr>
        <w:t>）</w:t>
      </w:r>
    </w:p>
    <w:p w14:paraId="47D9B783">
      <w:pPr>
        <w:spacing w:line="360" w:lineRule="auto"/>
        <w:rPr>
          <w:rFonts w:ascii="宋体" w:hAnsi="宋体"/>
          <w:color w:val="auto"/>
          <w:szCs w:val="21"/>
          <w:highlight w:val="none"/>
        </w:rPr>
      </w:pPr>
    </w:p>
    <w:p w14:paraId="0B80F5F7">
      <w:pPr>
        <w:spacing w:line="360" w:lineRule="auto"/>
        <w:rPr>
          <w:rFonts w:hint="eastAsia" w:ascii="宋体" w:hAnsi="宋体"/>
          <w:color w:val="auto"/>
          <w:szCs w:val="21"/>
          <w:highlight w:val="none"/>
        </w:rPr>
      </w:pPr>
    </w:p>
    <w:p w14:paraId="44DE7409">
      <w:pPr>
        <w:spacing w:line="360" w:lineRule="auto"/>
        <w:rPr>
          <w:rFonts w:hint="eastAsia" w:ascii="宋体" w:hAnsi="宋体"/>
          <w:color w:val="auto"/>
          <w:szCs w:val="21"/>
          <w:highlight w:val="none"/>
        </w:rPr>
      </w:pPr>
    </w:p>
    <w:p w14:paraId="3DB17E7C">
      <w:pPr>
        <w:spacing w:line="360" w:lineRule="auto"/>
        <w:ind w:right="-82"/>
        <w:rPr>
          <w:rFonts w:ascii="宋体" w:hAnsi="宋体"/>
          <w:i/>
          <w:color w:val="auto"/>
          <w:szCs w:val="21"/>
          <w:highlight w:val="none"/>
        </w:rPr>
      </w:pPr>
    </w:p>
    <w:p w14:paraId="2AF455DA">
      <w:pPr>
        <w:spacing w:line="360" w:lineRule="auto"/>
        <w:ind w:firstLine="420"/>
        <w:rPr>
          <w:rFonts w:ascii="宋体" w:hAnsi="宋体"/>
          <w:color w:val="auto"/>
          <w:szCs w:val="21"/>
          <w:highlight w:val="none"/>
        </w:rPr>
      </w:pPr>
    </w:p>
    <w:p w14:paraId="4BC3F82A">
      <w:pPr>
        <w:widowControl/>
        <w:spacing w:line="360" w:lineRule="auto"/>
        <w:jc w:val="left"/>
        <w:rPr>
          <w:rFonts w:ascii="宋体" w:hAnsi="宋体" w:cs="宋体"/>
          <w:color w:val="auto"/>
          <w:szCs w:val="21"/>
          <w:highlight w:val="none"/>
        </w:rPr>
      </w:pPr>
    </w:p>
    <w:p w14:paraId="26F4CA8C">
      <w:pPr>
        <w:widowControl/>
        <w:spacing w:line="360" w:lineRule="auto"/>
        <w:jc w:val="left"/>
        <w:rPr>
          <w:rFonts w:ascii="宋体" w:hAnsi="宋体" w:cs="宋体"/>
          <w:color w:val="auto"/>
          <w:szCs w:val="21"/>
          <w:highlight w:val="none"/>
        </w:rPr>
      </w:pPr>
    </w:p>
    <w:p w14:paraId="5E239BBE">
      <w:pPr>
        <w:pStyle w:val="202"/>
        <w:spacing w:line="360" w:lineRule="auto"/>
        <w:rPr>
          <w:color w:val="auto"/>
          <w:highlight w:val="none"/>
        </w:rPr>
      </w:pPr>
    </w:p>
    <w:p w14:paraId="56880BD9">
      <w:pPr>
        <w:spacing w:line="360" w:lineRule="auto"/>
        <w:rPr>
          <w:color w:val="auto"/>
          <w:highlight w:val="none"/>
        </w:rPr>
      </w:pPr>
    </w:p>
    <w:p w14:paraId="220022C1">
      <w:pPr>
        <w:pStyle w:val="202"/>
        <w:spacing w:line="360" w:lineRule="auto"/>
        <w:rPr>
          <w:color w:val="auto"/>
          <w:highlight w:val="none"/>
        </w:rPr>
      </w:pPr>
    </w:p>
    <w:p w14:paraId="02325748">
      <w:pPr>
        <w:spacing w:line="360" w:lineRule="auto"/>
        <w:rPr>
          <w:color w:val="auto"/>
          <w:highlight w:val="none"/>
        </w:rPr>
      </w:pPr>
    </w:p>
    <w:p w14:paraId="70FBA908">
      <w:pPr>
        <w:pStyle w:val="202"/>
        <w:spacing w:line="360" w:lineRule="auto"/>
        <w:rPr>
          <w:color w:val="auto"/>
          <w:highlight w:val="none"/>
        </w:rPr>
      </w:pPr>
    </w:p>
    <w:p w14:paraId="79FC279D">
      <w:pPr>
        <w:spacing w:line="360" w:lineRule="auto"/>
        <w:rPr>
          <w:color w:val="auto"/>
          <w:highlight w:val="none"/>
        </w:rPr>
      </w:pPr>
    </w:p>
    <w:p w14:paraId="29FB3BE6">
      <w:pPr>
        <w:pStyle w:val="202"/>
        <w:spacing w:line="360" w:lineRule="auto"/>
        <w:rPr>
          <w:color w:val="auto"/>
          <w:highlight w:val="none"/>
        </w:rPr>
      </w:pPr>
    </w:p>
    <w:p w14:paraId="4F2DAB09">
      <w:pPr>
        <w:spacing w:line="360" w:lineRule="auto"/>
        <w:rPr>
          <w:color w:val="auto"/>
          <w:highlight w:val="none"/>
        </w:rPr>
      </w:pPr>
    </w:p>
    <w:p w14:paraId="479D00C8">
      <w:pPr>
        <w:pStyle w:val="202"/>
        <w:spacing w:line="360" w:lineRule="auto"/>
        <w:rPr>
          <w:color w:val="auto"/>
          <w:highlight w:val="none"/>
        </w:rPr>
      </w:pPr>
    </w:p>
    <w:p w14:paraId="19F00FC8">
      <w:pPr>
        <w:spacing w:line="360" w:lineRule="auto"/>
        <w:rPr>
          <w:color w:val="auto"/>
          <w:highlight w:val="none"/>
        </w:rPr>
      </w:pPr>
    </w:p>
    <w:p w14:paraId="08DBC964">
      <w:pPr>
        <w:pStyle w:val="202"/>
        <w:spacing w:line="360" w:lineRule="auto"/>
        <w:rPr>
          <w:color w:val="auto"/>
          <w:highlight w:val="none"/>
        </w:rPr>
      </w:pPr>
    </w:p>
    <w:p w14:paraId="254B19B7">
      <w:pPr>
        <w:spacing w:line="360" w:lineRule="auto"/>
        <w:rPr>
          <w:color w:val="auto"/>
          <w:highlight w:val="none"/>
        </w:rPr>
      </w:pPr>
    </w:p>
    <w:p w14:paraId="103380A1">
      <w:pPr>
        <w:pStyle w:val="202"/>
        <w:spacing w:line="360" w:lineRule="auto"/>
        <w:rPr>
          <w:color w:val="auto"/>
          <w:highlight w:val="none"/>
        </w:rPr>
      </w:pPr>
    </w:p>
    <w:p w14:paraId="1FCBA8D2">
      <w:pPr>
        <w:spacing w:line="360" w:lineRule="auto"/>
        <w:rPr>
          <w:color w:val="auto"/>
          <w:highlight w:val="none"/>
        </w:rPr>
      </w:pPr>
    </w:p>
    <w:p w14:paraId="35E1EB0A">
      <w:pPr>
        <w:pStyle w:val="202"/>
        <w:spacing w:line="360" w:lineRule="auto"/>
        <w:rPr>
          <w:color w:val="auto"/>
          <w:highlight w:val="none"/>
        </w:rPr>
      </w:pPr>
    </w:p>
    <w:p w14:paraId="08BD9A2F">
      <w:pPr>
        <w:spacing w:line="360" w:lineRule="auto"/>
        <w:rPr>
          <w:color w:val="auto"/>
          <w:highlight w:val="none"/>
        </w:rPr>
      </w:pPr>
    </w:p>
    <w:p w14:paraId="07ED5157">
      <w:pPr>
        <w:pStyle w:val="202"/>
        <w:spacing w:line="360" w:lineRule="auto"/>
        <w:rPr>
          <w:color w:val="auto"/>
          <w:highlight w:val="none"/>
        </w:rPr>
      </w:pPr>
    </w:p>
    <w:p w14:paraId="21E044E7">
      <w:pPr>
        <w:spacing w:line="360" w:lineRule="auto"/>
        <w:rPr>
          <w:color w:val="auto"/>
          <w:highlight w:val="none"/>
        </w:rPr>
      </w:pPr>
    </w:p>
    <w:p w14:paraId="709B5AC4">
      <w:pPr>
        <w:pStyle w:val="202"/>
        <w:spacing w:line="360" w:lineRule="auto"/>
        <w:rPr>
          <w:color w:val="auto"/>
          <w:highlight w:val="none"/>
        </w:rPr>
      </w:pPr>
    </w:p>
    <w:p w14:paraId="308B8EBB">
      <w:pPr>
        <w:spacing w:line="360" w:lineRule="auto"/>
        <w:rPr>
          <w:color w:val="auto"/>
          <w:highlight w:val="none"/>
        </w:rPr>
      </w:pPr>
    </w:p>
    <w:p w14:paraId="24F66939">
      <w:pPr>
        <w:pStyle w:val="202"/>
        <w:spacing w:line="360" w:lineRule="auto"/>
        <w:rPr>
          <w:color w:val="auto"/>
          <w:highlight w:val="none"/>
        </w:rPr>
      </w:pPr>
    </w:p>
    <w:p w14:paraId="68AC7881">
      <w:pPr>
        <w:spacing w:line="360" w:lineRule="auto"/>
        <w:rPr>
          <w:color w:val="auto"/>
          <w:highlight w:val="none"/>
        </w:rPr>
      </w:pPr>
    </w:p>
    <w:p w14:paraId="29FC0683">
      <w:pPr>
        <w:pStyle w:val="202"/>
        <w:spacing w:line="360" w:lineRule="auto"/>
        <w:rPr>
          <w:color w:val="auto"/>
          <w:highlight w:val="none"/>
        </w:rPr>
      </w:pPr>
    </w:p>
    <w:p w14:paraId="5963A621">
      <w:pPr>
        <w:spacing w:line="360" w:lineRule="auto"/>
        <w:rPr>
          <w:color w:val="auto"/>
          <w:highlight w:val="none"/>
        </w:rPr>
      </w:pPr>
    </w:p>
    <w:p w14:paraId="42F1C36C">
      <w:pPr>
        <w:pStyle w:val="202"/>
        <w:spacing w:line="360" w:lineRule="auto"/>
        <w:rPr>
          <w:color w:val="auto"/>
          <w:highlight w:val="none"/>
        </w:rPr>
      </w:pPr>
    </w:p>
    <w:p w14:paraId="0C284142">
      <w:pPr>
        <w:spacing w:line="360" w:lineRule="auto"/>
        <w:rPr>
          <w:color w:val="auto"/>
          <w:highlight w:val="none"/>
        </w:rPr>
      </w:pPr>
    </w:p>
    <w:p w14:paraId="13CBC06A">
      <w:pPr>
        <w:pStyle w:val="202"/>
        <w:spacing w:line="360" w:lineRule="auto"/>
        <w:rPr>
          <w:color w:val="auto"/>
          <w:highlight w:val="none"/>
        </w:rPr>
      </w:pPr>
    </w:p>
    <w:p w14:paraId="294C36C4">
      <w:pPr>
        <w:spacing w:line="360" w:lineRule="auto"/>
        <w:rPr>
          <w:color w:val="auto"/>
          <w:highlight w:val="none"/>
        </w:rPr>
      </w:pPr>
    </w:p>
    <w:p w14:paraId="071ADDD1">
      <w:pPr>
        <w:pStyle w:val="202"/>
        <w:spacing w:line="360" w:lineRule="auto"/>
        <w:rPr>
          <w:color w:val="auto"/>
          <w:highlight w:val="none"/>
        </w:rPr>
      </w:pPr>
    </w:p>
    <w:p w14:paraId="7FEF28A7">
      <w:pPr>
        <w:spacing w:line="360" w:lineRule="auto"/>
        <w:jc w:val="center"/>
        <w:outlineLvl w:val="0"/>
        <w:rPr>
          <w:rFonts w:hint="eastAsia" w:ascii="宋体" w:hAnsi="宋体"/>
          <w:b/>
          <w:color w:val="auto"/>
          <w:sz w:val="32"/>
          <w:szCs w:val="32"/>
          <w:highlight w:val="none"/>
        </w:rPr>
      </w:pPr>
      <w:bookmarkStart w:id="83" w:name="_Toc44660270"/>
      <w:bookmarkStart w:id="84" w:name="_Toc55479034"/>
      <w:r>
        <w:rPr>
          <w:rFonts w:hint="eastAsia" w:ascii="宋体" w:hAnsi="宋体"/>
          <w:b/>
          <w:color w:val="auto"/>
          <w:sz w:val="32"/>
          <w:szCs w:val="32"/>
          <w:highlight w:val="none"/>
        </w:rPr>
        <w:t>十、投标需要的其他证明文件及材料</w:t>
      </w:r>
      <w:bookmarkEnd w:id="83"/>
      <w:bookmarkEnd w:id="84"/>
    </w:p>
    <w:p w14:paraId="79F905EF">
      <w:pPr>
        <w:spacing w:line="360" w:lineRule="auto"/>
        <w:rPr>
          <w:rFonts w:hint="eastAsia" w:ascii="宋体" w:hAnsi="宋体"/>
          <w:color w:val="auto"/>
          <w:szCs w:val="21"/>
          <w:highlight w:val="none"/>
        </w:rPr>
      </w:pPr>
    </w:p>
    <w:p w14:paraId="2A856E41">
      <w:pPr>
        <w:spacing w:line="360" w:lineRule="auto"/>
        <w:rPr>
          <w:rFonts w:hint="eastAsia" w:ascii="宋体" w:hAnsi="宋体"/>
          <w:color w:val="auto"/>
          <w:szCs w:val="21"/>
          <w:highlight w:val="none"/>
        </w:rPr>
      </w:pPr>
    </w:p>
    <w:p w14:paraId="1B611047">
      <w:pPr>
        <w:spacing w:line="360" w:lineRule="auto"/>
        <w:rPr>
          <w:rFonts w:hint="eastAsia" w:ascii="宋体" w:hAnsi="宋体"/>
          <w:color w:val="auto"/>
          <w:szCs w:val="21"/>
          <w:highlight w:val="none"/>
        </w:rPr>
      </w:pPr>
      <w:r>
        <w:rPr>
          <w:rFonts w:hint="eastAsia" w:ascii="宋体" w:hAnsi="宋体" w:cs="宋体"/>
          <w:color w:val="auto"/>
          <w:szCs w:val="21"/>
          <w:highlight w:val="none"/>
          <w:lang w:val="zh-CN"/>
        </w:rPr>
        <w:t>投标需要的其他证明文件及材料（若有）</w:t>
      </w:r>
    </w:p>
    <w:p w14:paraId="5C6D4CE9">
      <w:pPr>
        <w:spacing w:line="360" w:lineRule="auto"/>
        <w:rPr>
          <w:rFonts w:hint="eastAsia" w:ascii="宋体" w:hAnsi="宋体"/>
          <w:color w:val="auto"/>
          <w:szCs w:val="21"/>
          <w:highlight w:val="none"/>
        </w:rPr>
      </w:pPr>
    </w:p>
    <w:p w14:paraId="40583A16">
      <w:pPr>
        <w:spacing w:line="360" w:lineRule="auto"/>
        <w:rPr>
          <w:rFonts w:hint="eastAsia" w:ascii="宋体" w:hAnsi="宋体"/>
          <w:color w:val="auto"/>
          <w:szCs w:val="21"/>
          <w:highlight w:val="none"/>
        </w:rPr>
      </w:pPr>
    </w:p>
    <w:p w14:paraId="1FC585F4">
      <w:pPr>
        <w:spacing w:line="360" w:lineRule="auto"/>
        <w:rPr>
          <w:rFonts w:hint="eastAsia" w:ascii="宋体" w:hAnsi="宋体"/>
          <w:color w:val="auto"/>
          <w:szCs w:val="21"/>
          <w:highlight w:val="none"/>
        </w:rPr>
      </w:pPr>
    </w:p>
    <w:p w14:paraId="0997E729">
      <w:pPr>
        <w:spacing w:line="360" w:lineRule="auto"/>
        <w:rPr>
          <w:rFonts w:hint="eastAsia" w:ascii="宋体" w:hAnsi="宋体"/>
          <w:color w:val="auto"/>
          <w:szCs w:val="21"/>
          <w:highlight w:val="none"/>
        </w:rPr>
      </w:pPr>
    </w:p>
    <w:p w14:paraId="2EFE5539">
      <w:pPr>
        <w:spacing w:line="360" w:lineRule="auto"/>
        <w:rPr>
          <w:rFonts w:hint="eastAsia" w:ascii="宋体" w:hAnsi="宋体"/>
          <w:color w:val="auto"/>
          <w:szCs w:val="21"/>
          <w:highlight w:val="none"/>
        </w:rPr>
      </w:pPr>
    </w:p>
    <w:p w14:paraId="42BC4CDC">
      <w:pPr>
        <w:spacing w:line="360" w:lineRule="auto"/>
        <w:jc w:val="left"/>
        <w:rPr>
          <w:rFonts w:hint="eastAsia" w:ascii="宋体" w:hAnsi="宋体"/>
          <w:b/>
          <w:color w:val="auto"/>
          <w:szCs w:val="21"/>
          <w:highlight w:val="none"/>
        </w:rPr>
      </w:pPr>
      <w:r>
        <w:rPr>
          <w:rFonts w:ascii="宋体" w:hAnsi="宋体"/>
          <w:color w:val="auto"/>
          <w:szCs w:val="21"/>
          <w:highlight w:val="none"/>
        </w:rPr>
        <w:br w:type="page" w:clear="all"/>
      </w:r>
      <w:r>
        <w:rPr>
          <w:rFonts w:hint="eastAsia" w:ascii="宋体" w:hAnsi="宋体"/>
          <w:b/>
          <w:color w:val="auto"/>
          <w:szCs w:val="21"/>
          <w:highlight w:val="none"/>
        </w:rPr>
        <w:t>附件一、声明函格式</w:t>
      </w:r>
    </w:p>
    <w:p w14:paraId="550B6ABD">
      <w:pPr>
        <w:spacing w:line="360" w:lineRule="auto"/>
        <w:jc w:val="center"/>
        <w:rPr>
          <w:rFonts w:ascii="宋体" w:hAnsi="宋体"/>
          <w:color w:val="auto"/>
          <w:szCs w:val="21"/>
          <w:highlight w:val="none"/>
        </w:rPr>
      </w:pPr>
    </w:p>
    <w:p w14:paraId="7D965BDA">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中小企业声明函</w:t>
      </w:r>
    </w:p>
    <w:p w14:paraId="052357AB">
      <w:pPr>
        <w:spacing w:line="360" w:lineRule="auto"/>
        <w:ind w:firstLine="420"/>
        <w:rPr>
          <w:rFonts w:hint="eastAsia"/>
          <w:color w:val="auto"/>
          <w:highlight w:val="none"/>
        </w:rPr>
      </w:pPr>
      <w:r>
        <w:rPr>
          <w:rFonts w:hint="eastAsia"/>
          <w:color w:val="auto"/>
          <w:highlight w:val="none"/>
        </w:rPr>
        <w:t>本公司郑重声明，根据《政府采购促进中小企业发展管理办法》（财库﹝2020﹞46 号）的规定，本公司参加</w:t>
      </w:r>
      <w:r>
        <w:rPr>
          <w:rFonts w:hint="eastAsia"/>
          <w:color w:val="auto"/>
          <w:highlight w:val="none"/>
          <w:u w:val="single"/>
        </w:rPr>
        <w:t>（单位名称）</w:t>
      </w:r>
      <w:r>
        <w:rPr>
          <w:rFonts w:hint="eastAsia"/>
          <w:color w:val="auto"/>
          <w:highlight w:val="none"/>
        </w:rPr>
        <w:t xml:space="preserve">的 </w:t>
      </w:r>
      <w:r>
        <w:rPr>
          <w:rFonts w:hint="eastAsia"/>
          <w:color w:val="auto"/>
          <w:highlight w:val="none"/>
          <w:u w:val="single"/>
        </w:rPr>
        <w:t>（项目名称）</w:t>
      </w:r>
      <w:r>
        <w:rPr>
          <w:rFonts w:hint="eastAsia"/>
          <w:color w:val="auto"/>
          <w:highlight w:val="none"/>
        </w:rPr>
        <w:t>采购活动，提供的货物全部由符合政策要求的中小企业提供。相关企业的具体情况如下：</w:t>
      </w:r>
    </w:p>
    <w:p w14:paraId="1BE99F65">
      <w:pPr>
        <w:spacing w:line="360" w:lineRule="auto"/>
        <w:rPr>
          <w:rFonts w:hint="eastAsia"/>
          <w:color w:val="auto"/>
          <w:highlight w:val="none"/>
        </w:rPr>
      </w:pP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其他未列明行业（采购文件中明确的所属行业）</w:t>
      </w:r>
      <w:r>
        <w:rPr>
          <w:rFonts w:hint="eastAsia"/>
          <w:color w:val="auto"/>
          <w:highlight w:val="none"/>
        </w:rPr>
        <w:t>行业；从业人员</w:t>
      </w:r>
      <w:r>
        <w:rPr>
          <w:rFonts w:hint="eastAsia"/>
          <w:color w:val="auto"/>
          <w:highlight w:val="none"/>
          <w:u w:val="single"/>
        </w:rPr>
        <w:t xml:space="preserve">    </w:t>
      </w:r>
      <w:r>
        <w:rPr>
          <w:rFonts w:hint="eastAsia"/>
          <w:color w:val="auto"/>
          <w:highlight w:val="none"/>
        </w:rPr>
        <w:t xml:space="preserve">人，营业收入为 </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（中型企业/小型企业/微型企业）企业</w:t>
      </w:r>
      <w:r>
        <w:rPr>
          <w:rFonts w:hint="eastAsia"/>
          <w:color w:val="auto"/>
          <w:highlight w:val="none"/>
        </w:rPr>
        <w:t>；</w:t>
      </w:r>
    </w:p>
    <w:p w14:paraId="4C04E775">
      <w:pPr>
        <w:spacing w:line="360" w:lineRule="auto"/>
        <w:ind w:firstLine="420"/>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30B81183">
      <w:pPr>
        <w:spacing w:line="360" w:lineRule="auto"/>
        <w:ind w:firstLine="420"/>
        <w:rPr>
          <w:rFonts w:hint="eastAsia"/>
          <w:color w:val="auto"/>
          <w:highlight w:val="none"/>
        </w:rPr>
      </w:pPr>
      <w:r>
        <w:rPr>
          <w:rFonts w:hint="eastAsia"/>
          <w:color w:val="auto"/>
          <w:highlight w:val="none"/>
        </w:rPr>
        <w:t>本企业对上述声明内容的真实性负责。如有虚假，将依法承担相应责任。</w:t>
      </w:r>
    </w:p>
    <w:p w14:paraId="759FA6DC">
      <w:pPr>
        <w:spacing w:line="360" w:lineRule="auto"/>
        <w:rPr>
          <w:color w:val="auto"/>
          <w:highlight w:val="none"/>
        </w:rPr>
      </w:pPr>
    </w:p>
    <w:p w14:paraId="02EDA665">
      <w:pPr>
        <w:spacing w:line="360" w:lineRule="auto"/>
        <w:rPr>
          <w:color w:val="auto"/>
          <w:highlight w:val="none"/>
        </w:rPr>
      </w:pPr>
    </w:p>
    <w:p w14:paraId="30DCE710">
      <w:pPr>
        <w:spacing w:line="360" w:lineRule="auto"/>
        <w:rPr>
          <w:rFonts w:hint="eastAsia"/>
          <w:color w:val="auto"/>
          <w:highlight w:val="none"/>
        </w:rPr>
      </w:pPr>
      <w:r>
        <w:rPr>
          <w:rFonts w:hint="eastAsia"/>
          <w:color w:val="auto"/>
          <w:highlight w:val="none"/>
        </w:rPr>
        <w:t>投标人名称（盖章）：</w:t>
      </w:r>
    </w:p>
    <w:p w14:paraId="51A5CA0B">
      <w:pPr>
        <w:spacing w:line="360" w:lineRule="auto"/>
        <w:rPr>
          <w:color w:val="auto"/>
          <w:highlight w:val="none"/>
        </w:rPr>
      </w:pPr>
      <w:r>
        <w:rPr>
          <w:rFonts w:hint="eastAsia"/>
          <w:color w:val="auto"/>
          <w:highlight w:val="none"/>
        </w:rPr>
        <w:t>日期：</w:t>
      </w:r>
    </w:p>
    <w:p w14:paraId="0C6578DB">
      <w:pPr>
        <w:spacing w:line="360" w:lineRule="auto"/>
        <w:rPr>
          <w:color w:val="auto"/>
          <w:highlight w:val="none"/>
        </w:rPr>
      </w:pPr>
    </w:p>
    <w:p w14:paraId="1F65D80F">
      <w:pPr>
        <w:pStyle w:val="202"/>
        <w:spacing w:line="360" w:lineRule="auto"/>
        <w:rPr>
          <w:color w:val="auto"/>
          <w:highlight w:val="none"/>
        </w:rPr>
      </w:pPr>
    </w:p>
    <w:p w14:paraId="25B5758A">
      <w:pPr>
        <w:spacing w:line="360" w:lineRule="auto"/>
        <w:rPr>
          <w:color w:val="auto"/>
          <w:highlight w:val="none"/>
        </w:rPr>
      </w:pPr>
    </w:p>
    <w:p w14:paraId="45D94576">
      <w:pPr>
        <w:pStyle w:val="202"/>
        <w:spacing w:line="360" w:lineRule="auto"/>
        <w:rPr>
          <w:color w:val="auto"/>
          <w:highlight w:val="none"/>
        </w:rPr>
      </w:pPr>
    </w:p>
    <w:p w14:paraId="61EE3393">
      <w:pPr>
        <w:spacing w:line="360" w:lineRule="auto"/>
        <w:rPr>
          <w:color w:val="auto"/>
          <w:highlight w:val="none"/>
        </w:rPr>
      </w:pPr>
    </w:p>
    <w:p w14:paraId="1BA5D827">
      <w:pPr>
        <w:pStyle w:val="202"/>
        <w:spacing w:line="360" w:lineRule="auto"/>
        <w:rPr>
          <w:color w:val="auto"/>
          <w:highlight w:val="none"/>
        </w:rPr>
      </w:pPr>
    </w:p>
    <w:p w14:paraId="42C54020">
      <w:pPr>
        <w:spacing w:line="360" w:lineRule="auto"/>
        <w:rPr>
          <w:color w:val="auto"/>
          <w:highlight w:val="none"/>
        </w:rPr>
      </w:pPr>
    </w:p>
    <w:p w14:paraId="13D74FC2">
      <w:pPr>
        <w:pStyle w:val="202"/>
        <w:spacing w:line="360" w:lineRule="auto"/>
        <w:rPr>
          <w:color w:val="auto"/>
          <w:highlight w:val="none"/>
        </w:rPr>
      </w:pPr>
    </w:p>
    <w:p w14:paraId="4F3645E7">
      <w:pPr>
        <w:spacing w:line="360" w:lineRule="auto"/>
        <w:rPr>
          <w:color w:val="auto"/>
          <w:highlight w:val="none"/>
        </w:rPr>
      </w:pPr>
    </w:p>
    <w:p w14:paraId="27CF59DE">
      <w:pPr>
        <w:pStyle w:val="202"/>
        <w:spacing w:line="360" w:lineRule="auto"/>
        <w:rPr>
          <w:color w:val="auto"/>
          <w:highlight w:val="none"/>
        </w:rPr>
      </w:pPr>
    </w:p>
    <w:p w14:paraId="0838D949">
      <w:pPr>
        <w:spacing w:line="360" w:lineRule="auto"/>
        <w:rPr>
          <w:color w:val="auto"/>
          <w:highlight w:val="none"/>
        </w:rPr>
      </w:pPr>
    </w:p>
    <w:p w14:paraId="11D1BC55">
      <w:pPr>
        <w:pStyle w:val="202"/>
        <w:spacing w:line="360" w:lineRule="auto"/>
        <w:rPr>
          <w:color w:val="auto"/>
          <w:highlight w:val="none"/>
        </w:rPr>
      </w:pPr>
    </w:p>
    <w:p w14:paraId="7F96C579">
      <w:pPr>
        <w:spacing w:line="360" w:lineRule="auto"/>
        <w:rPr>
          <w:color w:val="auto"/>
          <w:highlight w:val="none"/>
        </w:rPr>
      </w:pPr>
    </w:p>
    <w:p w14:paraId="3E03D1B1">
      <w:pPr>
        <w:pStyle w:val="202"/>
        <w:spacing w:line="360" w:lineRule="auto"/>
        <w:rPr>
          <w:color w:val="auto"/>
          <w:highlight w:val="none"/>
        </w:rPr>
      </w:pPr>
    </w:p>
    <w:p w14:paraId="4F63C4D3">
      <w:pPr>
        <w:spacing w:line="360" w:lineRule="auto"/>
        <w:rPr>
          <w:color w:val="auto"/>
          <w:highlight w:val="none"/>
        </w:rPr>
      </w:pPr>
    </w:p>
    <w:p w14:paraId="1D72BD2F">
      <w:pPr>
        <w:pStyle w:val="202"/>
        <w:spacing w:line="360" w:lineRule="auto"/>
        <w:rPr>
          <w:color w:val="auto"/>
          <w:highlight w:val="none"/>
        </w:rPr>
      </w:pPr>
    </w:p>
    <w:p w14:paraId="2D10ADED">
      <w:pPr>
        <w:spacing w:line="360" w:lineRule="auto"/>
        <w:rPr>
          <w:color w:val="auto"/>
          <w:highlight w:val="none"/>
        </w:rPr>
      </w:pPr>
    </w:p>
    <w:p w14:paraId="1F7C5667">
      <w:pPr>
        <w:pStyle w:val="202"/>
        <w:spacing w:line="360" w:lineRule="auto"/>
        <w:rPr>
          <w:color w:val="auto"/>
          <w:highlight w:val="none"/>
        </w:rPr>
      </w:pPr>
    </w:p>
    <w:p w14:paraId="1765ACA0">
      <w:pPr>
        <w:spacing w:line="360" w:lineRule="auto"/>
        <w:rPr>
          <w:color w:val="auto"/>
          <w:highlight w:val="none"/>
        </w:rPr>
      </w:pPr>
    </w:p>
    <w:p w14:paraId="4D2D0413">
      <w:pPr>
        <w:pStyle w:val="202"/>
        <w:spacing w:line="360" w:lineRule="auto"/>
        <w:rPr>
          <w:color w:val="auto"/>
          <w:highlight w:val="none"/>
        </w:rPr>
      </w:pPr>
    </w:p>
    <w:p w14:paraId="4A515163">
      <w:pPr>
        <w:spacing w:line="360" w:lineRule="auto"/>
        <w:rPr>
          <w:color w:val="auto"/>
          <w:highlight w:val="none"/>
        </w:rPr>
      </w:pPr>
    </w:p>
    <w:p w14:paraId="599B219E">
      <w:pPr>
        <w:pStyle w:val="202"/>
        <w:spacing w:line="360" w:lineRule="auto"/>
        <w:rPr>
          <w:color w:val="auto"/>
          <w:highlight w:val="none"/>
        </w:rPr>
      </w:pPr>
    </w:p>
    <w:p w14:paraId="43F36675">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残疾人福利性单位声明函</w:t>
      </w:r>
    </w:p>
    <w:p w14:paraId="6C71EA0B">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4086547">
      <w:pPr>
        <w:widowControl/>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57DD5D51">
      <w:pPr>
        <w:widowControl/>
        <w:spacing w:line="360" w:lineRule="auto"/>
        <w:ind w:firstLine="420"/>
        <w:jc w:val="left"/>
        <w:rPr>
          <w:rFonts w:hint="eastAsia" w:ascii="宋体" w:hAnsi="宋体" w:cs="宋体"/>
          <w:color w:val="auto"/>
          <w:szCs w:val="21"/>
          <w:highlight w:val="none"/>
        </w:rPr>
      </w:pPr>
      <w:r>
        <w:rPr>
          <w:rFonts w:hint="eastAsia" w:ascii="宋体" w:hAnsi="宋体"/>
          <w:color w:val="auto"/>
          <w:szCs w:val="21"/>
          <w:highlight w:val="none"/>
        </w:rPr>
        <w:t>供应商名称</w:t>
      </w:r>
      <w:r>
        <w:rPr>
          <w:rFonts w:hint="eastAsia" w:ascii="宋体" w:hAnsi="宋体" w:cs="宋体"/>
          <w:color w:val="auto"/>
          <w:szCs w:val="21"/>
          <w:highlight w:val="none"/>
        </w:rPr>
        <w:t>（盖章）：</w:t>
      </w:r>
    </w:p>
    <w:p w14:paraId="4831F536">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日  期：</w:t>
      </w:r>
    </w:p>
    <w:p w14:paraId="594246BD">
      <w:pPr>
        <w:spacing w:line="360" w:lineRule="auto"/>
        <w:ind w:firstLine="420"/>
        <w:rPr>
          <w:rFonts w:hint="eastAsia" w:ascii="宋体" w:hAnsi="宋体"/>
          <w:color w:val="auto"/>
          <w:sz w:val="28"/>
          <w:szCs w:val="28"/>
          <w:highlight w:val="none"/>
        </w:rPr>
      </w:pPr>
    </w:p>
    <w:p w14:paraId="50B21B8B">
      <w:pPr>
        <w:spacing w:line="360" w:lineRule="auto"/>
        <w:ind w:firstLine="420"/>
        <w:rPr>
          <w:rFonts w:hint="eastAsia" w:ascii="宋体" w:hAnsi="宋体"/>
          <w:color w:val="auto"/>
          <w:sz w:val="28"/>
          <w:szCs w:val="28"/>
          <w:highlight w:val="none"/>
        </w:rPr>
      </w:pPr>
    </w:p>
    <w:p w14:paraId="7EDABB70">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属于监狱企业的证明文件</w:t>
      </w:r>
    </w:p>
    <w:p w14:paraId="742304FC">
      <w:pPr>
        <w:spacing w:line="360" w:lineRule="auto"/>
        <w:rPr>
          <w:rFonts w:hint="eastAsia" w:ascii="宋体" w:hAnsi="宋体"/>
          <w:color w:val="auto"/>
          <w:highlight w:val="none"/>
        </w:rPr>
      </w:pPr>
      <w:r>
        <w:rPr>
          <w:rFonts w:ascii="宋体" w:hAnsi="宋体"/>
          <w:color w:val="auto"/>
          <w:highlight w:val="none"/>
        </w:rPr>
        <w:t>提供</w:t>
      </w:r>
      <w:r>
        <w:rPr>
          <w:rFonts w:hint="eastAsia" w:ascii="宋体" w:hAnsi="宋体"/>
          <w:color w:val="auto"/>
          <w:highlight w:val="none"/>
        </w:rPr>
        <w:t>由省级以上监狱管理局、戒毒管理局（含新疆生产建设兵团）出具的属于监狱企业的证明文件。</w:t>
      </w:r>
    </w:p>
    <w:p w14:paraId="56A746B3">
      <w:pPr>
        <w:spacing w:line="360" w:lineRule="auto"/>
        <w:rPr>
          <w:rFonts w:hint="eastAsia" w:ascii="宋体" w:hAnsi="宋体"/>
          <w:b/>
          <w:bCs/>
          <w:color w:val="auto"/>
          <w:highlight w:val="none"/>
        </w:rPr>
      </w:pPr>
    </w:p>
    <w:p w14:paraId="7FF68D55">
      <w:pPr>
        <w:spacing w:line="360" w:lineRule="auto"/>
        <w:rPr>
          <w:rFonts w:hint="eastAsia" w:ascii="宋体" w:hAnsi="宋体"/>
          <w:b/>
          <w:bCs/>
          <w:color w:val="auto"/>
          <w:highlight w:val="none"/>
        </w:rPr>
      </w:pPr>
    </w:p>
    <w:p w14:paraId="3920319B">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节能产品认证证书</w:t>
      </w:r>
    </w:p>
    <w:p w14:paraId="0E990ACA">
      <w:pPr>
        <w:spacing w:line="360" w:lineRule="auto"/>
        <w:rPr>
          <w:rFonts w:hint="eastAsia" w:ascii="宋体" w:hAnsi="宋体"/>
          <w:bCs/>
          <w:color w:val="auto"/>
          <w:highlight w:val="none"/>
        </w:rPr>
      </w:pPr>
      <w:r>
        <w:rPr>
          <w:rFonts w:hint="eastAsia" w:ascii="宋体" w:hAnsi="宋体"/>
          <w:bCs/>
          <w:color w:val="auto"/>
          <w:highlight w:val="none"/>
        </w:rPr>
        <w:t>提供国家确定的认证机构出具的、处于有效期之内的产品认证证书。</w:t>
      </w:r>
    </w:p>
    <w:p w14:paraId="6F95E06E">
      <w:pPr>
        <w:spacing w:line="360" w:lineRule="auto"/>
        <w:rPr>
          <w:rFonts w:hint="eastAsia" w:ascii="宋体" w:hAnsi="宋体"/>
          <w:b/>
          <w:bCs/>
          <w:color w:val="auto"/>
          <w:highlight w:val="none"/>
        </w:rPr>
      </w:pPr>
    </w:p>
    <w:p w14:paraId="7B7F5408">
      <w:pPr>
        <w:spacing w:line="360" w:lineRule="auto"/>
        <w:rPr>
          <w:rFonts w:hint="eastAsia" w:ascii="宋体" w:hAnsi="宋体"/>
          <w:b/>
          <w:bCs/>
          <w:color w:val="auto"/>
          <w:highlight w:val="none"/>
        </w:rPr>
      </w:pPr>
    </w:p>
    <w:p w14:paraId="3A43BF41">
      <w:pPr>
        <w:spacing w:line="360" w:lineRule="auto"/>
        <w:rPr>
          <w:rFonts w:ascii="宋体" w:hAnsi="宋体"/>
          <w:b/>
          <w:bCs/>
          <w:color w:val="auto"/>
          <w:highlight w:val="none"/>
        </w:rPr>
      </w:pPr>
    </w:p>
    <w:p w14:paraId="4D224F2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环境标志产品认证证书</w:t>
      </w:r>
    </w:p>
    <w:p w14:paraId="1083486F">
      <w:pPr>
        <w:spacing w:line="360" w:lineRule="auto"/>
        <w:rPr>
          <w:rFonts w:hint="eastAsia"/>
          <w:color w:val="auto"/>
          <w:highlight w:val="none"/>
        </w:rPr>
      </w:pPr>
      <w:r>
        <w:rPr>
          <w:rFonts w:hint="eastAsia" w:ascii="宋体" w:hAnsi="宋体"/>
          <w:bCs/>
          <w:color w:val="auto"/>
          <w:highlight w:val="none"/>
        </w:rPr>
        <w:t>提供国家确定的认证机构出具的、处于有效期之内的产品认证证书。</w:t>
      </w:r>
    </w:p>
    <w:p w14:paraId="492183F1">
      <w:pPr>
        <w:spacing w:line="360" w:lineRule="auto"/>
        <w:rPr>
          <w:rFonts w:ascii="宋体" w:hAnsi="宋体"/>
          <w:b/>
          <w:bCs/>
          <w:color w:val="auto"/>
          <w:highlight w:val="none"/>
        </w:rPr>
      </w:pPr>
    </w:p>
    <w:p w14:paraId="07873757">
      <w:pPr>
        <w:spacing w:line="360" w:lineRule="auto"/>
        <w:rPr>
          <w:rFonts w:ascii="宋体" w:hAnsi="宋体"/>
          <w:b/>
          <w:bCs/>
          <w:color w:val="auto"/>
          <w:highlight w:val="none"/>
        </w:rPr>
      </w:pPr>
    </w:p>
    <w:p w14:paraId="017051EA">
      <w:pPr>
        <w:spacing w:line="360" w:lineRule="auto"/>
        <w:rPr>
          <w:rFonts w:hint="eastAsia" w:ascii="宋体" w:hAnsi="宋体"/>
          <w:b/>
          <w:bCs/>
          <w:color w:val="auto"/>
          <w:highlight w:val="none"/>
        </w:rPr>
      </w:pPr>
    </w:p>
    <w:p w14:paraId="1EB4728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进口产品转让技术、消化吸收再创新方案</w:t>
      </w:r>
    </w:p>
    <w:p w14:paraId="2E477B5A">
      <w:pPr>
        <w:spacing w:line="360" w:lineRule="auto"/>
        <w:rPr>
          <w:rFonts w:hint="eastAsia" w:ascii="宋体" w:hAnsi="宋体"/>
          <w:color w:val="auto"/>
          <w:sz w:val="28"/>
          <w:szCs w:val="28"/>
          <w:highlight w:val="none"/>
        </w:rPr>
      </w:pPr>
      <w:r>
        <w:rPr>
          <w:rFonts w:hint="eastAsia" w:ascii="宋体" w:hAnsi="宋体"/>
          <w:bCs/>
          <w:color w:val="auto"/>
          <w:highlight w:val="none"/>
        </w:rPr>
        <w:t>对于允许进口产品参加的项目。</w:t>
      </w:r>
    </w:p>
    <w:p w14:paraId="2AC34C38">
      <w:pPr>
        <w:spacing w:line="360" w:lineRule="auto"/>
        <w:ind w:firstLine="420"/>
        <w:rPr>
          <w:rFonts w:ascii="宋体" w:hAnsi="宋体"/>
          <w:color w:val="auto"/>
          <w:sz w:val="28"/>
          <w:szCs w:val="28"/>
          <w:highlight w:val="none"/>
        </w:rPr>
      </w:pPr>
    </w:p>
    <w:p w14:paraId="04252CE6">
      <w:pPr>
        <w:spacing w:line="360" w:lineRule="auto"/>
        <w:ind w:firstLine="420"/>
        <w:rPr>
          <w:rFonts w:ascii="宋体" w:hAnsi="宋体"/>
          <w:color w:val="auto"/>
          <w:sz w:val="28"/>
          <w:szCs w:val="28"/>
          <w:highlight w:val="none"/>
        </w:rPr>
      </w:pPr>
    </w:p>
    <w:p w14:paraId="1C81D4BD">
      <w:pPr>
        <w:pStyle w:val="202"/>
        <w:spacing w:line="360" w:lineRule="auto"/>
        <w:rPr>
          <w:rFonts w:hint="eastAsia"/>
          <w:color w:val="auto"/>
          <w:highlight w:val="none"/>
        </w:rPr>
      </w:pPr>
    </w:p>
    <w:p w14:paraId="63686FFD">
      <w:pPr>
        <w:spacing w:line="360" w:lineRule="auto"/>
        <w:rPr>
          <w:color w:val="auto"/>
          <w:highlight w:val="none"/>
        </w:rPr>
      </w:pPr>
    </w:p>
    <w:p w14:paraId="1C00D62D">
      <w:pPr>
        <w:spacing w:line="360" w:lineRule="auto"/>
        <w:rPr>
          <w:rFonts w:hint="eastAsia"/>
          <w:color w:val="auto"/>
          <w:highlight w:val="none"/>
        </w:rPr>
      </w:pPr>
    </w:p>
    <w:p w14:paraId="6A9FBEBE">
      <w:pPr>
        <w:spacing w:line="360" w:lineRule="auto"/>
        <w:rPr>
          <w:rFonts w:hint="eastAsia" w:ascii="宋体" w:hAnsi="宋体"/>
          <w:b/>
          <w:color w:val="auto"/>
          <w:szCs w:val="21"/>
          <w:highlight w:val="none"/>
        </w:rPr>
      </w:pPr>
      <w:bookmarkStart w:id="85" w:name="_Toc432230208"/>
      <w:bookmarkStart w:id="86" w:name="_Toc55479038"/>
      <w:bookmarkStart w:id="87" w:name="_Toc44660274"/>
      <w:r>
        <w:rPr>
          <w:rFonts w:hint="eastAsia" w:ascii="宋体" w:hAnsi="宋体"/>
          <w:b/>
          <w:color w:val="auto"/>
          <w:szCs w:val="21"/>
          <w:highlight w:val="none"/>
        </w:rPr>
        <w:t>附件</w:t>
      </w:r>
      <w:bookmarkEnd w:id="85"/>
      <w:r>
        <w:rPr>
          <w:rFonts w:hint="eastAsia" w:ascii="宋体" w:hAnsi="宋体"/>
          <w:b/>
          <w:color w:val="auto"/>
          <w:szCs w:val="21"/>
          <w:highlight w:val="none"/>
        </w:rPr>
        <w:t>二、投标人诚信承诺书</w:t>
      </w:r>
      <w:bookmarkEnd w:id="86"/>
      <w:bookmarkEnd w:id="87"/>
    </w:p>
    <w:p w14:paraId="02FAF83C">
      <w:pPr>
        <w:spacing w:after="120" w:line="360" w:lineRule="auto"/>
        <w:rPr>
          <w:rFonts w:ascii="宋体" w:hAnsi="宋体"/>
          <w:bCs/>
          <w:color w:val="auto"/>
          <w:szCs w:val="21"/>
          <w:highlight w:val="none"/>
        </w:rPr>
      </w:pPr>
    </w:p>
    <w:p w14:paraId="25710554">
      <w:pPr>
        <w:spacing w:after="120" w:line="360" w:lineRule="auto"/>
        <w:rPr>
          <w:rFonts w:hint="eastAsia" w:ascii="宋体" w:hAnsi="宋体"/>
          <w:bCs/>
          <w:color w:val="auto"/>
          <w:szCs w:val="21"/>
          <w:highlight w:val="none"/>
        </w:rPr>
      </w:pPr>
      <w:r>
        <w:rPr>
          <w:rFonts w:hint="eastAsia" w:ascii="宋体" w:hAnsi="宋体"/>
          <w:bCs/>
          <w:color w:val="auto"/>
          <w:szCs w:val="21"/>
          <w:highlight w:val="none"/>
        </w:rPr>
        <w:t>致：南京市浦口生态环境监测监控中心</w:t>
      </w:r>
    </w:p>
    <w:p w14:paraId="2D0D973F">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为了诚实、客观、有序地参与本项目政府采购活动，愿就以下内容作出承诺：</w:t>
      </w:r>
    </w:p>
    <w:p w14:paraId="5F4CC832">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一、自觉遵守各项</w:t>
      </w:r>
      <w:r>
        <w:rPr>
          <w:rFonts w:hint="eastAsia" w:ascii="宋体" w:hAnsi="宋体"/>
          <w:color w:val="auto"/>
          <w:szCs w:val="21"/>
          <w:highlight w:val="none"/>
          <w:lang w:eastAsia="zh-CN"/>
        </w:rPr>
        <w:t>法律法规</w:t>
      </w:r>
      <w:r>
        <w:rPr>
          <w:rFonts w:hint="eastAsia" w:ascii="宋体" w:hAnsi="宋体"/>
          <w:color w:val="auto"/>
          <w:szCs w:val="21"/>
          <w:highlight w:val="none"/>
        </w:rPr>
        <w:t>、规章、制度以及社会公德，维护廉洁环境，与同场竞争的投标人平等参加政府采购活动。</w:t>
      </w:r>
    </w:p>
    <w:p w14:paraId="17A79F39">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二、参加本项目组织的政府采购活动时，严格按照招标文件的规定和要求提供所需的相关材料，并对所提供的各类资料的真实性负责，不虚假应标，不虚列业绩。</w:t>
      </w:r>
    </w:p>
    <w:p w14:paraId="60406E51">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三、尊重参与政府采购活动各相关方的合法行为，接受政府采购活动依法形成的意见、结果。</w:t>
      </w:r>
    </w:p>
    <w:p w14:paraId="728F4F29">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四、依法参加政府采购活动，不围标、串标，维护市场秩序，不提供“三无”产品、以次充好。</w:t>
      </w:r>
    </w:p>
    <w:p w14:paraId="1459C24E">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五、积极推动政府采购活动健康开展，对采购活动有疑问</w:t>
      </w:r>
      <w:r>
        <w:rPr>
          <w:rFonts w:hint="eastAsia" w:ascii="宋体" w:hAnsi="宋体"/>
          <w:color w:val="auto"/>
          <w:szCs w:val="21"/>
          <w:highlight w:val="none"/>
          <w:lang w:eastAsia="zh-CN"/>
        </w:rPr>
        <w:t>、有</w:t>
      </w:r>
      <w:r>
        <w:rPr>
          <w:rFonts w:hint="eastAsia" w:ascii="宋体" w:hAnsi="宋体"/>
          <w:color w:val="auto"/>
          <w:szCs w:val="21"/>
          <w:highlight w:val="none"/>
        </w:rPr>
        <w:t>异议时，按法律规定的程序实名（加盖单位章和法定代表人签名）反映情况，不恶意中伤、无事生非，以和谐、平等的心态参加政府采购活动。</w:t>
      </w:r>
    </w:p>
    <w:p w14:paraId="080BCB7E">
      <w:pPr>
        <w:spacing w:line="360" w:lineRule="auto"/>
        <w:ind w:firstLine="482"/>
        <w:rPr>
          <w:rFonts w:ascii="宋体" w:hAnsi="宋体"/>
          <w:color w:val="auto"/>
          <w:szCs w:val="21"/>
          <w:highlight w:val="none"/>
        </w:rPr>
      </w:pPr>
      <w:r>
        <w:rPr>
          <w:rFonts w:hint="eastAsia" w:ascii="宋体" w:hAnsi="宋体"/>
          <w:color w:val="auto"/>
          <w:szCs w:val="21"/>
          <w:highlight w:val="none"/>
        </w:rPr>
        <w:t>六、认真履行中标投标人应承担的责任和义务，全面执行采购合同规定的各项内容，保质保量地按时提供采购物品。</w:t>
      </w:r>
    </w:p>
    <w:p w14:paraId="59BC6BEA">
      <w:pPr>
        <w:spacing w:line="360" w:lineRule="auto"/>
        <w:ind w:firstLine="482"/>
        <w:rPr>
          <w:rFonts w:hint="eastAsia" w:ascii="宋体" w:hAnsi="宋体"/>
          <w:color w:val="auto"/>
          <w:szCs w:val="21"/>
          <w:highlight w:val="none"/>
        </w:rPr>
      </w:pPr>
      <w:r>
        <w:rPr>
          <w:rFonts w:ascii="宋体" w:hAnsi="宋体"/>
          <w:color w:val="auto"/>
          <w:szCs w:val="21"/>
          <w:highlight w:val="none"/>
        </w:rPr>
        <w:t>七</w:t>
      </w:r>
      <w:r>
        <w:rPr>
          <w:rFonts w:hint="eastAsia" w:ascii="宋体" w:hAnsi="宋体"/>
          <w:color w:val="auto"/>
          <w:szCs w:val="21"/>
          <w:highlight w:val="none"/>
        </w:rPr>
        <w:t>、我司不存在下列情形之一：</w:t>
      </w:r>
    </w:p>
    <w:p w14:paraId="4537B95F">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（1）投标人单位负责人为同一人或者存在直接控股、管理关系的不同投标人，不得参加同一合同项下的采购活动。</w:t>
      </w:r>
    </w:p>
    <w:p w14:paraId="0F25848A">
      <w:pPr>
        <w:spacing w:line="360" w:lineRule="auto"/>
        <w:ind w:firstLine="482"/>
        <w:rPr>
          <w:rFonts w:ascii="宋体" w:hAnsi="宋体"/>
          <w:color w:val="auto"/>
          <w:szCs w:val="21"/>
          <w:highlight w:val="none"/>
        </w:rPr>
      </w:pPr>
      <w:r>
        <w:rPr>
          <w:rFonts w:hint="eastAsia" w:ascii="宋体" w:hAnsi="宋体"/>
          <w:color w:val="auto"/>
          <w:szCs w:val="21"/>
          <w:highlight w:val="none"/>
        </w:rPr>
        <w:t>（2）凡为采购项目提供整体设计、规范编制或者项目管理、监理、检测等服务的投标人，不得再参加本项目的采购活动。</w:t>
      </w:r>
    </w:p>
    <w:p w14:paraId="278188B9">
      <w:pPr>
        <w:spacing w:line="360" w:lineRule="auto"/>
        <w:rPr>
          <w:rFonts w:hint="eastAsia" w:ascii="宋体" w:hAnsi="宋体"/>
          <w:color w:val="auto"/>
          <w:szCs w:val="21"/>
          <w:highlight w:val="none"/>
        </w:rPr>
      </w:pPr>
    </w:p>
    <w:p w14:paraId="54183DCB">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若本企业（单位）发生有悖于上述承诺的行为，愿意接受《中华人民共和国政府采购法》和《中华人民共和国政府采购法实施条例》中对投标人的相关处理。</w:t>
      </w:r>
    </w:p>
    <w:p w14:paraId="0978342E">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本承诺是招标项目投标文件的组成部分。各投标人不得随意修改，并且加盖企业公章、法定代表人或委托代理人（签字或盖章）、如投标人自行修改本承诺书内容，皆视为未提供此承诺书。</w:t>
      </w:r>
    </w:p>
    <w:p w14:paraId="5D0BE7E7">
      <w:pPr>
        <w:spacing w:line="360" w:lineRule="auto"/>
        <w:ind w:firstLine="560"/>
        <w:rPr>
          <w:rFonts w:ascii="宋体" w:hAnsi="宋体"/>
          <w:color w:val="auto"/>
          <w:szCs w:val="21"/>
          <w:highlight w:val="none"/>
        </w:rPr>
      </w:pPr>
    </w:p>
    <w:p w14:paraId="5455BEA5">
      <w:pPr>
        <w:spacing w:line="360" w:lineRule="auto"/>
        <w:ind w:firstLine="560"/>
        <w:rPr>
          <w:rFonts w:hint="eastAsia" w:ascii="宋体" w:hAnsi="宋体"/>
          <w:color w:val="auto"/>
          <w:szCs w:val="21"/>
          <w:highlight w:val="none"/>
        </w:rPr>
      </w:pPr>
    </w:p>
    <w:p w14:paraId="2C054F0D">
      <w:pPr>
        <w:spacing w:line="360" w:lineRule="auto"/>
        <w:ind w:firstLine="561"/>
        <w:jc w:val="left"/>
        <w:rPr>
          <w:rFonts w:hint="eastAsia" w:ascii="宋体" w:hAnsi="宋体"/>
          <w:color w:val="auto"/>
          <w:szCs w:val="21"/>
          <w:highlight w:val="none"/>
        </w:rPr>
      </w:pPr>
      <w:r>
        <w:rPr>
          <w:rFonts w:hint="eastAsia" w:ascii="宋体" w:hAnsi="宋体"/>
          <w:color w:val="auto"/>
          <w:szCs w:val="21"/>
          <w:highlight w:val="none"/>
        </w:rPr>
        <w:t>投标人名称：（公章）</w:t>
      </w:r>
    </w:p>
    <w:p w14:paraId="206FDBFF">
      <w:pPr>
        <w:spacing w:line="360" w:lineRule="auto"/>
        <w:ind w:firstLine="561"/>
        <w:jc w:val="left"/>
        <w:rPr>
          <w:rFonts w:ascii="宋体" w:hAnsi="宋体"/>
          <w:color w:val="auto"/>
          <w:szCs w:val="21"/>
          <w:highlight w:val="none"/>
        </w:rPr>
      </w:pPr>
      <w:r>
        <w:rPr>
          <w:rFonts w:hint="eastAsia" w:ascii="宋体" w:hAnsi="宋体"/>
          <w:color w:val="auto"/>
          <w:szCs w:val="21"/>
          <w:highlight w:val="none"/>
        </w:rPr>
        <w:t>法定代表人委托代理人：（签字或盖章）</w:t>
      </w:r>
    </w:p>
    <w:p w14:paraId="365D54DA">
      <w:pPr>
        <w:spacing w:line="360" w:lineRule="auto"/>
        <w:ind w:firstLine="561"/>
        <w:jc w:val="left"/>
        <w:rPr>
          <w:rFonts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rPr>
        <w:t>：</w:t>
      </w:r>
    </w:p>
    <w:p w14:paraId="76392C61">
      <w:pPr>
        <w:pStyle w:val="202"/>
        <w:spacing w:line="360" w:lineRule="auto"/>
        <w:rPr>
          <w:color w:val="auto"/>
          <w:highlight w:val="none"/>
        </w:rPr>
      </w:pPr>
    </w:p>
    <w:p w14:paraId="7E01425B">
      <w:pPr>
        <w:spacing w:line="360" w:lineRule="auto"/>
        <w:rPr>
          <w:color w:val="auto"/>
          <w:highlight w:val="none"/>
        </w:rPr>
      </w:pPr>
    </w:p>
    <w:p w14:paraId="316730D0">
      <w:pPr>
        <w:pStyle w:val="202"/>
        <w:spacing w:line="360" w:lineRule="auto"/>
        <w:rPr>
          <w:color w:val="auto"/>
          <w:highlight w:val="none"/>
        </w:rPr>
      </w:pPr>
    </w:p>
    <w:p w14:paraId="480CCBED">
      <w:pPr>
        <w:spacing w:line="360" w:lineRule="auto"/>
        <w:rPr>
          <w:color w:val="auto"/>
          <w:highlight w:val="none"/>
        </w:rPr>
      </w:pPr>
    </w:p>
    <w:p w14:paraId="404E99CB">
      <w:pPr>
        <w:widowControl/>
        <w:spacing w:line="360" w:lineRule="auto"/>
        <w:outlineLvl w:val="1"/>
        <w:rPr>
          <w:rFonts w:ascii="宋体" w:hAnsi="宋体"/>
          <w:b/>
          <w:color w:val="auto"/>
          <w:szCs w:val="21"/>
          <w:highlight w:val="none"/>
        </w:rPr>
      </w:pPr>
      <w:bookmarkStart w:id="88" w:name="_Toc55479039"/>
      <w:r>
        <w:rPr>
          <w:rFonts w:ascii="宋体" w:hAnsi="宋体"/>
          <w:b/>
          <w:color w:val="auto"/>
          <w:szCs w:val="21"/>
          <w:highlight w:val="none"/>
        </w:rPr>
        <w:t>附件三</w:t>
      </w:r>
      <w:r>
        <w:rPr>
          <w:rFonts w:hint="eastAsia" w:ascii="宋体" w:hAnsi="宋体"/>
          <w:b/>
          <w:color w:val="auto"/>
          <w:szCs w:val="21"/>
          <w:highlight w:val="none"/>
        </w:rPr>
        <w:t>、</w:t>
      </w:r>
      <w:r>
        <w:rPr>
          <w:rFonts w:ascii="宋体" w:hAnsi="宋体"/>
          <w:b/>
          <w:color w:val="auto"/>
          <w:szCs w:val="21"/>
          <w:highlight w:val="none"/>
        </w:rPr>
        <w:t>信用查询</w:t>
      </w:r>
      <w:bookmarkEnd w:id="88"/>
    </w:p>
    <w:p w14:paraId="79BC1038">
      <w:pPr>
        <w:spacing w:line="360" w:lineRule="auto"/>
        <w:rPr>
          <w:rFonts w:ascii="宋体" w:hAnsi="宋体"/>
          <w:color w:val="auto"/>
          <w:szCs w:val="21"/>
          <w:highlight w:val="none"/>
        </w:rPr>
      </w:pPr>
    </w:p>
    <w:p w14:paraId="1D21B907">
      <w:pPr>
        <w:spacing w:line="360" w:lineRule="auto"/>
        <w:ind w:firstLine="420"/>
        <w:jc w:val="left"/>
        <w:rPr>
          <w:rFonts w:ascii="宋体" w:hAnsi="宋体"/>
          <w:color w:val="auto"/>
          <w:szCs w:val="21"/>
          <w:highlight w:val="none"/>
        </w:rPr>
      </w:pPr>
    </w:p>
    <w:p w14:paraId="1473B662">
      <w:pPr>
        <w:spacing w:line="360" w:lineRule="auto"/>
        <w:ind w:firstLine="420"/>
        <w:jc w:val="left"/>
        <w:rPr>
          <w:rFonts w:ascii="宋体" w:hAnsi="宋体"/>
          <w:color w:val="auto"/>
          <w:szCs w:val="21"/>
          <w:highlight w:val="none"/>
        </w:rPr>
      </w:pPr>
      <w:r>
        <w:rPr>
          <w:rFonts w:ascii="宋体" w:hAnsi="宋体"/>
          <w:color w:val="auto"/>
          <w:szCs w:val="21"/>
          <w:highlight w:val="none"/>
        </w:rPr>
        <w:t>投标人未被</w:t>
      </w:r>
      <w:r>
        <w:rPr>
          <w:rFonts w:hint="eastAsia" w:ascii="宋体" w:hAnsi="宋体"/>
          <w:color w:val="auto"/>
          <w:szCs w:val="21"/>
          <w:highlight w:val="none"/>
        </w:rPr>
        <w:t>“信用中国”网站（www.creditchina.gov.cn）、“中国政府采购网”网站（www.ccgp.gov.cn）、</w:t>
      </w:r>
      <w:r>
        <w:rPr>
          <w:rFonts w:ascii="宋体" w:hAnsi="宋体"/>
          <w:color w:val="auto"/>
          <w:szCs w:val="21"/>
          <w:highlight w:val="none"/>
        </w:rPr>
        <w:t>列入失信被执行人、重大税收违法案件当事人名单、政府采购严重违法失信行为记录名单的。（提供查阅记录截图并加盖企业公章）</w:t>
      </w:r>
    </w:p>
    <w:p w14:paraId="39193980">
      <w:pPr>
        <w:spacing w:line="360" w:lineRule="auto"/>
        <w:rPr>
          <w:rFonts w:hint="eastAsia" w:ascii="宋体" w:hAnsi="宋体"/>
          <w:color w:val="auto"/>
          <w:szCs w:val="21"/>
          <w:highlight w:val="none"/>
        </w:rPr>
      </w:pPr>
    </w:p>
    <w:sectPr>
      <w:footerReference r:id="rId6" w:type="default"/>
      <w:pgSz w:w="11906" w:h="16838"/>
      <w:pgMar w:top="1418" w:right="1418" w:bottom="993" w:left="1418" w:header="851" w:footer="68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ˎ̥">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imesNewRomanPSMT">
    <w:altName w:val="Times New Roman"/>
    <w:panose1 w:val="020206030504050203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汉仪大黑简">
    <w:altName w:val="黑体"/>
    <w:panose1 w:val="02010600000101010101"/>
    <w:charset w:val="86"/>
    <w:family w:val="auto"/>
    <w:pitch w:val="default"/>
    <w:sig w:usb0="00000000" w:usb1="00000000" w:usb2="00000002" w:usb3="00000000" w:csb0="00040000" w:csb1="00000000"/>
  </w:font>
  <w:font w:name="Calibri Light">
    <w:panose1 w:val="020F0302020204030204"/>
    <w:charset w:val="00"/>
    <w:family w:val="auto"/>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E168">
    <w:pPr>
      <w:pStyle w:val="238"/>
      <w:rPr>
        <w:rFonts w:hint="eastAsia"/>
      </w:rPr>
    </w:pPr>
  </w:p>
  <w:p w14:paraId="3675B90F">
    <w:pPr>
      <w:pStyle w:val="2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CEBD7">
    <w:pPr>
      <w:pStyle w:val="238"/>
      <w:framePr w:wrap="around" w:vAnchor="text" w:hAnchor="margin" w:xAlign="center" w:y="1"/>
      <w:rPr>
        <w:rStyle w:val="270"/>
      </w:rPr>
    </w:pPr>
    <w:r>
      <w:fldChar w:fldCharType="begin"/>
    </w:r>
    <w:r>
      <w:rPr>
        <w:rStyle w:val="270"/>
      </w:rPr>
      <w:instrText xml:space="preserve">PAGE  </w:instrText>
    </w:r>
    <w:r>
      <w:fldChar w:fldCharType="separate"/>
    </w:r>
    <w:r>
      <w:rPr>
        <w:rStyle w:val="270"/>
      </w:rPr>
      <w:t>1</w:t>
    </w:r>
    <w:r>
      <w:fldChar w:fldCharType="end"/>
    </w:r>
  </w:p>
  <w:p w14:paraId="7CFD6B07">
    <w:pPr>
      <w:pStyle w:val="2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05B4">
    <w:pPr>
      <w:pStyle w:val="238"/>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7E6C4AB">
                          <w:pPr>
                            <w:pStyle w:val="238"/>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3CD9699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37E6C4AB">
                    <w:pPr>
                      <w:pStyle w:val="238"/>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3CD9699C"/>
                </w:txbxContent>
              </v:textbox>
            </v:shape>
          </w:pict>
        </mc:Fallback>
      </mc:AlternateContent>
    </w:r>
  </w:p>
  <w:p w14:paraId="1296AC5D">
    <w:pPr>
      <w:pStyle w:val="2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61B4D">
    <w:pPr>
      <w:pStyle w:val="24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3"/>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bullet"/>
      <w:pStyle w:val="497"/>
      <w:lvlText w:val=""/>
      <w:lvlJc w:val="left"/>
      <w:pPr>
        <w:tabs>
          <w:tab w:val="left" w:pos="360"/>
        </w:tabs>
        <w:ind w:left="360" w:hanging="360"/>
      </w:pPr>
      <w:rPr>
        <w:rFonts w:ascii="Symbol" w:hAnsi="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decimal"/>
      <w:pStyle w:val="372"/>
      <w:lvlText w:val="%1"/>
      <w:lvlJc w:val="left"/>
      <w:pPr>
        <w:tabs>
          <w:tab w:val="left" w:pos="567"/>
        </w:tabs>
        <w:ind w:left="567" w:hanging="567"/>
      </w:pPr>
      <w:rPr>
        <w:rFonts w:hint="eastAsia"/>
      </w:rPr>
    </w:lvl>
    <w:lvl w:ilvl="1" w:tentative="0">
      <w:start w:val="1"/>
      <w:numFmt w:val="decimal"/>
      <w:pStyle w:val="530"/>
      <w:lvlText w:val="%1.%2"/>
      <w:lvlJc w:val="left"/>
      <w:pPr>
        <w:tabs>
          <w:tab w:val="left" w:pos="1004"/>
        </w:tabs>
        <w:ind w:left="567" w:hanging="283"/>
      </w:pPr>
      <w:rPr>
        <w:rFonts w:hint="eastAsia"/>
      </w:rPr>
    </w:lvl>
    <w:lvl w:ilvl="2" w:tentative="0">
      <w:start w:val="1"/>
      <w:numFmt w:val="decimal"/>
      <w:pStyle w:val="529"/>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3">
    <w:nsid w:val="0053208E"/>
    <w:multiLevelType w:val="multilevel"/>
    <w:tmpl w:val="0053208E"/>
    <w:lvl w:ilvl="0" w:tentative="0">
      <w:start w:val="1"/>
      <w:numFmt w:val="bullet"/>
      <w:pStyle w:val="371"/>
      <w:lvlText w:val=""/>
      <w:lvlJc w:val="left"/>
      <w:pPr>
        <w:tabs>
          <w:tab w:val="left" w:pos="420"/>
        </w:tabs>
        <w:ind w:left="420" w:hanging="420"/>
      </w:pPr>
      <w:rPr>
        <w:rFonts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D62ECE"/>
    <w:multiLevelType w:val="multilevel"/>
    <w:tmpl w:val="03D62ECE"/>
    <w:lvl w:ilvl="0" w:tentative="0">
      <w:start w:val="2"/>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59ADCABA"/>
    <w:multiLevelType w:val="multilevel"/>
    <w:tmpl w:val="59ADCABA"/>
    <w:lvl w:ilvl="0" w:tentative="0">
      <w:start w:val="1"/>
      <w:numFmt w:val="decimal"/>
      <w:pStyle w:val="526"/>
      <w:lvlText w:val="(%1)"/>
      <w:lvlJc w:val="left"/>
      <w:pPr>
        <w:tabs>
          <w:tab w:val="left" w:pos="397"/>
        </w:tabs>
        <w:ind w:left="397" w:hanging="397"/>
      </w:pPr>
      <w:rPr>
        <w:rFonts w:ascii="Arial" w:hAnsi="Arial" w:eastAsia="宋体"/>
        <w:b w:val="0"/>
        <w:i w:val="0"/>
        <w:color w:val="00000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5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2183CF9"/>
    <w:multiLevelType w:val="multilevel"/>
    <w:tmpl w:val="72183CF9"/>
    <w:lvl w:ilvl="0" w:tentative="0">
      <w:start w:val="7"/>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2409"/>
    <w:rsid w:val="043B7E46"/>
    <w:rsid w:val="0B195C71"/>
    <w:rsid w:val="0C22266D"/>
    <w:rsid w:val="0FED55D2"/>
    <w:rsid w:val="138B05C8"/>
    <w:rsid w:val="141112E6"/>
    <w:rsid w:val="22F07F54"/>
    <w:rsid w:val="23D972EA"/>
    <w:rsid w:val="296E683A"/>
    <w:rsid w:val="2B505F9D"/>
    <w:rsid w:val="30AE29D9"/>
    <w:rsid w:val="3B672566"/>
    <w:rsid w:val="3F4D088E"/>
    <w:rsid w:val="4036502E"/>
    <w:rsid w:val="447011D8"/>
    <w:rsid w:val="4A1B2AA6"/>
    <w:rsid w:val="4E7443E4"/>
    <w:rsid w:val="52491C87"/>
    <w:rsid w:val="56B656B6"/>
    <w:rsid w:val="5814296E"/>
    <w:rsid w:val="59D57692"/>
    <w:rsid w:val="5C091EB9"/>
    <w:rsid w:val="6074330D"/>
    <w:rsid w:val="688A459D"/>
    <w:rsid w:val="6ADC06B7"/>
    <w:rsid w:val="6E8B3532"/>
    <w:rsid w:val="749D3FBF"/>
    <w:rsid w:val="7AC322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66"/>
    <w:qFormat/>
    <w:uiPriority w:val="0"/>
    <w:pPr>
      <w:widowControl w:val="0"/>
      <w:jc w:val="both"/>
    </w:pPr>
    <w:rPr>
      <w:rFonts w:hint="default" w:ascii="Times New Roman" w:hAnsi="Times New Roman" w:eastAsia="宋体" w:cs="Times New Roman"/>
      <w:sz w:val="21"/>
      <w:lang w:val="en-US" w:eastAsia="zh-CN" w:bidi="ar-SA"/>
    </w:rPr>
  </w:style>
  <w:style w:type="paragraph" w:styleId="2">
    <w:name w:val="heading 1"/>
    <w:basedOn w:val="1"/>
    <w:next w:val="1"/>
    <w:link w:val="4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5"/>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link w:val="281"/>
    <w:qFormat/>
    <w:uiPriority w:val="0"/>
    <w:pPr>
      <w:ind w:firstLine="420"/>
    </w:pPr>
    <w:rPr>
      <w:sz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semiHidden/>
    <w:qFormat/>
    <w:uiPriority w:val="0"/>
    <w:pPr>
      <w:jc w:val="left"/>
    </w:pPr>
    <w:rPr>
      <w:sz w:val="20"/>
    </w:rPr>
  </w:style>
  <w:style w:type="paragraph" w:styleId="15">
    <w:name w:val="Body Text Indent"/>
    <w:basedOn w:val="1"/>
    <w:next w:val="16"/>
    <w:qFormat/>
    <w:uiPriority w:val="0"/>
    <w:pPr>
      <w:ind w:firstLine="645"/>
    </w:pPr>
    <w:rPr>
      <w:rFonts w:ascii="楷体_GB2312" w:eastAsia="楷体_GB2312"/>
      <w:sz w:val="32"/>
      <w:szCs w:val="32"/>
    </w:rPr>
  </w:style>
  <w:style w:type="paragraph" w:styleId="16">
    <w:name w:val="envelope return"/>
    <w:basedOn w:val="1"/>
    <w:qFormat/>
    <w:uiPriority w:val="0"/>
    <w:rPr>
      <w:rFonts w:ascii="Arial" w:hAnsi="Arial" w:eastAsia="宋体" w:cs="宋体"/>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Plain Text"/>
    <w:basedOn w:val="1"/>
    <w:link w:val="353"/>
    <w:qFormat/>
    <w:uiPriority w:val="0"/>
    <w:rPr>
      <w:rFonts w:ascii="宋体" w:hAnsi="Courier New" w:eastAsia="楷体_GB2312"/>
      <w:sz w:val="26"/>
    </w:rPr>
  </w:style>
  <w:style w:type="paragraph" w:styleId="20">
    <w:name w:val="toc 8"/>
    <w:basedOn w:val="1"/>
    <w:next w:val="1"/>
    <w:unhideWhenUsed/>
    <w:qFormat/>
    <w:uiPriority w:val="39"/>
    <w:pPr>
      <w:spacing w:after="57"/>
      <w:ind w:left="1984" w:right="0" w:firstLine="0"/>
    </w:pPr>
  </w:style>
  <w:style w:type="paragraph" w:styleId="21">
    <w:name w:val="endnote text"/>
    <w:basedOn w:val="1"/>
    <w:link w:val="191"/>
    <w:semiHidden/>
    <w:unhideWhenUsed/>
    <w:qFormat/>
    <w:uiPriority w:val="99"/>
    <w:pPr>
      <w:spacing w:after="0" w:line="240" w:lineRule="auto"/>
    </w:pPr>
    <w:rPr>
      <w:sz w:val="20"/>
    </w:rPr>
  </w:style>
  <w:style w:type="paragraph" w:styleId="22">
    <w:name w:val="footer"/>
    <w:basedOn w:val="1"/>
    <w:link w:val="64"/>
    <w:unhideWhenUsed/>
    <w:qFormat/>
    <w:uiPriority w:val="99"/>
    <w:pPr>
      <w:tabs>
        <w:tab w:val="center" w:pos="7143"/>
        <w:tab w:val="right" w:pos="14287"/>
      </w:tabs>
      <w:spacing w:after="0" w:line="240" w:lineRule="auto"/>
    </w:pPr>
  </w:style>
  <w:style w:type="paragraph" w:styleId="23">
    <w:name w:val="header"/>
    <w:basedOn w:val="1"/>
    <w:link w:val="62"/>
    <w:unhideWhenUsed/>
    <w:qFormat/>
    <w:uiPriority w:val="99"/>
    <w:pPr>
      <w:tabs>
        <w:tab w:val="center" w:pos="7143"/>
        <w:tab w:val="right" w:pos="14287"/>
      </w:tabs>
      <w:spacing w:after="0" w:line="240" w:lineRule="auto"/>
    </w:pPr>
  </w:style>
  <w:style w:type="paragraph" w:styleId="24">
    <w:name w:val="toc 1"/>
    <w:basedOn w:val="1"/>
    <w:next w:val="1"/>
    <w:unhideWhenUsed/>
    <w:qFormat/>
    <w:uiPriority w:val="39"/>
    <w:pPr>
      <w:spacing w:after="57"/>
      <w:ind w:left="0" w:right="0" w:firstLine="0"/>
    </w:pPr>
  </w:style>
  <w:style w:type="paragraph" w:styleId="25">
    <w:name w:val="toc 4"/>
    <w:basedOn w:val="1"/>
    <w:next w:val="1"/>
    <w:unhideWhenUsed/>
    <w:qFormat/>
    <w:uiPriority w:val="39"/>
    <w:pPr>
      <w:spacing w:after="57"/>
      <w:ind w:left="850" w:right="0" w:firstLine="0"/>
    </w:pPr>
  </w:style>
  <w:style w:type="paragraph" w:styleId="26">
    <w:name w:val="Subtitle"/>
    <w:basedOn w:val="1"/>
    <w:next w:val="1"/>
    <w:link w:val="57"/>
    <w:qFormat/>
    <w:uiPriority w:val="11"/>
    <w:pPr>
      <w:spacing w:before="200" w:after="200"/>
    </w:pPr>
    <w:rPr>
      <w:sz w:val="24"/>
      <w:szCs w:val="24"/>
    </w:rPr>
  </w:style>
  <w:style w:type="paragraph" w:styleId="27">
    <w:name w:val="footnote text"/>
    <w:basedOn w:val="1"/>
    <w:link w:val="190"/>
    <w:semiHidden/>
    <w:unhideWhenUsed/>
    <w:qFormat/>
    <w:uiPriority w:val="99"/>
    <w:pPr>
      <w:spacing w:after="40" w:line="240" w:lineRule="auto"/>
    </w:pPr>
    <w:rPr>
      <w:sz w:val="18"/>
    </w:r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2"/>
    <w:basedOn w:val="1"/>
    <w:next w:val="1"/>
    <w:unhideWhenUsed/>
    <w:qFormat/>
    <w:uiPriority w:val="39"/>
    <w:pPr>
      <w:spacing w:after="57"/>
      <w:ind w:left="283" w:right="0" w:firstLine="0"/>
    </w:pPr>
  </w:style>
  <w:style w:type="paragraph" w:styleId="31">
    <w:name w:val="toc 9"/>
    <w:basedOn w:val="1"/>
    <w:next w:val="1"/>
    <w:unhideWhenUsed/>
    <w:qFormat/>
    <w:uiPriority w:val="39"/>
    <w:pPr>
      <w:spacing w:after="57"/>
      <w:ind w:left="2268" w:right="0" w:firstLine="0"/>
    </w:pPr>
  </w:style>
  <w:style w:type="paragraph" w:styleId="32">
    <w:name w:val="Body Text 2"/>
    <w:basedOn w:val="1"/>
    <w:qFormat/>
    <w:uiPriority w:val="0"/>
    <w:pPr>
      <w:widowControl/>
      <w:ind w:left="720" w:hanging="720"/>
    </w:pPr>
    <w:rPr>
      <w:sz w:val="24"/>
      <w:lang w:val="en-GB"/>
    </w:rPr>
  </w:style>
  <w:style w:type="paragraph" w:styleId="33">
    <w:name w:val="Normal (Web)"/>
    <w:basedOn w:val="1"/>
    <w:semiHidden/>
    <w:unhideWhenUsed/>
    <w:qFormat/>
    <w:uiPriority w:val="99"/>
    <w:pPr>
      <w:spacing w:before="0" w:beforeAutospacing="1" w:after="0" w:afterAutospacing="1"/>
      <w:ind w:left="0" w:right="0"/>
      <w:jc w:val="left"/>
    </w:pPr>
    <w:rPr>
      <w:sz w:val="24"/>
      <w:lang w:val="en-US" w:eastAsia="zh-CN" w:bidi="ar"/>
    </w:rPr>
  </w:style>
  <w:style w:type="paragraph" w:styleId="34">
    <w:name w:val="Title"/>
    <w:basedOn w:val="1"/>
    <w:next w:val="1"/>
    <w:link w:val="56"/>
    <w:qFormat/>
    <w:uiPriority w:val="10"/>
    <w:pPr>
      <w:spacing w:before="300" w:after="200"/>
      <w:contextualSpacing/>
    </w:pPr>
    <w:rPr>
      <w:sz w:val="48"/>
      <w:szCs w:val="48"/>
    </w:rPr>
  </w:style>
  <w:style w:type="paragraph" w:styleId="35">
    <w:name w:val="Body Text First Indent 2"/>
    <w:basedOn w:val="15"/>
    <w:next w:val="1"/>
    <w:qFormat/>
    <w:uiPriority w:val="0"/>
    <w:pPr>
      <w:spacing w:line="360" w:lineRule="auto"/>
      <w:ind w:firstLine="420"/>
    </w:pPr>
    <w:rPr>
      <w:rFonts w:ascii="宋体" w:hAnsi="宋体" w:eastAsia="宋体"/>
      <w:szCs w:val="20"/>
    </w:rPr>
  </w:style>
  <w:style w:type="table" w:styleId="37">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semiHidden/>
    <w:unhideWhenUsed/>
    <w:qFormat/>
    <w:uiPriority w:val="99"/>
    <w:rPr>
      <w:vertAlign w:val="superscript"/>
    </w:rPr>
  </w:style>
  <w:style w:type="character" w:styleId="40">
    <w:name w:val="Hyperlink"/>
    <w:unhideWhenUsed/>
    <w:qFormat/>
    <w:uiPriority w:val="99"/>
    <w:rPr>
      <w:color w:val="0000FF" w:themeColor="hyperlink"/>
      <w:u w:val="single"/>
      <w14:textFill>
        <w14:solidFill>
          <w14:schemeClr w14:val="hlink"/>
        </w14:solidFill>
      </w14:textFill>
    </w:rPr>
  </w:style>
  <w:style w:type="character" w:styleId="41">
    <w:name w:val="footnote reference"/>
    <w:unhideWhenUsed/>
    <w:qFormat/>
    <w:uiPriority w:val="99"/>
    <w:rPr>
      <w:vertAlign w:val="superscript"/>
    </w:rPr>
  </w:style>
  <w:style w:type="character" w:customStyle="1" w:styleId="42">
    <w:name w:val="标题 1 Char"/>
    <w:link w:val="43"/>
    <w:qFormat/>
    <w:uiPriority w:val="0"/>
    <w:rPr>
      <w:rFonts w:ascii="黑体" w:eastAsia="黑体"/>
      <w:b/>
      <w:sz w:val="24"/>
      <w:szCs w:val="28"/>
      <w:lang w:val="en-US" w:eastAsia="zh-CN" w:bidi="ar-SA"/>
    </w:rPr>
  </w:style>
  <w:style w:type="paragraph" w:customStyle="1" w:styleId="43">
    <w:name w:val="标题 11"/>
    <w:basedOn w:val="1"/>
    <w:next w:val="1"/>
    <w:link w:val="42"/>
    <w:qFormat/>
    <w:uiPriority w:val="0"/>
    <w:pPr>
      <w:keepNext/>
      <w:tabs>
        <w:tab w:val="left" w:pos="1440"/>
        <w:tab w:val="left" w:pos="5670"/>
      </w:tabs>
      <w:spacing w:before="290" w:after="290"/>
      <w:ind w:firstLine="2890"/>
      <w:outlineLvl w:val="0"/>
    </w:pPr>
    <w:rPr>
      <w:rFonts w:ascii="黑体" w:eastAsia="黑体"/>
      <w:b/>
      <w:sz w:val="24"/>
      <w:szCs w:val="28"/>
    </w:rPr>
  </w:style>
  <w:style w:type="character" w:customStyle="1" w:styleId="44">
    <w:name w:val="标题 2 Char"/>
    <w:link w:val="45"/>
    <w:qFormat/>
    <w:uiPriority w:val="0"/>
    <w:rPr>
      <w:rFonts w:ascii="宋体" w:hAnsi="宋体" w:eastAsia="宋体"/>
      <w:b/>
      <w:sz w:val="21"/>
      <w:szCs w:val="24"/>
      <w:lang w:val="en-US" w:eastAsia="zh-CN" w:bidi="ar-SA"/>
    </w:rPr>
  </w:style>
  <w:style w:type="paragraph" w:customStyle="1" w:styleId="45">
    <w:name w:val="标题 21"/>
    <w:basedOn w:val="1"/>
    <w:next w:val="46"/>
    <w:link w:val="44"/>
    <w:qFormat/>
    <w:uiPriority w:val="0"/>
    <w:pPr>
      <w:keepNext/>
      <w:keepLines/>
      <w:spacing w:before="120" w:after="120"/>
      <w:jc w:val="left"/>
      <w:outlineLvl w:val="1"/>
    </w:pPr>
    <w:rPr>
      <w:rFonts w:ascii="宋体" w:hAnsi="宋体"/>
      <w:b/>
      <w:szCs w:val="24"/>
    </w:rPr>
  </w:style>
  <w:style w:type="paragraph" w:customStyle="1" w:styleId="46">
    <w:name w:val="正文缩进1"/>
    <w:basedOn w:val="1"/>
    <w:link w:val="203"/>
    <w:qFormat/>
    <w:uiPriority w:val="0"/>
    <w:pPr>
      <w:ind w:firstLine="420"/>
    </w:pPr>
  </w:style>
  <w:style w:type="character" w:customStyle="1" w:styleId="47">
    <w:name w:val="Heading 1 Char"/>
    <w:link w:val="2"/>
    <w:qFormat/>
    <w:uiPriority w:val="9"/>
    <w:rPr>
      <w:rFonts w:ascii="Arial" w:hAnsi="Arial" w:eastAsia="Arial" w:cs="Arial"/>
      <w:sz w:val="40"/>
      <w:szCs w:val="40"/>
    </w:rPr>
  </w:style>
  <w:style w:type="character" w:customStyle="1" w:styleId="48">
    <w:name w:val="Heading 2 Char"/>
    <w:link w:val="3"/>
    <w:qFormat/>
    <w:uiPriority w:val="9"/>
    <w:rPr>
      <w:rFonts w:ascii="Arial" w:hAnsi="Arial" w:eastAsia="Arial" w:cs="Arial"/>
      <w:sz w:val="34"/>
    </w:rPr>
  </w:style>
  <w:style w:type="character" w:customStyle="1" w:styleId="49">
    <w:name w:val="Heading 3 Char"/>
    <w:link w:val="4"/>
    <w:qFormat/>
    <w:uiPriority w:val="9"/>
    <w:rPr>
      <w:rFonts w:ascii="Arial" w:hAnsi="Arial" w:eastAsia="Arial" w:cs="Arial"/>
      <w:sz w:val="30"/>
      <w:szCs w:val="30"/>
    </w:rPr>
  </w:style>
  <w:style w:type="character" w:customStyle="1" w:styleId="50">
    <w:name w:val="Heading 4 Char"/>
    <w:link w:val="5"/>
    <w:qFormat/>
    <w:uiPriority w:val="9"/>
    <w:rPr>
      <w:rFonts w:ascii="Arial" w:hAnsi="Arial" w:eastAsia="Arial" w:cs="Arial"/>
      <w:b/>
      <w:bCs/>
      <w:sz w:val="26"/>
      <w:szCs w:val="26"/>
    </w:rPr>
  </w:style>
  <w:style w:type="character" w:customStyle="1" w:styleId="51">
    <w:name w:val="Heading 5 Char"/>
    <w:link w:val="6"/>
    <w:qFormat/>
    <w:uiPriority w:val="9"/>
    <w:rPr>
      <w:rFonts w:ascii="Arial" w:hAnsi="Arial" w:eastAsia="Arial" w:cs="Arial"/>
      <w:b/>
      <w:bCs/>
      <w:sz w:val="24"/>
      <w:szCs w:val="24"/>
    </w:rPr>
  </w:style>
  <w:style w:type="character" w:customStyle="1" w:styleId="52">
    <w:name w:val="Heading 6 Char"/>
    <w:link w:val="7"/>
    <w:qFormat/>
    <w:uiPriority w:val="9"/>
    <w:rPr>
      <w:rFonts w:ascii="Arial" w:hAnsi="Arial" w:eastAsia="Arial" w:cs="Arial"/>
      <w:b/>
      <w:bCs/>
      <w:sz w:val="22"/>
      <w:szCs w:val="22"/>
    </w:rPr>
  </w:style>
  <w:style w:type="character" w:customStyle="1" w:styleId="53">
    <w:name w:val="Heading 7 Char"/>
    <w:link w:val="8"/>
    <w:qFormat/>
    <w:uiPriority w:val="9"/>
    <w:rPr>
      <w:rFonts w:ascii="Arial" w:hAnsi="Arial" w:eastAsia="Arial" w:cs="Arial"/>
      <w:b/>
      <w:bCs/>
      <w:i/>
      <w:iCs/>
      <w:sz w:val="22"/>
      <w:szCs w:val="22"/>
    </w:rPr>
  </w:style>
  <w:style w:type="character" w:customStyle="1" w:styleId="54">
    <w:name w:val="Heading 8 Char"/>
    <w:link w:val="9"/>
    <w:qFormat/>
    <w:uiPriority w:val="9"/>
    <w:rPr>
      <w:rFonts w:ascii="Arial" w:hAnsi="Arial" w:eastAsia="Arial" w:cs="Arial"/>
      <w:i/>
      <w:iCs/>
      <w:sz w:val="22"/>
      <w:szCs w:val="22"/>
    </w:rPr>
  </w:style>
  <w:style w:type="character" w:customStyle="1" w:styleId="55">
    <w:name w:val="Heading 9 Char"/>
    <w:link w:val="10"/>
    <w:qFormat/>
    <w:uiPriority w:val="9"/>
    <w:rPr>
      <w:rFonts w:ascii="Arial" w:hAnsi="Arial" w:eastAsia="Arial" w:cs="Arial"/>
      <w:i/>
      <w:iCs/>
      <w:sz w:val="21"/>
      <w:szCs w:val="21"/>
    </w:rPr>
  </w:style>
  <w:style w:type="character" w:customStyle="1" w:styleId="56">
    <w:name w:val="Title Char"/>
    <w:link w:val="34"/>
    <w:qFormat/>
    <w:uiPriority w:val="10"/>
    <w:rPr>
      <w:sz w:val="48"/>
      <w:szCs w:val="48"/>
    </w:rPr>
  </w:style>
  <w:style w:type="character" w:customStyle="1" w:styleId="57">
    <w:name w:val="Subtitle Char"/>
    <w:link w:val="26"/>
    <w:qFormat/>
    <w:uiPriority w:val="11"/>
    <w:rPr>
      <w:sz w:val="24"/>
      <w:szCs w:val="24"/>
    </w:rPr>
  </w:style>
  <w:style w:type="paragraph" w:styleId="58">
    <w:name w:val="Quote"/>
    <w:basedOn w:val="1"/>
    <w:next w:val="1"/>
    <w:link w:val="59"/>
    <w:qFormat/>
    <w:uiPriority w:val="29"/>
    <w:pPr>
      <w:ind w:left="720" w:right="720"/>
    </w:pPr>
    <w:rPr>
      <w:i/>
    </w:rPr>
  </w:style>
  <w:style w:type="character" w:customStyle="1" w:styleId="59">
    <w:name w:val="Quote Char"/>
    <w:link w:val="58"/>
    <w:qFormat/>
    <w:uiPriority w:val="29"/>
    <w:rPr>
      <w:i/>
    </w:rPr>
  </w:style>
  <w:style w:type="paragraph" w:styleId="60">
    <w:name w:val="Intense Quote"/>
    <w:basedOn w:val="1"/>
    <w:next w:val="1"/>
    <w:link w:val="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1">
    <w:name w:val="Intense Quote Char"/>
    <w:link w:val="60"/>
    <w:qFormat/>
    <w:uiPriority w:val="30"/>
    <w:rPr>
      <w:i/>
    </w:rPr>
  </w:style>
  <w:style w:type="character" w:customStyle="1" w:styleId="62">
    <w:name w:val="Header Char"/>
    <w:link w:val="23"/>
    <w:qFormat/>
    <w:uiPriority w:val="99"/>
  </w:style>
  <w:style w:type="character" w:customStyle="1" w:styleId="63">
    <w:name w:val="Footer Char"/>
    <w:link w:val="22"/>
    <w:qFormat/>
    <w:uiPriority w:val="99"/>
  </w:style>
  <w:style w:type="character" w:customStyle="1" w:styleId="64">
    <w:name w:val="Caption Char"/>
    <w:link w:val="22"/>
    <w:qFormat/>
    <w:uiPriority w:val="99"/>
  </w:style>
  <w:style w:type="table" w:customStyle="1" w:styleId="6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8">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0">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1">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2">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3">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4">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5">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6">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0">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1">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3">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4">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9">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0">
    <w:name w:val="Footnote Text Char"/>
    <w:link w:val="27"/>
    <w:qFormat/>
    <w:uiPriority w:val="99"/>
    <w:rPr>
      <w:sz w:val="18"/>
    </w:rPr>
  </w:style>
  <w:style w:type="character" w:customStyle="1" w:styleId="191">
    <w:name w:val="Endnote Text Char"/>
    <w:link w:val="21"/>
    <w:qFormat/>
    <w:uiPriority w:val="99"/>
    <w:rPr>
      <w:sz w:val="20"/>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标题 31"/>
    <w:basedOn w:val="1"/>
    <w:next w:val="46"/>
    <w:link w:val="204"/>
    <w:qFormat/>
    <w:uiPriority w:val="0"/>
    <w:pPr>
      <w:keepNext/>
      <w:keepLines/>
      <w:shd w:val="clear" w:color="auto" w:fill="FFFFFF"/>
      <w:spacing w:line="390" w:lineRule="atLeast"/>
      <w:outlineLvl w:val="2"/>
    </w:pPr>
    <w:rPr>
      <w:rFonts w:ascii="宋体" w:hAnsi="宋体"/>
      <w:b/>
      <w:szCs w:val="21"/>
    </w:rPr>
  </w:style>
  <w:style w:type="paragraph" w:customStyle="1" w:styleId="194">
    <w:name w:val="标题 41"/>
    <w:basedOn w:val="1"/>
    <w:next w:val="46"/>
    <w:link w:val="205"/>
    <w:qFormat/>
    <w:uiPriority w:val="0"/>
    <w:pPr>
      <w:keepNext/>
      <w:keepLines/>
      <w:spacing w:before="120" w:after="120"/>
      <w:outlineLvl w:val="3"/>
    </w:pPr>
    <w:rPr>
      <w:rFonts w:ascii="Arial" w:hAnsi="Arial" w:eastAsia="黑体"/>
      <w:b/>
      <w:sz w:val="28"/>
    </w:rPr>
  </w:style>
  <w:style w:type="paragraph" w:customStyle="1" w:styleId="195">
    <w:name w:val="标题 51"/>
    <w:basedOn w:val="1"/>
    <w:next w:val="46"/>
    <w:link w:val="206"/>
    <w:qFormat/>
    <w:uiPriority w:val="0"/>
    <w:pPr>
      <w:keepNext/>
      <w:spacing w:before="145" w:after="145"/>
      <w:outlineLvl w:val="4"/>
    </w:pPr>
    <w:rPr>
      <w:rFonts w:ascii="黑体" w:eastAsia="黑体"/>
      <w:b/>
      <w:color w:val="000000"/>
      <w:sz w:val="28"/>
    </w:rPr>
  </w:style>
  <w:style w:type="paragraph" w:customStyle="1" w:styleId="196">
    <w:name w:val="标题 61"/>
    <w:basedOn w:val="1"/>
    <w:next w:val="1"/>
    <w:link w:val="207"/>
    <w:qFormat/>
    <w:uiPriority w:val="0"/>
    <w:pPr>
      <w:keepNext/>
      <w:keepLines/>
      <w:spacing w:before="240" w:after="64" w:line="320" w:lineRule="auto"/>
      <w:outlineLvl w:val="5"/>
    </w:pPr>
    <w:rPr>
      <w:rFonts w:ascii="Arial" w:hAnsi="Arial" w:eastAsia="黑体"/>
      <w:b/>
      <w:bCs/>
      <w:sz w:val="24"/>
      <w:szCs w:val="24"/>
    </w:rPr>
  </w:style>
  <w:style w:type="paragraph" w:customStyle="1" w:styleId="197">
    <w:name w:val="标题 71"/>
    <w:basedOn w:val="1"/>
    <w:next w:val="1"/>
    <w:link w:val="208"/>
    <w:qFormat/>
    <w:uiPriority w:val="0"/>
    <w:pPr>
      <w:keepNext/>
      <w:keepLines/>
      <w:spacing w:before="240" w:after="64" w:line="320" w:lineRule="auto"/>
      <w:outlineLvl w:val="6"/>
    </w:pPr>
    <w:rPr>
      <w:b/>
      <w:bCs/>
      <w:sz w:val="24"/>
      <w:szCs w:val="24"/>
    </w:rPr>
  </w:style>
  <w:style w:type="paragraph" w:customStyle="1" w:styleId="198">
    <w:name w:val="标题 81"/>
    <w:basedOn w:val="1"/>
    <w:next w:val="1"/>
    <w:link w:val="209"/>
    <w:qFormat/>
    <w:uiPriority w:val="0"/>
    <w:pPr>
      <w:keepNext/>
      <w:keepLines/>
      <w:spacing w:before="240" w:after="64" w:line="320" w:lineRule="auto"/>
      <w:outlineLvl w:val="7"/>
    </w:pPr>
    <w:rPr>
      <w:rFonts w:ascii="Arial" w:hAnsi="Arial" w:eastAsia="黑体"/>
      <w:sz w:val="24"/>
      <w:szCs w:val="24"/>
    </w:rPr>
  </w:style>
  <w:style w:type="paragraph" w:customStyle="1" w:styleId="199">
    <w:name w:val="标题 91"/>
    <w:basedOn w:val="1"/>
    <w:next w:val="1"/>
    <w:link w:val="210"/>
    <w:qFormat/>
    <w:uiPriority w:val="0"/>
    <w:pPr>
      <w:keepNext/>
      <w:keepLines/>
      <w:spacing w:before="240" w:after="64" w:line="320" w:lineRule="auto"/>
      <w:outlineLvl w:val="8"/>
    </w:pPr>
    <w:rPr>
      <w:rFonts w:ascii="Arial" w:hAnsi="Arial" w:eastAsia="黑体"/>
      <w:szCs w:val="21"/>
    </w:rPr>
  </w:style>
  <w:style w:type="character" w:customStyle="1" w:styleId="200">
    <w:name w:val="默认段落字体1"/>
    <w:link w:val="1"/>
    <w:semiHidden/>
    <w:qFormat/>
    <w:uiPriority w:val="0"/>
  </w:style>
  <w:style w:type="table" w:customStyle="1" w:styleId="201">
    <w:name w:val="普通表格1"/>
    <w:semiHidden/>
    <w:qFormat/>
    <w:uiPriority w:val="0"/>
  </w:style>
  <w:style w:type="paragraph" w:customStyle="1" w:styleId="202">
    <w:name w:val="索引 41"/>
    <w:basedOn w:val="1"/>
    <w:next w:val="1"/>
    <w:semiHidden/>
    <w:qFormat/>
    <w:uiPriority w:val="0"/>
    <w:pPr>
      <w:ind w:left="1260"/>
    </w:pPr>
  </w:style>
  <w:style w:type="character" w:customStyle="1" w:styleId="203">
    <w:name w:val="正文缩进 Char"/>
    <w:link w:val="46"/>
    <w:qFormat/>
    <w:uiPriority w:val="0"/>
    <w:rPr>
      <w:sz w:val="21"/>
    </w:rPr>
  </w:style>
  <w:style w:type="character" w:customStyle="1" w:styleId="204">
    <w:name w:val="标题 3 Char2"/>
    <w:link w:val="193"/>
    <w:qFormat/>
    <w:uiPriority w:val="0"/>
    <w:rPr>
      <w:rFonts w:ascii="宋体" w:hAnsi="宋体" w:eastAsia="宋体"/>
      <w:b/>
      <w:sz w:val="21"/>
      <w:szCs w:val="21"/>
      <w:shd w:val="clear" w:color="auto" w:fill="FFFFFF"/>
    </w:rPr>
  </w:style>
  <w:style w:type="character" w:customStyle="1" w:styleId="205">
    <w:name w:val="标题 4 Char"/>
    <w:link w:val="194"/>
    <w:qFormat/>
    <w:uiPriority w:val="0"/>
    <w:rPr>
      <w:rFonts w:ascii="Arial" w:hAnsi="Arial" w:eastAsia="黑体"/>
      <w:b/>
      <w:sz w:val="28"/>
      <w:lang w:val="en-US" w:eastAsia="zh-CN" w:bidi="ar-SA"/>
    </w:rPr>
  </w:style>
  <w:style w:type="character" w:customStyle="1" w:styleId="206">
    <w:name w:val="标题 5 Char"/>
    <w:link w:val="195"/>
    <w:qFormat/>
    <w:uiPriority w:val="0"/>
    <w:rPr>
      <w:rFonts w:ascii="黑体" w:eastAsia="黑体"/>
      <w:b/>
      <w:color w:val="000000"/>
      <w:sz w:val="28"/>
      <w:lang w:val="en-US" w:eastAsia="zh-CN" w:bidi="ar-SA"/>
    </w:rPr>
  </w:style>
  <w:style w:type="character" w:customStyle="1" w:styleId="207">
    <w:name w:val="标题 6 Char"/>
    <w:link w:val="196"/>
    <w:qFormat/>
    <w:uiPriority w:val="0"/>
    <w:rPr>
      <w:rFonts w:ascii="Arial" w:hAnsi="Arial" w:eastAsia="黑体"/>
      <w:b/>
      <w:bCs/>
      <w:sz w:val="24"/>
      <w:szCs w:val="24"/>
      <w:lang w:val="en-US" w:eastAsia="zh-CN" w:bidi="ar-SA"/>
    </w:rPr>
  </w:style>
  <w:style w:type="character" w:customStyle="1" w:styleId="208">
    <w:name w:val="标题 7 Char"/>
    <w:link w:val="197"/>
    <w:qFormat/>
    <w:uiPriority w:val="0"/>
    <w:rPr>
      <w:rFonts w:eastAsia="宋体"/>
      <w:b/>
      <w:bCs/>
      <w:sz w:val="24"/>
      <w:szCs w:val="24"/>
      <w:lang w:val="en-US" w:eastAsia="zh-CN" w:bidi="ar-SA"/>
    </w:rPr>
  </w:style>
  <w:style w:type="character" w:customStyle="1" w:styleId="209">
    <w:name w:val="标题 8 Char"/>
    <w:link w:val="198"/>
    <w:qFormat/>
    <w:uiPriority w:val="0"/>
    <w:rPr>
      <w:rFonts w:ascii="Arial" w:hAnsi="Arial" w:eastAsia="黑体"/>
      <w:sz w:val="24"/>
      <w:szCs w:val="24"/>
      <w:lang w:val="en-US" w:eastAsia="zh-CN" w:bidi="ar-SA"/>
    </w:rPr>
  </w:style>
  <w:style w:type="character" w:customStyle="1" w:styleId="210">
    <w:name w:val="标题 9 Char"/>
    <w:link w:val="199"/>
    <w:qFormat/>
    <w:uiPriority w:val="0"/>
    <w:rPr>
      <w:rFonts w:ascii="Arial" w:hAnsi="Arial" w:eastAsia="黑体"/>
      <w:sz w:val="21"/>
      <w:szCs w:val="21"/>
      <w:lang w:val="en-US" w:eastAsia="zh-CN" w:bidi="ar-SA"/>
    </w:rPr>
  </w:style>
  <w:style w:type="paragraph" w:customStyle="1" w:styleId="211">
    <w:name w:val="列表 31"/>
    <w:basedOn w:val="1"/>
    <w:qFormat/>
    <w:uiPriority w:val="0"/>
    <w:pPr>
      <w:ind w:left="1260" w:hanging="420"/>
    </w:pPr>
  </w:style>
  <w:style w:type="paragraph" w:customStyle="1" w:styleId="212">
    <w:name w:val="目录 71"/>
    <w:basedOn w:val="1"/>
    <w:next w:val="1"/>
    <w:semiHidden/>
    <w:qFormat/>
    <w:uiPriority w:val="0"/>
    <w:pPr>
      <w:ind w:left="1260"/>
      <w:jc w:val="left"/>
    </w:pPr>
    <w:rPr>
      <w:sz w:val="18"/>
    </w:rPr>
  </w:style>
  <w:style w:type="paragraph" w:customStyle="1" w:styleId="213">
    <w:name w:val="列表编号 21"/>
    <w:basedOn w:val="1"/>
    <w:qFormat/>
    <w:uiPriority w:val="0"/>
    <w:pPr>
      <w:tabs>
        <w:tab w:val="left" w:pos="1440"/>
      </w:tabs>
      <w:spacing w:line="360" w:lineRule="auto"/>
      <w:ind w:left="1440" w:hanging="1440"/>
    </w:pPr>
    <w:rPr>
      <w:sz w:val="24"/>
      <w:szCs w:val="24"/>
    </w:rPr>
  </w:style>
  <w:style w:type="paragraph" w:customStyle="1" w:styleId="214">
    <w:name w:val="索引 81"/>
    <w:basedOn w:val="1"/>
    <w:next w:val="1"/>
    <w:semiHidden/>
    <w:qFormat/>
    <w:uiPriority w:val="0"/>
    <w:pPr>
      <w:ind w:left="2940"/>
    </w:pPr>
  </w:style>
  <w:style w:type="paragraph" w:customStyle="1" w:styleId="215">
    <w:name w:val="列表编号1"/>
    <w:basedOn w:val="1"/>
    <w:qFormat/>
    <w:uiPriority w:val="0"/>
    <w:pPr>
      <w:tabs>
        <w:tab w:val="left" w:pos="2952"/>
      </w:tabs>
      <w:ind w:left="2952" w:hanging="432"/>
    </w:pPr>
    <w:rPr>
      <w:szCs w:val="24"/>
    </w:rPr>
  </w:style>
  <w:style w:type="paragraph" w:customStyle="1" w:styleId="216">
    <w:name w:val="索引 51"/>
    <w:basedOn w:val="1"/>
    <w:next w:val="1"/>
    <w:semiHidden/>
    <w:qFormat/>
    <w:uiPriority w:val="0"/>
    <w:pPr>
      <w:ind w:left="1680"/>
    </w:pPr>
  </w:style>
  <w:style w:type="paragraph" w:customStyle="1" w:styleId="217">
    <w:name w:val="文档结构图1"/>
    <w:basedOn w:val="1"/>
    <w:link w:val="218"/>
    <w:qFormat/>
    <w:uiPriority w:val="0"/>
    <w:pPr>
      <w:shd w:val="clear" w:color="auto" w:fill="000080"/>
    </w:pPr>
  </w:style>
  <w:style w:type="character" w:customStyle="1" w:styleId="218">
    <w:name w:val="文档结构图 Char"/>
    <w:link w:val="217"/>
    <w:qFormat/>
    <w:uiPriority w:val="0"/>
    <w:rPr>
      <w:rFonts w:eastAsia="宋体"/>
      <w:sz w:val="21"/>
      <w:lang w:val="en-US" w:eastAsia="zh-CN" w:bidi="ar-SA"/>
    </w:rPr>
  </w:style>
  <w:style w:type="paragraph" w:customStyle="1" w:styleId="219">
    <w:name w:val="批注文字1"/>
    <w:basedOn w:val="1"/>
    <w:link w:val="220"/>
    <w:qFormat/>
    <w:uiPriority w:val="99"/>
    <w:pPr>
      <w:jc w:val="left"/>
    </w:pPr>
  </w:style>
  <w:style w:type="character" w:customStyle="1" w:styleId="220">
    <w:name w:val="批注文字 Char"/>
    <w:link w:val="219"/>
    <w:qFormat/>
    <w:uiPriority w:val="99"/>
    <w:rPr>
      <w:rFonts w:eastAsia="宋体"/>
      <w:sz w:val="21"/>
      <w:lang w:val="en-US" w:eastAsia="zh-CN" w:bidi="ar-SA"/>
    </w:rPr>
  </w:style>
  <w:style w:type="paragraph" w:customStyle="1" w:styleId="221">
    <w:name w:val="索引 61"/>
    <w:basedOn w:val="1"/>
    <w:next w:val="1"/>
    <w:semiHidden/>
    <w:qFormat/>
    <w:uiPriority w:val="0"/>
    <w:pPr>
      <w:ind w:left="2100"/>
    </w:pPr>
  </w:style>
  <w:style w:type="paragraph" w:customStyle="1" w:styleId="222">
    <w:name w:val="称呼1"/>
    <w:basedOn w:val="1"/>
    <w:next w:val="1"/>
    <w:qFormat/>
    <w:uiPriority w:val="0"/>
    <w:rPr>
      <w:rFonts w:ascii="仿宋_GB2312" w:eastAsia="仿宋_GB2312"/>
      <w:sz w:val="28"/>
    </w:rPr>
  </w:style>
  <w:style w:type="paragraph" w:customStyle="1" w:styleId="223">
    <w:name w:val="正文文本 31"/>
    <w:basedOn w:val="1"/>
    <w:qFormat/>
    <w:uiPriority w:val="0"/>
    <w:rPr>
      <w:rFonts w:ascii="仿宋_GB2312" w:hAnsi="Arial" w:eastAsia="仿宋_GB2312"/>
      <w:sz w:val="32"/>
    </w:rPr>
  </w:style>
  <w:style w:type="paragraph" w:customStyle="1" w:styleId="224">
    <w:name w:val="正文文本1"/>
    <w:basedOn w:val="1"/>
    <w:qFormat/>
    <w:uiPriority w:val="0"/>
    <w:rPr>
      <w:rFonts w:ascii="楷体_GB2312" w:hAnsi="Arial" w:eastAsia="楷体_GB2312"/>
      <w:sz w:val="28"/>
    </w:rPr>
  </w:style>
  <w:style w:type="paragraph" w:customStyle="1" w:styleId="225">
    <w:name w:val="正文文本缩进11"/>
    <w:basedOn w:val="1"/>
    <w:link w:val="226"/>
    <w:qFormat/>
    <w:uiPriority w:val="0"/>
    <w:pPr>
      <w:ind w:firstLine="645"/>
    </w:pPr>
    <w:rPr>
      <w:rFonts w:ascii="楷体_GB2312" w:eastAsia="楷体_GB2312"/>
      <w:sz w:val="32"/>
    </w:rPr>
  </w:style>
  <w:style w:type="character" w:customStyle="1" w:styleId="226">
    <w:name w:val="正文文本缩进 Char"/>
    <w:link w:val="225"/>
    <w:qFormat/>
    <w:uiPriority w:val="0"/>
    <w:rPr>
      <w:rFonts w:ascii="楷体_GB2312" w:eastAsia="楷体_GB2312"/>
      <w:sz w:val="32"/>
      <w:lang w:val="en-US" w:eastAsia="zh-CN" w:bidi="ar-SA"/>
    </w:rPr>
  </w:style>
  <w:style w:type="paragraph" w:customStyle="1" w:styleId="227">
    <w:name w:val="目录 51"/>
    <w:basedOn w:val="1"/>
    <w:next w:val="1"/>
    <w:semiHidden/>
    <w:qFormat/>
    <w:uiPriority w:val="0"/>
    <w:pPr>
      <w:ind w:left="840"/>
      <w:jc w:val="left"/>
    </w:pPr>
    <w:rPr>
      <w:sz w:val="18"/>
    </w:rPr>
  </w:style>
  <w:style w:type="paragraph" w:customStyle="1" w:styleId="228">
    <w:name w:val="目录 31"/>
    <w:basedOn w:val="1"/>
    <w:next w:val="1"/>
    <w:qFormat/>
    <w:uiPriority w:val="39"/>
    <w:pPr>
      <w:ind w:left="420"/>
      <w:jc w:val="left"/>
    </w:pPr>
    <w:rPr>
      <w:i/>
      <w:sz w:val="20"/>
    </w:rPr>
  </w:style>
  <w:style w:type="paragraph" w:customStyle="1" w:styleId="229">
    <w:name w:val="纯文本11"/>
    <w:basedOn w:val="1"/>
    <w:link w:val="230"/>
    <w:qFormat/>
    <w:uiPriority w:val="0"/>
    <w:rPr>
      <w:rFonts w:ascii="宋体" w:hAnsi="Courier New"/>
    </w:rPr>
  </w:style>
  <w:style w:type="character" w:customStyle="1" w:styleId="230">
    <w:name w:val="纯文本 Char"/>
    <w:link w:val="229"/>
    <w:qFormat/>
    <w:uiPriority w:val="0"/>
    <w:rPr>
      <w:rFonts w:ascii="宋体" w:hAnsi="Courier New" w:eastAsia="宋体"/>
      <w:sz w:val="21"/>
      <w:lang w:val="en-US" w:eastAsia="zh-CN" w:bidi="ar-SA"/>
    </w:rPr>
  </w:style>
  <w:style w:type="paragraph" w:customStyle="1" w:styleId="231">
    <w:name w:val="目录 81"/>
    <w:basedOn w:val="1"/>
    <w:next w:val="1"/>
    <w:semiHidden/>
    <w:qFormat/>
    <w:uiPriority w:val="0"/>
    <w:pPr>
      <w:ind w:left="1470"/>
      <w:jc w:val="left"/>
    </w:pPr>
    <w:rPr>
      <w:sz w:val="18"/>
    </w:rPr>
  </w:style>
  <w:style w:type="paragraph" w:customStyle="1" w:styleId="232">
    <w:name w:val="索引 31"/>
    <w:basedOn w:val="1"/>
    <w:next w:val="1"/>
    <w:semiHidden/>
    <w:qFormat/>
    <w:uiPriority w:val="0"/>
    <w:pPr>
      <w:ind w:left="840"/>
    </w:pPr>
  </w:style>
  <w:style w:type="paragraph" w:customStyle="1" w:styleId="233">
    <w:name w:val="日期1"/>
    <w:basedOn w:val="1"/>
    <w:next w:val="1"/>
    <w:qFormat/>
    <w:uiPriority w:val="0"/>
    <w:pPr>
      <w:ind w:left="100"/>
    </w:pPr>
    <w:rPr>
      <w:sz w:val="28"/>
    </w:rPr>
  </w:style>
  <w:style w:type="paragraph" w:customStyle="1" w:styleId="234">
    <w:name w:val="正文文本缩进 21"/>
    <w:basedOn w:val="1"/>
    <w:link w:val="235"/>
    <w:qFormat/>
    <w:uiPriority w:val="0"/>
    <w:pPr>
      <w:ind w:left="630" w:firstLine="645"/>
    </w:pPr>
    <w:rPr>
      <w:rFonts w:ascii="Arial" w:hAnsi="Arial" w:eastAsia="仿宋_GB2312"/>
      <w:sz w:val="32"/>
    </w:rPr>
  </w:style>
  <w:style w:type="character" w:customStyle="1" w:styleId="235">
    <w:name w:val="正文文本缩进 2 Char"/>
    <w:link w:val="234"/>
    <w:qFormat/>
    <w:uiPriority w:val="0"/>
    <w:rPr>
      <w:rFonts w:ascii="Arial" w:hAnsi="Arial" w:eastAsia="仿宋_GB2312"/>
      <w:sz w:val="32"/>
      <w:lang w:val="en-US" w:eastAsia="zh-CN" w:bidi="ar-SA"/>
    </w:rPr>
  </w:style>
  <w:style w:type="paragraph" w:customStyle="1" w:styleId="236">
    <w:name w:val="尾注文本1"/>
    <w:basedOn w:val="1"/>
    <w:qFormat/>
    <w:uiPriority w:val="0"/>
    <w:pPr>
      <w:jc w:val="left"/>
    </w:pPr>
    <w:rPr>
      <w:sz w:val="20"/>
      <w:szCs w:val="24"/>
    </w:rPr>
  </w:style>
  <w:style w:type="paragraph" w:customStyle="1" w:styleId="237">
    <w:name w:val="批注框文本1"/>
    <w:basedOn w:val="1"/>
    <w:semiHidden/>
    <w:qFormat/>
    <w:uiPriority w:val="0"/>
    <w:rPr>
      <w:sz w:val="18"/>
      <w:szCs w:val="18"/>
    </w:rPr>
  </w:style>
  <w:style w:type="paragraph" w:customStyle="1" w:styleId="238">
    <w:name w:val="页脚1"/>
    <w:basedOn w:val="1"/>
    <w:link w:val="239"/>
    <w:qFormat/>
    <w:uiPriority w:val="99"/>
    <w:pPr>
      <w:tabs>
        <w:tab w:val="center" w:pos="4153"/>
        <w:tab w:val="right" w:pos="8306"/>
      </w:tabs>
      <w:jc w:val="left"/>
    </w:pPr>
    <w:rPr>
      <w:sz w:val="18"/>
    </w:rPr>
  </w:style>
  <w:style w:type="character" w:customStyle="1" w:styleId="239">
    <w:name w:val="页脚 Char"/>
    <w:link w:val="238"/>
    <w:qFormat/>
    <w:uiPriority w:val="99"/>
    <w:rPr>
      <w:sz w:val="18"/>
    </w:rPr>
  </w:style>
  <w:style w:type="paragraph" w:customStyle="1" w:styleId="240">
    <w:name w:val="页眉1"/>
    <w:basedOn w:val="1"/>
    <w:link w:val="241"/>
    <w:qFormat/>
    <w:uiPriority w:val="0"/>
    <w:pPr>
      <w:pBdr>
        <w:bottom w:val="single" w:color="000000" w:sz="6" w:space="1"/>
      </w:pBdr>
      <w:tabs>
        <w:tab w:val="center" w:pos="4153"/>
        <w:tab w:val="right" w:pos="8306"/>
      </w:tabs>
      <w:jc w:val="center"/>
    </w:pPr>
    <w:rPr>
      <w:sz w:val="18"/>
    </w:rPr>
  </w:style>
  <w:style w:type="character" w:customStyle="1" w:styleId="241">
    <w:name w:val="页眉 Char"/>
    <w:link w:val="240"/>
    <w:qFormat/>
    <w:uiPriority w:val="0"/>
    <w:rPr>
      <w:sz w:val="18"/>
    </w:rPr>
  </w:style>
  <w:style w:type="paragraph" w:customStyle="1" w:styleId="242">
    <w:name w:val="签名1"/>
    <w:basedOn w:val="1"/>
    <w:qFormat/>
    <w:uiPriority w:val="0"/>
    <w:pPr>
      <w:spacing w:after="600" w:line="312" w:lineRule="atLeast"/>
      <w:jc w:val="center"/>
    </w:pPr>
    <w:rPr>
      <w:rFonts w:eastAsia="仿宋_GB2312"/>
      <w:sz w:val="24"/>
    </w:rPr>
  </w:style>
  <w:style w:type="paragraph" w:customStyle="1" w:styleId="243">
    <w:name w:val="目录 11"/>
    <w:basedOn w:val="1"/>
    <w:next w:val="1"/>
    <w:qFormat/>
    <w:uiPriority w:val="39"/>
    <w:pPr>
      <w:spacing w:before="120" w:after="120"/>
      <w:jc w:val="left"/>
    </w:pPr>
    <w:rPr>
      <w:b/>
      <w:caps/>
      <w:sz w:val="20"/>
    </w:rPr>
  </w:style>
  <w:style w:type="paragraph" w:customStyle="1" w:styleId="244">
    <w:name w:val="目录 41"/>
    <w:basedOn w:val="1"/>
    <w:next w:val="1"/>
    <w:semiHidden/>
    <w:qFormat/>
    <w:uiPriority w:val="0"/>
    <w:pPr>
      <w:ind w:left="630"/>
      <w:jc w:val="left"/>
    </w:pPr>
    <w:rPr>
      <w:sz w:val="18"/>
    </w:rPr>
  </w:style>
  <w:style w:type="paragraph" w:customStyle="1" w:styleId="245">
    <w:name w:val="索引标题1"/>
    <w:basedOn w:val="1"/>
    <w:next w:val="246"/>
    <w:semiHidden/>
    <w:qFormat/>
    <w:uiPriority w:val="0"/>
  </w:style>
  <w:style w:type="paragraph" w:customStyle="1" w:styleId="246">
    <w:name w:val="索引 11"/>
    <w:basedOn w:val="1"/>
    <w:next w:val="1"/>
    <w:semiHidden/>
    <w:qFormat/>
    <w:uiPriority w:val="0"/>
    <w:rPr>
      <w:rFonts w:ascii="仿宋_GB2312" w:hAnsi="宋体" w:eastAsia="仿宋_GB2312"/>
      <w:sz w:val="30"/>
      <w:szCs w:val="24"/>
    </w:rPr>
  </w:style>
  <w:style w:type="paragraph" w:customStyle="1" w:styleId="247">
    <w:name w:val="副标题1"/>
    <w:basedOn w:val="1"/>
    <w:next w:val="1"/>
    <w:qFormat/>
    <w:uiPriority w:val="0"/>
    <w:pPr>
      <w:widowControl/>
      <w:spacing w:after="600" w:line="276" w:lineRule="auto"/>
      <w:jc w:val="left"/>
    </w:pPr>
    <w:rPr>
      <w:rFonts w:ascii="Cambria" w:hAnsi="Cambria"/>
      <w:i/>
      <w:iCs/>
      <w:spacing w:val="13"/>
      <w:sz w:val="24"/>
      <w:szCs w:val="24"/>
      <w:lang w:eastAsia="en-US" w:bidi="en-US"/>
    </w:rPr>
  </w:style>
  <w:style w:type="paragraph" w:customStyle="1" w:styleId="248">
    <w:name w:val="脚注文本1"/>
    <w:basedOn w:val="1"/>
    <w:qFormat/>
    <w:uiPriority w:val="0"/>
    <w:pPr>
      <w:jc w:val="left"/>
    </w:pPr>
    <w:rPr>
      <w:sz w:val="18"/>
      <w:szCs w:val="18"/>
    </w:rPr>
  </w:style>
  <w:style w:type="paragraph" w:customStyle="1" w:styleId="249">
    <w:name w:val="目录 61"/>
    <w:basedOn w:val="1"/>
    <w:next w:val="1"/>
    <w:semiHidden/>
    <w:qFormat/>
    <w:uiPriority w:val="0"/>
    <w:pPr>
      <w:ind w:left="1050"/>
      <w:jc w:val="left"/>
    </w:pPr>
    <w:rPr>
      <w:sz w:val="18"/>
    </w:rPr>
  </w:style>
  <w:style w:type="paragraph" w:customStyle="1" w:styleId="250">
    <w:name w:val="正文文本缩进 311"/>
    <w:basedOn w:val="1"/>
    <w:link w:val="251"/>
    <w:qFormat/>
    <w:uiPriority w:val="0"/>
    <w:pPr>
      <w:ind w:left="645" w:firstLine="645"/>
    </w:pPr>
    <w:rPr>
      <w:rFonts w:ascii="Arial" w:hAnsi="Arial" w:eastAsia="仿宋_GB2312"/>
      <w:color w:val="FFFF00"/>
      <w:sz w:val="32"/>
    </w:rPr>
  </w:style>
  <w:style w:type="character" w:customStyle="1" w:styleId="251">
    <w:name w:val="正文文本缩进 3 Char"/>
    <w:link w:val="250"/>
    <w:qFormat/>
    <w:uiPriority w:val="0"/>
    <w:rPr>
      <w:rFonts w:ascii="Arial" w:hAnsi="Arial" w:eastAsia="仿宋_GB2312"/>
      <w:color w:val="FFFF00"/>
      <w:sz w:val="32"/>
      <w:lang w:val="en-US" w:eastAsia="zh-CN" w:bidi="ar-SA"/>
    </w:rPr>
  </w:style>
  <w:style w:type="paragraph" w:customStyle="1" w:styleId="252">
    <w:name w:val="索引 71"/>
    <w:basedOn w:val="1"/>
    <w:next w:val="1"/>
    <w:semiHidden/>
    <w:qFormat/>
    <w:uiPriority w:val="0"/>
    <w:pPr>
      <w:ind w:left="2520"/>
    </w:pPr>
  </w:style>
  <w:style w:type="paragraph" w:customStyle="1" w:styleId="253">
    <w:name w:val="索引 91"/>
    <w:basedOn w:val="1"/>
    <w:next w:val="1"/>
    <w:semiHidden/>
    <w:qFormat/>
    <w:uiPriority w:val="0"/>
    <w:pPr>
      <w:ind w:left="3360"/>
    </w:pPr>
  </w:style>
  <w:style w:type="paragraph" w:customStyle="1" w:styleId="254">
    <w:name w:val="图表目录1"/>
    <w:basedOn w:val="1"/>
    <w:next w:val="1"/>
    <w:semiHidden/>
    <w:qFormat/>
    <w:uiPriority w:val="0"/>
    <w:pPr>
      <w:ind w:left="840" w:hanging="420"/>
    </w:pPr>
  </w:style>
  <w:style w:type="paragraph" w:customStyle="1" w:styleId="255">
    <w:name w:val="目录 21"/>
    <w:basedOn w:val="1"/>
    <w:next w:val="1"/>
    <w:qFormat/>
    <w:uiPriority w:val="39"/>
    <w:pPr>
      <w:ind w:left="210"/>
      <w:jc w:val="left"/>
    </w:pPr>
    <w:rPr>
      <w:smallCaps/>
      <w:sz w:val="20"/>
    </w:rPr>
  </w:style>
  <w:style w:type="paragraph" w:customStyle="1" w:styleId="256">
    <w:name w:val="目录 91"/>
    <w:basedOn w:val="1"/>
    <w:next w:val="1"/>
    <w:semiHidden/>
    <w:qFormat/>
    <w:uiPriority w:val="0"/>
    <w:pPr>
      <w:ind w:left="1680"/>
      <w:jc w:val="left"/>
    </w:pPr>
    <w:rPr>
      <w:sz w:val="18"/>
    </w:rPr>
  </w:style>
  <w:style w:type="paragraph" w:customStyle="1" w:styleId="257">
    <w:name w:val="正文文本 211"/>
    <w:basedOn w:val="1"/>
    <w:qFormat/>
    <w:uiPriority w:val="0"/>
    <w:pPr>
      <w:widowControl/>
      <w:jc w:val="center"/>
    </w:pPr>
    <w:rPr>
      <w:rFonts w:ascii="楷体_GB2312" w:eastAsia="楷体_GB2312"/>
      <w:sz w:val="28"/>
    </w:rPr>
  </w:style>
  <w:style w:type="paragraph" w:customStyle="1" w:styleId="258">
    <w:name w:val="HTML 预设格式1"/>
    <w:basedOn w:val="1"/>
    <w:link w:val="25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rPr>
  </w:style>
  <w:style w:type="character" w:customStyle="1" w:styleId="259">
    <w:name w:val="HTML 预设格式 Char"/>
    <w:link w:val="258"/>
    <w:qFormat/>
    <w:uiPriority w:val="0"/>
    <w:rPr>
      <w:rFonts w:ascii="黑体" w:hAnsi="Courier New" w:eastAsia="黑体" w:cs="Courier New"/>
      <w:lang w:val="en-US" w:eastAsia="zh-CN" w:bidi="ar-SA"/>
    </w:rPr>
  </w:style>
  <w:style w:type="paragraph" w:customStyle="1" w:styleId="260">
    <w:name w:val="普通(网站)1"/>
    <w:basedOn w:val="1"/>
    <w:qFormat/>
    <w:uiPriority w:val="0"/>
    <w:pPr>
      <w:widowControl/>
      <w:spacing w:before="100" w:beforeAutospacing="1" w:after="100" w:afterAutospacing="1"/>
      <w:jc w:val="left"/>
    </w:pPr>
    <w:rPr>
      <w:rFonts w:ascii="Arial" w:hAnsi="Arial" w:eastAsia="Arial Unicode MS" w:cs="Arial"/>
      <w:sz w:val="24"/>
      <w:szCs w:val="24"/>
    </w:rPr>
  </w:style>
  <w:style w:type="paragraph" w:customStyle="1" w:styleId="261">
    <w:name w:val="索引 21"/>
    <w:basedOn w:val="1"/>
    <w:next w:val="1"/>
    <w:semiHidden/>
    <w:qFormat/>
    <w:uiPriority w:val="0"/>
    <w:pPr>
      <w:ind w:left="420"/>
    </w:pPr>
  </w:style>
  <w:style w:type="paragraph" w:customStyle="1" w:styleId="262">
    <w:name w:val="标题1"/>
    <w:basedOn w:val="1"/>
    <w:link w:val="263"/>
    <w:qFormat/>
    <w:uiPriority w:val="0"/>
    <w:pPr>
      <w:widowControl/>
      <w:spacing w:line="420" w:lineRule="exact"/>
      <w:jc w:val="center"/>
    </w:pPr>
    <w:rPr>
      <w:rFonts w:eastAsia="黑体"/>
      <w:b/>
      <w:sz w:val="28"/>
      <w:lang w:val="en-GB"/>
    </w:rPr>
  </w:style>
  <w:style w:type="character" w:customStyle="1" w:styleId="263">
    <w:name w:val="标题 Char"/>
    <w:link w:val="262"/>
    <w:qFormat/>
    <w:uiPriority w:val="0"/>
    <w:rPr>
      <w:rFonts w:eastAsia="黑体"/>
      <w:b/>
      <w:sz w:val="28"/>
      <w:lang w:val="en-GB" w:eastAsia="zh-CN" w:bidi="ar-SA"/>
    </w:rPr>
  </w:style>
  <w:style w:type="paragraph" w:customStyle="1" w:styleId="264">
    <w:name w:val="批注主题1"/>
    <w:basedOn w:val="219"/>
    <w:next w:val="219"/>
    <w:link w:val="265"/>
    <w:semiHidden/>
    <w:qFormat/>
    <w:uiPriority w:val="0"/>
    <w:rPr>
      <w:b/>
      <w:bCs/>
    </w:rPr>
  </w:style>
  <w:style w:type="character" w:customStyle="1" w:styleId="265">
    <w:name w:val="批注主题 Char"/>
    <w:link w:val="264"/>
    <w:qFormat/>
    <w:uiPriority w:val="0"/>
    <w:rPr>
      <w:rFonts w:eastAsia="宋体"/>
      <w:b/>
      <w:bCs/>
      <w:sz w:val="21"/>
      <w:lang w:val="en-US" w:eastAsia="zh-CN" w:bidi="ar-SA"/>
    </w:rPr>
  </w:style>
  <w:style w:type="paragraph" w:customStyle="1" w:styleId="266">
    <w:name w:val="正文首行缩进1"/>
    <w:basedOn w:val="224"/>
    <w:qFormat/>
    <w:uiPriority w:val="0"/>
    <w:pPr>
      <w:spacing w:after="120"/>
      <w:ind w:firstLine="420"/>
    </w:pPr>
    <w:rPr>
      <w:rFonts w:ascii="Times New Roman" w:hAnsi="Times New Roman" w:eastAsia="宋体"/>
      <w:sz w:val="21"/>
      <w:szCs w:val="24"/>
    </w:rPr>
  </w:style>
  <w:style w:type="table" w:customStyle="1" w:styleId="267">
    <w:name w:val="网格型1"/>
    <w:basedOn w:val="201"/>
    <w:qFormat/>
    <w:uiPriority w:val="0"/>
    <w:pPr>
      <w:widowControl w:val="0"/>
      <w:jc w:val="both"/>
    </w:pPr>
  </w:style>
  <w:style w:type="character" w:customStyle="1" w:styleId="268">
    <w:name w:val="要点1"/>
    <w:link w:val="1"/>
    <w:qFormat/>
    <w:uiPriority w:val="0"/>
    <w:rPr>
      <w:b/>
      <w:bCs/>
    </w:rPr>
  </w:style>
  <w:style w:type="character" w:customStyle="1" w:styleId="269">
    <w:name w:val="尾注引用1"/>
    <w:link w:val="1"/>
    <w:qFormat/>
    <w:uiPriority w:val="0"/>
    <w:rPr>
      <w:vertAlign w:val="superscript"/>
    </w:rPr>
  </w:style>
  <w:style w:type="character" w:customStyle="1" w:styleId="270">
    <w:name w:val="页码1"/>
    <w:link w:val="1"/>
    <w:qFormat/>
    <w:uiPriority w:val="0"/>
  </w:style>
  <w:style w:type="character" w:customStyle="1" w:styleId="271">
    <w:name w:val="访问过的超链接"/>
    <w:link w:val="1"/>
    <w:qFormat/>
    <w:uiPriority w:val="0"/>
    <w:rPr>
      <w:color w:val="800080"/>
      <w:u w:val="single"/>
    </w:rPr>
  </w:style>
  <w:style w:type="character" w:customStyle="1" w:styleId="272">
    <w:name w:val="强调1"/>
    <w:link w:val="1"/>
    <w:qFormat/>
    <w:uiPriority w:val="0"/>
    <w:rPr>
      <w:b/>
      <w:bCs/>
      <w:i/>
      <w:iCs/>
      <w:spacing w:val="10"/>
      <w:shd w:val="clear" w:color="auto" w:fill="auto"/>
    </w:rPr>
  </w:style>
  <w:style w:type="character" w:customStyle="1" w:styleId="273">
    <w:name w:val="行号1"/>
    <w:link w:val="1"/>
    <w:qFormat/>
    <w:uiPriority w:val="0"/>
  </w:style>
  <w:style w:type="character" w:customStyle="1" w:styleId="274">
    <w:name w:val="HTML 打字机1"/>
    <w:link w:val="1"/>
    <w:qFormat/>
    <w:uiPriority w:val="0"/>
    <w:rPr>
      <w:rFonts w:ascii="宋体" w:hAnsi="宋体" w:eastAsia="宋体" w:cs="宋体"/>
      <w:sz w:val="24"/>
      <w:szCs w:val="24"/>
    </w:rPr>
  </w:style>
  <w:style w:type="character" w:customStyle="1" w:styleId="275">
    <w:name w:val="超链接1"/>
    <w:link w:val="1"/>
    <w:qFormat/>
    <w:uiPriority w:val="99"/>
    <w:rPr>
      <w:color w:val="0000FF"/>
      <w:u w:val="single"/>
    </w:rPr>
  </w:style>
  <w:style w:type="character" w:customStyle="1" w:styleId="276">
    <w:name w:val="批注引用1"/>
    <w:link w:val="1"/>
    <w:qFormat/>
    <w:uiPriority w:val="0"/>
    <w:rPr>
      <w:sz w:val="21"/>
    </w:rPr>
  </w:style>
  <w:style w:type="character" w:customStyle="1" w:styleId="277">
    <w:name w:val="脚注引用1"/>
    <w:link w:val="1"/>
    <w:qFormat/>
    <w:uiPriority w:val="0"/>
    <w:rPr>
      <w:vertAlign w:val="superscript"/>
    </w:rPr>
  </w:style>
  <w:style w:type="character" w:customStyle="1" w:styleId="278">
    <w:name w:val="HTML 样本1"/>
    <w:link w:val="1"/>
    <w:qFormat/>
    <w:uiPriority w:val="0"/>
    <w:rPr>
      <w:rFonts w:ascii="Courier New" w:hAnsi="宋体" w:eastAsia="宋体" w:cs="Courier New"/>
    </w:rPr>
  </w:style>
  <w:style w:type="character" w:customStyle="1" w:styleId="279">
    <w:name w:val="fontstyle01"/>
    <w:link w:val="1"/>
    <w:qFormat/>
    <w:uiPriority w:val="0"/>
    <w:rPr>
      <w:rFonts w:hint="eastAsia" w:ascii="宋体" w:hAnsi="宋体" w:eastAsia="宋体"/>
      <w:color w:val="000000"/>
      <w:sz w:val="22"/>
      <w:szCs w:val="22"/>
    </w:rPr>
  </w:style>
  <w:style w:type="character" w:customStyle="1" w:styleId="280">
    <w:name w:val=" Char Char28"/>
    <w:link w:val="1"/>
    <w:qFormat/>
    <w:uiPriority w:val="0"/>
    <w:rPr>
      <w:rFonts w:ascii="Arial" w:hAnsi="Arial" w:eastAsia="黑体" w:cs="Arial"/>
      <w:b/>
      <w:bCs/>
      <w:sz w:val="32"/>
      <w:szCs w:val="32"/>
    </w:rPr>
  </w:style>
  <w:style w:type="character" w:customStyle="1" w:styleId="281">
    <w:name w:val="正文缩进 Char1"/>
    <w:link w:val="12"/>
    <w:qFormat/>
    <w:uiPriority w:val="0"/>
    <w:rPr>
      <w:rFonts w:eastAsia="宋体"/>
      <w:lang w:bidi="ar-SA"/>
    </w:rPr>
  </w:style>
  <w:style w:type="character" w:customStyle="1" w:styleId="282">
    <w:name w:val="华宇段落1 Char Char Char"/>
    <w:link w:val="1"/>
    <w:qFormat/>
    <w:uiPriority w:val="0"/>
    <w:rPr>
      <w:rFonts w:eastAsia="宋体"/>
      <w:bCs/>
      <w:sz w:val="24"/>
      <w:szCs w:val="24"/>
      <w:lang w:val="en-US" w:eastAsia="zh-CN" w:bidi="ar-SA"/>
    </w:rPr>
  </w:style>
  <w:style w:type="character" w:customStyle="1" w:styleId="283">
    <w:name w:val="para_small"/>
    <w:link w:val="1"/>
    <w:qFormat/>
    <w:uiPriority w:val="0"/>
  </w:style>
  <w:style w:type="character" w:customStyle="1" w:styleId="284">
    <w:name w:val="标题 3 Char Char Char Char Char Char Char Char Char Char Char Char Char Char Char Char Char Char Char Char Char Char Char Char Char Char Char Char Char Char Char Char Char Char Char Char Char Char Char Char Char Char Char Char Char Char Char Char Cha Char"/>
    <w:link w:val="1"/>
    <w:qFormat/>
    <w:uiPriority w:val="0"/>
    <w:rPr>
      <w:rFonts w:eastAsia="宋体"/>
      <w:b/>
      <w:bCs/>
      <w:sz w:val="32"/>
      <w:szCs w:val="32"/>
      <w:lang w:val="en-US" w:eastAsia="zh-CN" w:bidi="ar-SA"/>
    </w:rPr>
  </w:style>
  <w:style w:type="character" w:customStyle="1" w:styleId="285">
    <w:name w:val="normalfont1"/>
    <w:link w:val="1"/>
    <w:qFormat/>
    <w:uiPriority w:val="0"/>
    <w:rPr>
      <w:rFonts w:ascii="ˎ̥" w:hAnsi="ˎ̥"/>
      <w:sz w:val="18"/>
      <w:szCs w:val="18"/>
      <w:u w:val="none"/>
    </w:rPr>
  </w:style>
  <w:style w:type="character" w:customStyle="1" w:styleId="286">
    <w:name w:val="纯文本 Char1"/>
    <w:link w:val="1"/>
    <w:qFormat/>
    <w:uiPriority w:val="0"/>
    <w:rPr>
      <w:rFonts w:ascii="宋体" w:hAnsi="Courier New" w:cs="Courier New"/>
      <w:sz w:val="21"/>
      <w:szCs w:val="21"/>
    </w:rPr>
  </w:style>
  <w:style w:type="character" w:customStyle="1" w:styleId="287">
    <w:name w:val="标准文本 Char"/>
    <w:link w:val="1"/>
    <w:qFormat/>
    <w:uiPriority w:val="0"/>
    <w:rPr>
      <w:rFonts w:eastAsia="宋体" w:cs="宋体"/>
      <w:sz w:val="24"/>
      <w:szCs w:val="24"/>
      <w:lang w:val="en-US" w:eastAsia="zh-CN" w:bidi="ar-SA"/>
    </w:rPr>
  </w:style>
  <w:style w:type="character" w:customStyle="1" w:styleId="288">
    <w:name w:val="content_lineheight1"/>
    <w:link w:val="1"/>
    <w:qFormat/>
    <w:uiPriority w:val="0"/>
  </w:style>
  <w:style w:type="character" w:customStyle="1" w:styleId="289">
    <w:name w:val="墨墨 Char"/>
    <w:link w:val="290"/>
    <w:qFormat/>
    <w:uiPriority w:val="0"/>
    <w:rPr>
      <w:rFonts w:eastAsia="黑体"/>
      <w:sz w:val="32"/>
      <w:szCs w:val="24"/>
    </w:rPr>
  </w:style>
  <w:style w:type="paragraph" w:customStyle="1" w:styleId="290">
    <w:name w:val="墨墨"/>
    <w:basedOn w:val="1"/>
    <w:link w:val="289"/>
    <w:qFormat/>
    <w:uiPriority w:val="0"/>
    <w:pPr>
      <w:jc w:val="center"/>
    </w:pPr>
    <w:rPr>
      <w:rFonts w:eastAsia="黑体"/>
      <w:sz w:val="32"/>
      <w:szCs w:val="24"/>
    </w:rPr>
  </w:style>
  <w:style w:type="character" w:customStyle="1" w:styleId="291">
    <w:name w:val=" Char Char23"/>
    <w:link w:val="1"/>
    <w:qFormat/>
    <w:uiPriority w:val="0"/>
    <w:rPr>
      <w:rFonts w:ascii="Arial" w:hAnsi="Arial" w:eastAsia="黑体"/>
      <w:b/>
      <w:bCs/>
      <w:sz w:val="24"/>
      <w:szCs w:val="24"/>
    </w:rPr>
  </w:style>
  <w:style w:type="character" w:customStyle="1" w:styleId="292">
    <w:name w:val="标准小四 Char Char"/>
    <w:link w:val="1"/>
    <w:qFormat/>
    <w:uiPriority w:val="0"/>
    <w:rPr>
      <w:rFonts w:ascii="Arial" w:hAnsi="Arial" w:eastAsia="宋体"/>
      <w:sz w:val="24"/>
      <w:szCs w:val="21"/>
      <w:lang w:val="en-US" w:eastAsia="zh-CN" w:bidi="ar-SA"/>
    </w:rPr>
  </w:style>
  <w:style w:type="character" w:customStyle="1" w:styleId="293">
    <w:name w:val="apple-converted-space"/>
    <w:link w:val="1"/>
    <w:qFormat/>
    <w:uiPriority w:val="0"/>
  </w:style>
  <w:style w:type="character" w:customStyle="1" w:styleId="294">
    <w:name w:val="fontstyle21"/>
    <w:link w:val="1"/>
    <w:qFormat/>
    <w:uiPriority w:val="0"/>
    <w:rPr>
      <w:rFonts w:ascii="TimesNewRomanPSMT" w:hAnsi="TimesNewRomanPSMT"/>
      <w:color w:val="000000"/>
      <w:sz w:val="22"/>
      <w:szCs w:val="22"/>
    </w:rPr>
  </w:style>
  <w:style w:type="character" w:customStyle="1" w:styleId="295">
    <w:name w:val="标题 3 Char Char"/>
    <w:link w:val="1"/>
    <w:qFormat/>
    <w:uiPriority w:val="0"/>
    <w:rPr>
      <w:rFonts w:eastAsia="仿宋_GB2312"/>
      <w:b/>
      <w:bCs/>
      <w:sz w:val="28"/>
      <w:szCs w:val="32"/>
      <w:lang w:val="en-US" w:eastAsia="zh-CN" w:bidi="ar-SA"/>
    </w:rPr>
  </w:style>
  <w:style w:type="character" w:customStyle="1" w:styleId="296">
    <w:name w:val="不明显强调"/>
    <w:link w:val="1"/>
    <w:qFormat/>
    <w:uiPriority w:val="0"/>
    <w:rPr>
      <w:i/>
      <w:iCs/>
    </w:rPr>
  </w:style>
  <w:style w:type="character" w:customStyle="1" w:styleId="297">
    <w:name w:val="正文 + 宋体 Char"/>
    <w:link w:val="1"/>
    <w:qFormat/>
    <w:uiPriority w:val="0"/>
    <w:rPr>
      <w:rFonts w:eastAsia="宋体"/>
      <w:sz w:val="21"/>
      <w:szCs w:val="24"/>
      <w:lang w:val="en-US" w:eastAsia="zh-CN" w:bidi="ar-SA"/>
    </w:rPr>
  </w:style>
  <w:style w:type="character" w:customStyle="1" w:styleId="298">
    <w:name w:val="已访问的超链接1"/>
    <w:link w:val="1"/>
    <w:qFormat/>
    <w:uiPriority w:val="0"/>
    <w:rPr>
      <w:color w:val="000000"/>
      <w:u w:val="none"/>
    </w:rPr>
  </w:style>
  <w:style w:type="character" w:customStyle="1" w:styleId="299">
    <w:name w:val="标准文本 Char Char"/>
    <w:link w:val="1"/>
    <w:qFormat/>
    <w:uiPriority w:val="0"/>
    <w:rPr>
      <w:rFonts w:eastAsia="宋体" w:cs="宋体"/>
      <w:sz w:val="24"/>
      <w:szCs w:val="24"/>
      <w:lang w:val="en-US" w:eastAsia="zh-CN" w:bidi="ar-SA"/>
    </w:rPr>
  </w:style>
  <w:style w:type="character" w:customStyle="1" w:styleId="300">
    <w:name w:val="纯文本 Char Char Char1"/>
    <w:link w:val="1"/>
    <w:qFormat/>
    <w:uiPriority w:val="0"/>
    <w:rPr>
      <w:rFonts w:ascii="宋体" w:hAnsi="Courier New" w:eastAsia="宋体"/>
      <w:sz w:val="21"/>
      <w:szCs w:val="21"/>
      <w:lang w:val="en-US" w:eastAsia="zh-CN" w:bidi="ar-SA"/>
    </w:rPr>
  </w:style>
  <w:style w:type="character" w:customStyle="1" w:styleId="301">
    <w:name w:val="style131"/>
    <w:link w:val="1"/>
    <w:qFormat/>
    <w:uiPriority w:val="0"/>
    <w:rPr>
      <w:rFonts w:cs="Times New Roman"/>
      <w:sz w:val="18"/>
      <w:szCs w:val="18"/>
    </w:rPr>
  </w:style>
  <w:style w:type="character" w:customStyle="1" w:styleId="302">
    <w:name w:val="小四 段落 宋体 Char Char Char Char1"/>
    <w:link w:val="1"/>
    <w:qFormat/>
    <w:uiPriority w:val="0"/>
    <w:rPr>
      <w:rFonts w:eastAsia="宋体"/>
      <w:sz w:val="24"/>
      <w:szCs w:val="24"/>
      <w:lang w:val="en-US" w:eastAsia="zh-CN" w:bidi="ar-SA"/>
    </w:rPr>
  </w:style>
  <w:style w:type="character" w:customStyle="1" w:styleId="303">
    <w:name w:val=" Char Char29"/>
    <w:link w:val="1"/>
    <w:qFormat/>
    <w:uiPriority w:val="0"/>
    <w:rPr>
      <w:rFonts w:ascii="Times New Roman" w:hAnsi="Times New Roman" w:eastAsia="宋体" w:cs="Times New Roman"/>
      <w:b/>
      <w:bCs/>
      <w:sz w:val="44"/>
      <w:szCs w:val="44"/>
    </w:rPr>
  </w:style>
  <w:style w:type="character" w:customStyle="1" w:styleId="304">
    <w:name w:val="小四 段落 宋体 Char Char Char Char Char Char"/>
    <w:link w:val="1"/>
    <w:qFormat/>
    <w:uiPriority w:val="0"/>
    <w:rPr>
      <w:rFonts w:eastAsia="宋体"/>
      <w:sz w:val="24"/>
      <w:szCs w:val="24"/>
      <w:lang w:val="en-US" w:eastAsia="zh-CN" w:bidi="ar-SA"/>
    </w:rPr>
  </w:style>
  <w:style w:type="character" w:customStyle="1" w:styleId="305">
    <w:name w:val="无间隔 Char"/>
    <w:link w:val="306"/>
    <w:qFormat/>
    <w:uiPriority w:val="0"/>
    <w:rPr>
      <w:rFonts w:ascii="Calibri" w:hAnsi="Calibri" w:eastAsia="微软雅黑"/>
      <w:sz w:val="24"/>
      <w:szCs w:val="22"/>
      <w:lang w:val="en-US" w:eastAsia="zh-CN" w:bidi="ar-SA"/>
    </w:rPr>
  </w:style>
  <w:style w:type="paragraph" w:customStyle="1" w:styleId="306">
    <w:name w:val="无间隔"/>
    <w:link w:val="305"/>
    <w:qFormat/>
    <w:uiPriority w:val="0"/>
    <w:pPr>
      <w:widowControl w:val="0"/>
      <w:jc w:val="both"/>
    </w:pPr>
    <w:rPr>
      <w:rFonts w:hint="default" w:ascii="Calibri" w:hAnsi="Calibri" w:eastAsia="微软雅黑" w:cs="Times New Roman"/>
      <w:sz w:val="24"/>
      <w:szCs w:val="22"/>
      <w:lang w:val="en-US" w:eastAsia="zh-CN" w:bidi="ar-SA"/>
    </w:rPr>
  </w:style>
  <w:style w:type="character" w:customStyle="1" w:styleId="307">
    <w:name w:val="表格抬头 Char"/>
    <w:link w:val="308"/>
    <w:qFormat/>
    <w:uiPriority w:val="0"/>
    <w:rPr>
      <w:rFonts w:ascii="黑体" w:eastAsia="黑体"/>
      <w:b/>
      <w:sz w:val="21"/>
      <w:lang w:bidi="ar-SA"/>
    </w:rPr>
  </w:style>
  <w:style w:type="paragraph" w:customStyle="1" w:styleId="308">
    <w:name w:val="表格抬头"/>
    <w:basedOn w:val="1"/>
    <w:link w:val="307"/>
    <w:qFormat/>
    <w:uiPriority w:val="0"/>
    <w:pPr>
      <w:jc w:val="center"/>
    </w:pPr>
    <w:rPr>
      <w:rFonts w:ascii="黑体" w:eastAsia="黑体"/>
      <w:b/>
    </w:rPr>
  </w:style>
  <w:style w:type="character" w:customStyle="1" w:styleId="309">
    <w:name w:val="t1"/>
    <w:link w:val="1"/>
    <w:qFormat/>
    <w:uiPriority w:val="0"/>
  </w:style>
  <w:style w:type="character" w:customStyle="1" w:styleId="310">
    <w:name w:val="明显强调"/>
    <w:link w:val="1"/>
    <w:qFormat/>
    <w:uiPriority w:val="0"/>
    <w:rPr>
      <w:b/>
      <w:bCs/>
    </w:rPr>
  </w:style>
  <w:style w:type="character" w:customStyle="1" w:styleId="311">
    <w:name w:val="case31"/>
    <w:link w:val="1"/>
    <w:qFormat/>
    <w:uiPriority w:val="0"/>
    <w:rPr>
      <w:sz w:val="21"/>
      <w:szCs w:val="21"/>
    </w:rPr>
  </w:style>
  <w:style w:type="character" w:customStyle="1" w:styleId="312">
    <w:name w:val=" Char Char20"/>
    <w:link w:val="1"/>
    <w:qFormat/>
    <w:uiPriority w:val="0"/>
    <w:rPr>
      <w:rFonts w:ascii="Arial" w:hAnsi="Arial" w:eastAsia="黑体"/>
      <w:sz w:val="21"/>
      <w:szCs w:val="21"/>
    </w:rPr>
  </w:style>
  <w:style w:type="character" w:customStyle="1" w:styleId="313">
    <w:name w:val=" Char Char21"/>
    <w:link w:val="1"/>
    <w:qFormat/>
    <w:uiPriority w:val="0"/>
    <w:rPr>
      <w:rFonts w:ascii="Arial" w:hAnsi="Arial" w:eastAsia="黑体"/>
      <w:sz w:val="24"/>
      <w:szCs w:val="24"/>
    </w:rPr>
  </w:style>
  <w:style w:type="character" w:customStyle="1" w:styleId="314">
    <w:name w:val="样式 非加粗"/>
    <w:link w:val="1"/>
    <w:qFormat/>
    <w:uiPriority w:val="0"/>
    <w:rPr>
      <w:rFonts w:eastAsia="宋体"/>
      <w:sz w:val="28"/>
    </w:rPr>
  </w:style>
  <w:style w:type="character" w:customStyle="1" w:styleId="315">
    <w:name w:val="concon"/>
    <w:link w:val="1"/>
    <w:qFormat/>
    <w:uiPriority w:val="0"/>
  </w:style>
  <w:style w:type="character" w:customStyle="1" w:styleId="316">
    <w:name w:val="标准小四 Char"/>
    <w:link w:val="1"/>
    <w:qFormat/>
    <w:uiPriority w:val="0"/>
    <w:rPr>
      <w:rFonts w:ascii="Arial" w:hAnsi="Arial" w:eastAsia="宋体"/>
      <w:sz w:val="24"/>
      <w:szCs w:val="21"/>
      <w:lang w:val="en-US" w:eastAsia="zh-CN" w:bidi="ar-SA"/>
    </w:rPr>
  </w:style>
  <w:style w:type="character" w:customStyle="1" w:styleId="317">
    <w:name w:val="明显引用 Char"/>
    <w:link w:val="318"/>
    <w:qFormat/>
    <w:uiPriority w:val="0"/>
    <w:rPr>
      <w:rFonts w:ascii="Calibri" w:hAnsi="Calibri" w:eastAsia="宋体"/>
      <w:b/>
      <w:bCs/>
      <w:i/>
      <w:iCs/>
      <w:sz w:val="22"/>
      <w:szCs w:val="22"/>
      <w:lang w:val="en-US" w:eastAsia="en-US" w:bidi="en-US"/>
    </w:rPr>
  </w:style>
  <w:style w:type="paragraph" w:customStyle="1" w:styleId="318">
    <w:name w:val="明显引用"/>
    <w:basedOn w:val="1"/>
    <w:next w:val="1"/>
    <w:link w:val="317"/>
    <w:qFormat/>
    <w:uiPriority w:val="0"/>
    <w:pPr>
      <w:widowControl/>
      <w:pBdr>
        <w:bottom w:val="single" w:color="000000" w:sz="4" w:space="1"/>
      </w:pBdr>
      <w:spacing w:before="200" w:after="280" w:line="276" w:lineRule="auto"/>
      <w:ind w:left="1008" w:right="1152"/>
    </w:pPr>
    <w:rPr>
      <w:rFonts w:ascii="Calibri" w:hAnsi="Calibri"/>
      <w:b/>
      <w:bCs/>
      <w:i/>
      <w:iCs/>
      <w:sz w:val="22"/>
      <w:szCs w:val="22"/>
      <w:lang w:eastAsia="en-US" w:bidi="en-US"/>
    </w:rPr>
  </w:style>
  <w:style w:type="character" w:customStyle="1" w:styleId="319">
    <w:name w:val="textcontents"/>
    <w:link w:val="1"/>
    <w:qFormat/>
    <w:uiPriority w:val="0"/>
  </w:style>
  <w:style w:type="character" w:customStyle="1" w:styleId="320">
    <w:name w:val="point_normal1"/>
    <w:link w:val="1"/>
    <w:qFormat/>
    <w:uiPriority w:val="0"/>
    <w:rPr>
      <w:rFonts w:ascii="Arial" w:hAnsi="Arial" w:cs="Arial"/>
      <w:sz w:val="18"/>
      <w:szCs w:val="18"/>
    </w:rPr>
  </w:style>
  <w:style w:type="character" w:customStyle="1" w:styleId="321">
    <w:name w:val="content"/>
    <w:link w:val="1"/>
    <w:qFormat/>
    <w:uiPriority w:val="0"/>
  </w:style>
  <w:style w:type="character" w:customStyle="1" w:styleId="322">
    <w:name w:val="样式 首行缩进:  2 字符 Char"/>
    <w:link w:val="1"/>
    <w:qFormat/>
    <w:uiPriority w:val="0"/>
    <w:rPr>
      <w:rFonts w:eastAsia="宋体" w:cs="宋体"/>
      <w:sz w:val="24"/>
      <w:lang w:val="en-US" w:eastAsia="zh-CN" w:bidi="ar-SA"/>
    </w:rPr>
  </w:style>
  <w:style w:type="character" w:customStyle="1" w:styleId="323">
    <w:name w:val="h Char Char"/>
    <w:link w:val="1"/>
    <w:qFormat/>
    <w:uiPriority w:val="0"/>
    <w:rPr>
      <w:rFonts w:eastAsia="宋体"/>
      <w:sz w:val="18"/>
      <w:szCs w:val="18"/>
      <w:lang w:val="en-US" w:eastAsia="zh-CN" w:bidi="ar-SA"/>
    </w:rPr>
  </w:style>
  <w:style w:type="character" w:customStyle="1" w:styleId="324">
    <w:name w:val="纯文本 Char Char Char"/>
    <w:link w:val="1"/>
    <w:qFormat/>
    <w:uiPriority w:val="0"/>
    <w:rPr>
      <w:rFonts w:ascii="宋体" w:hAnsi="Courier New" w:eastAsia="宋体"/>
      <w:sz w:val="21"/>
      <w:szCs w:val="21"/>
      <w:lang w:val="en-US" w:eastAsia="zh-CN" w:bidi="ar-SA"/>
    </w:rPr>
  </w:style>
  <w:style w:type="character" w:customStyle="1" w:styleId="325">
    <w:name w:val="3zw"/>
    <w:link w:val="1"/>
    <w:qFormat/>
    <w:uiPriority w:val="0"/>
  </w:style>
  <w:style w:type="character" w:customStyle="1" w:styleId="326">
    <w:name w:val="华宇段落1 Char Char"/>
    <w:link w:val="1"/>
    <w:qFormat/>
    <w:uiPriority w:val="0"/>
    <w:rPr>
      <w:rFonts w:eastAsia="宋体"/>
      <w:bCs/>
      <w:sz w:val="24"/>
      <w:szCs w:val="24"/>
      <w:lang w:val="en-US" w:eastAsia="zh-CN" w:bidi="ar-SA"/>
    </w:rPr>
  </w:style>
  <w:style w:type="character" w:customStyle="1" w:styleId="327">
    <w:name w:val=" Char Char2"/>
    <w:link w:val="1"/>
    <w:qFormat/>
    <w:uiPriority w:val="0"/>
    <w:rPr>
      <w:rFonts w:ascii="宋体" w:hAnsi="Courier New" w:eastAsia="宋体"/>
      <w:sz w:val="21"/>
      <w:szCs w:val="21"/>
      <w:lang w:val="en-US" w:eastAsia="zh-CN" w:bidi="ar-SA"/>
    </w:rPr>
  </w:style>
  <w:style w:type="character" w:customStyle="1" w:styleId="328">
    <w:name w:val="样式 宋体 小四"/>
    <w:link w:val="1"/>
    <w:qFormat/>
    <w:uiPriority w:val="0"/>
    <w:rPr>
      <w:rFonts w:ascii="宋体" w:hAnsi="宋体"/>
      <w:sz w:val="24"/>
    </w:rPr>
  </w:style>
  <w:style w:type="character" w:customStyle="1" w:styleId="329">
    <w:name w:val=" Char Char22"/>
    <w:link w:val="1"/>
    <w:qFormat/>
    <w:uiPriority w:val="0"/>
    <w:rPr>
      <w:b/>
      <w:bCs/>
      <w:sz w:val="24"/>
      <w:szCs w:val="24"/>
    </w:rPr>
  </w:style>
  <w:style w:type="character" w:customStyle="1" w:styleId="330">
    <w:name w:val="Title1 Char"/>
    <w:link w:val="1"/>
    <w:qFormat/>
    <w:uiPriority w:val="0"/>
    <w:rPr>
      <w:rFonts w:eastAsia="宋体"/>
      <w:b/>
      <w:bCs/>
      <w:sz w:val="44"/>
      <w:szCs w:val="44"/>
      <w:lang w:val="en-US" w:eastAsia="zh-CN" w:bidi="ar-SA"/>
    </w:rPr>
  </w:style>
  <w:style w:type="character" w:customStyle="1" w:styleId="331">
    <w:name w:val="111111 Char"/>
    <w:link w:val="332"/>
    <w:qFormat/>
    <w:uiPriority w:val="0"/>
    <w:rPr>
      <w:rFonts w:ascii="宋体" w:hAnsi="宋体" w:eastAsia="黑体" w:cs="宋体"/>
      <w:b/>
      <w:bCs/>
      <w:sz w:val="21"/>
      <w:szCs w:val="21"/>
      <w:lang w:val="en-US" w:eastAsia="zh-CN" w:bidi="ar-SA"/>
    </w:rPr>
  </w:style>
  <w:style w:type="paragraph" w:customStyle="1" w:styleId="332">
    <w:name w:val="111111"/>
    <w:basedOn w:val="1"/>
    <w:link w:val="331"/>
    <w:qFormat/>
    <w:uiPriority w:val="0"/>
    <w:pPr>
      <w:spacing w:before="120" w:after="120"/>
      <w:jc w:val="center"/>
    </w:pPr>
    <w:rPr>
      <w:rFonts w:ascii="宋体" w:hAnsi="宋体" w:eastAsia="黑体" w:cs="宋体"/>
      <w:b/>
      <w:bCs/>
      <w:szCs w:val="21"/>
    </w:rPr>
  </w:style>
  <w:style w:type="character" w:customStyle="1" w:styleId="333">
    <w:name w:val=" Char Char27"/>
    <w:link w:val="1"/>
    <w:qFormat/>
    <w:uiPriority w:val="0"/>
    <w:rPr>
      <w:b/>
      <w:bCs/>
      <w:sz w:val="44"/>
      <w:szCs w:val="44"/>
    </w:rPr>
  </w:style>
  <w:style w:type="character" w:customStyle="1" w:styleId="334">
    <w:name w:val="A2"/>
    <w:link w:val="1"/>
    <w:qFormat/>
    <w:uiPriority w:val="0"/>
    <w:rPr>
      <w:rFonts w:cs="Helvetica"/>
      <w:color w:val="000000"/>
      <w:sz w:val="18"/>
      <w:szCs w:val="18"/>
    </w:rPr>
  </w:style>
  <w:style w:type="character" w:customStyle="1" w:styleId="335">
    <w:name w:val="纯文本 Char Char"/>
    <w:link w:val="1"/>
    <w:qFormat/>
    <w:uiPriority w:val="0"/>
    <w:rPr>
      <w:rFonts w:ascii="宋体" w:hAnsi="Courier New" w:eastAsia="宋体"/>
      <w:sz w:val="21"/>
      <w:szCs w:val="21"/>
      <w:lang w:val="en-US" w:eastAsia="zh-CN" w:bidi="ar-SA"/>
    </w:rPr>
  </w:style>
  <w:style w:type="character" w:customStyle="1" w:styleId="336">
    <w:name w:val="param-value"/>
    <w:link w:val="1"/>
    <w:qFormat/>
    <w:uiPriority w:val="0"/>
  </w:style>
  <w:style w:type="character" w:customStyle="1" w:styleId="337">
    <w:name w:val="Blockquote Char"/>
    <w:link w:val="338"/>
    <w:qFormat/>
    <w:uiPriority w:val="0"/>
    <w:rPr>
      <w:sz w:val="24"/>
    </w:rPr>
  </w:style>
  <w:style w:type="paragraph" w:customStyle="1" w:styleId="338">
    <w:name w:val="Blockquote"/>
    <w:basedOn w:val="1"/>
    <w:link w:val="337"/>
    <w:qFormat/>
    <w:uiPriority w:val="0"/>
    <w:pPr>
      <w:spacing w:before="100" w:after="100"/>
      <w:ind w:left="360" w:right="360"/>
      <w:jc w:val="left"/>
    </w:pPr>
    <w:rPr>
      <w:sz w:val="24"/>
    </w:rPr>
  </w:style>
  <w:style w:type="character" w:customStyle="1" w:styleId="339">
    <w:name w:val="标题 Char1"/>
    <w:link w:val="1"/>
    <w:qFormat/>
    <w:uiPriority w:val="0"/>
    <w:rPr>
      <w:rFonts w:ascii="Cambria" w:eastAsia="宋体" w:cs="Times New Roman"/>
      <w:b/>
      <w:bCs/>
      <w:sz w:val="32"/>
      <w:szCs w:val="32"/>
    </w:rPr>
  </w:style>
  <w:style w:type="character" w:customStyle="1" w:styleId="340">
    <w:name w:val="普通文字1 Char"/>
    <w:link w:val="1"/>
    <w:qFormat/>
    <w:uiPriority w:val="0"/>
    <w:rPr>
      <w:rFonts w:ascii="宋体" w:eastAsia="宋体"/>
      <w:sz w:val="21"/>
      <w:szCs w:val="21"/>
      <w:lang w:val="en-US" w:eastAsia="zh-CN" w:bidi="ar-SA"/>
    </w:rPr>
  </w:style>
  <w:style w:type="character" w:customStyle="1" w:styleId="341">
    <w:name w:val="样式 首行缩进:  2 字符 Char Char"/>
    <w:link w:val="342"/>
    <w:qFormat/>
    <w:uiPriority w:val="0"/>
    <w:rPr>
      <w:rFonts w:eastAsia="宋体" w:cs="宋体"/>
      <w:sz w:val="24"/>
      <w:lang w:val="en-US" w:eastAsia="zh-CN" w:bidi="ar-SA"/>
    </w:rPr>
  </w:style>
  <w:style w:type="paragraph" w:customStyle="1" w:styleId="342">
    <w:name w:val="样式 首行缩进:  2 字符"/>
    <w:basedOn w:val="1"/>
    <w:link w:val="341"/>
    <w:qFormat/>
    <w:uiPriority w:val="0"/>
    <w:pPr>
      <w:spacing w:line="360" w:lineRule="auto"/>
      <w:ind w:firstLine="480"/>
    </w:pPr>
    <w:rPr>
      <w:rFonts w:cs="宋体"/>
      <w:sz w:val="24"/>
    </w:rPr>
  </w:style>
  <w:style w:type="character" w:customStyle="1" w:styleId="343">
    <w:name w:val="小四 段落 宋体 Char Char Char Char Char Char Char Char"/>
    <w:link w:val="1"/>
    <w:qFormat/>
    <w:uiPriority w:val="0"/>
    <w:rPr>
      <w:rFonts w:eastAsia="宋体"/>
      <w:sz w:val="24"/>
      <w:szCs w:val="24"/>
      <w:lang w:val="en-US" w:eastAsia="zh-CN" w:bidi="ar-SA"/>
    </w:rPr>
  </w:style>
  <w:style w:type="character" w:customStyle="1" w:styleId="344">
    <w:name w:val="style13"/>
    <w:link w:val="1"/>
    <w:qFormat/>
    <w:uiPriority w:val="0"/>
    <w:rPr>
      <w:sz w:val="18"/>
      <w:szCs w:val="18"/>
    </w:rPr>
  </w:style>
  <w:style w:type="character" w:customStyle="1" w:styleId="345">
    <w:name w:val="明显参考"/>
    <w:link w:val="1"/>
    <w:qFormat/>
    <w:uiPriority w:val="0"/>
    <w:rPr>
      <w:smallCaps/>
      <w:spacing w:val="5"/>
      <w:u w:val="single"/>
    </w:rPr>
  </w:style>
  <w:style w:type="character" w:customStyle="1" w:styleId="346">
    <w:name w:val="小四 段落 宋体 Char1"/>
    <w:link w:val="1"/>
    <w:qFormat/>
    <w:uiPriority w:val="0"/>
    <w:rPr>
      <w:rFonts w:eastAsia="宋体"/>
      <w:sz w:val="24"/>
      <w:szCs w:val="24"/>
      <w:lang w:val="en-US" w:eastAsia="zh-CN" w:bidi="ar-SA"/>
    </w:rPr>
  </w:style>
  <w:style w:type="character" w:customStyle="1" w:styleId="347">
    <w:name w:val=" Char Char25"/>
    <w:link w:val="1"/>
    <w:qFormat/>
    <w:uiPriority w:val="0"/>
    <w:rPr>
      <w:rFonts w:ascii="Arial" w:hAnsi="Arial" w:eastAsia="黑体"/>
      <w:b/>
      <w:sz w:val="28"/>
    </w:rPr>
  </w:style>
  <w:style w:type="character" w:customStyle="1" w:styleId="348">
    <w:name w:val="title_emph1"/>
    <w:link w:val="1"/>
    <w:qFormat/>
    <w:uiPriority w:val="0"/>
    <w:rPr>
      <w:rFonts w:ascii="Arial" w:cs="Arial"/>
      <w:b/>
      <w:bCs/>
      <w:sz w:val="18"/>
      <w:szCs w:val="18"/>
    </w:rPr>
  </w:style>
  <w:style w:type="character" w:customStyle="1" w:styleId="349">
    <w:name w:val="不明显参考"/>
    <w:link w:val="1"/>
    <w:qFormat/>
    <w:uiPriority w:val="0"/>
    <w:rPr>
      <w:smallCaps/>
    </w:rPr>
  </w:style>
  <w:style w:type="character" w:customStyle="1" w:styleId="350">
    <w:name w:val="特点 Char1"/>
    <w:link w:val="1"/>
    <w:qFormat/>
    <w:uiPriority w:val="0"/>
    <w:rPr>
      <w:rFonts w:eastAsia="宋体"/>
      <w:sz w:val="21"/>
      <w:lang w:val="en-US" w:eastAsia="zh-CN" w:bidi="ar-SA"/>
    </w:rPr>
  </w:style>
  <w:style w:type="character" w:customStyle="1" w:styleId="351">
    <w:name w:val="2nd level Char"/>
    <w:link w:val="1"/>
    <w:qFormat/>
    <w:uiPriority w:val="0"/>
    <w:rPr>
      <w:rFonts w:ascii="Arial" w:hAnsi="Arial" w:eastAsia="黑体"/>
      <w:b/>
      <w:bCs/>
      <w:sz w:val="32"/>
      <w:szCs w:val="32"/>
      <w:lang w:val="en-US" w:eastAsia="zh-CN" w:bidi="ar-SA"/>
    </w:rPr>
  </w:style>
  <w:style w:type="character" w:customStyle="1" w:styleId="352">
    <w:name w:val="ih151"/>
    <w:link w:val="1"/>
    <w:qFormat/>
    <w:uiPriority w:val="0"/>
    <w:rPr>
      <w:color w:val="666666"/>
      <w:sz w:val="18"/>
      <w:szCs w:val="18"/>
      <w:u w:val="none"/>
    </w:rPr>
  </w:style>
  <w:style w:type="character" w:customStyle="1" w:styleId="353">
    <w:name w:val="Plain Text Char Char"/>
    <w:link w:val="19"/>
    <w:qFormat/>
    <w:uiPriority w:val="0"/>
    <w:rPr>
      <w:rFonts w:ascii="宋体" w:hAnsi="Courier New" w:eastAsia="楷体_GB2312"/>
      <w:sz w:val="26"/>
    </w:rPr>
  </w:style>
  <w:style w:type="character" w:customStyle="1" w:styleId="354">
    <w:name w:val=" Char Char26"/>
    <w:link w:val="1"/>
    <w:qFormat/>
    <w:uiPriority w:val="0"/>
    <w:rPr>
      <w:b/>
      <w:bCs/>
      <w:sz w:val="32"/>
      <w:szCs w:val="32"/>
    </w:rPr>
  </w:style>
  <w:style w:type="character" w:customStyle="1" w:styleId="355">
    <w:name w:val="小四 段落 宋体 Char Char Char Char Char"/>
    <w:link w:val="1"/>
    <w:qFormat/>
    <w:uiPriority w:val="0"/>
    <w:rPr>
      <w:rFonts w:eastAsia="宋体"/>
      <w:sz w:val="24"/>
      <w:szCs w:val="24"/>
      <w:lang w:val="en-US" w:eastAsia="zh-CN" w:bidi="ar-SA"/>
    </w:rPr>
  </w:style>
  <w:style w:type="character" w:customStyle="1" w:styleId="356">
    <w:name w:val="subtitle1"/>
    <w:link w:val="1"/>
    <w:qFormat/>
    <w:uiPriority w:val="0"/>
    <w:rPr>
      <w:rFonts w:ascii="Georgia" w:hAnsi="Georgia"/>
      <w:b/>
      <w:bCs/>
      <w:color w:val="666666"/>
      <w:sz w:val="18"/>
      <w:szCs w:val="18"/>
    </w:rPr>
  </w:style>
  <w:style w:type="character" w:customStyle="1" w:styleId="357">
    <w:name w:val="书籍标题"/>
    <w:link w:val="1"/>
    <w:qFormat/>
    <w:uiPriority w:val="0"/>
    <w:rPr>
      <w:i/>
      <w:iCs/>
      <w:smallCaps/>
      <w:spacing w:val="5"/>
    </w:rPr>
  </w:style>
  <w:style w:type="character" w:customStyle="1" w:styleId="358">
    <w:name w:val="新图表正文 Char Char"/>
    <w:link w:val="359"/>
    <w:qFormat/>
    <w:uiPriority w:val="0"/>
    <w:rPr>
      <w:rFonts w:ascii="宋体" w:hAnsi="宋体"/>
      <w:sz w:val="18"/>
      <w:szCs w:val="21"/>
      <w:lang w:val="en-US" w:eastAsia="zh-CN" w:bidi="ar-SA"/>
    </w:rPr>
  </w:style>
  <w:style w:type="paragraph" w:customStyle="1" w:styleId="359">
    <w:name w:val="新图表正文"/>
    <w:link w:val="358"/>
    <w:qFormat/>
    <w:uiPriority w:val="0"/>
    <w:pPr>
      <w:jc w:val="both"/>
    </w:pPr>
    <w:rPr>
      <w:rFonts w:hint="default" w:ascii="宋体" w:hAnsi="宋体" w:eastAsia="宋体" w:cs="Times New Roman"/>
      <w:sz w:val="18"/>
      <w:szCs w:val="21"/>
      <w:lang w:val="en-US" w:eastAsia="zh-CN" w:bidi="ar-SA"/>
    </w:rPr>
  </w:style>
  <w:style w:type="character" w:customStyle="1" w:styleId="360">
    <w:name w:val="listbenefit"/>
    <w:link w:val="1"/>
    <w:qFormat/>
    <w:uiPriority w:val="0"/>
  </w:style>
  <w:style w:type="character" w:customStyle="1" w:styleId="361">
    <w:name w:val="小四 段落 宋体 Char Char Char1"/>
    <w:link w:val="1"/>
    <w:qFormat/>
    <w:uiPriority w:val="0"/>
    <w:rPr>
      <w:rFonts w:ascii="宋体" w:hAnsi="宋体" w:eastAsia="宋体"/>
      <w:sz w:val="24"/>
      <w:szCs w:val="24"/>
      <w:lang w:val="en-US" w:eastAsia="zh-CN" w:bidi="ar-SA"/>
    </w:rPr>
  </w:style>
  <w:style w:type="character" w:customStyle="1" w:styleId="362">
    <w:name w:val=" Char Char24"/>
    <w:link w:val="1"/>
    <w:qFormat/>
    <w:uiPriority w:val="0"/>
    <w:rPr>
      <w:b/>
      <w:bCs/>
      <w:sz w:val="28"/>
      <w:szCs w:val="28"/>
    </w:rPr>
  </w:style>
  <w:style w:type="character" w:customStyle="1" w:styleId="363">
    <w:name w:val=" Char Char17"/>
    <w:link w:val="1"/>
    <w:qFormat/>
    <w:uiPriority w:val="0"/>
    <w:rPr>
      <w:rFonts w:ascii="宋体" w:hAnsi="Courier New"/>
      <w:sz w:val="21"/>
      <w:szCs w:val="21"/>
    </w:rPr>
  </w:style>
  <w:style w:type="character" w:customStyle="1" w:styleId="364">
    <w:name w:val="引用 Char"/>
    <w:link w:val="365"/>
    <w:qFormat/>
    <w:uiPriority w:val="0"/>
    <w:rPr>
      <w:rFonts w:ascii="Calibri" w:hAnsi="Calibri" w:eastAsia="宋体"/>
      <w:i/>
      <w:iCs/>
      <w:sz w:val="22"/>
      <w:szCs w:val="22"/>
      <w:lang w:val="en-US" w:eastAsia="en-US" w:bidi="en-US"/>
    </w:rPr>
  </w:style>
  <w:style w:type="paragraph" w:customStyle="1" w:styleId="365">
    <w:name w:val="引用"/>
    <w:basedOn w:val="1"/>
    <w:next w:val="1"/>
    <w:link w:val="364"/>
    <w:qFormat/>
    <w:uiPriority w:val="0"/>
    <w:pPr>
      <w:widowControl/>
      <w:spacing w:before="200" w:line="276" w:lineRule="auto"/>
      <w:ind w:left="360" w:right="360"/>
      <w:jc w:val="left"/>
    </w:pPr>
    <w:rPr>
      <w:rFonts w:ascii="Calibri" w:hAnsi="Calibri"/>
      <w:i/>
      <w:iCs/>
      <w:sz w:val="22"/>
      <w:szCs w:val="22"/>
      <w:lang w:eastAsia="en-US" w:bidi="en-US"/>
    </w:rPr>
  </w:style>
  <w:style w:type="character" w:customStyle="1" w:styleId="366">
    <w:name w:val="标题 3 Char"/>
    <w:link w:val="1"/>
    <w:qFormat/>
    <w:uiPriority w:val="0"/>
    <w:rPr>
      <w:rFonts w:ascii="宋体" w:hAnsi="宋体" w:eastAsia="宋体"/>
      <w:b/>
      <w:bCs/>
      <w:sz w:val="24"/>
      <w:szCs w:val="32"/>
      <w:lang w:val="en-US" w:eastAsia="zh-CN" w:bidi="ar-SA"/>
    </w:rPr>
  </w:style>
  <w:style w:type="paragraph" w:customStyle="1" w:styleId="367">
    <w:name w:val=" Char Char Char Char Char Char Char Char"/>
    <w:basedOn w:val="1"/>
    <w:qFormat/>
    <w:uiPriority w:val="0"/>
    <w:rPr>
      <w:rFonts w:ascii="Tahoma" w:hAnsi="Tahoma"/>
      <w:sz w:val="24"/>
    </w:rPr>
  </w:style>
  <w:style w:type="paragraph" w:customStyle="1" w:styleId="368">
    <w:name w:val="丁华正文"/>
    <w:basedOn w:val="250"/>
    <w:qFormat/>
    <w:uiPriority w:val="0"/>
    <w:pPr>
      <w:spacing w:line="360" w:lineRule="auto"/>
      <w:ind w:left="0" w:firstLine="510"/>
    </w:pPr>
    <w:rPr>
      <w:rFonts w:ascii="Times New Roman" w:hAnsi="Times New Roman" w:eastAsia="宋体"/>
      <w:color w:val="000000"/>
      <w:sz w:val="24"/>
      <w:szCs w:val="16"/>
    </w:rPr>
  </w:style>
  <w:style w:type="paragraph" w:customStyle="1" w:styleId="369">
    <w:name w:val=" Char1"/>
    <w:basedOn w:val="1"/>
    <w:qFormat/>
    <w:uiPriority w:val="0"/>
    <w:pPr>
      <w:widowControl/>
      <w:spacing w:after="160" w:line="240" w:lineRule="exact"/>
      <w:jc w:val="left"/>
    </w:pPr>
    <w:rPr>
      <w:rFonts w:ascii="Verdana" w:hAnsi="Verdana" w:eastAsia="仿宋_GB2312"/>
      <w:sz w:val="24"/>
      <w:lang w:eastAsia="en-US"/>
    </w:rPr>
  </w:style>
  <w:style w:type="paragraph" w:customStyle="1" w:styleId="370">
    <w:name w:val="正文文本缩进 31"/>
    <w:basedOn w:val="1"/>
    <w:qFormat/>
    <w:uiPriority w:val="0"/>
    <w:pPr>
      <w:tabs>
        <w:tab w:val="left" w:pos="0"/>
      </w:tabs>
      <w:spacing w:line="360" w:lineRule="auto"/>
      <w:ind w:firstLine="504"/>
    </w:pPr>
    <w:rPr>
      <w:rFonts w:ascii="宋体"/>
      <w:b/>
      <w:bCs/>
      <w:sz w:val="24"/>
      <w:szCs w:val="24"/>
    </w:rPr>
  </w:style>
  <w:style w:type="paragraph" w:customStyle="1" w:styleId="371">
    <w:name w:val="标题6"/>
    <w:basedOn w:val="195"/>
    <w:qFormat/>
    <w:uiPriority w:val="0"/>
    <w:pPr>
      <w:keepLines/>
      <w:numPr>
        <w:ilvl w:val="0"/>
        <w:numId w:val="1"/>
      </w:numPr>
    </w:pPr>
    <w:rPr>
      <w:rFonts w:ascii="Times New Roman"/>
      <w:b w:val="0"/>
      <w:bCs/>
      <w:color w:val="000000"/>
      <w:sz w:val="24"/>
      <w:szCs w:val="28"/>
    </w:rPr>
  </w:style>
  <w:style w:type="paragraph" w:customStyle="1" w:styleId="372">
    <w:name w:val="丁华标题1"/>
    <w:basedOn w:val="43"/>
    <w:next w:val="368"/>
    <w:qFormat/>
    <w:uiPriority w:val="0"/>
    <w:pPr>
      <w:keepLines/>
      <w:numPr>
        <w:ilvl w:val="0"/>
        <w:numId w:val="2"/>
      </w:numPr>
      <w:spacing w:before="600" w:after="120" w:line="578" w:lineRule="auto"/>
      <w:jc w:val="left"/>
    </w:pPr>
    <w:rPr>
      <w:rFonts w:ascii="Times New Roman"/>
      <w:b w:val="0"/>
      <w:sz w:val="32"/>
      <w:szCs w:val="20"/>
    </w:rPr>
  </w:style>
  <w:style w:type="paragraph" w:customStyle="1" w:styleId="373">
    <w:name w:val="Char1 Char Char Char"/>
    <w:basedOn w:val="1"/>
    <w:qFormat/>
    <w:uiPriority w:val="0"/>
    <w:rPr>
      <w:rFonts w:ascii="Tahoma" w:hAnsi="Tahoma" w:cs="Tahoma"/>
      <w:sz w:val="24"/>
    </w:rPr>
  </w:style>
  <w:style w:type="paragraph" w:customStyle="1" w:styleId="374">
    <w:name w:val="样式 加点正文 + 段前: 0.5 行 段后: 0.5 行1"/>
    <w:basedOn w:val="1"/>
    <w:qFormat/>
    <w:uiPriority w:val="0"/>
    <w:pPr>
      <w:tabs>
        <w:tab w:val="left" w:pos="420"/>
        <w:tab w:val="left" w:pos="1268"/>
      </w:tabs>
      <w:spacing w:before="156" w:after="156" w:line="300" w:lineRule="auto"/>
      <w:ind w:left="1268" w:hanging="420"/>
    </w:pPr>
    <w:rPr>
      <w:sz w:val="24"/>
    </w:rPr>
  </w:style>
  <w:style w:type="paragraph" w:customStyle="1" w:styleId="375">
    <w:name w:val=" Char Char Char Char Char Char Char Char Char Char Char Char Char Char"/>
    <w:basedOn w:val="1"/>
    <w:qFormat/>
    <w:uiPriority w:val="0"/>
    <w:rPr>
      <w:rFonts w:ascii="Tahoma" w:hAnsi="Tahoma"/>
      <w:sz w:val="24"/>
    </w:rPr>
  </w:style>
  <w:style w:type="paragraph" w:customStyle="1" w:styleId="376">
    <w:name w:val="表格内容"/>
    <w:basedOn w:val="1"/>
    <w:qFormat/>
    <w:uiPriority w:val="0"/>
    <w:pPr>
      <w:widowControl/>
      <w:spacing w:before="60" w:line="300" w:lineRule="auto"/>
      <w:jc w:val="center"/>
    </w:pPr>
  </w:style>
  <w:style w:type="paragraph" w:customStyle="1" w:styleId="377">
    <w:name w:val="中等深浅网格 1 - 强调文字颜色 21"/>
    <w:basedOn w:val="1"/>
    <w:qFormat/>
    <w:uiPriority w:val="0"/>
    <w:pPr>
      <w:ind w:firstLine="420"/>
    </w:pPr>
    <w:rPr>
      <w:rFonts w:ascii="Calibri" w:hAnsi="Calibri"/>
      <w:szCs w:val="22"/>
    </w:rPr>
  </w:style>
  <w:style w:type="paragraph" w:customStyle="1" w:styleId="378">
    <w:name w:val="默认段落字体 Para Char"/>
    <w:basedOn w:val="1"/>
    <w:qFormat/>
    <w:uiPriority w:val="0"/>
    <w:rPr>
      <w:sz w:val="24"/>
      <w:szCs w:val="24"/>
    </w:rPr>
  </w:style>
  <w:style w:type="paragraph" w:customStyle="1" w:styleId="379">
    <w:name w:val="项目符号，一级"/>
    <w:basedOn w:val="380"/>
    <w:next w:val="380"/>
    <w:qFormat/>
    <w:uiPriority w:val="0"/>
    <w:pPr>
      <w:tabs>
        <w:tab w:val="left" w:pos="1320"/>
      </w:tabs>
      <w:spacing w:line="240" w:lineRule="atLeast"/>
      <w:ind w:left="376" w:firstLine="0"/>
    </w:pPr>
    <w:rPr>
      <w:bCs w:val="0"/>
      <w:color w:val="000000"/>
      <w:szCs w:val="24"/>
    </w:rPr>
  </w:style>
  <w:style w:type="paragraph" w:customStyle="1" w:styleId="380">
    <w:name w:val="正文格式"/>
    <w:basedOn w:val="1"/>
    <w:qFormat/>
    <w:uiPriority w:val="0"/>
    <w:pPr>
      <w:widowControl/>
      <w:spacing w:before="78" w:line="360" w:lineRule="auto"/>
      <w:ind w:left="178" w:right="44" w:hanging="178"/>
      <w:jc w:val="left"/>
    </w:pPr>
    <w:rPr>
      <w:rFonts w:ascii="宋体" w:hAnsi="宋体"/>
      <w:bCs/>
      <w:szCs w:val="21"/>
    </w:rPr>
  </w:style>
  <w:style w:type="paragraph" w:customStyle="1" w:styleId="381">
    <w:name w:val="1"/>
    <w:basedOn w:val="1"/>
    <w:next w:val="257"/>
    <w:qFormat/>
    <w:uiPriority w:val="0"/>
    <w:pPr>
      <w:spacing w:line="360" w:lineRule="auto"/>
    </w:pPr>
    <w:rPr>
      <w:rFonts w:eastAsia="仿宋_GB2312"/>
      <w:sz w:val="24"/>
      <w:szCs w:val="24"/>
    </w:rPr>
  </w:style>
  <w:style w:type="paragraph" w:customStyle="1" w:styleId="382">
    <w:name w:val=" Char Char Char Char Char Char Char Char Char Char Char Char Char Char Char Char Char Char Char Char Char Char Char"/>
    <w:basedOn w:val="1"/>
    <w:qFormat/>
    <w:uiPriority w:val="0"/>
    <w:rPr>
      <w:rFonts w:ascii="Tahoma" w:hAnsi="Tahoma"/>
      <w:sz w:val="24"/>
    </w:rPr>
  </w:style>
  <w:style w:type="paragraph" w:customStyle="1" w:styleId="383">
    <w:name w:val=" Char Char Char Char Char Char Char"/>
    <w:basedOn w:val="1"/>
    <w:qFormat/>
    <w:uiPriority w:val="0"/>
    <w:rPr>
      <w:rFonts w:ascii="Tahoma" w:hAnsi="Tahoma"/>
      <w:sz w:val="24"/>
    </w:rPr>
  </w:style>
  <w:style w:type="paragraph" w:customStyle="1" w:styleId="384">
    <w:name w:val="a"/>
    <w:basedOn w:val="1"/>
    <w:qFormat/>
    <w:uiPriority w:val="0"/>
    <w:pPr>
      <w:widowControl/>
      <w:spacing w:before="100" w:beforeAutospacing="1" w:after="100" w:afterAutospacing="1"/>
    </w:pPr>
    <w:rPr>
      <w:rFonts w:ascii="宋体" w:hAnsi="宋体" w:cs="宋体"/>
      <w:sz w:val="24"/>
      <w:szCs w:val="24"/>
    </w:rPr>
  </w:style>
  <w:style w:type="paragraph" w:customStyle="1" w:styleId="385">
    <w:name w:val="表格内文字"/>
    <w:basedOn w:val="1"/>
    <w:qFormat/>
    <w:uiPriority w:val="0"/>
    <w:pPr>
      <w:spacing w:line="300" w:lineRule="atLeast"/>
    </w:pPr>
    <w:rPr>
      <w:sz w:val="18"/>
      <w:szCs w:val="24"/>
    </w:rPr>
  </w:style>
  <w:style w:type="paragraph" w:customStyle="1" w:styleId="386">
    <w:name w:val="_Style 42"/>
    <w:basedOn w:val="1"/>
    <w:next w:val="224"/>
    <w:qFormat/>
    <w:uiPriority w:val="0"/>
    <w:rPr>
      <w:rFonts w:ascii="楷体_GB2312" w:hAnsi="Arial" w:eastAsia="楷体_GB2312"/>
      <w:sz w:val="28"/>
    </w:rPr>
  </w:style>
  <w:style w:type="paragraph" w:customStyle="1" w:styleId="387">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sz w:val="20"/>
    </w:rPr>
  </w:style>
  <w:style w:type="paragraph" w:customStyle="1" w:styleId="388">
    <w:name w:val="表格文字"/>
    <w:basedOn w:val="1"/>
    <w:qFormat/>
    <w:uiPriority w:val="0"/>
    <w:pPr>
      <w:spacing w:line="360" w:lineRule="auto"/>
      <w:ind w:firstLine="200"/>
      <w:jc w:val="left"/>
    </w:pPr>
    <w:rPr>
      <w:rFonts w:ascii="Arial" w:hAnsi="Arial"/>
      <w:sz w:val="24"/>
    </w:rPr>
  </w:style>
  <w:style w:type="paragraph" w:customStyle="1" w:styleId="389">
    <w:name w:val="font9"/>
    <w:basedOn w:val="1"/>
    <w:qFormat/>
    <w:uiPriority w:val="0"/>
    <w:pPr>
      <w:widowControl/>
      <w:spacing w:before="100" w:beforeAutospacing="1" w:after="100" w:afterAutospacing="1"/>
      <w:jc w:val="left"/>
    </w:pPr>
    <w:rPr>
      <w:b/>
      <w:bCs/>
      <w:sz w:val="20"/>
    </w:rPr>
  </w:style>
  <w:style w:type="paragraph" w:customStyle="1" w:styleId="390">
    <w:name w:val="样式 样式 首行缩进:  2 字符 + 行距: 1.5 倍行距"/>
    <w:basedOn w:val="1"/>
    <w:qFormat/>
    <w:uiPriority w:val="0"/>
    <w:pPr>
      <w:spacing w:line="360" w:lineRule="auto"/>
      <w:ind w:firstLine="470"/>
    </w:pPr>
    <w:rPr>
      <w:sz w:val="24"/>
    </w:rPr>
  </w:style>
  <w:style w:type="paragraph" w:customStyle="1" w:styleId="391">
    <w:name w:val="章标题"/>
    <w:next w:val="392"/>
    <w:qFormat/>
    <w:uiPriority w:val="0"/>
    <w:pPr>
      <w:spacing w:before="156" w:after="156"/>
      <w:jc w:val="both"/>
      <w:outlineLvl w:val="1"/>
    </w:pPr>
    <w:rPr>
      <w:rFonts w:hint="default" w:ascii="Times New Roman" w:hAnsi="Times New Roman" w:eastAsia="黑体" w:cs="Times New Roman"/>
      <w:sz w:val="21"/>
      <w:lang w:val="en-US" w:eastAsia="zh-CN" w:bidi="ar-SA"/>
    </w:rPr>
  </w:style>
  <w:style w:type="paragraph" w:customStyle="1" w:styleId="392">
    <w:name w:val="段"/>
    <w:qFormat/>
    <w:uiPriority w:val="0"/>
    <w:pPr>
      <w:ind w:firstLine="200"/>
      <w:jc w:val="both"/>
    </w:pPr>
    <w:rPr>
      <w:rFonts w:hint="default" w:ascii="宋体" w:hAnsi="Times New Roman" w:eastAsia="宋体" w:cs="Times New Roman"/>
      <w:sz w:val="21"/>
      <w:lang w:val="en-US" w:eastAsia="zh-CN" w:bidi="ar-SA"/>
    </w:rPr>
  </w:style>
  <w:style w:type="paragraph" w:customStyle="1" w:styleId="393">
    <w:name w:val="正文文本缩进1"/>
    <w:basedOn w:val="1"/>
    <w:qFormat/>
    <w:uiPriority w:val="0"/>
    <w:pPr>
      <w:spacing w:after="120"/>
      <w:ind w:left="420"/>
    </w:pPr>
    <w:rPr>
      <w:szCs w:val="24"/>
    </w:rPr>
  </w:style>
  <w:style w:type="paragraph" w:customStyle="1" w:styleId="394">
    <w:name w:val="样式1"/>
    <w:basedOn w:val="1"/>
    <w:qFormat/>
    <w:uiPriority w:val="0"/>
    <w:pPr>
      <w:spacing w:line="300" w:lineRule="auto"/>
      <w:ind w:firstLine="480"/>
    </w:pPr>
    <w:rPr>
      <w:sz w:val="24"/>
      <w:szCs w:val="24"/>
    </w:rPr>
  </w:style>
  <w:style w:type="paragraph" w:customStyle="1" w:styleId="395">
    <w:name w:val="部分1"/>
    <w:basedOn w:val="1"/>
    <w:qFormat/>
    <w:uiPriority w:val="0"/>
    <w:pPr>
      <w:keepNext/>
      <w:pageBreakBefore/>
      <w:tabs>
        <w:tab w:val="left" w:pos="360"/>
      </w:tabs>
      <w:spacing w:line="360" w:lineRule="auto"/>
      <w:jc w:val="center"/>
      <w:outlineLvl w:val="0"/>
    </w:pPr>
    <w:rPr>
      <w:rFonts w:eastAsia="黑体"/>
      <w:b/>
      <w:sz w:val="36"/>
    </w:rPr>
  </w:style>
  <w:style w:type="paragraph" w:customStyle="1" w:styleId="396">
    <w:name w:val="xl5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i/>
      <w:iCs/>
      <w:sz w:val="20"/>
    </w:rPr>
  </w:style>
  <w:style w:type="paragraph" w:customStyle="1" w:styleId="397">
    <w:name w:val="Char Char1 Char Char Char Char Char Char Char"/>
    <w:basedOn w:val="1"/>
    <w:qFormat/>
    <w:uiPriority w:val="0"/>
    <w:rPr>
      <w:rFonts w:ascii="Tahoma" w:hAnsi="Tahoma" w:cs="Tahoma"/>
      <w:sz w:val="24"/>
    </w:rPr>
  </w:style>
  <w:style w:type="paragraph" w:customStyle="1" w:styleId="398">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99">
    <w:name w:val="font6"/>
    <w:basedOn w:val="1"/>
    <w:qFormat/>
    <w:uiPriority w:val="0"/>
    <w:pPr>
      <w:widowControl/>
      <w:spacing w:before="100" w:beforeAutospacing="1" w:after="100" w:afterAutospacing="1"/>
      <w:jc w:val="left"/>
    </w:pPr>
    <w:rPr>
      <w:rFonts w:ascii="宋体" w:hAnsi="宋体" w:cs="宋体"/>
      <w:b/>
      <w:bCs/>
      <w:sz w:val="20"/>
    </w:rPr>
  </w:style>
  <w:style w:type="paragraph" w:customStyle="1" w:styleId="400">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401">
    <w:name w:val="p0"/>
    <w:basedOn w:val="1"/>
    <w:qFormat/>
    <w:uiPriority w:val="0"/>
    <w:pPr>
      <w:widowControl/>
      <w:spacing w:before="100" w:beforeAutospacing="1" w:after="100" w:afterAutospacing="1"/>
      <w:jc w:val="left"/>
    </w:pPr>
    <w:rPr>
      <w:rFonts w:ascii="宋体" w:hAnsi="宋体" w:cs="宋体"/>
      <w:sz w:val="24"/>
      <w:szCs w:val="24"/>
    </w:rPr>
  </w:style>
  <w:style w:type="paragraph" w:customStyle="1" w:styleId="402">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rPr>
  </w:style>
  <w:style w:type="paragraph" w:customStyle="1" w:styleId="403">
    <w:name w:val="Char Char Char Char Char Char Char"/>
    <w:basedOn w:val="1"/>
    <w:qFormat/>
    <w:uiPriority w:val="0"/>
    <w:pPr>
      <w:jc w:val="left"/>
    </w:pPr>
    <w:rPr>
      <w:rFonts w:ascii="Tahoma" w:hAnsi="Tahoma"/>
      <w:sz w:val="24"/>
    </w:rPr>
  </w:style>
  <w:style w:type="paragraph" w:customStyle="1" w:styleId="404">
    <w:name w:val=" Char"/>
    <w:basedOn w:val="1"/>
    <w:qFormat/>
    <w:uiPriority w:val="0"/>
    <w:pPr>
      <w:spacing w:after="156" w:line="360" w:lineRule="auto"/>
    </w:pPr>
    <w:rPr>
      <w:rFonts w:ascii="Tahoma" w:hAnsi="Tahoma"/>
      <w:sz w:val="24"/>
    </w:rPr>
  </w:style>
  <w:style w:type="paragraph" w:customStyle="1" w:styleId="405">
    <w:name w:val="论文正文"/>
    <w:basedOn w:val="234"/>
    <w:qFormat/>
    <w:uiPriority w:val="0"/>
    <w:pPr>
      <w:spacing w:line="360" w:lineRule="auto"/>
      <w:ind w:left="0" w:firstLine="200"/>
      <w:jc w:val="left"/>
    </w:pPr>
    <w:rPr>
      <w:rFonts w:ascii="Times New Roman" w:hAnsi="Times New Roman"/>
      <w:sz w:val="28"/>
      <w:szCs w:val="24"/>
    </w:rPr>
  </w:style>
  <w:style w:type="paragraph" w:customStyle="1" w:styleId="406">
    <w:name w:val="正文表标题"/>
    <w:next w:val="392"/>
    <w:qFormat/>
    <w:uiPriority w:val="0"/>
    <w:pPr>
      <w:tabs>
        <w:tab w:val="left" w:pos="900"/>
      </w:tabs>
      <w:ind w:left="900" w:hanging="420"/>
      <w:jc w:val="center"/>
    </w:pPr>
    <w:rPr>
      <w:rFonts w:hint="default" w:ascii="黑体" w:hAnsi="Times New Roman" w:eastAsia="黑体" w:cs="Times New Roman"/>
      <w:sz w:val="21"/>
      <w:lang w:val="en-US" w:eastAsia="zh-CN" w:bidi="ar-SA"/>
    </w:rPr>
  </w:style>
  <w:style w:type="paragraph" w:customStyle="1" w:styleId="407">
    <w:name w:val="flName"/>
    <w:basedOn w:val="408"/>
    <w:qFormat/>
    <w:uiPriority w:val="0"/>
    <w:pPr>
      <w:spacing w:before="0" w:line="113" w:lineRule="atLeast"/>
    </w:pPr>
  </w:style>
  <w:style w:type="paragraph" w:customStyle="1" w:styleId="408">
    <w:name w:val="flNote"/>
    <w:basedOn w:val="1"/>
    <w:qFormat/>
    <w:uiPriority w:val="0"/>
    <w:pPr>
      <w:spacing w:before="567" w:line="360" w:lineRule="atLeast"/>
      <w:jc w:val="center"/>
    </w:pPr>
    <w:rPr>
      <w:rFonts w:eastAsia="黑体"/>
      <w:b/>
      <w:sz w:val="24"/>
    </w:rPr>
  </w:style>
  <w:style w:type="paragraph" w:customStyle="1" w:styleId="409">
    <w:name w:val="xl4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10">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411">
    <w:name w:val="xl62"/>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rPr>
  </w:style>
  <w:style w:type="paragraph" w:customStyle="1" w:styleId="412">
    <w:name w:val="二级条标题"/>
    <w:basedOn w:val="1"/>
    <w:next w:val="392"/>
    <w:qFormat/>
    <w:uiPriority w:val="0"/>
    <w:pPr>
      <w:widowControl/>
      <w:tabs>
        <w:tab w:val="left" w:pos="2240"/>
      </w:tabs>
      <w:ind w:hanging="420"/>
      <w:outlineLvl w:val="3"/>
    </w:pPr>
    <w:rPr>
      <w:rFonts w:eastAsia="黑体"/>
    </w:rPr>
  </w:style>
  <w:style w:type="paragraph" w:customStyle="1" w:styleId="413">
    <w:name w:val="xl5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i/>
      <w:iCs/>
      <w:sz w:val="20"/>
    </w:rPr>
  </w:style>
  <w:style w:type="paragraph" w:customStyle="1" w:styleId="414">
    <w:name w:val="样式 标题 2第一章 标题 2Heading 2 HiddenHeading 2 CCBSheading 2H2h2..."/>
    <w:basedOn w:val="45"/>
    <w:qFormat/>
    <w:uiPriority w:val="0"/>
    <w:pPr>
      <w:keepLines w:val="0"/>
      <w:tabs>
        <w:tab w:val="left" w:pos="360"/>
      </w:tabs>
      <w:spacing w:before="156" w:after="156"/>
      <w:ind w:left="360" w:hanging="360"/>
      <w:jc w:val="center"/>
    </w:pPr>
    <w:rPr>
      <w:rFonts w:ascii="黑体" w:hAnsi="Times New Roman" w:eastAsia="黑体" w:cs="宋体"/>
      <w:b w:val="0"/>
      <w:sz w:val="32"/>
      <w:szCs w:val="20"/>
    </w:rPr>
  </w:style>
  <w:style w:type="paragraph" w:customStyle="1" w:styleId="415">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i/>
      <w:iCs/>
      <w:sz w:val="20"/>
    </w:rPr>
  </w:style>
  <w:style w:type="paragraph" w:customStyle="1" w:styleId="416">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417">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418">
    <w:name w:val="xl6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b/>
      <w:bCs/>
      <w:sz w:val="20"/>
    </w:rPr>
  </w:style>
  <w:style w:type="paragraph" w:customStyle="1" w:styleId="419">
    <w:name w:val="样式 标题 3H3sect1.2.3BOD 0Heading 3 - oldh3l3CTLevel 3 Head..."/>
    <w:basedOn w:val="193"/>
    <w:qFormat/>
    <w:uiPriority w:val="0"/>
    <w:pPr>
      <w:spacing w:before="156" w:after="156"/>
      <w:jc w:val="left"/>
    </w:pPr>
    <w:rPr>
      <w:rFonts w:eastAsia="宋体" w:cs="宋体"/>
      <w:bCs/>
      <w:sz w:val="30"/>
    </w:rPr>
  </w:style>
  <w:style w:type="paragraph" w:customStyle="1" w:styleId="420">
    <w:name w:val="Char1"/>
    <w:basedOn w:val="1"/>
    <w:qFormat/>
    <w:uiPriority w:val="0"/>
    <w:rPr>
      <w:rFonts w:ascii="仿宋_GB2312" w:hAnsi="宋体" w:eastAsia="仿宋_GB2312" w:cs="宋体"/>
      <w:b/>
      <w:sz w:val="32"/>
      <w:szCs w:val="32"/>
    </w:rPr>
  </w:style>
  <w:style w:type="paragraph" w:customStyle="1" w:styleId="421">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22">
    <w:name w:val="xl49"/>
    <w:basedOn w:val="1"/>
    <w:qFormat/>
    <w:uiPriority w:val="0"/>
    <w:pPr>
      <w:widowControl/>
      <w:pBdr>
        <w:left w:val="single" w:color="000000" w:sz="4" w:space="0"/>
        <w:right w:val="single" w:color="000000" w:sz="4" w:space="0"/>
      </w:pBdr>
      <w:spacing w:before="100" w:beforeAutospacing="1" w:after="100" w:afterAutospacing="1"/>
      <w:jc w:val="center"/>
    </w:pPr>
    <w:rPr>
      <w:b/>
      <w:bCs/>
      <w:sz w:val="20"/>
    </w:rPr>
  </w:style>
  <w:style w:type="paragraph" w:customStyle="1" w:styleId="423">
    <w:name w:val="af17cgridlangnp1033langf"/>
    <w:qFormat/>
    <w:uiPriority w:val="0"/>
    <w:pPr>
      <w:widowControl w:val="0"/>
      <w:spacing w:before="156" w:line="360" w:lineRule="atLeast"/>
      <w:ind w:left="567" w:firstLine="510"/>
      <w:jc w:val="both"/>
    </w:pPr>
    <w:rPr>
      <w:rFonts w:hint="default" w:ascii="Times New Roman" w:hAnsi="Times New Roman" w:eastAsia="宋体" w:cs="Times New Roman"/>
      <w:lang w:val="en-US" w:eastAsia="zh-CN" w:bidi="ar-SA"/>
    </w:rPr>
  </w:style>
  <w:style w:type="paragraph" w:customStyle="1" w:styleId="424">
    <w:name w:val=" Char Char Char Char Char Char Char Char Char Char Char"/>
    <w:basedOn w:val="1"/>
    <w:qFormat/>
    <w:uiPriority w:val="0"/>
    <w:rPr>
      <w:rFonts w:ascii="Tahoma" w:hAnsi="Tahoma"/>
      <w:sz w:val="24"/>
    </w:rPr>
  </w:style>
  <w:style w:type="paragraph" w:customStyle="1" w:styleId="425">
    <w:name w:val="正文 首行缩进:  2 字符 Char"/>
    <w:basedOn w:val="1"/>
    <w:qFormat/>
    <w:uiPriority w:val="0"/>
    <w:pPr>
      <w:spacing w:line="360" w:lineRule="auto"/>
      <w:ind w:firstLine="480"/>
    </w:pPr>
    <w:rPr>
      <w:rFonts w:cs="宋体"/>
      <w:sz w:val="24"/>
    </w:rPr>
  </w:style>
  <w:style w:type="paragraph" w:customStyle="1" w:styleId="426">
    <w:name w:val=" Char Char1 Char Char Char Char1 Char Char Char Char Char Char"/>
    <w:basedOn w:val="1"/>
    <w:qFormat/>
    <w:uiPriority w:val="0"/>
    <w:rPr>
      <w:rFonts w:ascii="Tahoma" w:hAnsi="Tahoma"/>
      <w:sz w:val="24"/>
    </w:rPr>
  </w:style>
  <w:style w:type="paragraph" w:customStyle="1" w:styleId="427">
    <w:name w:val=" Char Char Char"/>
    <w:basedOn w:val="217"/>
    <w:qFormat/>
    <w:uiPriority w:val="0"/>
    <w:pPr>
      <w:spacing w:line="436" w:lineRule="exact"/>
    </w:pPr>
    <w:rPr>
      <w:szCs w:val="24"/>
    </w:rPr>
  </w:style>
  <w:style w:type="paragraph" w:customStyle="1" w:styleId="428">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429">
    <w:name w:val="xl60"/>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430">
    <w:name w:val="表头_5"/>
    <w:basedOn w:val="1"/>
    <w:qFormat/>
    <w:uiPriority w:val="0"/>
    <w:pPr>
      <w:spacing w:line="360" w:lineRule="auto"/>
    </w:pPr>
    <w:rPr>
      <w:b/>
      <w:bCs/>
      <w:sz w:val="28"/>
      <w:szCs w:val="21"/>
    </w:rPr>
  </w:style>
  <w:style w:type="paragraph" w:customStyle="1" w:styleId="431">
    <w:name w:val="Char Char Char Char Char Char Char1 Char"/>
    <w:basedOn w:val="1"/>
    <w:qFormat/>
    <w:uiPriority w:val="0"/>
    <w:rPr>
      <w:rFonts w:ascii="Tahoma" w:hAnsi="Tahoma" w:cs="Tahoma"/>
      <w:sz w:val="24"/>
    </w:rPr>
  </w:style>
  <w:style w:type="paragraph" w:customStyle="1" w:styleId="432">
    <w:name w:val="Pa5"/>
    <w:basedOn w:val="1"/>
    <w:next w:val="1"/>
    <w:qFormat/>
    <w:uiPriority w:val="0"/>
    <w:pPr>
      <w:spacing w:line="241" w:lineRule="atLeast"/>
      <w:jc w:val="left"/>
    </w:pPr>
    <w:rPr>
      <w:rFonts w:ascii="汉仪大黑简" w:eastAsia="汉仪大黑简"/>
      <w:sz w:val="24"/>
      <w:szCs w:val="24"/>
    </w:rPr>
  </w:style>
  <w:style w:type="paragraph" w:customStyle="1" w:styleId="433">
    <w:name w:val=" Char Char Char Char Char Char Char Char Char"/>
    <w:basedOn w:val="1"/>
    <w:qFormat/>
    <w:uiPriority w:val="0"/>
    <w:pPr>
      <w:tabs>
        <w:tab w:val="left" w:pos="360"/>
      </w:tabs>
      <w:ind w:left="360" w:hanging="360"/>
    </w:pPr>
    <w:rPr>
      <w:sz w:val="24"/>
      <w:szCs w:val="24"/>
    </w:rPr>
  </w:style>
  <w:style w:type="paragraph" w:customStyle="1" w:styleId="434">
    <w:name w:val="正文 New New New New New New New New New New New New New New"/>
    <w:qFormat/>
    <w:uiPriority w:val="0"/>
    <w:pPr>
      <w:widowControl w:val="0"/>
      <w:jc w:val="both"/>
    </w:pPr>
    <w:rPr>
      <w:rFonts w:hint="eastAsia" w:ascii="Calibri" w:hAnsi="Calibri" w:eastAsia="宋体" w:cs="Times New Roman"/>
      <w:sz w:val="21"/>
      <w:lang w:val="en-US" w:eastAsia="zh-CN" w:bidi="ar-SA"/>
    </w:rPr>
  </w:style>
  <w:style w:type="paragraph" w:customStyle="1" w:styleId="435">
    <w:name w:val="小四 段落 宋体 Char"/>
    <w:basedOn w:val="215"/>
    <w:qFormat/>
    <w:uiPriority w:val="0"/>
    <w:pPr>
      <w:tabs>
        <w:tab w:val="clear" w:pos="2952"/>
      </w:tabs>
      <w:ind w:left="0" w:right="-33" w:firstLine="600"/>
      <w:jc w:val="left"/>
    </w:pPr>
    <w:rPr>
      <w:rFonts w:ascii="仿宋_GB2312" w:eastAsia="仿宋_GB2312"/>
      <w:sz w:val="30"/>
      <w:szCs w:val="30"/>
    </w:rPr>
  </w:style>
  <w:style w:type="paragraph" w:customStyle="1" w:styleId="436">
    <w:name w:val="符号与编号 Char Char"/>
    <w:basedOn w:val="1"/>
    <w:qFormat/>
    <w:uiPriority w:val="0"/>
    <w:pPr>
      <w:tabs>
        <w:tab w:val="left" w:pos="840"/>
      </w:tabs>
      <w:spacing w:after="156" w:line="400" w:lineRule="atLeast"/>
      <w:ind w:left="839" w:hanging="419"/>
    </w:pPr>
    <w:rPr>
      <w:sz w:val="24"/>
      <w:szCs w:val="24"/>
    </w:rPr>
  </w:style>
  <w:style w:type="paragraph" w:customStyle="1" w:styleId="437">
    <w:name w:val="标题二"/>
    <w:basedOn w:val="1"/>
    <w:qFormat/>
    <w:uiPriority w:val="0"/>
    <w:pPr>
      <w:ind w:firstLine="200"/>
    </w:pPr>
    <w:rPr>
      <w:rFonts w:ascii="Arial" w:hAnsi="Arial" w:eastAsia="楷体_GB2312" w:cs="宋体"/>
      <w:sz w:val="30"/>
    </w:rPr>
  </w:style>
  <w:style w:type="paragraph" w:customStyle="1" w:styleId="438">
    <w:name w:val="Char Char Char Char Char Char Char Char Char Char Char Char Char"/>
    <w:basedOn w:val="1"/>
    <w:qFormat/>
    <w:uiPriority w:val="0"/>
    <w:pPr>
      <w:widowControl/>
      <w:spacing w:after="160" w:line="240" w:lineRule="exact"/>
      <w:jc w:val="left"/>
    </w:pPr>
    <w:rPr>
      <w:szCs w:val="24"/>
    </w:rPr>
  </w:style>
  <w:style w:type="paragraph" w:customStyle="1" w:styleId="439">
    <w:name w:val="xl54"/>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rFonts w:ascii="宋体" w:hAnsi="宋体" w:cs="宋体"/>
      <w:b/>
      <w:bCs/>
      <w:sz w:val="20"/>
    </w:rPr>
  </w:style>
  <w:style w:type="paragraph" w:customStyle="1" w:styleId="440">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441">
    <w:name w:val="Char Char1 Char"/>
    <w:basedOn w:val="1"/>
    <w:qFormat/>
    <w:uiPriority w:val="0"/>
    <w:pPr>
      <w:widowControl/>
      <w:spacing w:after="160" w:line="240" w:lineRule="exact"/>
      <w:jc w:val="left"/>
    </w:pPr>
    <w:rPr>
      <w:rFonts w:ascii="Verdana" w:hAnsi="Verdana"/>
      <w:sz w:val="20"/>
      <w:lang w:eastAsia="en-US"/>
    </w:rPr>
  </w:style>
  <w:style w:type="paragraph" w:customStyle="1" w:styleId="442">
    <w:name w:val=" Char Char1 Char"/>
    <w:basedOn w:val="1"/>
    <w:qFormat/>
    <w:uiPriority w:val="0"/>
    <w:pPr>
      <w:widowControl/>
      <w:spacing w:after="160" w:line="240" w:lineRule="exact"/>
      <w:jc w:val="left"/>
    </w:pPr>
    <w:rPr>
      <w:rFonts w:ascii="Verdana" w:hAnsi="Verdana"/>
      <w:sz w:val="20"/>
      <w:lang w:eastAsia="en-US"/>
    </w:rPr>
  </w:style>
  <w:style w:type="paragraph" w:customStyle="1" w:styleId="443">
    <w:name w:val="xl55"/>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sz w:val="20"/>
    </w:rPr>
  </w:style>
  <w:style w:type="paragraph" w:customStyle="1" w:styleId="444">
    <w:name w:val="xl56"/>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sz w:val="20"/>
    </w:rPr>
  </w:style>
  <w:style w:type="paragraph" w:customStyle="1" w:styleId="445">
    <w:name w:val="Normal1"/>
    <w:basedOn w:val="1"/>
    <w:qFormat/>
    <w:uiPriority w:val="0"/>
    <w:rPr>
      <w:rFonts w:ascii="Calibri" w:hAnsi="Calibri" w:eastAsia="Calibri" w:cs="宋体"/>
      <w:lang w:val="zh-CN"/>
    </w:rPr>
  </w:style>
  <w:style w:type="paragraph" w:customStyle="1" w:styleId="446">
    <w:name w:val="zw"/>
    <w:basedOn w:val="1"/>
    <w:qFormat/>
    <w:uiPriority w:val="0"/>
    <w:pPr>
      <w:widowControl/>
      <w:spacing w:line="360" w:lineRule="auto"/>
      <w:ind w:firstLine="480"/>
      <w:jc w:val="left"/>
    </w:pPr>
    <w:rPr>
      <w:rFonts w:ascii="宋体" w:hAnsi="宋体"/>
      <w:bCs/>
      <w:sz w:val="24"/>
    </w:rPr>
  </w:style>
  <w:style w:type="paragraph" w:customStyle="1" w:styleId="447">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48">
    <w:name w:val="TOC 标题"/>
    <w:basedOn w:val="43"/>
    <w:next w:val="1"/>
    <w:qFormat/>
    <w:uiPriority w:val="39"/>
    <w:pPr>
      <w:keepLines/>
      <w:widowControl/>
      <w:tabs>
        <w:tab w:val="clear" w:pos="1440"/>
        <w:tab w:val="clear" w:pos="5670"/>
      </w:tabs>
      <w:spacing w:before="240" w:after="0" w:line="259" w:lineRule="auto"/>
      <w:ind w:firstLine="0"/>
      <w:jc w:val="left"/>
      <w:outlineLvl w:val="9"/>
    </w:pPr>
    <w:rPr>
      <w:rFonts w:ascii="Calibri Light" w:hAnsi="Calibri Light" w:eastAsia="宋体" w:cs="Times New Roman"/>
      <w:b w:val="0"/>
      <w:color w:val="2E74B5"/>
      <w:sz w:val="32"/>
      <w:szCs w:val="32"/>
    </w:rPr>
  </w:style>
  <w:style w:type="paragraph" w:customStyle="1" w:styleId="449">
    <w:name w:val=" Char1 Char Char Char"/>
    <w:basedOn w:val="1"/>
    <w:qFormat/>
    <w:uiPriority w:val="0"/>
    <w:rPr>
      <w:rFonts w:ascii="Tahoma" w:hAnsi="Tahoma"/>
      <w:sz w:val="24"/>
    </w:rPr>
  </w:style>
  <w:style w:type="paragraph" w:customStyle="1" w:styleId="450">
    <w:name w:val="font13"/>
    <w:basedOn w:val="1"/>
    <w:qFormat/>
    <w:uiPriority w:val="0"/>
    <w:pPr>
      <w:widowControl/>
      <w:spacing w:before="100" w:beforeAutospacing="1" w:after="100" w:afterAutospacing="1"/>
      <w:jc w:val="left"/>
    </w:pPr>
    <w:rPr>
      <w:i/>
      <w:iCs/>
      <w:sz w:val="36"/>
      <w:szCs w:val="36"/>
    </w:rPr>
  </w:style>
  <w:style w:type="paragraph" w:customStyle="1" w:styleId="451">
    <w:name w:val="xl45"/>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52">
    <w:name w:val="标题2，章节第二层"/>
    <w:basedOn w:val="1"/>
    <w:next w:val="380"/>
    <w:qFormat/>
    <w:uiPriority w:val="0"/>
    <w:pPr>
      <w:numPr>
        <w:ilvl w:val="4"/>
        <w:numId w:val="3"/>
      </w:numPr>
      <w:tabs>
        <w:tab w:val="left" w:pos="630"/>
        <w:tab w:val="left" w:pos="992"/>
      </w:tabs>
      <w:spacing w:before="312" w:after="312" w:line="300" w:lineRule="auto"/>
      <w:ind w:left="992" w:hanging="567"/>
      <w:outlineLvl w:val="1"/>
    </w:pPr>
    <w:rPr>
      <w:rFonts w:ascii="Arial" w:hAnsi="Arial" w:eastAsia="黑体"/>
      <w:sz w:val="32"/>
      <w:szCs w:val="24"/>
    </w:rPr>
  </w:style>
  <w:style w:type="paragraph" w:customStyle="1" w:styleId="453">
    <w:name w:val="正文文本 21"/>
    <w:basedOn w:val="1"/>
    <w:qFormat/>
    <w:uiPriority w:val="0"/>
    <w:pPr>
      <w:widowControl/>
      <w:ind w:left="720" w:hanging="720"/>
    </w:pPr>
    <w:rPr>
      <w:sz w:val="24"/>
      <w:lang w:val="en-GB"/>
    </w:rPr>
  </w:style>
  <w:style w:type="paragraph" w:customStyle="1" w:styleId="454">
    <w:name w:val="样式4 Char"/>
    <w:basedOn w:val="1"/>
    <w:qFormat/>
    <w:uiPriority w:val="0"/>
    <w:pPr>
      <w:widowControl/>
      <w:spacing w:line="360" w:lineRule="auto"/>
      <w:ind w:firstLine="480"/>
      <w:jc w:val="left"/>
    </w:pPr>
    <w:rPr>
      <w:rFonts w:cs="宋体"/>
      <w:color w:val="000000"/>
      <w:sz w:val="24"/>
      <w:szCs w:val="24"/>
    </w:rPr>
  </w:style>
  <w:style w:type="paragraph" w:customStyle="1" w:styleId="455">
    <w:name w:val="xl4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56">
    <w:name w:val="Default Text"/>
    <w:basedOn w:val="1"/>
    <w:qFormat/>
    <w:uiPriority w:val="0"/>
    <w:pPr>
      <w:widowControl/>
      <w:jc w:val="left"/>
    </w:pPr>
    <w:rPr>
      <w:sz w:val="24"/>
      <w:lang w:eastAsia="en-US"/>
    </w:rPr>
  </w:style>
  <w:style w:type="paragraph" w:customStyle="1" w:styleId="457">
    <w:name w:val="xl58"/>
    <w:basedOn w:val="1"/>
    <w:qFormat/>
    <w:uiPriority w:val="0"/>
    <w:pPr>
      <w:widowControl/>
      <w:pBdr>
        <w:left w:val="single" w:color="000000" w:sz="4" w:space="0"/>
        <w:right w:val="single" w:color="000000" w:sz="4" w:space="0"/>
      </w:pBdr>
      <w:spacing w:before="100" w:beforeAutospacing="1" w:after="100" w:afterAutospacing="1"/>
      <w:jc w:val="center"/>
    </w:pPr>
    <w:rPr>
      <w:b/>
      <w:bCs/>
      <w:i/>
      <w:iCs/>
      <w:sz w:val="20"/>
    </w:rPr>
  </w:style>
  <w:style w:type="paragraph" w:customStyle="1" w:styleId="458">
    <w:name w:val="Char Char Char Char Char Char Char Char Char Char Char1 Char Char Char1"/>
    <w:basedOn w:val="1"/>
    <w:semiHidden/>
    <w:qFormat/>
    <w:uiPriority w:val="0"/>
    <w:pPr>
      <w:ind w:firstLine="200"/>
      <w:jc w:val="left"/>
    </w:pPr>
    <w:rPr>
      <w:rFonts w:ascii="Tahoma" w:hAnsi="Tahoma"/>
      <w:sz w:val="24"/>
      <w:szCs w:val="24"/>
    </w:rPr>
  </w:style>
  <w:style w:type="paragraph" w:customStyle="1" w:styleId="459">
    <w:name w:val="列出段落2"/>
    <w:basedOn w:val="1"/>
    <w:qFormat/>
    <w:uiPriority w:val="0"/>
    <w:pPr>
      <w:widowControl/>
      <w:ind w:left="720"/>
      <w:jc w:val="left"/>
    </w:pPr>
    <w:rPr>
      <w:rFonts w:ascii="Arial" w:hAnsi="Arial" w:eastAsia="黑体" w:cs="Arial"/>
      <w:sz w:val="24"/>
      <w:szCs w:val="24"/>
      <w:lang w:eastAsia="en-US"/>
    </w:rPr>
  </w:style>
  <w:style w:type="paragraph" w:customStyle="1" w:styleId="460">
    <w:name w:val="文档正文"/>
    <w:basedOn w:val="1"/>
    <w:qFormat/>
    <w:uiPriority w:val="0"/>
    <w:pPr>
      <w:spacing w:line="360" w:lineRule="auto"/>
    </w:pPr>
    <w:rPr>
      <w:rFonts w:ascii="宋体" w:hAnsi="宋体"/>
      <w:b/>
      <w:bCs/>
      <w:szCs w:val="24"/>
    </w:rPr>
  </w:style>
  <w:style w:type="paragraph" w:customStyle="1" w:styleId="461">
    <w:name w:val="正文 + 宋体"/>
    <w:basedOn w:val="1"/>
    <w:qFormat/>
    <w:uiPriority w:val="0"/>
    <w:pPr>
      <w:spacing w:line="360" w:lineRule="auto"/>
      <w:ind w:firstLine="420"/>
    </w:pPr>
    <w:rPr>
      <w:szCs w:val="24"/>
    </w:rPr>
  </w:style>
  <w:style w:type="paragraph" w:customStyle="1" w:styleId="462">
    <w:name w:val="xl52"/>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463">
    <w:name w:val="列出段落1"/>
    <w:basedOn w:val="1"/>
    <w:qFormat/>
    <w:uiPriority w:val="34"/>
    <w:pPr>
      <w:widowControl/>
      <w:ind w:left="720"/>
      <w:contextualSpacing/>
      <w:jc w:val="left"/>
    </w:pPr>
    <w:rPr>
      <w:rFonts w:ascii="Arial" w:hAnsi="Arial" w:eastAsia="黑体"/>
      <w:sz w:val="24"/>
      <w:szCs w:val="24"/>
      <w:lang w:eastAsia="en-US"/>
    </w:rPr>
  </w:style>
  <w:style w:type="paragraph" w:customStyle="1" w:styleId="464">
    <w:name w:val="马刚标题4"/>
    <w:basedOn w:val="440"/>
    <w:next w:val="1"/>
    <w:qFormat/>
    <w:uiPriority w:val="0"/>
    <w:pPr>
      <w:tabs>
        <w:tab w:val="left" w:pos="1050"/>
      </w:tabs>
      <w:spacing w:before="100" w:after="40"/>
      <w:outlineLvl w:val="3"/>
    </w:pPr>
    <w:rPr>
      <w:b w:val="0"/>
    </w:rPr>
  </w:style>
  <w:style w:type="paragraph" w:customStyle="1" w:styleId="465">
    <w:name w:val="我的正文"/>
    <w:basedOn w:val="1"/>
    <w:link w:val="466"/>
    <w:qFormat/>
    <w:uiPriority w:val="0"/>
    <w:pPr>
      <w:widowControl/>
      <w:spacing w:line="360" w:lineRule="auto"/>
      <w:ind w:firstLine="420"/>
      <w:jc w:val="left"/>
    </w:pPr>
    <w:rPr>
      <w:rFonts w:ascii="宋体" w:hAnsi="宋体"/>
      <w:szCs w:val="21"/>
    </w:rPr>
  </w:style>
  <w:style w:type="character" w:customStyle="1" w:styleId="466">
    <w:name w:val="我的正文 Char"/>
    <w:link w:val="465"/>
    <w:qFormat/>
    <w:uiPriority w:val="0"/>
    <w:rPr>
      <w:rFonts w:ascii="宋体" w:hAnsi="宋体" w:cs="宋体"/>
      <w:sz w:val="21"/>
      <w:szCs w:val="21"/>
    </w:rPr>
  </w:style>
  <w:style w:type="paragraph" w:customStyle="1" w:styleId="467">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68">
    <w:name w:val=" Char Char Char Char Char"/>
    <w:basedOn w:val="1"/>
    <w:qFormat/>
    <w:uiPriority w:val="0"/>
    <w:rPr>
      <w:rFonts w:ascii="Tahoma" w:hAnsi="Tahoma"/>
      <w:sz w:val="24"/>
    </w:rPr>
  </w:style>
  <w:style w:type="paragraph" w:customStyle="1" w:styleId="469">
    <w:name w:val="修订"/>
    <w:semiHidden/>
    <w:qFormat/>
    <w:uiPriority w:val="0"/>
    <w:rPr>
      <w:rFonts w:hint="default" w:ascii="Times New Roman" w:hAnsi="Times New Roman" w:eastAsia="宋体" w:cs="Times New Roman"/>
      <w:sz w:val="21"/>
      <w:szCs w:val="24"/>
      <w:lang w:val="en-US" w:eastAsia="zh-CN" w:bidi="ar-SA"/>
    </w:rPr>
  </w:style>
  <w:style w:type="paragraph" w:styleId="470">
    <w:name w:val="No Spacing"/>
    <w:qFormat/>
    <w:uiPriority w:val="0"/>
    <w:pPr>
      <w:widowControl w:val="0"/>
      <w:jc w:val="both"/>
    </w:pPr>
    <w:rPr>
      <w:rFonts w:hint="default" w:ascii="Calibri" w:hAnsi="Calibri" w:eastAsia="微软雅黑" w:cs="Times New Roman"/>
      <w:sz w:val="24"/>
      <w:szCs w:val="22"/>
      <w:lang w:val="en-US" w:eastAsia="zh-CN" w:bidi="ar-SA"/>
    </w:rPr>
  </w:style>
  <w:style w:type="paragraph" w:customStyle="1" w:styleId="471">
    <w:name w:val="Char Char Char Char Char Char Char Char Char Char Char Char Char Char"/>
    <w:basedOn w:val="1"/>
    <w:qFormat/>
    <w:uiPriority w:val="0"/>
    <w:rPr>
      <w:rFonts w:ascii="Tahoma" w:hAnsi="Tahoma" w:cs="Tahoma"/>
      <w:sz w:val="24"/>
    </w:rPr>
  </w:style>
  <w:style w:type="paragraph" w:customStyle="1" w:styleId="472">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473">
    <w:name w:val="Char Char Char Char Char Char Char Char Char"/>
    <w:basedOn w:val="1"/>
    <w:qFormat/>
    <w:uiPriority w:val="0"/>
    <w:pPr>
      <w:tabs>
        <w:tab w:val="left" w:pos="360"/>
      </w:tabs>
      <w:ind w:left="200" w:hanging="200"/>
    </w:pPr>
    <w:rPr>
      <w:sz w:val="24"/>
      <w:szCs w:val="24"/>
    </w:rPr>
  </w:style>
  <w:style w:type="paragraph" w:customStyle="1" w:styleId="474">
    <w:name w:val="Test2"/>
    <w:basedOn w:val="45"/>
    <w:qFormat/>
    <w:uiPriority w:val="0"/>
    <w:pPr>
      <w:widowControl/>
      <w:spacing w:before="156" w:after="156" w:line="480" w:lineRule="exact"/>
      <w:jc w:val="center"/>
    </w:pPr>
    <w:rPr>
      <w:rFonts w:ascii="黑体" w:hAnsi="Arial" w:eastAsia="黑体"/>
      <w:bCs/>
      <w:sz w:val="24"/>
    </w:rPr>
  </w:style>
  <w:style w:type="paragraph" w:customStyle="1" w:styleId="475">
    <w:name w:val=" Char Char"/>
    <w:basedOn w:val="1"/>
    <w:qFormat/>
    <w:uiPriority w:val="0"/>
    <w:rPr>
      <w:rFonts w:ascii="Tahoma" w:hAnsi="Tahoma"/>
      <w:sz w:val="24"/>
    </w:rPr>
  </w:style>
  <w:style w:type="paragraph" w:customStyle="1" w:styleId="476">
    <w:name w:val="a0"/>
    <w:basedOn w:val="1"/>
    <w:qFormat/>
    <w:uiPriority w:val="0"/>
    <w:pPr>
      <w:widowControl/>
      <w:spacing w:before="100" w:beforeAutospacing="1" w:after="100" w:afterAutospacing="1"/>
    </w:pPr>
    <w:rPr>
      <w:rFonts w:ascii="宋体" w:hAnsi="宋体" w:cs="宋体"/>
      <w:sz w:val="24"/>
      <w:szCs w:val="24"/>
    </w:rPr>
  </w:style>
  <w:style w:type="paragraph" w:customStyle="1" w:styleId="477">
    <w:name w:val="默认段落字体 Para Char Char Char Char Char Char Char"/>
    <w:basedOn w:val="1"/>
    <w:qFormat/>
    <w:uiPriority w:val="0"/>
  </w:style>
  <w:style w:type="paragraph" w:customStyle="1" w:styleId="478">
    <w:name w:val="公文正文"/>
    <w:basedOn w:val="225"/>
    <w:qFormat/>
    <w:uiPriority w:val="0"/>
    <w:pPr>
      <w:ind w:firstLine="200"/>
    </w:pPr>
    <w:rPr>
      <w:rFonts w:ascii="仿宋_GB2312" w:hAnsi="宋体" w:eastAsia="仿宋_GB2312"/>
      <w:sz w:val="28"/>
      <w:szCs w:val="24"/>
    </w:rPr>
  </w:style>
  <w:style w:type="paragraph" w:customStyle="1" w:styleId="479">
    <w:name w:val="标题3"/>
    <w:basedOn w:val="193"/>
    <w:qFormat/>
    <w:uiPriority w:val="0"/>
    <w:pPr>
      <w:keepNext w:val="0"/>
      <w:keepLines w:val="0"/>
      <w:spacing w:before="0" w:after="0" w:line="360" w:lineRule="auto"/>
    </w:pPr>
    <w:rPr>
      <w:rFonts w:eastAsia="仿宋_GB2312"/>
      <w:b w:val="0"/>
      <w:bCs/>
      <w:sz w:val="30"/>
      <w:szCs w:val="32"/>
    </w:rPr>
  </w:style>
  <w:style w:type="paragraph" w:customStyle="1" w:styleId="480">
    <w:name w:val="纯文本1"/>
    <w:basedOn w:val="1"/>
    <w:qFormat/>
    <w:uiPriority w:val="0"/>
    <w:rPr>
      <w:rFonts w:ascii="宋体" w:hAnsi="宋体" w:eastAsia="楷体_GB2312" w:cs="宋体"/>
      <w:sz w:val="28"/>
    </w:rPr>
  </w:style>
  <w:style w:type="paragraph" w:customStyle="1" w:styleId="481">
    <w:name w:val="xl61"/>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482">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483">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484">
    <w:name w:val="Char Char Char Char Char Char Char Char Char Char Char"/>
    <w:basedOn w:val="1"/>
    <w:qFormat/>
    <w:uiPriority w:val="0"/>
    <w:rPr>
      <w:rFonts w:ascii="Tahoma" w:hAnsi="Tahoma" w:cs="Tahoma"/>
      <w:sz w:val="24"/>
    </w:rPr>
  </w:style>
  <w:style w:type="paragraph" w:customStyle="1" w:styleId="485">
    <w:name w:val="font11"/>
    <w:basedOn w:val="1"/>
    <w:qFormat/>
    <w:uiPriority w:val="0"/>
    <w:pPr>
      <w:widowControl/>
      <w:spacing w:before="100" w:beforeAutospacing="1" w:after="100" w:afterAutospacing="1"/>
      <w:jc w:val="left"/>
    </w:pPr>
    <w:rPr>
      <w:b/>
      <w:bCs/>
      <w:sz w:val="18"/>
      <w:szCs w:val="18"/>
    </w:rPr>
  </w:style>
  <w:style w:type="paragraph" w:customStyle="1" w:styleId="486">
    <w:name w:val="xl25"/>
    <w:basedOn w:val="1"/>
    <w:qFormat/>
    <w:uiPriority w:val="0"/>
    <w:pPr>
      <w:widowControl/>
      <w:pBdr>
        <w:right w:val="single" w:color="000000" w:sz="4" w:space="0"/>
      </w:pBdr>
      <w:spacing w:before="100" w:beforeAutospacing="1" w:after="100" w:afterAutospacing="1"/>
      <w:jc w:val="center"/>
    </w:pPr>
    <w:rPr>
      <w:szCs w:val="21"/>
    </w:rPr>
  </w:style>
  <w:style w:type="paragraph" w:customStyle="1" w:styleId="487">
    <w:name w:val="font12"/>
    <w:basedOn w:val="1"/>
    <w:qFormat/>
    <w:uiPriority w:val="0"/>
    <w:pPr>
      <w:widowControl/>
      <w:spacing w:before="100" w:beforeAutospacing="1" w:after="100" w:afterAutospacing="1"/>
      <w:jc w:val="left"/>
    </w:pPr>
    <w:rPr>
      <w:rFonts w:ascii="宋体" w:hAnsi="宋体" w:cs="宋体"/>
      <w:sz w:val="36"/>
      <w:szCs w:val="36"/>
    </w:rPr>
  </w:style>
  <w:style w:type="paragraph" w:customStyle="1" w:styleId="488">
    <w:name w:val="普通文字"/>
    <w:basedOn w:val="1"/>
    <w:next w:val="1"/>
    <w:qFormat/>
    <w:uiPriority w:val="0"/>
    <w:rPr>
      <w:rFonts w:ascii="宋体" w:hAnsi="宋体" w:cs="宋体"/>
      <w:sz w:val="24"/>
    </w:rPr>
  </w:style>
  <w:style w:type="paragraph" w:customStyle="1" w:styleId="489">
    <w:name w:val="正文缩进2字符"/>
    <w:basedOn w:val="1"/>
    <w:qFormat/>
    <w:uiPriority w:val="0"/>
    <w:pPr>
      <w:spacing w:line="300" w:lineRule="auto"/>
      <w:ind w:firstLine="200"/>
    </w:pPr>
    <w:rPr>
      <w:rFonts w:ascii="仿宋_GB2312" w:eastAsia="仿宋_GB2312"/>
      <w:sz w:val="32"/>
      <w:szCs w:val="32"/>
    </w:rPr>
  </w:style>
  <w:style w:type="paragraph" w:customStyle="1" w:styleId="490">
    <w:name w:val="_Style 14"/>
    <w:basedOn w:val="1"/>
    <w:qFormat/>
    <w:uiPriority w:val="0"/>
    <w:rPr>
      <w:szCs w:val="24"/>
    </w:rPr>
  </w:style>
  <w:style w:type="paragraph" w:customStyle="1" w:styleId="491">
    <w:name w:val="标题1，章节第一层"/>
    <w:basedOn w:val="380"/>
    <w:next w:val="380"/>
    <w:qFormat/>
    <w:uiPriority w:val="0"/>
    <w:pPr>
      <w:tabs>
        <w:tab w:val="left" w:pos="693"/>
      </w:tabs>
      <w:spacing w:before="0"/>
      <w:ind w:left="482"/>
      <w:outlineLvl w:val="0"/>
    </w:pPr>
    <w:rPr>
      <w:color w:val="000000"/>
      <w:sz w:val="24"/>
      <w:szCs w:val="24"/>
    </w:rPr>
  </w:style>
  <w:style w:type="paragraph" w:customStyle="1" w:styleId="492">
    <w:name w:val="Char Char1"/>
    <w:basedOn w:val="1"/>
    <w:qFormat/>
    <w:uiPriority w:val="0"/>
    <w:rPr>
      <w:rFonts w:ascii="Tahoma" w:hAnsi="Tahoma" w:cs="Tahoma"/>
      <w:sz w:val="24"/>
    </w:rPr>
  </w:style>
  <w:style w:type="paragraph" w:customStyle="1" w:styleId="493">
    <w:name w:val="font14"/>
    <w:basedOn w:val="1"/>
    <w:qFormat/>
    <w:uiPriority w:val="0"/>
    <w:pPr>
      <w:widowControl/>
      <w:spacing w:before="100" w:beforeAutospacing="1" w:after="100" w:afterAutospacing="1"/>
      <w:jc w:val="left"/>
    </w:pPr>
    <w:rPr>
      <w:sz w:val="36"/>
      <w:szCs w:val="36"/>
    </w:rPr>
  </w:style>
  <w:style w:type="paragraph" w:customStyle="1" w:styleId="494">
    <w:name w:val="列表内容"/>
    <w:basedOn w:val="1"/>
    <w:next w:val="1"/>
    <w:qFormat/>
    <w:uiPriority w:val="0"/>
    <w:pPr>
      <w:widowControl/>
      <w:tabs>
        <w:tab w:val="left" w:pos="840"/>
      </w:tabs>
      <w:ind w:left="840" w:hanging="420"/>
      <w:jc w:val="left"/>
    </w:pPr>
    <w:rPr>
      <w:sz w:val="18"/>
      <w:szCs w:val="24"/>
    </w:rPr>
  </w:style>
  <w:style w:type="paragraph" w:customStyle="1" w:styleId="495">
    <w:name w:val="Table Paragraph"/>
    <w:basedOn w:val="1"/>
    <w:qFormat/>
    <w:uiPriority w:val="1"/>
    <w:pPr>
      <w:spacing w:before="2"/>
      <w:jc w:val="center"/>
    </w:pPr>
    <w:rPr>
      <w:rFonts w:ascii="仿宋" w:hAnsi="仿宋" w:eastAsia="仿宋" w:cs="仿宋"/>
      <w:sz w:val="22"/>
      <w:szCs w:val="22"/>
    </w:rPr>
  </w:style>
  <w:style w:type="paragraph" w:customStyle="1" w:styleId="496">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rPr>
  </w:style>
  <w:style w:type="paragraph" w:customStyle="1" w:styleId="497">
    <w:name w:val="Bullets L1"/>
    <w:basedOn w:val="1"/>
    <w:qFormat/>
    <w:uiPriority w:val="0"/>
    <w:pPr>
      <w:widowControl/>
      <w:numPr>
        <w:ilvl w:val="0"/>
        <w:numId w:val="4"/>
      </w:numPr>
      <w:spacing w:before="60" w:after="60"/>
      <w:jc w:val="left"/>
    </w:pPr>
    <w:rPr>
      <w:rFonts w:ascii="Arial" w:hAnsi="Arial"/>
      <w:sz w:val="20"/>
    </w:rPr>
  </w:style>
  <w:style w:type="paragraph" w:customStyle="1" w:styleId="498">
    <w:name w:val="默认段落字体 Para Char Char Char Char Char Char Char Char Char1 Char Char Char Char Char Char Char"/>
    <w:basedOn w:val="217"/>
    <w:qFormat/>
    <w:uiPriority w:val="0"/>
  </w:style>
  <w:style w:type="paragraph" w:customStyle="1" w:styleId="499">
    <w:name w:val="xl4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500">
    <w:name w:val="xl53"/>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rPr>
  </w:style>
  <w:style w:type="paragraph" w:customStyle="1" w:styleId="501">
    <w:name w:val="xl4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502">
    <w:name w:val="小四 段落 宋体 Char Char Char Char"/>
    <w:basedOn w:val="1"/>
    <w:qFormat/>
    <w:uiPriority w:val="0"/>
    <w:pPr>
      <w:spacing w:line="360" w:lineRule="auto"/>
      <w:ind w:right="-33" w:firstLine="480"/>
      <w:jc w:val="left"/>
    </w:pPr>
    <w:rPr>
      <w:sz w:val="24"/>
      <w:szCs w:val="24"/>
    </w:rPr>
  </w:style>
  <w:style w:type="paragraph" w:customStyle="1" w:styleId="503">
    <w:name w:val="标准文本"/>
    <w:basedOn w:val="1"/>
    <w:qFormat/>
    <w:uiPriority w:val="0"/>
    <w:pPr>
      <w:spacing w:line="360" w:lineRule="auto"/>
      <w:ind w:firstLine="480"/>
    </w:pPr>
    <w:rPr>
      <w:rFonts w:cs="宋体"/>
      <w:sz w:val="24"/>
      <w:szCs w:val="24"/>
    </w:rPr>
  </w:style>
  <w:style w:type="paragraph" w:customStyle="1" w:styleId="504">
    <w:name w:val="样式2"/>
    <w:basedOn w:val="1"/>
    <w:qFormat/>
    <w:uiPriority w:val="0"/>
    <w:pPr>
      <w:spacing w:line="360" w:lineRule="auto"/>
      <w:ind w:left="200"/>
    </w:pPr>
    <w:rPr>
      <w:rFonts w:ascii="宋体" w:hAnsi="宋体"/>
      <w:b/>
      <w:sz w:val="24"/>
      <w:szCs w:val="24"/>
    </w:rPr>
  </w:style>
  <w:style w:type="paragraph" w:customStyle="1" w:styleId="505">
    <w:name w:val="正文2"/>
    <w:basedOn w:val="1"/>
    <w:qFormat/>
    <w:uiPriority w:val="0"/>
    <w:pPr>
      <w:spacing w:before="156" w:line="360" w:lineRule="auto"/>
      <w:ind w:firstLine="510"/>
    </w:pPr>
    <w:rPr>
      <w:sz w:val="24"/>
    </w:rPr>
  </w:style>
  <w:style w:type="paragraph" w:customStyle="1" w:styleId="506">
    <w:name w:val="Char Char Char Char Char"/>
    <w:basedOn w:val="1"/>
    <w:qFormat/>
    <w:uiPriority w:val="0"/>
    <w:rPr>
      <w:rFonts w:ascii="Tahoma" w:hAnsi="Tahoma" w:cs="Tahoma"/>
      <w:sz w:val="24"/>
    </w:rPr>
  </w:style>
  <w:style w:type="paragraph" w:customStyle="1" w:styleId="507">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508">
    <w:name w:val="Item List Char Char"/>
    <w:qFormat/>
    <w:uiPriority w:val="0"/>
    <w:pPr>
      <w:spacing w:line="288" w:lineRule="auto"/>
      <w:jc w:val="both"/>
    </w:pPr>
    <w:rPr>
      <w:rFonts w:hint="default" w:ascii="Arial" w:hAnsi="Arial" w:eastAsia="宋体" w:cs="Arial"/>
      <w:b/>
      <w:bCs/>
      <w:sz w:val="21"/>
      <w:szCs w:val="28"/>
      <w:lang w:val="en-US" w:eastAsia="zh-CN" w:bidi="ar-SA"/>
    </w:rPr>
  </w:style>
  <w:style w:type="paragraph" w:customStyle="1" w:styleId="509">
    <w:name w:val="样式 段后: 0.25 行"/>
    <w:basedOn w:val="1"/>
    <w:qFormat/>
    <w:uiPriority w:val="0"/>
    <w:pPr>
      <w:widowControl/>
      <w:spacing w:after="78" w:line="300" w:lineRule="auto"/>
      <w:ind w:firstLine="420"/>
      <w:jc w:val="left"/>
    </w:pPr>
    <w:rPr>
      <w:rFonts w:ascii="Arial" w:hAnsi="Arial" w:cs="宋体"/>
      <w:sz w:val="22"/>
      <w:lang w:eastAsia="en-US" w:bidi="en-US"/>
    </w:rPr>
  </w:style>
  <w:style w:type="paragraph" w:customStyle="1" w:styleId="510">
    <w:name w:val="马刚标题1"/>
    <w:basedOn w:val="43"/>
    <w:next w:val="1"/>
    <w:qFormat/>
    <w:uiPriority w:val="0"/>
    <w:pPr>
      <w:keepLines/>
      <w:tabs>
        <w:tab w:val="left" w:pos="315"/>
        <w:tab w:val="left" w:pos="567"/>
      </w:tabs>
      <w:spacing w:before="400" w:after="120" w:line="576" w:lineRule="auto"/>
      <w:ind w:left="567" w:hanging="567"/>
      <w:jc w:val="left"/>
    </w:pPr>
    <w:rPr>
      <w:rFonts w:ascii="Times New Roman"/>
      <w:b w:val="0"/>
      <w:sz w:val="32"/>
      <w:szCs w:val="20"/>
    </w:rPr>
  </w:style>
  <w:style w:type="paragraph" w:customStyle="1" w:styleId="511">
    <w:name w:val="段落"/>
    <w:basedOn w:val="1"/>
    <w:qFormat/>
    <w:uiPriority w:val="0"/>
    <w:pPr>
      <w:spacing w:line="460" w:lineRule="exact"/>
      <w:ind w:firstLine="480"/>
    </w:pPr>
    <w:rPr>
      <w:sz w:val="24"/>
    </w:rPr>
  </w:style>
  <w:style w:type="paragraph" w:customStyle="1" w:styleId="512">
    <w:name w:val="xl5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513">
    <w:name w:val="tableau"/>
    <w:basedOn w:val="1"/>
    <w:qFormat/>
    <w:uiPriority w:val="0"/>
    <w:pPr>
      <w:widowControl/>
      <w:spacing w:before="20" w:after="20"/>
      <w:jc w:val="center"/>
    </w:pPr>
    <w:rPr>
      <w:rFonts w:ascii="Arial" w:hAnsi="Arial"/>
      <w:sz w:val="16"/>
      <w:lang w:val="en-GB" w:eastAsia="en-US"/>
    </w:rPr>
  </w:style>
  <w:style w:type="paragraph" w:customStyle="1" w:styleId="51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515">
    <w:name w:val="表格1"/>
    <w:basedOn w:val="1"/>
    <w:qFormat/>
    <w:uiPriority w:val="0"/>
    <w:rPr>
      <w:rFonts w:ascii="宋体"/>
      <w:szCs w:val="21"/>
    </w:rPr>
  </w:style>
  <w:style w:type="paragraph" w:customStyle="1" w:styleId="516">
    <w:name w:val="Char Char Char"/>
    <w:basedOn w:val="1"/>
    <w:qFormat/>
    <w:uiPriority w:val="0"/>
    <w:rPr>
      <w:rFonts w:ascii="Tahoma" w:hAnsi="Tahoma"/>
      <w:sz w:val="24"/>
    </w:rPr>
  </w:style>
  <w:style w:type="paragraph" w:customStyle="1" w:styleId="517">
    <w:name w:val="font7"/>
    <w:basedOn w:val="1"/>
    <w:qFormat/>
    <w:uiPriority w:val="0"/>
    <w:pPr>
      <w:widowControl/>
      <w:spacing w:before="100" w:beforeAutospacing="1" w:after="100" w:afterAutospacing="1"/>
      <w:jc w:val="left"/>
    </w:pPr>
    <w:rPr>
      <w:rFonts w:hint="eastAsia" w:ascii="宋体" w:hAnsi="宋体"/>
      <w:b/>
      <w:bCs/>
      <w:sz w:val="24"/>
      <w:szCs w:val="24"/>
    </w:rPr>
  </w:style>
  <w:style w:type="paragraph" w:customStyle="1" w:styleId="518">
    <w:name w:val="项目符号，二级"/>
    <w:basedOn w:val="380"/>
    <w:next w:val="380"/>
    <w:qFormat/>
    <w:uiPriority w:val="0"/>
    <w:pPr>
      <w:tabs>
        <w:tab w:val="left" w:pos="567"/>
        <w:tab w:val="left" w:pos="1211"/>
        <w:tab w:val="left" w:pos="1337"/>
      </w:tabs>
      <w:ind w:left="1337" w:right="-27" w:firstLine="480"/>
    </w:pPr>
    <w:rPr>
      <w:bCs w:val="0"/>
      <w:color w:val="000000"/>
      <w:sz w:val="24"/>
      <w:szCs w:val="24"/>
    </w:rPr>
  </w:style>
  <w:style w:type="paragraph" w:customStyle="1" w:styleId="519">
    <w:name w:val="表蕊"/>
    <w:basedOn w:val="1"/>
    <w:qFormat/>
    <w:uiPriority w:val="0"/>
    <w:pPr>
      <w:spacing w:line="320" w:lineRule="atLeast"/>
      <w:jc w:val="left"/>
    </w:pPr>
    <w:rPr>
      <w:rFonts w:eastAsia="楷体_GB2312"/>
      <w:spacing w:val="-10"/>
    </w:rPr>
  </w:style>
  <w:style w:type="paragraph" w:customStyle="1" w:styleId="520">
    <w:name w:val="标题3，章节第三层"/>
    <w:basedOn w:val="1"/>
    <w:next w:val="380"/>
    <w:qFormat/>
    <w:uiPriority w:val="0"/>
    <w:pPr>
      <w:spacing w:before="78" w:line="300" w:lineRule="auto"/>
      <w:outlineLvl w:val="2"/>
    </w:pPr>
    <w:rPr>
      <w:rFonts w:ascii="Arial" w:hAnsi="Arial" w:eastAsia="华文细黑"/>
      <w:sz w:val="30"/>
      <w:szCs w:val="24"/>
    </w:rPr>
  </w:style>
  <w:style w:type="paragraph" w:customStyle="1" w:styleId="521">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522">
    <w:name w:val="正文--表格内正文"/>
    <w:basedOn w:val="1"/>
    <w:qFormat/>
    <w:uiPriority w:val="0"/>
    <w:pPr>
      <w:spacing w:before="156" w:line="0" w:lineRule="atLeast"/>
      <w:jc w:val="center"/>
    </w:pPr>
    <w:rPr>
      <w:rFonts w:ascii="宋体" w:hAnsi="宋体"/>
      <w:color w:val="000000"/>
      <w:sz w:val="24"/>
      <w:szCs w:val="24"/>
    </w:rPr>
  </w:style>
  <w:style w:type="paragraph" w:customStyle="1" w:styleId="523">
    <w:name w:val="Char"/>
    <w:basedOn w:val="1"/>
    <w:semiHidden/>
    <w:qFormat/>
    <w:uiPriority w:val="0"/>
    <w:rPr>
      <w:rFonts w:ascii="Tahoma" w:hAnsi="Tahoma" w:cs="仿宋_GB2312"/>
      <w:sz w:val="24"/>
      <w:szCs w:val="28"/>
    </w:rPr>
  </w:style>
  <w:style w:type="paragraph" w:customStyle="1" w:styleId="524">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525">
    <w:name w:val="样式3"/>
    <w:basedOn w:val="1"/>
    <w:next w:val="1"/>
    <w:qFormat/>
    <w:uiPriority w:val="0"/>
    <w:pPr>
      <w:spacing w:line="360" w:lineRule="auto"/>
    </w:pPr>
  </w:style>
  <w:style w:type="paragraph" w:customStyle="1" w:styleId="526">
    <w:name w:val="Item Step in Table"/>
    <w:qFormat/>
    <w:uiPriority w:val="0"/>
    <w:pPr>
      <w:numPr>
        <w:ilvl w:val="0"/>
        <w:numId w:val="3"/>
      </w:numPr>
      <w:spacing w:before="40" w:after="40"/>
      <w:jc w:val="both"/>
    </w:pPr>
    <w:rPr>
      <w:rFonts w:hint="default" w:ascii="Arial" w:hAnsi="Arial" w:eastAsia="宋体" w:cs="Arial"/>
      <w:sz w:val="18"/>
      <w:szCs w:val="18"/>
      <w:lang w:val="en-US" w:eastAsia="zh-CN" w:bidi="ar-SA"/>
    </w:rPr>
  </w:style>
  <w:style w:type="paragraph" w:customStyle="1" w:styleId="527">
    <w:name w:val="华宇段落1 Char"/>
    <w:basedOn w:val="1"/>
    <w:qFormat/>
    <w:uiPriority w:val="0"/>
    <w:pPr>
      <w:spacing w:line="360" w:lineRule="auto"/>
      <w:ind w:firstLine="200"/>
    </w:pPr>
    <w:rPr>
      <w:bCs/>
      <w:sz w:val="24"/>
      <w:szCs w:val="24"/>
    </w:rPr>
  </w:style>
  <w:style w:type="paragraph" w:customStyle="1" w:styleId="528">
    <w:name w:val="Char2 Char Char Char Char Char Char1"/>
    <w:basedOn w:val="1"/>
    <w:qFormat/>
    <w:uiPriority w:val="0"/>
    <w:pPr>
      <w:keepNext/>
      <w:widowControl/>
      <w:tabs>
        <w:tab w:val="left" w:pos="425"/>
      </w:tabs>
      <w:spacing w:before="80" w:after="80"/>
      <w:ind w:hanging="425"/>
    </w:pPr>
    <w:rPr>
      <w:rFonts w:ascii="Arial" w:hAnsi="Arial" w:cs="Arial"/>
      <w:sz w:val="20"/>
    </w:rPr>
  </w:style>
  <w:style w:type="paragraph" w:customStyle="1" w:styleId="529">
    <w:name w:val="丁华标题3"/>
    <w:basedOn w:val="530"/>
    <w:next w:val="368"/>
    <w:qFormat/>
    <w:uiPriority w:val="0"/>
    <w:pPr>
      <w:numPr>
        <w:ilvl w:val="2"/>
        <w:numId w:val="2"/>
      </w:numPr>
      <w:tabs>
        <w:tab w:val="left" w:pos="1004"/>
        <w:tab w:val="left" w:pos="1470"/>
        <w:tab w:val="left" w:pos="1980"/>
      </w:tabs>
      <w:spacing w:after="0"/>
      <w:ind w:left="1980" w:hanging="420"/>
      <w:outlineLvl w:val="2"/>
    </w:pPr>
    <w:rPr>
      <w:sz w:val="24"/>
    </w:rPr>
  </w:style>
  <w:style w:type="paragraph" w:customStyle="1" w:styleId="530">
    <w:name w:val="丁华标题2"/>
    <w:basedOn w:val="45"/>
    <w:next w:val="368"/>
    <w:qFormat/>
    <w:uiPriority w:val="0"/>
    <w:pPr>
      <w:numPr>
        <w:ilvl w:val="1"/>
        <w:numId w:val="2"/>
      </w:numPr>
      <w:spacing w:line="415" w:lineRule="auto"/>
    </w:pPr>
    <w:rPr>
      <w:rFonts w:ascii="Arial" w:hAnsi="Arial" w:eastAsia="黑体"/>
      <w:b w:val="0"/>
      <w:sz w:val="28"/>
      <w:szCs w:val="20"/>
    </w:rPr>
  </w:style>
  <w:style w:type="paragraph" w:customStyle="1" w:styleId="531">
    <w:name w:val="7"/>
    <w:basedOn w:val="1"/>
    <w:next w:val="260"/>
    <w:qFormat/>
    <w:uiPriority w:val="0"/>
    <w:pPr>
      <w:widowControl/>
      <w:spacing w:before="100" w:beforeAutospacing="1" w:after="100" w:afterAutospacing="1"/>
      <w:jc w:val="left"/>
    </w:pPr>
    <w:rPr>
      <w:rFonts w:ascii="宋体" w:hAnsi="宋体"/>
      <w:sz w:val="24"/>
    </w:rPr>
  </w:style>
  <w:style w:type="paragraph" w:customStyle="1" w:styleId="532">
    <w:name w:val="qw"/>
    <w:qFormat/>
    <w:uiPriority w:val="0"/>
    <w:pPr>
      <w:widowControl w:val="0"/>
      <w:spacing w:line="312" w:lineRule="atLeast"/>
      <w:jc w:val="both"/>
    </w:pPr>
    <w:rPr>
      <w:rFonts w:hint="default" w:ascii="宋体" w:hAnsi="Times New Roman" w:eastAsia="宋体" w:cs="Times New Roman"/>
      <w:sz w:val="24"/>
      <w:lang w:val="en-US" w:eastAsia="zh-CN" w:bidi="ar-SA"/>
    </w:rPr>
  </w:style>
  <w:style w:type="paragraph" w:customStyle="1" w:styleId="533">
    <w:name w:val="Char Char Char Char Char Char Char Char Char Char Char Char Char Char Char Char Char Char Char Char Char Char Char"/>
    <w:basedOn w:val="1"/>
    <w:qFormat/>
    <w:uiPriority w:val="0"/>
    <w:rPr>
      <w:rFonts w:ascii="Tahoma" w:hAnsi="Tahoma" w:cs="Tahoma"/>
      <w:sz w:val="24"/>
    </w:rPr>
  </w:style>
  <w:style w:type="paragraph" w:customStyle="1" w:styleId="534">
    <w:name w:val="样式"/>
    <w:basedOn w:val="1"/>
    <w:qFormat/>
    <w:uiPriority w:val="0"/>
    <w:pPr>
      <w:spacing w:before="120" w:after="120" w:line="360" w:lineRule="auto"/>
    </w:pPr>
    <w:rPr>
      <w:rFonts w:ascii="宋体"/>
      <w:sz w:val="24"/>
    </w:rPr>
  </w:style>
  <w:style w:type="paragraph" w:customStyle="1" w:styleId="535">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sz w:val="20"/>
    </w:rPr>
  </w:style>
  <w:style w:type="paragraph" w:customStyle="1" w:styleId="536">
    <w:name w:val=" Char Char Char Char Char Char Char Char Char Char Char Char Char"/>
    <w:basedOn w:val="217"/>
    <w:qFormat/>
    <w:uiPriority w:val="0"/>
    <w:rPr>
      <w:rFonts w:ascii="Tahoma" w:hAnsi="Tahoma"/>
      <w:sz w:val="24"/>
      <w:szCs w:val="24"/>
    </w:rPr>
  </w:style>
  <w:style w:type="paragraph" w:customStyle="1" w:styleId="537">
    <w:name w:val="表格"/>
    <w:basedOn w:val="1"/>
    <w:qFormat/>
    <w:uiPriority w:val="0"/>
    <w:pPr>
      <w:ind w:firstLine="21"/>
    </w:pPr>
    <w:rPr>
      <w:rFonts w:ascii="宋体" w:hAnsi="宋体" w:cs="宋体"/>
      <w:sz w:val="20"/>
    </w:rPr>
  </w:style>
  <w:style w:type="paragraph" w:customStyle="1" w:styleId="538">
    <w:name w:val="font10"/>
    <w:basedOn w:val="1"/>
    <w:qFormat/>
    <w:uiPriority w:val="0"/>
    <w:pPr>
      <w:widowControl/>
      <w:spacing w:before="100" w:beforeAutospacing="1" w:after="100" w:afterAutospacing="1"/>
      <w:jc w:val="left"/>
    </w:pPr>
    <w:rPr>
      <w:rFonts w:ascii="楷体_GB2312" w:hAnsi="宋体" w:eastAsia="楷体_GB2312" w:cs="宋体"/>
      <w:b/>
      <w:bCs/>
      <w:sz w:val="18"/>
      <w:szCs w:val="18"/>
    </w:rPr>
  </w:style>
  <w:style w:type="paragraph" w:customStyle="1" w:styleId="539">
    <w:name w:val="段 Char"/>
    <w:qFormat/>
    <w:uiPriority w:val="0"/>
    <w:pPr>
      <w:ind w:firstLine="200"/>
      <w:jc w:val="both"/>
    </w:pPr>
    <w:rPr>
      <w:rFonts w:hint="default" w:ascii="宋体" w:hAnsi="Times New Roman" w:eastAsia="宋体" w:cs="Times New Roman"/>
      <w:sz w:val="21"/>
      <w:lang w:val="en-US" w:eastAsia="zh-CN" w:bidi="ar-SA"/>
    </w:rPr>
  </w:style>
  <w:style w:type="paragraph" w:styleId="540">
    <w:name w:val="List Paragraph"/>
    <w:basedOn w:val="1"/>
    <w:qFormat/>
    <w:uiPriority w:val="0"/>
    <w:pPr>
      <w:widowControl/>
      <w:ind w:left="720"/>
      <w:contextualSpacing/>
      <w:jc w:val="left"/>
    </w:pPr>
    <w:rPr>
      <w:rFonts w:ascii="Arial" w:hAnsi="Arial" w:eastAsia="黑体"/>
      <w:sz w:val="24"/>
      <w:szCs w:val="24"/>
      <w:lang w:eastAsia="en-US"/>
    </w:rPr>
  </w:style>
  <w:style w:type="paragraph" w:customStyle="1" w:styleId="541">
    <w:name w:val="样式 标题二 + 首行缩进:  2 字符 段前: 0.5 行 段后: 0.5 行"/>
    <w:basedOn w:val="1"/>
    <w:semiHidden/>
    <w:qFormat/>
    <w:uiPriority w:val="0"/>
    <w:pPr>
      <w:ind w:firstLine="600"/>
    </w:pPr>
    <w:rPr>
      <w:rFonts w:ascii="Arial" w:hAnsi="Arial" w:eastAsia="楷体_GB2312" w:cs="宋体"/>
      <w:b/>
      <w:sz w:val="30"/>
    </w:rPr>
  </w:style>
  <w:style w:type="paragraph" w:customStyle="1" w:styleId="542">
    <w:name w:val="flType"/>
    <w:basedOn w:val="407"/>
    <w:qFormat/>
    <w:uiPriority w:val="0"/>
    <w:pPr>
      <w:spacing w:after="284"/>
    </w:pPr>
    <w:rPr>
      <w:rFonts w:eastAsia="宋体"/>
    </w:rPr>
  </w:style>
  <w:style w:type="paragraph" w:customStyle="1" w:styleId="543">
    <w:name w:val="公文标题 2"/>
    <w:basedOn w:val="1"/>
    <w:next w:val="478"/>
    <w:qFormat/>
    <w:uiPriority w:val="0"/>
    <w:pPr>
      <w:outlineLvl w:val="1"/>
    </w:pPr>
    <w:rPr>
      <w:rFonts w:ascii="仿宋_GB2312" w:hAnsi="宋体" w:eastAsia="仿宋_GB2312"/>
      <w:sz w:val="28"/>
      <w:szCs w:val="24"/>
    </w:rPr>
  </w:style>
  <w:style w:type="paragraph" w:customStyle="1" w:styleId="544">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545">
    <w:name w:val="retrait3"/>
    <w:basedOn w:val="1"/>
    <w:qFormat/>
    <w:uiPriority w:val="0"/>
    <w:pPr>
      <w:widowControl/>
      <w:spacing w:before="20" w:after="20"/>
      <w:ind w:left="851"/>
      <w:jc w:val="left"/>
    </w:pPr>
    <w:rPr>
      <w:rFonts w:ascii="Arial" w:hAnsi="Arial"/>
      <w:sz w:val="24"/>
      <w:lang w:val="en-GB"/>
    </w:rPr>
  </w:style>
  <w:style w:type="paragraph" w:customStyle="1" w:styleId="546">
    <w:name w:val=" Char Char1"/>
    <w:basedOn w:val="1"/>
    <w:qFormat/>
    <w:uiPriority w:val="0"/>
    <w:rPr>
      <w:rFonts w:ascii="Tahoma" w:hAnsi="Tahoma"/>
      <w:sz w:val="24"/>
    </w:rPr>
  </w:style>
  <w:style w:type="paragraph" w:customStyle="1" w:styleId="547">
    <w:name w:val="Char Char Char Char"/>
    <w:basedOn w:val="217"/>
    <w:qFormat/>
    <w:uiPriority w:val="0"/>
    <w:pPr>
      <w:spacing w:line="360" w:lineRule="auto"/>
    </w:pPr>
    <w:rPr>
      <w:rFonts w:ascii="Tahoma" w:hAnsi="Tahoma"/>
      <w:sz w:val="24"/>
      <w:szCs w:val="24"/>
    </w:rPr>
  </w:style>
  <w:style w:type="paragraph" w:customStyle="1" w:styleId="548">
    <w:name w:val="Char Char Char Char Char Char"/>
    <w:basedOn w:val="1"/>
    <w:qFormat/>
    <w:uiPriority w:val="0"/>
    <w:rPr>
      <w:rFonts w:ascii="Tahoma" w:hAnsi="Tahoma" w:cs="Tahoma"/>
      <w:sz w:val="24"/>
    </w:rPr>
  </w:style>
  <w:style w:type="paragraph" w:customStyle="1" w:styleId="549">
    <w:name w:val="条1"/>
    <w:basedOn w:val="1"/>
    <w:qFormat/>
    <w:uiPriority w:val="0"/>
    <w:pPr>
      <w:tabs>
        <w:tab w:val="left" w:pos="780"/>
      </w:tabs>
      <w:spacing w:before="156" w:line="360" w:lineRule="auto"/>
      <w:ind w:left="780" w:hanging="360"/>
    </w:pPr>
    <w:rPr>
      <w:rFonts w:eastAsia="黑体"/>
      <w:sz w:val="24"/>
    </w:rPr>
  </w:style>
  <w:style w:type="paragraph" w:customStyle="1" w:styleId="550">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551">
    <w:name w:val="正文1"/>
    <w:basedOn w:val="1"/>
    <w:next w:val="1"/>
    <w:qFormat/>
    <w:uiPriority w:val="0"/>
    <w:pPr>
      <w:spacing w:before="156" w:line="360" w:lineRule="auto"/>
      <w:ind w:firstLine="510"/>
    </w:pPr>
    <w:rPr>
      <w:sz w:val="24"/>
    </w:rPr>
  </w:style>
  <w:style w:type="paragraph" w:customStyle="1" w:styleId="552">
    <w:name w:val=" Char Char Char Char"/>
    <w:basedOn w:val="1"/>
    <w:qFormat/>
    <w:uiPriority w:val="0"/>
    <w:pPr>
      <w:widowControl/>
      <w:spacing w:after="160" w:line="240" w:lineRule="exact"/>
      <w:jc w:val="center"/>
    </w:pPr>
    <w:rPr>
      <w:rFonts w:ascii="黑体" w:hAnsi="Verdana" w:eastAsia="黑体"/>
      <w:sz w:val="32"/>
      <w:szCs w:val="32"/>
      <w:lang w:eastAsia="en-US"/>
    </w:rPr>
  </w:style>
  <w:style w:type="paragraph" w:customStyle="1" w:styleId="553">
    <w:name w:val="方案正文"/>
    <w:basedOn w:val="1"/>
    <w:qFormat/>
    <w:uiPriority w:val="0"/>
    <w:pPr>
      <w:spacing w:before="156" w:line="360" w:lineRule="auto"/>
      <w:ind w:firstLine="359"/>
      <w:jc w:val="left"/>
    </w:pPr>
    <w:rPr>
      <w:rFonts w:ascii="Arial" w:hAnsi="Arial" w:cs="宋体"/>
      <w:sz w:val="24"/>
      <w:szCs w:val="21"/>
    </w:rPr>
  </w:style>
  <w:style w:type="paragraph" w:customStyle="1" w:styleId="554">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555">
    <w:name w:val="Normal11"/>
    <w:basedOn w:val="1"/>
    <w:qFormat/>
    <w:uiPriority w:val="0"/>
    <w:rPr>
      <w:rFonts w:ascii="Calibri" w:hAnsi="Calibri" w:eastAsia="Calibri" w:cs="宋体"/>
      <w:lang w:val="zh-CN"/>
    </w:rPr>
  </w:style>
  <w:style w:type="paragraph" w:customStyle="1" w:styleId="556">
    <w:name w:val=" Char Char Char Char Char Char Char Char Char Char Char Char Char Char Char Char Char Char Char Char Char"/>
    <w:basedOn w:val="1"/>
    <w:qFormat/>
    <w:uiPriority w:val="0"/>
    <w:rPr>
      <w:rFonts w:ascii="Tahoma" w:hAnsi="Tahoma"/>
      <w:sz w:val="24"/>
    </w:rPr>
  </w:style>
  <w:style w:type="paragraph" w:customStyle="1" w:styleId="557">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558">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cs="宋体"/>
      <w:b/>
      <w:bCs/>
      <w:sz w:val="24"/>
      <w:szCs w:val="24"/>
    </w:rPr>
  </w:style>
  <w:style w:type="paragraph" w:customStyle="1" w:styleId="559">
    <w:name w:val="标准小四"/>
    <w:basedOn w:val="1"/>
    <w:qFormat/>
    <w:uiPriority w:val="0"/>
    <w:pPr>
      <w:spacing w:line="360" w:lineRule="auto"/>
      <w:ind w:firstLine="480"/>
    </w:pPr>
    <w:rPr>
      <w:rFonts w:ascii="Arial" w:hAnsi="Arial"/>
      <w:sz w:val="24"/>
      <w:szCs w:val="21"/>
    </w:rPr>
  </w:style>
  <w:style w:type="paragraph" w:customStyle="1" w:styleId="560">
    <w:name w:val="小四 段落 宋体"/>
    <w:basedOn w:val="215"/>
    <w:qFormat/>
    <w:uiPriority w:val="0"/>
    <w:pPr>
      <w:tabs>
        <w:tab w:val="clear" w:pos="2952"/>
      </w:tabs>
      <w:spacing w:line="360" w:lineRule="auto"/>
      <w:ind w:left="113" w:right="113" w:firstLine="425"/>
      <w:jc w:val="left"/>
    </w:pPr>
    <w:rPr>
      <w:sz w:val="24"/>
    </w:rPr>
  </w:style>
  <w:style w:type="paragraph" w:customStyle="1" w:styleId="561">
    <w:name w:val="Char Char"/>
    <w:basedOn w:val="1"/>
    <w:qFormat/>
    <w:uiPriority w:val="0"/>
    <w:rPr>
      <w:rFonts w:ascii="Tahoma" w:hAnsi="Tahoma" w:cs="Tahoma"/>
      <w:sz w:val="24"/>
    </w:rPr>
  </w:style>
  <w:style w:type="paragraph" w:customStyle="1" w:styleId="562">
    <w:name w:val="样式 标题 2 + Times New Roman 四号 非加粗 段前: 5 磅 段后: 0 磅 行距: 固定值 20..."/>
    <w:basedOn w:val="45"/>
    <w:qFormat/>
    <w:uiPriority w:val="0"/>
    <w:pPr>
      <w:spacing w:before="100" w:after="0" w:line="400" w:lineRule="exact"/>
      <w:jc w:val="both"/>
    </w:pPr>
    <w:rPr>
      <w:rFonts w:ascii="Times New Roman" w:hAnsi="Times New Roman" w:eastAsia="黑体"/>
      <w:b w:val="0"/>
      <w:sz w:val="28"/>
      <w:szCs w:val="20"/>
    </w:rPr>
  </w:style>
  <w:style w:type="paragraph" w:customStyle="1" w:styleId="563">
    <w:name w:val="样式 段后: 0.5 行 左  0.75 字符"/>
    <w:basedOn w:val="1"/>
    <w:qFormat/>
    <w:uiPriority w:val="0"/>
    <w:pPr>
      <w:widowControl/>
      <w:spacing w:line="360" w:lineRule="auto"/>
      <w:ind w:firstLine="420"/>
    </w:pPr>
    <w:rPr>
      <w:rFonts w:hAnsi="Arial" w:cs="Arial"/>
      <w:szCs w:val="21"/>
    </w:rPr>
  </w:style>
  <w:style w:type="paragraph" w:customStyle="1" w:styleId="564">
    <w:name w:val="xl51"/>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65">
    <w:name w:val="Default"/>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566">
    <w:name w:val="列出段落"/>
    <w:basedOn w:val="1"/>
    <w:qFormat/>
    <w:uiPriority w:val="34"/>
    <w:pPr>
      <w:ind w:firstLine="420"/>
    </w:pPr>
    <w:rPr>
      <w:szCs w:val="24"/>
    </w:rPr>
  </w:style>
  <w:style w:type="paragraph" w:customStyle="1" w:styleId="567">
    <w:name w:val="项目符号：一级"/>
    <w:basedOn w:val="380"/>
    <w:next w:val="380"/>
    <w:qFormat/>
    <w:uiPriority w:val="0"/>
    <w:pPr>
      <w:ind w:right="-134"/>
    </w:pPr>
    <w:rPr>
      <w:bCs w:val="0"/>
    </w:rPr>
  </w:style>
  <w:style w:type="paragraph" w:customStyle="1" w:styleId="568">
    <w:name w:val="样式 样式 标题 3H3sect1.2.3BOD 0Heading 3 - oldh3l3CTLevel 3 Head... +..."/>
    <w:basedOn w:val="1"/>
    <w:qFormat/>
    <w:uiPriority w:val="0"/>
    <w:pPr>
      <w:keepNext/>
      <w:keepLines/>
      <w:spacing w:before="156" w:after="156"/>
      <w:jc w:val="left"/>
      <w:outlineLvl w:val="2"/>
    </w:pPr>
    <w:rPr>
      <w:rFonts w:cs="宋体"/>
      <w:b/>
      <w:bCs/>
      <w:sz w:val="24"/>
    </w:rPr>
  </w:style>
  <w:style w:type="paragraph" w:customStyle="1" w:styleId="569">
    <w:name w:val="小四 段落 宋体 Char Char"/>
    <w:basedOn w:val="1"/>
    <w:qFormat/>
    <w:uiPriority w:val="0"/>
    <w:pPr>
      <w:spacing w:line="360" w:lineRule="auto"/>
      <w:ind w:firstLine="480"/>
    </w:pPr>
    <w:rPr>
      <w:rFonts w:ascii="宋体" w:hAnsi="宋体"/>
      <w:sz w:val="24"/>
      <w:szCs w:val="24"/>
    </w:rPr>
  </w:style>
  <w:style w:type="paragraph" w:customStyle="1" w:styleId="570">
    <w:name w:val="Char Char Char Char Char Char Char Char"/>
    <w:basedOn w:val="1"/>
    <w:qFormat/>
    <w:uiPriority w:val="0"/>
    <w:rPr>
      <w:rFonts w:ascii="Tahoma" w:hAnsi="Tahoma" w:cs="Tahoma"/>
      <w:sz w:val="24"/>
    </w:rPr>
  </w:style>
  <w:style w:type="paragraph" w:customStyle="1" w:styleId="571">
    <w:name w:val="greytypebeni"/>
    <w:basedOn w:val="1"/>
    <w:qFormat/>
    <w:uiPriority w:val="0"/>
    <w:pPr>
      <w:widowControl/>
      <w:jc w:val="left"/>
    </w:pPr>
    <w:rPr>
      <w:rFonts w:ascii="宋体" w:hAnsi="宋体" w:cs="宋体"/>
      <w:sz w:val="24"/>
      <w:szCs w:val="24"/>
    </w:rPr>
  </w:style>
  <w:style w:type="paragraph" w:customStyle="1" w:styleId="572">
    <w:name w:val="正文lzq"/>
    <w:basedOn w:val="1"/>
    <w:qFormat/>
    <w:uiPriority w:val="0"/>
    <w:pPr>
      <w:spacing w:line="360" w:lineRule="auto"/>
      <w:ind w:firstLine="480"/>
    </w:pPr>
    <w:rPr>
      <w:sz w:val="24"/>
    </w:rPr>
  </w:style>
  <w:style w:type="paragraph" w:customStyle="1" w:styleId="573">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574">
    <w:name w:val="大标题"/>
    <w:basedOn w:val="1"/>
    <w:next w:val="1"/>
    <w:qFormat/>
    <w:uiPriority w:val="0"/>
    <w:pPr>
      <w:pageBreakBefore/>
      <w:tabs>
        <w:tab w:val="left" w:pos="420"/>
      </w:tabs>
      <w:spacing w:line="360" w:lineRule="auto"/>
      <w:ind w:hanging="420"/>
      <w:outlineLvl w:val="0"/>
    </w:pPr>
    <w:rPr>
      <w:b/>
      <w:iCs/>
      <w:sz w:val="44"/>
      <w:szCs w:val="24"/>
    </w:rPr>
  </w:style>
  <w:style w:type="paragraph" w:customStyle="1" w:styleId="575">
    <w:name w:val="正文 居中"/>
    <w:basedOn w:val="1"/>
    <w:qFormat/>
    <w:uiPriority w:val="0"/>
    <w:pPr>
      <w:spacing w:line="360" w:lineRule="auto"/>
      <w:jc w:val="center"/>
    </w:pPr>
    <w:rPr>
      <w:sz w:val="24"/>
    </w:rPr>
  </w:style>
  <w:style w:type="paragraph" w:customStyle="1" w:styleId="576">
    <w:name w:val="font8"/>
    <w:basedOn w:val="1"/>
    <w:qFormat/>
    <w:uiPriority w:val="0"/>
    <w:pPr>
      <w:widowControl/>
      <w:spacing w:before="100" w:beforeAutospacing="1" w:after="100" w:afterAutospacing="1"/>
      <w:jc w:val="left"/>
    </w:pPr>
    <w:rPr>
      <w:rFonts w:ascii="宋体" w:hAnsi="宋体" w:cs="宋体"/>
      <w:b/>
      <w:bCs/>
      <w:i/>
      <w:iCs/>
      <w:sz w:val="20"/>
    </w:rPr>
  </w:style>
  <w:style w:type="paragraph" w:customStyle="1" w:styleId="577">
    <w:name w:val="标题 4宋体"/>
    <w:basedOn w:val="194"/>
    <w:qFormat/>
    <w:uiPriority w:val="0"/>
    <w:pPr>
      <w:keepLines w:val="0"/>
      <w:spacing w:before="0" w:after="0" w:line="360" w:lineRule="auto"/>
      <w:jc w:val="left"/>
    </w:pPr>
    <w:rPr>
      <w:rFonts w:ascii="宋体" w:hAnsi="宋体" w:eastAsia="宋体"/>
      <w:bCs/>
      <w:color w:val="000000"/>
      <w:sz w:val="24"/>
    </w:rPr>
  </w:style>
  <w:style w:type="paragraph" w:customStyle="1" w:styleId="578">
    <w:name w:val="Table Text Char"/>
    <w:qFormat/>
    <w:uiPriority w:val="0"/>
    <w:pPr>
      <w:spacing w:before="80" w:after="80"/>
    </w:pPr>
    <w:rPr>
      <w:rFonts w:hint="default" w:ascii="Arial" w:hAnsi="Arial" w:eastAsia="宋体" w:cs="Arial"/>
      <w:sz w:val="18"/>
      <w:szCs w:val="28"/>
      <w:lang w:val="en-US" w:eastAsia="zh-CN" w:bidi="ar-SA"/>
    </w:rPr>
  </w:style>
  <w:style w:type="paragraph" w:customStyle="1" w:styleId="579">
    <w:name w:val="Body Text 21"/>
    <w:basedOn w:val="1"/>
    <w:qFormat/>
    <w:uiPriority w:val="0"/>
    <w:pPr>
      <w:widowControl/>
      <w:ind w:left="720" w:hanging="720"/>
    </w:pPr>
    <w:rPr>
      <w:sz w:val="24"/>
      <w:lang w:val="en-GB"/>
    </w:rPr>
  </w:style>
  <w:style w:type="paragraph" w:customStyle="1" w:styleId="580">
    <w:name w:val="小四 段落 宋体 Char Char Char"/>
    <w:basedOn w:val="215"/>
    <w:qFormat/>
    <w:uiPriority w:val="0"/>
    <w:pPr>
      <w:tabs>
        <w:tab w:val="clear" w:pos="2952"/>
      </w:tabs>
      <w:spacing w:line="360" w:lineRule="auto"/>
      <w:ind w:left="0" w:right="-33" w:firstLine="545"/>
      <w:jc w:val="left"/>
    </w:pPr>
    <w:rPr>
      <w:sz w:val="24"/>
    </w:rPr>
  </w:style>
  <w:style w:type="paragraph" w:customStyle="1" w:styleId="581">
    <w:name w:val="Char Char1 Char Char Char Char"/>
    <w:basedOn w:val="217"/>
    <w:qFormat/>
    <w:uiPriority w:val="0"/>
    <w:pPr>
      <w:spacing w:line="436" w:lineRule="exact"/>
      <w:ind w:left="357"/>
      <w:jc w:val="left"/>
      <w:outlineLvl w:val="3"/>
    </w:pPr>
    <w:rPr>
      <w:rFonts w:ascii="Tahoma" w:hAnsi="Tahoma" w:cs="Tahoma"/>
      <w:b/>
      <w:sz w:val="24"/>
      <w:szCs w:val="24"/>
    </w:rPr>
  </w:style>
  <w:style w:type="paragraph" w:customStyle="1" w:styleId="582">
    <w:name w:val="Char Char Char Char Char Char Char Char Char Char Char Char Char Char Char Char Char Char Char Char Char"/>
    <w:basedOn w:val="1"/>
    <w:qFormat/>
    <w:uiPriority w:val="0"/>
    <w:rPr>
      <w:rFonts w:ascii="Tahoma" w:hAnsi="Tahoma" w:cs="Tahoma"/>
      <w:sz w:val="24"/>
    </w:rPr>
  </w:style>
  <w:style w:type="paragraph" w:customStyle="1" w:styleId="583">
    <w:name w:val="插图"/>
    <w:basedOn w:val="1"/>
    <w:qFormat/>
    <w:uiPriority w:val="0"/>
    <w:pPr>
      <w:tabs>
        <w:tab w:val="left" w:pos="1620"/>
      </w:tabs>
      <w:jc w:val="center"/>
    </w:pPr>
    <w:rPr>
      <w:bCs/>
      <w:color w:val="000000"/>
      <w:szCs w:val="22"/>
    </w:rPr>
  </w:style>
  <w:style w:type="paragraph" w:customStyle="1" w:styleId="584">
    <w:name w:val="样式 正文 + 首行缩进:  2 字符"/>
    <w:basedOn w:val="1"/>
    <w:semiHidden/>
    <w:qFormat/>
    <w:uiPriority w:val="0"/>
    <w:pPr>
      <w:spacing w:line="320" w:lineRule="exact"/>
      <w:ind w:firstLine="480"/>
    </w:pPr>
    <w:rPr>
      <w:rFonts w:ascii="Arial" w:hAnsi="Arial" w:cs="宋体"/>
      <w:sz w:val="24"/>
    </w:rPr>
  </w:style>
  <w:style w:type="paragraph" w:customStyle="1" w:styleId="585">
    <w:name w:val="正文文本 New New"/>
    <w:basedOn w:val="1"/>
    <w:qFormat/>
    <w:uiPriority w:val="0"/>
    <w:pPr>
      <w:widowControl/>
      <w:spacing w:before="60" w:after="60" w:line="360" w:lineRule="auto"/>
      <w:ind w:firstLine="200"/>
    </w:pPr>
    <w:rPr>
      <w:rFonts w:eastAsia="华文楷体"/>
      <w:sz w:val="24"/>
      <w:szCs w:val="24"/>
    </w:rPr>
  </w:style>
  <w:style w:type="paragraph" w:customStyle="1" w:styleId="586">
    <w:name w:val="符号与编号"/>
    <w:basedOn w:val="1"/>
    <w:qFormat/>
    <w:uiPriority w:val="0"/>
    <w:pPr>
      <w:tabs>
        <w:tab w:val="left" w:pos="900"/>
      </w:tabs>
      <w:spacing w:after="156" w:line="400" w:lineRule="atLeast"/>
      <w:ind w:left="900" w:hanging="420"/>
    </w:pPr>
    <w:rPr>
      <w:sz w:val="24"/>
      <w:szCs w:val="24"/>
    </w:rPr>
  </w:style>
  <w:style w:type="paragraph" w:customStyle="1" w:styleId="587">
    <w:name w:val="Pa6"/>
    <w:basedOn w:val="1"/>
    <w:next w:val="1"/>
    <w:qFormat/>
    <w:uiPriority w:val="0"/>
    <w:pPr>
      <w:spacing w:line="241" w:lineRule="atLeast"/>
      <w:jc w:val="left"/>
    </w:pPr>
    <w:rPr>
      <w:rFonts w:ascii="汉仪大黑简" w:eastAsia="汉仪大黑简"/>
      <w:sz w:val="24"/>
      <w:szCs w:val="24"/>
    </w:rPr>
  </w:style>
  <w:style w:type="paragraph" w:customStyle="1" w:styleId="588">
    <w:name w:val="样式 正文 + 首行缩进:  2 字符1"/>
    <w:basedOn w:val="1"/>
    <w:semiHidden/>
    <w:qFormat/>
    <w:uiPriority w:val="0"/>
    <w:pPr>
      <w:spacing w:line="320" w:lineRule="exact"/>
      <w:ind w:firstLine="480"/>
    </w:pPr>
    <w:rPr>
      <w:rFonts w:ascii="Arial" w:hAnsi="Arial" w:cs="宋体"/>
      <w:sz w:val="24"/>
    </w:rPr>
  </w:style>
  <w:style w:type="paragraph" w:customStyle="1" w:styleId="589">
    <w:name w:val="符号与编号 Char"/>
    <w:basedOn w:val="1"/>
    <w:qFormat/>
    <w:uiPriority w:val="0"/>
    <w:pPr>
      <w:tabs>
        <w:tab w:val="left" w:pos="720"/>
      </w:tabs>
      <w:spacing w:after="156" w:line="400" w:lineRule="atLeast"/>
      <w:ind w:left="720"/>
    </w:pPr>
    <w:rPr>
      <w:sz w:val="24"/>
      <w:szCs w:val="24"/>
    </w:rPr>
  </w:style>
  <w:style w:type="paragraph" w:customStyle="1" w:styleId="590">
    <w:name w:val="Table Text"/>
    <w:basedOn w:val="1"/>
    <w:semiHidden/>
    <w:qFormat/>
    <w:uiPriority w:val="0"/>
    <w:rPr>
      <w:rFonts w:ascii="Arial" w:hAnsi="Arial" w:eastAsia="Arial" w:cs="Arial"/>
      <w:szCs w:val="21"/>
      <w:lang w:eastAsia="en-US"/>
    </w:rPr>
  </w:style>
  <w:style w:type="table" w:customStyle="1" w:styleId="591">
    <w:name w:val="Table Normal"/>
    <w:unhideWhenUsed/>
    <w:qFormat/>
    <w:uiPriority w:val="0"/>
    <w:rPr>
      <w:lang w:val="en-US" w:eastAsia="zh-CN" w:bidi="ar-SA"/>
    </w:rPr>
  </w:style>
  <w:style w:type="paragraph" w:customStyle="1" w:styleId="592">
    <w:name w:val="列表段落1"/>
    <w:basedOn w:val="1"/>
    <w:qFormat/>
    <w:uiPriority w:val="34"/>
    <w:pPr>
      <w:spacing w:after="160" w:line="278" w:lineRule="auto"/>
      <w:ind w:firstLine="420"/>
    </w:pPr>
    <w:rPr>
      <w:rFonts w:ascii="Calibri" w:hAnsi="Calibri"/>
      <w:szCs w:val="22"/>
    </w:rPr>
  </w:style>
  <w:style w:type="character" w:customStyle="1" w:styleId="593">
    <w:name w:val="NormalCharacter"/>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fc57a4eb-9f27-41f1-8a22-1ce591065474</errorID>
      <errorWord>)</errorWord>
      <group>L1_Format</group>
      <groupName>格式问题</groupName>
      <ability>L2_HalfPunc</ability>
      <abilityName>全半角检查</abilityName>
      <candidateList>
        <item>）</item>
      </candidateList>
      <explain>文本全半角错误。</explain>
      <paraID>2648ECAA</paraID>
      <start>11</start>
      <end>12</end>
      <status>modified</status>
      <modifiedWord>）</modifiedWord>
      <trackRevisions>false</trackRevisions>
    </reviewItem>
    <reviewItem>
      <errorID>6a9bc6d7-36c7-4ce9-8c7a-9356836a1427</errorID>
      <errorWord>)</errorWord>
      <group>L1_Format</group>
      <groupName>格式问题</groupName>
      <ability>L2_HalfPunc</ability>
      <abilityName>全半角检查</abilityName>
      <candidateList>
        <item>）</item>
      </candidateList>
      <explain>文本全半角错误。</explain>
      <paraID>77808BD0</paraID>
      <start>11</start>
      <end>12</end>
      <status>modified</status>
      <modifiedWord>）</modifiedWord>
      <trackRevisions>false</trackRevisions>
    </reviewItem>
    <reviewItem>
      <errorID>5b2203eb-1228-45e0-8187-a618ebf79fa9</errorID>
      <errorWord>)</errorWord>
      <group>L1_Format</group>
      <groupName>格式问题</groupName>
      <ability>L2_HalfPunc</ability>
      <abilityName>全半角检查</abilityName>
      <candidateList>
        <item>）</item>
      </candidateList>
      <explain>文本全半角错误。</explain>
      <paraID>116F8D4D</paraID>
      <start>18</start>
      <end>19</end>
      <status>modified</status>
      <modifiedWord>）</modifiedWord>
      <trackRevisions>false</trackRevisions>
    </reviewItem>
    <reviewItem>
      <errorID>ad65ad78-5f5c-473f-8b91-8b674e458e15</errorID>
      <errorWord>)</errorWord>
      <group>L1_Format</group>
      <groupName>格式问题</groupName>
      <ability>L2_HalfPunc</ability>
      <abilityName>全半角检查</abilityName>
      <candidateList>
        <item>）</item>
      </candidateList>
      <explain>文本全半角错误。</explain>
      <paraID>19A3BF75</paraID>
      <start>18</start>
      <end>19</end>
      <status>modified</status>
      <modifiedWord>）</modifiedWord>
      <trackRevisions>false</trackRevisions>
    </reviewItem>
    <reviewItem>
      <errorID>d631dd69-5724-4aa3-8bcd-8f96e4eaa9bd</errorID>
      <errorWord>(</errorWord>
      <group>L1_Format</group>
      <groupName>格式问题</groupName>
      <ability>L2_HalfPunc</ability>
      <abilityName>全半角检查</abilityName>
      <candidateList>
        <item>（</item>
      </candidateList>
      <explain>文本全半角错误。</explain>
      <paraID>164DE4DF</paraID>
      <start>7</start>
      <end>8</end>
      <status>modified</status>
      <modifiedWord>（</modifiedWord>
      <trackRevisions>false</trackRevisions>
    </reviewItem>
    <reviewItem>
      <errorID>36442936-0f7f-41f2-963c-68c1cc38ac9c</errorID>
      <errorWord>)</errorWord>
      <group>L1_Format</group>
      <groupName>格式问题</groupName>
      <ability>L2_HalfPunc</ability>
      <abilityName>全半角检查</abilityName>
      <candidateList>
        <item>）</item>
      </candidateList>
      <explain>文本全半角错误。</explain>
      <paraID>164DE4DF</paraID>
      <start>9</start>
      <end>10</end>
      <status>modified</status>
      <modifiedWord>）</modifiedWord>
      <trackRevisions>false</trackRevisions>
    </reviewItem>
    <reviewItem>
      <errorID>88351c20-5d0a-4d96-93de-af36898b310e</errorID>
      <errorWord>中小企业制造的，也有大型</errorWord>
      <group>L1_Grammar</group>
      <groupName>语法问题</groupName>
      <ability>L2_Ambiguity</ability>
      <abilityName>语意不明</abilityName>
      <candidateList>
        <item>大型企业制造的，也有中小</item>
      </candidateList>
      <explain>句子中可能存在代词、数量短语指代不明、一词多义、缺乏交待、停顿不同等问题，易造成歧义。</explain>
      <paraID>252E5EBC</paraID>
      <start>19</start>
      <end>31</end>
      <status>ignored</status>
      <modifiedWord/>
      <trackRevisions>false</trackRevisions>
    </reviewItem>
    <reviewItem>
      <errorID>14b83257-28b0-42dd-ade4-e9f97923c06b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5387D2C1</paraID>
      <start>54</start>
      <end>55</end>
      <status>ignored</status>
      <modifiedWord/>
      <trackRevisions>false</trackRevisions>
    </reviewItem>
    <reviewItem>
      <errorID>47e2433c-3f14-40fc-89a8-a0cfaa299176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60B0BBB6</paraID>
      <start>4</start>
      <end>5</end>
      <status>ignored</status>
      <modifiedWord/>
      <trackRevisions>false</trackRevisions>
    </reviewItem>
    <reviewItem>
      <errorID>7004aa2d-d67a-4014-85d9-d39d200e0048</errorID>
      <errorWord>社会诚信体系建设</errorWord>
      <group>L1_Political</group>
      <groupName>政治性问题</groupName>
      <ability>L2_Keyword</ability>
      <abilityName>固定表述</abilityName>
      <candidateList>
        <item>社会信用体系建设</item>
      </candidateList>
      <explain>词汇“社会信用体系建设”在特定场景下为固定表述形式，请确认此处的“社会诚信体系建设”是否存在不当。</explain>
      <paraID>3F206D42</paraID>
      <start>6</start>
      <end>14</end>
      <status>modified</status>
      <modifiedWord>社会信用体系建设</modifiedWord>
      <trackRevisions>false</trackRevisions>
    </reviewItem>
    <reviewItem>
      <errorID>e7b611ca-f445-47e3-9d9c-be0966666339</errorID>
      <errorWord>间</errorWord>
      <group>L1_Word</group>
      <groupName>字词问题</groupName>
      <ability>L2_Typo</ability>
      <abilityName>字词错误</abilityName>
      <candidateList>
        <item>间之</item>
      </candidateList>
      <explain/>
      <paraID>424CAAFD</paraID>
      <start>14</start>
      <end>16</end>
      <status>modified</status>
      <modifiedWord>间之</modifiedWord>
      <trackRevisions>false</trackRevisions>
    </reviewItem>
    <reviewItem>
      <errorID>3554cb36-9ecd-4619-af01-dc92c7d53fe8</errorID>
      <errorWord>（</errorWord>
      <group>L1_Punc</group>
      <groupName>标点问题</groupName>
      <ability>L2_Punc</ability>
      <abilityName>标点符号检查</abilityName>
      <candidateList/>
      <explain>同一形式括号套用。</explain>
      <paraID>53959885</paraID>
      <start>131</start>
      <end>132</end>
      <status>ignored</status>
      <modifiedWord/>
      <trackRevisions>false</trackRevisions>
    </reviewItem>
    <reviewItem>
      <errorID>e44f9ead-349d-49bb-8900-846007dd20af</errorID>
      <errorWord>）</errorWord>
      <group>L1_Punc</group>
      <groupName>标点问题</groupName>
      <ability>L2_Punc</ability>
      <abilityName>标点符号检查</abilityName>
      <candidateList/>
      <explain>同一形式括号套用。</explain>
      <paraID>53959885</paraID>
      <start>135</start>
      <end>136</end>
      <status>ignored</status>
      <modifiedWord/>
      <trackRevisions>false</trackRevisions>
    </reviewItem>
    <reviewItem>
      <errorID>a94721e8-47f1-449f-86bf-c3d99b479b8c</errorID>
      <errorWord>（</errorWord>
      <group>L1_Punc</group>
      <groupName>标点问题</groupName>
      <ability>L2_Punc</ability>
      <abilityName>标点符号检查</abilityName>
      <candidateList/>
      <explain>同一形式括号套用。</explain>
      <paraID>53959885</paraID>
      <start>142</start>
      <end>143</end>
      <status>ignored</status>
      <modifiedWord/>
      <trackRevisions>false</trackRevisions>
    </reviewItem>
    <reviewItem>
      <errorID>6f19686c-a119-4656-a358-63e9c71bf598</errorID>
      <errorWord>）</errorWord>
      <group>L1_Punc</group>
      <groupName>标点问题</groupName>
      <ability>L2_Punc</ability>
      <abilityName>标点符号检查</abilityName>
      <candidateList/>
      <explain>同一形式括号套用。</explain>
      <paraID>53959885</paraID>
      <start>145</start>
      <end>146</end>
      <status>ignored</status>
      <modifiedWord/>
      <trackRevisions>false</trackRevisions>
    </reviewItem>
    <reviewItem>
      <errorID>5c6f1c23-ca4e-4acf-a64f-55594142127f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65FEA4AA</paraID>
      <start>6</start>
      <end>7</end>
      <status>ignored</status>
      <modifiedWord/>
      <trackRevisions>false</trackRevisions>
    </reviewItem>
    <reviewItem>
      <errorID>02c8518c-a051-486d-8656-1149ff3fb272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1316A9BE</paraID>
      <start>6</start>
      <end>7</end>
      <status>ignored</status>
      <modifiedWord/>
      <trackRevisions>false</trackRevisions>
    </reviewItem>
    <reviewItem>
      <errorID>e4608e8f-708a-4374-86e7-33e400c9dda2</errorID>
      <errorWord>详实</errorWord>
      <group>L1_Word</group>
      <groupName>字词问题</groupName>
      <ability>L2_Typo</ability>
      <abilityName>字词错误</abilityName>
      <candidateList>
        <item>翔实</item>
      </candidateList>
      <explain>存在发音相同字词的误用。</explain>
      <paraID>4222DA56</paraID>
      <start>12</start>
      <end>14</end>
      <status>modified</status>
      <modifiedWord>翔实</modifiedWord>
      <trackRevisions>false</trackRevisions>
    </reviewItem>
    <reviewItem>
      <errorID>048e6bbf-9d5b-44be-9822-61feba2408fd</errorID>
      <errorWord>详实</errorWord>
      <group>L1_Word</group>
      <groupName>字词问题</groupName>
      <ability>L2_Typo</ability>
      <abilityName>字词错误</abilityName>
      <candidateList>
        <item>翔实</item>
      </candidateList>
      <explain>存在发音相同字词的误用。</explain>
      <paraID> BCC82F2</paraID>
      <start>12</start>
      <end>14</end>
      <status>modified</status>
      <modifiedWord>翔实</modifiedWord>
      <trackRevisions>false</trackRevisions>
    </reviewItem>
    <reviewItem>
      <errorID>7f9c234d-e140-404e-8b4c-4ff465f22df6</errorID>
      <errorWord>)</errorWord>
      <group>L1_Format</group>
      <groupName>格式问题</groupName>
      <ability>L2_HalfPunc</ability>
      <abilityName>全半角检查</abilityName>
      <candidateList>
        <item>）</item>
      </candidateList>
      <explain>文本全半角错误。</explain>
      <paraID>4B6825E8</paraID>
      <start>80</start>
      <end>81</end>
      <status>modified</status>
      <modifiedWord>）</modifiedWord>
      <trackRevisions>false</trackRevisions>
    </reviewItem>
    <reviewItem>
      <errorID>96d3fd1d-6df3-48e0-be19-bdca7f199f1d</errorID>
      <errorWord>》</errorWord>
      <group>L1_Word</group>
      <groupName>字词问题</groupName>
      <ability>L2_Typo</ability>
      <abilityName>字词错误</abilityName>
      <candidateList>
        <item>》和</item>
      </candidateList>
      <explain/>
      <paraID>31ECCEB4</paraID>
      <start>15</start>
      <end>17</end>
      <status>modified</status>
      <modifiedWord>》和</modifiedWord>
      <trackRevisions>false</trackRevisions>
    </reviewItem>
    <reviewItem>
      <errorID>24da318c-3b89-447c-bb56-e6c722f3c9c5</errorID>
      <errorWord>，</errorWord>
      <group>L1_Word</group>
      <groupName>字词问题</groupName>
      <ability>L2_Typo</ability>
      <abilityName>字词错误</abilityName>
      <candidateList>
        <item>，在</item>
      </candidateList>
      <explain/>
      <paraID>282D6078</paraID>
      <start>40</start>
      <end>42</end>
      <status>modified</status>
      <modifiedWord>，在</modifiedWord>
      <trackRevisions>false</trackRevisions>
    </reviewItem>
    <reviewItem>
      <errorID>0ee9e832-6963-4375-b1f0-00d34e2e22ec</errorID>
      <errorWord>(</errorWord>
      <group>L1_Format</group>
      <groupName>格式问题</groupName>
      <ability>L2_HalfPunc</ability>
      <abilityName>全半角检查</abilityName>
      <candidateList>
        <item>（</item>
      </candidateList>
      <explain>文本全半角错误。</explain>
      <paraID>112CFBD8</paraID>
      <start>7</start>
      <end>8</end>
      <status>modified</status>
      <modifiedWord>（</modifiedWord>
      <trackRevisions>false</trackRevisions>
    </reviewItem>
    <reviewItem>
      <errorID>906f9b24-3dcc-49b1-ab0a-aee41d5ac4ff</errorID>
      <errorWord>)</errorWord>
      <group>L1_Format</group>
      <groupName>格式问题</groupName>
      <ability>L2_HalfPunc</ability>
      <abilityName>全半角检查</abilityName>
      <candidateList>
        <item>）</item>
      </candidateList>
      <explain>文本全半角错误。</explain>
      <paraID>112CFBD8</paraID>
      <start>9</start>
      <end>10</end>
      <status>modified</status>
      <modifiedWord>）</modifiedWord>
      <trackRevisions>false</trackRevisions>
    </reviewItem>
    <reviewItem>
      <errorID>33070514-5cac-4b55-b49b-8ba6d4777e0d</errorID>
      <errorWord>加</errorWord>
      <group>L1_Word</group>
      <groupName>字词问题</groupName>
      <ability>L2_Typo</ability>
      <abilityName>字词错误</abilityName>
      <candidateList>
        <item>加一</item>
      </candidateList>
      <explain/>
      <paraID>7FC7A3C9</paraID>
      <start>7</start>
      <end>9</end>
      <status>modified</status>
      <modifiedWord>加一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828173-d50e-4497-af1b-1b7c4762538c}">
  <ds:schemaRefs/>
</ds:datastoreItem>
</file>

<file path=docProps/app.xml><?xml version="1.0" encoding="utf-8"?>
<Properties xmlns="http://schemas.openxmlformats.org/officeDocument/2006/extended-properties" xmlns:vt="http://schemas.openxmlformats.org/officeDocument/2006/docPropsVTypes">
  <Template>Normal.dotm</Template>
  <Pages>45</Pages>
  <Words>4618</Words>
  <Characters>4895</Characters>
  <TotalTime>0</TotalTime>
  <ScaleCrop>false</ScaleCrop>
  <LinksUpToDate>false</LinksUpToDate>
  <CharactersWithSpaces>4947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2020-04-15T04:01:00Z</dcterms:created>
  <dc:creator>梦洛520</dc:creator>
  <cp:lastModifiedBy>不搭i</cp:lastModifiedBy>
  <dcterms:modified xsi:type="dcterms:W3CDTF">2026-04-15T07:04:29Z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eyJoZGlkIjoiMzIyN2JjNzI0MTg2ZDMwNDhjMjBmNDc2NjMxMGM5NTQiLCJ1c2VySWQiOiIxMTM5MjQyMTMxIn0=</vt:lpwstr>
  </property>
  <property fmtid="{D5CDD505-2E9C-101B-9397-08002B2CF9AE}" pid="3" name="KSOProductBuildVer">
    <vt:lpwstr>2052-12.1.0.25865</vt:lpwstr>
  </property>
  <property fmtid="{D5CDD505-2E9C-101B-9397-08002B2CF9AE}" pid="4" name="ICV">
    <vt:lpwstr>2AAE1FA7B1C840D7A993BB742492E31C_13</vt:lpwstr>
  </property>
</Properties>
</file>