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91AC3">
      <w:pPr>
        <w:keepNext w:val="0"/>
        <w:keepLines w:val="0"/>
        <w:pageBreakBefore w:val="0"/>
        <w:tabs>
          <w:tab w:val="left" w:pos="390"/>
          <w:tab w:val="center" w:pos="4404"/>
        </w:tabs>
        <w:kinsoku/>
        <w:wordWrap/>
        <w:overflowPunct/>
        <w:topLinePunct w:val="0"/>
        <w:bidi w:val="0"/>
        <w:spacing w:line="360" w:lineRule="auto"/>
        <w:jc w:val="center"/>
        <w:textAlignment w:val="auto"/>
        <w:rPr>
          <w:rFonts w:ascii="宋体" w:hAnsi="宋体"/>
          <w:color w:val="auto"/>
          <w:kern w:val="0"/>
          <w:sz w:val="56"/>
          <w:szCs w:val="56"/>
          <w:highlight w:val="none"/>
        </w:rPr>
      </w:pPr>
    </w:p>
    <w:p w14:paraId="50EEF6CB">
      <w:pPr>
        <w:keepNext w:val="0"/>
        <w:keepLines w:val="0"/>
        <w:pageBreakBefore w:val="0"/>
        <w:tabs>
          <w:tab w:val="left" w:pos="390"/>
          <w:tab w:val="center" w:pos="4404"/>
        </w:tabs>
        <w:kinsoku/>
        <w:wordWrap/>
        <w:overflowPunct/>
        <w:topLinePunct w:val="0"/>
        <w:bidi w:val="0"/>
        <w:spacing w:line="360" w:lineRule="auto"/>
        <w:jc w:val="center"/>
        <w:textAlignment w:val="auto"/>
        <w:rPr>
          <w:rFonts w:ascii="宋体" w:hAnsi="宋体"/>
          <w:color w:val="auto"/>
          <w:kern w:val="0"/>
          <w:sz w:val="56"/>
          <w:szCs w:val="56"/>
          <w:highlight w:val="none"/>
        </w:rPr>
      </w:pPr>
    </w:p>
    <w:p w14:paraId="54A18687">
      <w:pPr>
        <w:keepNext w:val="0"/>
        <w:keepLines w:val="0"/>
        <w:pageBreakBefore w:val="0"/>
        <w:tabs>
          <w:tab w:val="left" w:pos="390"/>
          <w:tab w:val="center" w:pos="4404"/>
        </w:tabs>
        <w:kinsoku/>
        <w:wordWrap/>
        <w:overflowPunct/>
        <w:topLinePunct w:val="0"/>
        <w:bidi w:val="0"/>
        <w:spacing w:line="360" w:lineRule="auto"/>
        <w:jc w:val="center"/>
        <w:textAlignment w:val="auto"/>
        <w:rPr>
          <w:rFonts w:hint="eastAsia" w:ascii="宋体" w:hAnsi="宋体"/>
          <w:color w:val="auto"/>
          <w:kern w:val="0"/>
          <w:sz w:val="44"/>
          <w:szCs w:val="44"/>
          <w:highlight w:val="none"/>
          <w:lang w:eastAsia="zh-CN"/>
        </w:rPr>
      </w:pPr>
      <w:r>
        <w:rPr>
          <w:rFonts w:hint="eastAsia" w:ascii="宋体" w:hAnsi="宋体"/>
          <w:color w:val="auto"/>
          <w:kern w:val="0"/>
          <w:sz w:val="44"/>
          <w:szCs w:val="44"/>
          <w:highlight w:val="none"/>
          <w:lang w:eastAsia="zh-CN"/>
        </w:rPr>
        <w:t>南京江北新区2026年度</w:t>
      </w:r>
    </w:p>
    <w:p w14:paraId="6E6C963E">
      <w:pPr>
        <w:keepNext w:val="0"/>
        <w:keepLines w:val="0"/>
        <w:pageBreakBefore w:val="0"/>
        <w:tabs>
          <w:tab w:val="left" w:pos="390"/>
          <w:tab w:val="center" w:pos="4404"/>
        </w:tabs>
        <w:kinsoku/>
        <w:wordWrap/>
        <w:overflowPunct/>
        <w:topLinePunct w:val="0"/>
        <w:bidi w:val="0"/>
        <w:spacing w:line="360" w:lineRule="auto"/>
        <w:jc w:val="center"/>
        <w:textAlignment w:val="auto"/>
        <w:rPr>
          <w:rFonts w:hint="eastAsia" w:ascii="宋体" w:hAnsi="宋体" w:eastAsia="宋体"/>
          <w:color w:val="auto"/>
          <w:sz w:val="44"/>
          <w:szCs w:val="44"/>
          <w:highlight w:val="none"/>
          <w:lang w:eastAsia="zh-CN"/>
        </w:rPr>
      </w:pPr>
      <w:r>
        <w:rPr>
          <w:rFonts w:hint="eastAsia" w:ascii="宋体" w:hAnsi="宋体"/>
          <w:color w:val="auto"/>
          <w:kern w:val="0"/>
          <w:sz w:val="44"/>
          <w:szCs w:val="44"/>
          <w:highlight w:val="none"/>
          <w:lang w:eastAsia="zh-CN"/>
        </w:rPr>
        <w:t>河道堤防白蚁防治项目</w:t>
      </w:r>
    </w:p>
    <w:p w14:paraId="21D5E9CB">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7002DCBD">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AF8CB7A">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09F34560">
      <w:pPr>
        <w:keepNext w:val="0"/>
        <w:keepLines w:val="0"/>
        <w:pageBreakBefore w:val="0"/>
        <w:tabs>
          <w:tab w:val="left" w:pos="390"/>
          <w:tab w:val="center" w:pos="4404"/>
        </w:tabs>
        <w:kinsoku/>
        <w:wordWrap/>
        <w:overflowPunct/>
        <w:topLinePunct w:val="0"/>
        <w:bidi w:val="0"/>
        <w:spacing w:line="360" w:lineRule="auto"/>
        <w:jc w:val="center"/>
        <w:textAlignment w:val="auto"/>
        <w:rPr>
          <w:rFonts w:ascii="宋体" w:hAnsi="宋体"/>
          <w:b/>
          <w:bCs/>
          <w:color w:val="auto"/>
          <w:sz w:val="76"/>
          <w:szCs w:val="76"/>
          <w:highlight w:val="none"/>
        </w:rPr>
      </w:pPr>
    </w:p>
    <w:p w14:paraId="75407BD1">
      <w:pPr>
        <w:keepNext w:val="0"/>
        <w:keepLines w:val="0"/>
        <w:pageBreakBefore w:val="0"/>
        <w:tabs>
          <w:tab w:val="left" w:pos="390"/>
          <w:tab w:val="center" w:pos="4404"/>
        </w:tabs>
        <w:kinsoku/>
        <w:wordWrap/>
        <w:overflowPunct/>
        <w:topLinePunct w:val="0"/>
        <w:bidi w:val="0"/>
        <w:spacing w:line="360" w:lineRule="auto"/>
        <w:jc w:val="center"/>
        <w:textAlignment w:val="auto"/>
        <w:rPr>
          <w:rFonts w:ascii="宋体" w:hAnsi="宋体"/>
          <w:b/>
          <w:bCs/>
          <w:color w:val="auto"/>
          <w:sz w:val="76"/>
          <w:szCs w:val="76"/>
          <w:highlight w:val="none"/>
        </w:rPr>
      </w:pPr>
      <w:r>
        <w:rPr>
          <w:rFonts w:hint="eastAsia" w:ascii="宋体" w:hAnsi="宋体"/>
          <w:b/>
          <w:bCs/>
          <w:color w:val="auto"/>
          <w:sz w:val="76"/>
          <w:szCs w:val="76"/>
          <w:highlight w:val="none"/>
        </w:rPr>
        <w:t>竞争性磋商文件</w:t>
      </w:r>
    </w:p>
    <w:p w14:paraId="20F4E28D">
      <w:pPr>
        <w:keepNext w:val="0"/>
        <w:keepLines w:val="0"/>
        <w:pageBreakBefore w:val="0"/>
        <w:kinsoku/>
        <w:wordWrap/>
        <w:overflowPunct/>
        <w:topLinePunct w:val="0"/>
        <w:bidi w:val="0"/>
        <w:spacing w:line="360" w:lineRule="auto"/>
        <w:jc w:val="center"/>
        <w:textAlignment w:val="auto"/>
        <w:rPr>
          <w:rFonts w:ascii="宋体" w:hAnsi="宋体"/>
          <w:color w:val="auto"/>
          <w:sz w:val="40"/>
          <w:szCs w:val="21"/>
          <w:highlight w:val="none"/>
        </w:rPr>
      </w:pPr>
    </w:p>
    <w:p w14:paraId="4B0630FE">
      <w:pPr>
        <w:keepNext w:val="0"/>
        <w:keepLines w:val="0"/>
        <w:pageBreakBefore w:val="0"/>
        <w:kinsoku/>
        <w:wordWrap/>
        <w:overflowPunct/>
        <w:topLinePunct w:val="0"/>
        <w:bidi w:val="0"/>
        <w:spacing w:line="360" w:lineRule="auto"/>
        <w:jc w:val="center"/>
        <w:textAlignment w:val="auto"/>
        <w:rPr>
          <w:rFonts w:hint="eastAsia" w:ascii="宋体" w:hAnsi="宋体" w:eastAsia="宋体"/>
          <w:color w:val="auto"/>
          <w:sz w:val="44"/>
          <w:szCs w:val="44"/>
          <w:highlight w:val="none"/>
          <w:lang w:eastAsia="zh-CN"/>
        </w:rPr>
      </w:pPr>
      <w:r>
        <w:rPr>
          <w:rFonts w:hint="eastAsia" w:ascii="宋体" w:hAnsi="宋体"/>
          <w:color w:val="auto"/>
          <w:sz w:val="40"/>
          <w:szCs w:val="21"/>
          <w:highlight w:val="none"/>
        </w:rPr>
        <w:t>项目编号</w:t>
      </w:r>
      <w:r>
        <w:rPr>
          <w:rFonts w:hint="eastAsia" w:ascii="宋体" w:hAnsi="宋体"/>
          <w:color w:val="auto"/>
          <w:sz w:val="40"/>
          <w:szCs w:val="40"/>
          <w:highlight w:val="none"/>
        </w:rPr>
        <w:t>：</w:t>
      </w:r>
      <w:r>
        <w:rPr>
          <w:rFonts w:hint="eastAsia" w:ascii="宋体" w:hAnsi="宋体"/>
          <w:color w:val="auto"/>
          <w:sz w:val="40"/>
          <w:szCs w:val="40"/>
          <w:highlight w:val="none"/>
          <w:lang w:eastAsia="zh-CN"/>
        </w:rPr>
        <w:t>NJXN-26016-FW</w:t>
      </w:r>
    </w:p>
    <w:p w14:paraId="4D00E38E">
      <w:pPr>
        <w:keepNext w:val="0"/>
        <w:keepLines w:val="0"/>
        <w:pageBreakBefore w:val="0"/>
        <w:kinsoku/>
        <w:wordWrap/>
        <w:overflowPunct/>
        <w:topLinePunct w:val="0"/>
        <w:bidi w:val="0"/>
        <w:spacing w:line="360" w:lineRule="auto"/>
        <w:textAlignment w:val="auto"/>
        <w:rPr>
          <w:rFonts w:ascii="宋体" w:hAnsi="宋体"/>
          <w:color w:val="auto"/>
          <w:sz w:val="32"/>
          <w:highlight w:val="none"/>
        </w:rPr>
      </w:pPr>
    </w:p>
    <w:p w14:paraId="06BEACBE">
      <w:pPr>
        <w:keepNext w:val="0"/>
        <w:keepLines w:val="0"/>
        <w:pageBreakBefore w:val="0"/>
        <w:kinsoku/>
        <w:wordWrap/>
        <w:overflowPunct/>
        <w:topLinePunct w:val="0"/>
        <w:bidi w:val="0"/>
        <w:spacing w:line="360" w:lineRule="auto"/>
        <w:textAlignment w:val="auto"/>
        <w:rPr>
          <w:rFonts w:ascii="宋体" w:hAnsi="宋体"/>
          <w:color w:val="auto"/>
          <w:sz w:val="32"/>
          <w:highlight w:val="none"/>
        </w:rPr>
      </w:pPr>
    </w:p>
    <w:p w14:paraId="64D778DA">
      <w:pPr>
        <w:keepNext w:val="0"/>
        <w:keepLines w:val="0"/>
        <w:pageBreakBefore w:val="0"/>
        <w:kinsoku/>
        <w:wordWrap/>
        <w:overflowPunct/>
        <w:topLinePunct w:val="0"/>
        <w:bidi w:val="0"/>
        <w:spacing w:line="360" w:lineRule="auto"/>
        <w:textAlignment w:val="auto"/>
        <w:rPr>
          <w:rFonts w:ascii="宋体" w:hAnsi="宋体"/>
          <w:color w:val="auto"/>
          <w:sz w:val="32"/>
          <w:highlight w:val="none"/>
        </w:rPr>
      </w:pPr>
    </w:p>
    <w:p w14:paraId="66D931D3">
      <w:pPr>
        <w:pStyle w:val="32"/>
        <w:keepNext w:val="0"/>
        <w:keepLines w:val="0"/>
        <w:pageBreakBefore w:val="0"/>
        <w:kinsoku/>
        <w:wordWrap/>
        <w:overflowPunct/>
        <w:topLinePunct w:val="0"/>
        <w:bidi w:val="0"/>
        <w:spacing w:line="360" w:lineRule="auto"/>
        <w:ind w:firstLine="0" w:firstLineChars="0"/>
        <w:textAlignment w:val="auto"/>
        <w:rPr>
          <w:rFonts w:ascii="宋体" w:hAnsi="宋体"/>
          <w:color w:val="auto"/>
          <w:sz w:val="32"/>
          <w:highlight w:val="none"/>
        </w:rPr>
      </w:pPr>
    </w:p>
    <w:p w14:paraId="1315D1A6">
      <w:pPr>
        <w:keepNext w:val="0"/>
        <w:keepLines w:val="0"/>
        <w:pageBreakBefore w:val="0"/>
        <w:kinsoku/>
        <w:wordWrap/>
        <w:overflowPunct/>
        <w:topLinePunct w:val="0"/>
        <w:bidi w:val="0"/>
        <w:spacing w:line="360" w:lineRule="auto"/>
        <w:textAlignment w:val="auto"/>
        <w:rPr>
          <w:rFonts w:ascii="宋体" w:hAnsi="宋体"/>
          <w:color w:val="auto"/>
          <w:sz w:val="32"/>
          <w:highlight w:val="none"/>
        </w:rPr>
      </w:pPr>
    </w:p>
    <w:p w14:paraId="4A9EBBBD">
      <w:pPr>
        <w:keepNext w:val="0"/>
        <w:keepLines w:val="0"/>
        <w:pageBreakBefore w:val="0"/>
        <w:kinsoku/>
        <w:wordWrap/>
        <w:overflowPunct/>
        <w:topLinePunct w:val="0"/>
        <w:bidi w:val="0"/>
        <w:spacing w:line="360" w:lineRule="auto"/>
        <w:jc w:val="center"/>
        <w:textAlignment w:val="auto"/>
        <w:rPr>
          <w:rFonts w:hint="eastAsia" w:ascii="宋体" w:hAnsi="宋体" w:eastAsia="宋体"/>
          <w:bCs/>
          <w:color w:val="auto"/>
          <w:sz w:val="32"/>
          <w:szCs w:val="32"/>
          <w:highlight w:val="none"/>
          <w:lang w:eastAsia="zh-CN"/>
        </w:rPr>
      </w:pPr>
      <w:r>
        <w:rPr>
          <w:rFonts w:hint="eastAsia" w:ascii="宋体" w:hAnsi="宋体"/>
          <w:bCs/>
          <w:color w:val="auto"/>
          <w:sz w:val="32"/>
          <w:szCs w:val="32"/>
          <w:highlight w:val="none"/>
        </w:rPr>
        <w:t>采购单位：</w:t>
      </w:r>
      <w:r>
        <w:rPr>
          <w:rFonts w:hint="eastAsia" w:ascii="宋体" w:hAnsi="宋体"/>
          <w:bCs/>
          <w:color w:val="auto"/>
          <w:sz w:val="32"/>
          <w:szCs w:val="32"/>
          <w:highlight w:val="none"/>
          <w:lang w:eastAsia="zh-CN"/>
        </w:rPr>
        <w:t>南京江北新区环保与水务服务中心</w:t>
      </w:r>
    </w:p>
    <w:p w14:paraId="12C07906">
      <w:pPr>
        <w:keepNext w:val="0"/>
        <w:keepLines w:val="0"/>
        <w:pageBreakBefore w:val="0"/>
        <w:kinsoku/>
        <w:wordWrap/>
        <w:overflowPunct/>
        <w:topLinePunct w:val="0"/>
        <w:bidi w:val="0"/>
        <w:spacing w:line="360" w:lineRule="auto"/>
        <w:jc w:val="center"/>
        <w:textAlignment w:val="auto"/>
        <w:rPr>
          <w:rFonts w:ascii="宋体" w:hAnsi="宋体"/>
          <w:bCs/>
          <w:color w:val="auto"/>
          <w:sz w:val="32"/>
          <w:szCs w:val="32"/>
          <w:highlight w:val="none"/>
        </w:rPr>
      </w:pPr>
      <w:r>
        <w:rPr>
          <w:rFonts w:hint="eastAsia" w:ascii="宋体" w:hAnsi="宋体"/>
          <w:bCs/>
          <w:color w:val="auto"/>
          <w:sz w:val="32"/>
          <w:szCs w:val="32"/>
          <w:highlight w:val="none"/>
        </w:rPr>
        <w:t>采购代理机构：南京信诺工程造价咨询有限责任公司</w:t>
      </w:r>
    </w:p>
    <w:p w14:paraId="012938F6">
      <w:pPr>
        <w:keepNext w:val="0"/>
        <w:keepLines w:val="0"/>
        <w:pageBreakBefore w:val="0"/>
        <w:kinsoku/>
        <w:wordWrap/>
        <w:overflowPunct/>
        <w:topLinePunct w:val="0"/>
        <w:bidi w:val="0"/>
        <w:spacing w:line="360" w:lineRule="auto"/>
        <w:jc w:val="center"/>
        <w:textAlignment w:val="auto"/>
        <w:rPr>
          <w:rFonts w:ascii="宋体" w:hAnsi="宋体"/>
          <w:bCs/>
          <w:color w:val="auto"/>
          <w:sz w:val="36"/>
          <w:szCs w:val="36"/>
          <w:highlight w:val="none"/>
        </w:rPr>
      </w:pPr>
      <w:r>
        <w:rPr>
          <w:rFonts w:hint="eastAsia" w:ascii="宋体" w:hAnsi="宋体"/>
          <w:bCs/>
          <w:color w:val="auto"/>
          <w:sz w:val="36"/>
          <w:szCs w:val="36"/>
          <w:highlight w:val="none"/>
        </w:rPr>
        <w:t>二○二</w:t>
      </w:r>
      <w:r>
        <w:rPr>
          <w:rFonts w:hint="eastAsia" w:ascii="宋体" w:hAnsi="宋体"/>
          <w:bCs/>
          <w:color w:val="auto"/>
          <w:sz w:val="36"/>
          <w:szCs w:val="36"/>
          <w:highlight w:val="none"/>
          <w:lang w:val="en-US" w:eastAsia="zh-CN"/>
        </w:rPr>
        <w:t>六</w:t>
      </w:r>
      <w:r>
        <w:rPr>
          <w:rFonts w:hint="eastAsia" w:ascii="宋体" w:hAnsi="宋体"/>
          <w:bCs/>
          <w:color w:val="auto"/>
          <w:sz w:val="36"/>
          <w:szCs w:val="36"/>
          <w:highlight w:val="none"/>
        </w:rPr>
        <w:t>年</w:t>
      </w:r>
      <w:r>
        <w:rPr>
          <w:rFonts w:hint="eastAsia" w:ascii="宋体" w:hAnsi="宋体"/>
          <w:bCs/>
          <w:color w:val="auto"/>
          <w:sz w:val="36"/>
          <w:szCs w:val="36"/>
          <w:highlight w:val="none"/>
          <w:lang w:val="en-US" w:eastAsia="zh-CN"/>
        </w:rPr>
        <w:t>四</w:t>
      </w:r>
      <w:r>
        <w:rPr>
          <w:rFonts w:hint="eastAsia" w:ascii="宋体" w:hAnsi="宋体"/>
          <w:bCs/>
          <w:color w:val="auto"/>
          <w:sz w:val="36"/>
          <w:szCs w:val="36"/>
          <w:highlight w:val="none"/>
        </w:rPr>
        <w:t>月</w:t>
      </w:r>
    </w:p>
    <w:p w14:paraId="45D5C938">
      <w:pPr>
        <w:keepNext w:val="0"/>
        <w:keepLines w:val="0"/>
        <w:pageBreakBefore w:val="0"/>
        <w:kinsoku/>
        <w:wordWrap/>
        <w:overflowPunct/>
        <w:topLinePunct w:val="0"/>
        <w:bidi w:val="0"/>
        <w:spacing w:line="360" w:lineRule="auto"/>
        <w:jc w:val="center"/>
        <w:textAlignment w:val="auto"/>
        <w:rPr>
          <w:rFonts w:ascii="宋体" w:hAnsi="宋体"/>
          <w:bCs/>
          <w:color w:val="auto"/>
          <w:sz w:val="32"/>
          <w:szCs w:val="32"/>
          <w:highlight w:val="none"/>
        </w:rPr>
      </w:pPr>
      <w:r>
        <w:rPr>
          <w:rFonts w:hint="eastAsia" w:ascii="宋体" w:hAnsi="宋体"/>
          <w:bCs/>
          <w:color w:val="auto"/>
          <w:sz w:val="36"/>
          <w:szCs w:val="36"/>
          <w:highlight w:val="none"/>
        </w:rPr>
        <w:br w:type="page"/>
      </w:r>
    </w:p>
    <w:p w14:paraId="089115C7">
      <w:pPr>
        <w:keepNext w:val="0"/>
        <w:keepLines w:val="0"/>
        <w:pageBreakBefore w:val="0"/>
        <w:kinsoku/>
        <w:wordWrap/>
        <w:overflowPunct/>
        <w:topLinePunct w:val="0"/>
        <w:bidi w:val="0"/>
        <w:spacing w:line="360" w:lineRule="auto"/>
        <w:ind w:left="729" w:firstLine="2891" w:firstLineChars="800"/>
        <w:textAlignment w:val="auto"/>
        <w:rPr>
          <w:rFonts w:ascii="宋体" w:hAnsi="宋体"/>
          <w:color w:val="auto"/>
          <w:sz w:val="36"/>
          <w:szCs w:val="36"/>
          <w:highlight w:val="none"/>
        </w:rPr>
      </w:pPr>
      <w:r>
        <w:rPr>
          <w:rFonts w:hint="eastAsia" w:ascii="宋体" w:hAnsi="宋体"/>
          <w:b/>
          <w:bCs/>
          <w:color w:val="auto"/>
          <w:sz w:val="36"/>
          <w:szCs w:val="36"/>
          <w:highlight w:val="none"/>
        </w:rPr>
        <w:t>目录</w:t>
      </w:r>
    </w:p>
    <w:p w14:paraId="68E3992C">
      <w:pPr>
        <w:pStyle w:val="10"/>
        <w:keepNext w:val="0"/>
        <w:keepLines w:val="0"/>
        <w:pageBreakBefore w:val="0"/>
        <w:tabs>
          <w:tab w:val="right" w:leader="dot" w:pos="8413"/>
        </w:tabs>
        <w:kinsoku/>
        <w:wordWrap/>
        <w:overflowPunct/>
        <w:topLinePunct w:val="0"/>
        <w:bidi w:val="0"/>
        <w:spacing w:before="738" w:line="360" w:lineRule="auto"/>
        <w:jc w:val="left"/>
        <w:textAlignment w:val="auto"/>
        <w:rPr>
          <w:color w:val="auto"/>
          <w:sz w:val="28"/>
          <w:szCs w:val="28"/>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olor w:val="auto"/>
          <w:w w:val="95"/>
          <w:sz w:val="28"/>
          <w:szCs w:val="28"/>
          <w:highlight w:val="none"/>
        </w:rPr>
        <w:t xml:space="preserve">第一章 </w:t>
      </w:r>
      <w:r>
        <w:rPr>
          <w:rFonts w:hint="eastAsia"/>
          <w:color w:val="auto"/>
          <w:sz w:val="28"/>
          <w:szCs w:val="28"/>
          <w:highlight w:val="none"/>
        </w:rPr>
        <w:t>竞争性磋商</w:t>
      </w:r>
      <w:r>
        <w:rPr>
          <w:rFonts w:hint="eastAsia"/>
          <w:color w:val="auto"/>
          <w:sz w:val="28"/>
          <w:szCs w:val="28"/>
          <w:highlight w:val="none"/>
          <w:lang w:val="en-US" w:eastAsia="zh-CN"/>
        </w:rPr>
        <w:t>公告</w:t>
      </w:r>
      <w:r>
        <w:rPr>
          <w:rFonts w:hint="eastAsia"/>
          <w:b/>
          <w:bCs/>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p>
    <w:p w14:paraId="02AB3980">
      <w:pPr>
        <w:pStyle w:val="10"/>
        <w:keepNext w:val="0"/>
        <w:keepLines w:val="0"/>
        <w:pageBreakBefore w:val="0"/>
        <w:tabs>
          <w:tab w:val="left" w:pos="957"/>
          <w:tab w:val="right" w:leader="dot" w:pos="8413"/>
        </w:tabs>
        <w:kinsoku/>
        <w:wordWrap/>
        <w:overflowPunct/>
        <w:topLinePunct w:val="0"/>
        <w:bidi w:val="0"/>
        <w:spacing w:before="143" w:line="360" w:lineRule="auto"/>
        <w:jc w:val="left"/>
        <w:textAlignment w:val="auto"/>
        <w:rPr>
          <w:color w:val="auto"/>
          <w:sz w:val="28"/>
          <w:szCs w:val="28"/>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olor w:val="auto"/>
          <w:w w:val="95"/>
          <w:sz w:val="28"/>
          <w:szCs w:val="28"/>
          <w:highlight w:val="none"/>
        </w:rPr>
        <w:t>第二章</w:t>
      </w:r>
      <w:r>
        <w:rPr>
          <w:rFonts w:hint="eastAsia"/>
          <w:color w:val="auto"/>
          <w:sz w:val="28"/>
          <w:szCs w:val="28"/>
          <w:highlight w:val="none"/>
        </w:rPr>
        <w:t>竞争性磋商须知</w:t>
      </w:r>
      <w:r>
        <w:rPr>
          <w:rFonts w:hint="eastAsia"/>
          <w:b/>
          <w:bCs/>
          <w:color w:val="auto"/>
          <w:sz w:val="28"/>
          <w:szCs w:val="28"/>
          <w:highlight w:val="none"/>
        </w:rPr>
        <w:tab/>
      </w:r>
      <w:r>
        <w:rPr>
          <w:rFonts w:hint="eastAsia"/>
          <w:color w:val="auto"/>
          <w:sz w:val="28"/>
          <w:szCs w:val="28"/>
          <w:highlight w:val="none"/>
          <w:lang w:val="en-US" w:eastAsia="zh-CN"/>
        </w:rPr>
        <w:t>8</w:t>
      </w:r>
      <w:r>
        <w:rPr>
          <w:rFonts w:hint="eastAsia"/>
          <w:color w:val="auto"/>
          <w:sz w:val="28"/>
          <w:szCs w:val="28"/>
          <w:highlight w:val="none"/>
        </w:rPr>
        <w:fldChar w:fldCharType="end"/>
      </w:r>
    </w:p>
    <w:p w14:paraId="03B2E92A">
      <w:pPr>
        <w:pStyle w:val="10"/>
        <w:keepNext w:val="0"/>
        <w:keepLines w:val="0"/>
        <w:pageBreakBefore w:val="0"/>
        <w:tabs>
          <w:tab w:val="left" w:pos="957"/>
          <w:tab w:val="right" w:leader="dot" w:pos="8413"/>
        </w:tabs>
        <w:kinsoku/>
        <w:wordWrap/>
        <w:overflowPunct/>
        <w:topLinePunct w:val="0"/>
        <w:bidi w:val="0"/>
        <w:spacing w:before="143" w:line="360" w:lineRule="auto"/>
        <w:jc w:val="left"/>
        <w:textAlignment w:val="auto"/>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olor w:val="auto"/>
          <w:w w:val="95"/>
          <w:sz w:val="28"/>
          <w:szCs w:val="28"/>
          <w:highlight w:val="none"/>
        </w:rPr>
        <w:t>第三章</w:t>
      </w:r>
      <w:r>
        <w:rPr>
          <w:rFonts w:hint="eastAsia"/>
          <w:color w:val="auto"/>
          <w:sz w:val="28"/>
          <w:szCs w:val="28"/>
          <w:highlight w:val="none"/>
        </w:rPr>
        <w:t>评标标准</w:t>
      </w:r>
      <w:r>
        <w:rPr>
          <w:rFonts w:hint="eastAsia"/>
          <w:b/>
          <w:bCs/>
          <w:color w:val="auto"/>
          <w:sz w:val="28"/>
          <w:szCs w:val="28"/>
          <w:highlight w:val="none"/>
        </w:rPr>
        <w:tab/>
      </w:r>
      <w:r>
        <w:rPr>
          <w:rFonts w:hint="eastAsia"/>
          <w:color w:val="auto"/>
          <w:sz w:val="28"/>
          <w:szCs w:val="28"/>
          <w:highlight w:val="none"/>
          <w:lang w:val="en-US" w:eastAsia="zh-CN"/>
        </w:rPr>
        <w:t>1</w:t>
      </w:r>
      <w:r>
        <w:rPr>
          <w:rFonts w:hint="eastAsia"/>
          <w:color w:val="auto"/>
          <w:sz w:val="28"/>
          <w:szCs w:val="28"/>
          <w:highlight w:val="none"/>
        </w:rPr>
        <w:fldChar w:fldCharType="end"/>
      </w:r>
      <w:r>
        <w:rPr>
          <w:rFonts w:hint="eastAsia"/>
          <w:color w:val="auto"/>
          <w:sz w:val="28"/>
          <w:szCs w:val="28"/>
          <w:highlight w:val="none"/>
          <w:lang w:val="en-US" w:eastAsia="zh-CN"/>
        </w:rPr>
        <w:t>8</w:t>
      </w:r>
    </w:p>
    <w:p w14:paraId="336532D4">
      <w:pPr>
        <w:pStyle w:val="10"/>
        <w:keepNext w:val="0"/>
        <w:keepLines w:val="0"/>
        <w:pageBreakBefore w:val="0"/>
        <w:tabs>
          <w:tab w:val="left" w:pos="957"/>
          <w:tab w:val="right" w:leader="dot" w:pos="8413"/>
        </w:tabs>
        <w:kinsoku/>
        <w:wordWrap/>
        <w:overflowPunct/>
        <w:topLinePunct w:val="0"/>
        <w:bidi w:val="0"/>
        <w:spacing w:before="143" w:line="360" w:lineRule="auto"/>
        <w:jc w:val="left"/>
        <w:textAlignment w:val="auto"/>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olor w:val="auto"/>
          <w:w w:val="95"/>
          <w:sz w:val="28"/>
          <w:szCs w:val="28"/>
          <w:highlight w:val="none"/>
        </w:rPr>
        <w:t>第四章</w:t>
      </w:r>
      <w:r>
        <w:rPr>
          <w:rFonts w:hint="eastAsia"/>
          <w:color w:val="auto"/>
          <w:sz w:val="28"/>
          <w:szCs w:val="28"/>
          <w:highlight w:val="none"/>
        </w:rPr>
        <w:t>采购需求</w:t>
      </w:r>
      <w:r>
        <w:rPr>
          <w:rFonts w:hint="eastAsia"/>
          <w:b/>
          <w:bCs/>
          <w:color w:val="auto"/>
          <w:sz w:val="28"/>
          <w:szCs w:val="28"/>
          <w:highlight w:val="none"/>
        </w:rPr>
        <w:tab/>
      </w:r>
      <w:r>
        <w:rPr>
          <w:rFonts w:hint="eastAsia"/>
          <w:color w:val="auto"/>
          <w:sz w:val="28"/>
          <w:szCs w:val="28"/>
          <w:highlight w:val="none"/>
          <w:lang w:val="en-US" w:eastAsia="zh-CN"/>
        </w:rPr>
        <w:t>2</w:t>
      </w:r>
      <w:r>
        <w:rPr>
          <w:rFonts w:hint="eastAsia" w:cs="宋体"/>
          <w:color w:val="auto"/>
          <w:sz w:val="28"/>
          <w:szCs w:val="28"/>
          <w:highlight w:val="none"/>
          <w:lang w:val="en-US" w:eastAsia="zh-CN"/>
        </w:rPr>
        <w:t>2</w:t>
      </w:r>
      <w:r>
        <w:rPr>
          <w:rFonts w:hint="eastAsia"/>
          <w:color w:val="auto"/>
          <w:sz w:val="28"/>
          <w:szCs w:val="28"/>
          <w:highlight w:val="none"/>
        </w:rPr>
        <w:fldChar w:fldCharType="end"/>
      </w:r>
    </w:p>
    <w:p w14:paraId="53DE189B">
      <w:pPr>
        <w:pStyle w:val="10"/>
        <w:keepNext w:val="0"/>
        <w:keepLines w:val="0"/>
        <w:pageBreakBefore w:val="0"/>
        <w:tabs>
          <w:tab w:val="left" w:pos="957"/>
          <w:tab w:val="right" w:leader="dot" w:pos="8413"/>
        </w:tabs>
        <w:kinsoku/>
        <w:wordWrap/>
        <w:overflowPunct/>
        <w:topLinePunct w:val="0"/>
        <w:bidi w:val="0"/>
        <w:spacing w:before="146" w:line="360" w:lineRule="auto"/>
        <w:jc w:val="left"/>
        <w:textAlignment w:val="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olor w:val="auto"/>
          <w:w w:val="95"/>
          <w:sz w:val="28"/>
          <w:szCs w:val="28"/>
          <w:highlight w:val="none"/>
        </w:rPr>
        <w:t>第五章</w:t>
      </w:r>
      <w:r>
        <w:rPr>
          <w:rFonts w:hint="eastAsia"/>
          <w:color w:val="auto"/>
          <w:sz w:val="28"/>
          <w:szCs w:val="28"/>
          <w:highlight w:val="none"/>
        </w:rPr>
        <w:t>合同主要条款</w:t>
      </w:r>
      <w:r>
        <w:rPr>
          <w:rFonts w:hint="eastAsia"/>
          <w:b/>
          <w:bCs/>
          <w:color w:val="auto"/>
          <w:sz w:val="28"/>
          <w:szCs w:val="28"/>
          <w:highlight w:val="none"/>
        </w:rPr>
        <w:tab/>
      </w:r>
      <w:r>
        <w:rPr>
          <w:rFonts w:hint="eastAsia"/>
          <w:b/>
          <w:bCs/>
          <w:color w:val="auto"/>
          <w:sz w:val="28"/>
          <w:szCs w:val="28"/>
          <w:highlight w:val="none"/>
        </w:rPr>
        <w:fldChar w:fldCharType="end"/>
      </w:r>
      <w:r>
        <w:rPr>
          <w:rFonts w:hint="eastAsia"/>
          <w:color w:val="auto"/>
          <w:sz w:val="28"/>
          <w:szCs w:val="28"/>
          <w:highlight w:val="none"/>
          <w:lang w:val="en-US" w:eastAsia="zh-CN"/>
        </w:rPr>
        <w:t>26</w:t>
      </w:r>
    </w:p>
    <w:p w14:paraId="3B8D77CF">
      <w:pPr>
        <w:pStyle w:val="10"/>
        <w:keepNext w:val="0"/>
        <w:keepLines w:val="0"/>
        <w:pageBreakBefore w:val="0"/>
        <w:tabs>
          <w:tab w:val="left" w:pos="957"/>
          <w:tab w:val="right" w:leader="dot" w:pos="8413"/>
        </w:tabs>
        <w:kinsoku/>
        <w:wordWrap/>
        <w:overflowPunct/>
        <w:topLinePunct w:val="0"/>
        <w:bidi w:val="0"/>
        <w:spacing w:before="146" w:line="360" w:lineRule="auto"/>
        <w:jc w:val="left"/>
        <w:textAlignment w:val="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olor w:val="auto"/>
          <w:w w:val="95"/>
          <w:sz w:val="28"/>
          <w:szCs w:val="28"/>
          <w:highlight w:val="none"/>
        </w:rPr>
        <w:t>第六章竞争性磋商响应文件格式</w:t>
      </w:r>
      <w:r>
        <w:rPr>
          <w:rFonts w:hint="eastAsia"/>
          <w:b/>
          <w:bCs/>
          <w:color w:val="auto"/>
          <w:sz w:val="28"/>
          <w:szCs w:val="28"/>
          <w:highlight w:val="none"/>
        </w:rPr>
        <w:tab/>
      </w:r>
      <w:r>
        <w:rPr>
          <w:rFonts w:hint="eastAsia"/>
          <w:b/>
          <w:bCs/>
          <w:color w:val="auto"/>
          <w:sz w:val="28"/>
          <w:szCs w:val="28"/>
          <w:highlight w:val="none"/>
        </w:rPr>
        <w:fldChar w:fldCharType="end"/>
      </w:r>
      <w:r>
        <w:rPr>
          <w:rFonts w:hint="eastAsia"/>
          <w:color w:val="auto"/>
          <w:sz w:val="28"/>
          <w:szCs w:val="28"/>
          <w:highlight w:val="none"/>
          <w:lang w:val="en-US" w:eastAsia="zh-CN"/>
        </w:rPr>
        <w:t>32</w:t>
      </w:r>
    </w:p>
    <w:p w14:paraId="26DF9471">
      <w:pPr>
        <w:keepNext w:val="0"/>
        <w:keepLines w:val="0"/>
        <w:pageBreakBefore w:val="0"/>
        <w:widowControl/>
        <w:kinsoku/>
        <w:wordWrap/>
        <w:overflowPunct/>
        <w:topLinePunct w:val="0"/>
        <w:bidi w:val="0"/>
        <w:spacing w:line="360" w:lineRule="auto"/>
        <w:jc w:val="left"/>
        <w:textAlignment w:val="auto"/>
        <w:rPr>
          <w:rFonts w:ascii="宋体" w:hAnsi="宋体"/>
          <w:color w:val="auto"/>
          <w:sz w:val="28"/>
          <w:szCs w:val="28"/>
          <w:highlight w:val="none"/>
        </w:rPr>
      </w:pPr>
      <w:r>
        <w:rPr>
          <w:rFonts w:hint="eastAsia" w:ascii="宋体" w:hAnsi="宋体"/>
          <w:color w:val="auto"/>
          <w:sz w:val="28"/>
          <w:szCs w:val="28"/>
          <w:highlight w:val="none"/>
        </w:rPr>
        <w:br w:type="page"/>
      </w:r>
      <w:bookmarkStart w:id="54" w:name="_GoBack"/>
      <w:bookmarkEnd w:id="54"/>
    </w:p>
    <w:p w14:paraId="53BE8D49">
      <w:pPr>
        <w:keepNext w:val="0"/>
        <w:keepLines w:val="0"/>
        <w:pageBreakBefore w:val="0"/>
        <w:kinsoku/>
        <w:wordWrap/>
        <w:overflowPunct/>
        <w:topLinePunct w:val="0"/>
        <w:bidi w:val="0"/>
        <w:spacing w:line="360" w:lineRule="auto"/>
        <w:ind w:firstLine="2390" w:firstLineChars="700"/>
        <w:textAlignment w:val="auto"/>
        <w:outlineLvl w:val="0"/>
        <w:rPr>
          <w:rFonts w:hint="eastAsia" w:ascii="宋体" w:hAnsi="宋体" w:eastAsia="宋体"/>
          <w:b/>
          <w:color w:val="auto"/>
          <w:spacing w:val="-10"/>
          <w:sz w:val="36"/>
          <w:szCs w:val="36"/>
          <w:highlight w:val="none"/>
          <w:lang w:val="en-US" w:eastAsia="zh-CN"/>
        </w:rPr>
      </w:pPr>
      <w:r>
        <w:rPr>
          <w:rFonts w:hint="eastAsia" w:ascii="宋体" w:hAnsi="宋体"/>
          <w:b/>
          <w:color w:val="auto"/>
          <w:spacing w:val="-10"/>
          <w:sz w:val="36"/>
          <w:szCs w:val="36"/>
          <w:highlight w:val="none"/>
        </w:rPr>
        <w:t>第一章 竞争性磋商</w:t>
      </w:r>
      <w:r>
        <w:rPr>
          <w:rFonts w:hint="eastAsia" w:ascii="宋体" w:hAnsi="宋体"/>
          <w:b/>
          <w:color w:val="auto"/>
          <w:spacing w:val="-10"/>
          <w:sz w:val="36"/>
          <w:szCs w:val="36"/>
          <w:highlight w:val="none"/>
          <w:lang w:val="en-US" w:eastAsia="zh-CN"/>
        </w:rPr>
        <w:t>公告</w:t>
      </w:r>
    </w:p>
    <w:p w14:paraId="1BFC91D2">
      <w:pPr>
        <w:pBdr>
          <w:top w:val="single" w:color="auto" w:sz="4" w:space="1"/>
          <w:left w:val="single" w:color="auto" w:sz="4" w:space="4"/>
          <w:bottom w:val="single" w:color="auto" w:sz="4" w:space="1"/>
          <w:right w:val="single" w:color="auto" w:sz="4" w:space="4"/>
        </w:pBdr>
        <w:spacing w:line="300" w:lineRule="auto"/>
        <w:rPr>
          <w:rFonts w:ascii="宋体" w:hAnsi="宋体"/>
          <w:sz w:val="24"/>
          <w:szCs w:val="21"/>
          <w:lang w:val="zh-CN"/>
        </w:rPr>
      </w:pPr>
      <w:bookmarkStart w:id="0" w:name="_Toc28359013"/>
      <w:bookmarkStart w:id="1" w:name="_Toc28359090"/>
      <w:bookmarkStart w:id="2" w:name="_Toc35393630"/>
      <w:bookmarkStart w:id="3" w:name="_Toc35393799"/>
      <w:r>
        <w:rPr>
          <w:rFonts w:hint="eastAsia" w:ascii="宋体" w:hAnsi="宋体"/>
          <w:sz w:val="24"/>
          <w:szCs w:val="21"/>
          <w:lang w:val="zh-CN"/>
        </w:rPr>
        <w:t>项目概况</w:t>
      </w:r>
    </w:p>
    <w:p w14:paraId="52D5D41E">
      <w:pPr>
        <w:pBdr>
          <w:top w:val="single" w:color="auto" w:sz="4" w:space="1"/>
          <w:left w:val="single" w:color="auto" w:sz="4" w:space="4"/>
          <w:bottom w:val="single" w:color="auto" w:sz="4" w:space="1"/>
          <w:right w:val="single" w:color="auto" w:sz="4" w:space="4"/>
        </w:pBdr>
        <w:spacing w:line="300" w:lineRule="auto"/>
        <w:ind w:firstLine="480" w:firstLineChars="200"/>
        <w:rPr>
          <w:rFonts w:ascii="仿宋" w:hAnsi="仿宋" w:eastAsia="仿宋" w:cs="Times New Roman"/>
          <w:sz w:val="28"/>
          <w:szCs w:val="28"/>
        </w:rPr>
      </w:pPr>
      <w:r>
        <w:rPr>
          <w:rFonts w:hint="eastAsia" w:ascii="宋体" w:hAnsi="宋体"/>
          <w:color w:val="auto"/>
          <w:sz w:val="24"/>
          <w:highlight w:val="none"/>
          <w:u w:val="single"/>
          <w:lang w:eastAsia="zh-CN"/>
        </w:rPr>
        <w:t>南京江北新区2026年度河道堤防白蚁防治项目</w:t>
      </w:r>
      <w:r>
        <w:rPr>
          <w:rFonts w:hint="eastAsia" w:ascii="宋体" w:hAnsi="宋体"/>
          <w:sz w:val="24"/>
          <w:szCs w:val="21"/>
          <w:lang w:val="zh-CN"/>
        </w:rPr>
        <w:t>的潜在供应商应在南京市江北新区浦滨路150号中科创新广场23栋8楼获取采购文件，并于</w:t>
      </w:r>
      <w:r>
        <w:rPr>
          <w:rFonts w:hint="eastAsia" w:ascii="宋体" w:hAnsi="宋体"/>
          <w:sz w:val="24"/>
          <w:szCs w:val="21"/>
          <w:u w:val="single"/>
          <w:lang w:val="zh-CN"/>
        </w:rPr>
        <w:t>202</w:t>
      </w:r>
      <w:r>
        <w:rPr>
          <w:rFonts w:hint="eastAsia" w:ascii="宋体" w:hAnsi="宋体"/>
          <w:sz w:val="24"/>
          <w:szCs w:val="21"/>
          <w:u w:val="single"/>
          <w:lang w:val="en-US" w:eastAsia="zh-CN"/>
        </w:rPr>
        <w:t>6</w:t>
      </w:r>
      <w:r>
        <w:rPr>
          <w:rFonts w:hint="eastAsia" w:ascii="宋体" w:hAnsi="宋体"/>
          <w:sz w:val="24"/>
          <w:szCs w:val="21"/>
          <w:u w:val="single"/>
          <w:lang w:val="zh-CN"/>
        </w:rPr>
        <w:t>年</w:t>
      </w:r>
      <w:r>
        <w:rPr>
          <w:rFonts w:hint="eastAsia" w:ascii="宋体" w:hAnsi="宋体"/>
          <w:sz w:val="24"/>
          <w:szCs w:val="21"/>
          <w:u w:val="single"/>
          <w:lang w:val="en-US" w:eastAsia="zh-CN"/>
        </w:rPr>
        <w:t>4</w:t>
      </w:r>
      <w:r>
        <w:rPr>
          <w:rFonts w:hint="eastAsia" w:ascii="宋体" w:hAnsi="宋体"/>
          <w:sz w:val="24"/>
          <w:szCs w:val="21"/>
          <w:u w:val="single"/>
          <w:lang w:val="zh-CN"/>
        </w:rPr>
        <w:t>月</w:t>
      </w:r>
      <w:r>
        <w:rPr>
          <w:rFonts w:hint="eastAsia" w:ascii="宋体" w:hAnsi="宋体"/>
          <w:sz w:val="24"/>
          <w:szCs w:val="21"/>
          <w:u w:val="single"/>
          <w:lang w:val="en-US" w:eastAsia="zh-CN"/>
        </w:rPr>
        <w:t>29</w:t>
      </w:r>
      <w:r>
        <w:rPr>
          <w:rFonts w:hint="eastAsia" w:ascii="宋体" w:hAnsi="宋体"/>
          <w:sz w:val="24"/>
          <w:szCs w:val="21"/>
          <w:u w:val="single"/>
          <w:lang w:val="zh-CN"/>
        </w:rPr>
        <w:t>日</w:t>
      </w:r>
      <w:r>
        <w:rPr>
          <w:rFonts w:ascii="宋体" w:hAnsi="宋体"/>
          <w:sz w:val="24"/>
          <w:szCs w:val="21"/>
          <w:u w:val="single"/>
          <w:lang w:val="zh-CN"/>
        </w:rPr>
        <w:t>14</w:t>
      </w:r>
      <w:r>
        <w:rPr>
          <w:rFonts w:hint="eastAsia" w:ascii="宋体" w:hAnsi="宋体"/>
          <w:sz w:val="24"/>
          <w:szCs w:val="21"/>
          <w:u w:val="single"/>
          <w:lang w:val="zh-CN"/>
        </w:rPr>
        <w:t>点</w:t>
      </w:r>
      <w:r>
        <w:rPr>
          <w:rFonts w:hint="eastAsia" w:ascii="宋体" w:hAnsi="宋体"/>
          <w:sz w:val="24"/>
          <w:szCs w:val="21"/>
          <w:u w:val="single"/>
          <w:lang w:val="en-US" w:eastAsia="zh-CN"/>
        </w:rPr>
        <w:t>3</w:t>
      </w:r>
      <w:r>
        <w:rPr>
          <w:rFonts w:hint="eastAsia" w:ascii="宋体" w:hAnsi="宋体"/>
          <w:sz w:val="24"/>
          <w:szCs w:val="21"/>
          <w:u w:val="single"/>
        </w:rPr>
        <w:t>0</w:t>
      </w:r>
      <w:r>
        <w:rPr>
          <w:rFonts w:hint="eastAsia" w:ascii="宋体" w:hAnsi="宋体"/>
          <w:sz w:val="24"/>
          <w:szCs w:val="21"/>
          <w:u w:val="single"/>
          <w:lang w:val="zh-CN"/>
        </w:rPr>
        <w:t>分</w:t>
      </w:r>
      <w:r>
        <w:rPr>
          <w:rFonts w:hint="eastAsia" w:ascii="宋体" w:hAnsi="宋体"/>
          <w:sz w:val="24"/>
          <w:szCs w:val="21"/>
          <w:lang w:val="zh-CN"/>
        </w:rPr>
        <w:t>（北京时间）前提交响应文件。</w:t>
      </w:r>
    </w:p>
    <w:p w14:paraId="04D312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一</w:t>
      </w:r>
      <w:r>
        <w:rPr>
          <w:rFonts w:hint="eastAsia" w:ascii="宋体" w:hAnsi="宋体"/>
          <w:color w:val="auto"/>
          <w:sz w:val="24"/>
          <w:highlight w:val="none"/>
        </w:rPr>
        <w:t>、项目概</w:t>
      </w:r>
      <w:r>
        <w:rPr>
          <w:rFonts w:hint="eastAsia" w:ascii="宋体" w:hAnsi="宋体"/>
          <w:color w:val="auto"/>
          <w:sz w:val="24"/>
          <w:highlight w:val="none"/>
          <w:lang w:val="en-US" w:eastAsia="zh-CN"/>
        </w:rPr>
        <w:t>况</w:t>
      </w:r>
      <w:r>
        <w:rPr>
          <w:rFonts w:hint="eastAsia" w:ascii="宋体" w:hAnsi="宋体"/>
          <w:color w:val="auto"/>
          <w:sz w:val="24"/>
          <w:highlight w:val="none"/>
        </w:rPr>
        <w:t>与招标范围</w:t>
      </w:r>
    </w:p>
    <w:p w14:paraId="5EA2BA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1、项目名称:</w:t>
      </w:r>
      <w:r>
        <w:rPr>
          <w:rFonts w:hint="eastAsia" w:ascii="宋体" w:hAnsi="宋体"/>
          <w:color w:val="auto"/>
          <w:sz w:val="24"/>
          <w:highlight w:val="none"/>
          <w:lang w:eastAsia="zh-CN"/>
        </w:rPr>
        <w:t>南京江北新区2026年度河道堤防白蚁防治项目</w:t>
      </w:r>
    </w:p>
    <w:p w14:paraId="7E1ABDF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2、项目服务地点:</w:t>
      </w:r>
      <w:r>
        <w:rPr>
          <w:rFonts w:hint="eastAsia" w:ascii="宋体" w:hAnsi="宋体"/>
          <w:color w:val="auto"/>
          <w:sz w:val="24"/>
          <w:highlight w:val="none"/>
          <w:lang w:val="en-US" w:eastAsia="zh-CN"/>
        </w:rPr>
        <w:t>江北新区</w:t>
      </w:r>
    </w:p>
    <w:p w14:paraId="69F64F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3、最高限价:</w:t>
      </w:r>
      <w:r>
        <w:rPr>
          <w:rFonts w:hint="eastAsia" w:ascii="宋体" w:hAnsi="宋体"/>
          <w:color w:val="auto"/>
          <w:sz w:val="24"/>
          <w:highlight w:val="none"/>
          <w:lang w:val="en-US" w:eastAsia="zh-CN"/>
        </w:rPr>
        <w:t>35万</w:t>
      </w:r>
      <w:r>
        <w:rPr>
          <w:rFonts w:hint="eastAsia" w:ascii="宋体" w:hAnsi="宋体"/>
          <w:color w:val="auto"/>
          <w:sz w:val="24"/>
          <w:highlight w:val="none"/>
        </w:rPr>
        <w:t>元</w:t>
      </w:r>
    </w:p>
    <w:p w14:paraId="7F18ACA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4、采购需求:</w:t>
      </w:r>
      <w:r>
        <w:rPr>
          <w:rFonts w:hint="eastAsia" w:ascii="宋体" w:hAnsi="宋体"/>
          <w:color w:val="auto"/>
          <w:sz w:val="24"/>
          <w:highlight w:val="none"/>
          <w:lang w:val="en-US" w:eastAsia="zh-CN"/>
        </w:rPr>
        <w:t>本项目要求对新区8条骨干河道（城南河、七里河、朱家山河、石头河、滁河、岳子河、划子口河、四柳河），总长88.68公里堤防及大顶山水库开展白蚁普查、防治工作。</w:t>
      </w:r>
    </w:p>
    <w:p w14:paraId="5CA3CD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5、合同履行期:</w:t>
      </w:r>
      <w:r>
        <w:rPr>
          <w:rFonts w:hint="eastAsia" w:ascii="宋体" w:hAnsi="宋体"/>
          <w:color w:val="auto"/>
          <w:sz w:val="24"/>
          <w:highlight w:val="none"/>
          <w:lang w:val="en-US" w:eastAsia="zh-CN"/>
        </w:rPr>
        <w:t>2026年5月至2027年4月。</w:t>
      </w:r>
    </w:p>
    <w:p w14:paraId="5C2965F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6、项</w:t>
      </w:r>
      <w:r>
        <w:rPr>
          <w:rFonts w:hint="eastAsia" w:ascii="宋体" w:hAnsi="宋体" w:eastAsia="宋体" w:cs="宋体"/>
          <w:color w:val="auto"/>
          <w:sz w:val="24"/>
          <w:highlight w:val="none"/>
        </w:rPr>
        <w:t>目所属行业：根据《关于印发中小企业划型标准规定的通知》（工信部联企业〔2011〕300号）及《国家统计局关于印发&lt;统计上大中小微型企业划分办法（2017）&gt;的通知》（国统字〔2017〕213号）等文件规定，本项目所属行业为</w:t>
      </w:r>
      <w:r>
        <w:rPr>
          <w:rFonts w:hint="eastAsia" w:ascii="宋体" w:hAnsi="宋体" w:cs="宋体"/>
          <w:color w:val="auto"/>
          <w:sz w:val="24"/>
          <w:highlight w:val="none"/>
          <w:u w:val="single"/>
          <w:lang w:val="en-US" w:eastAsia="zh-CN"/>
        </w:rPr>
        <w:t>其他未列明行业</w:t>
      </w:r>
      <w:r>
        <w:rPr>
          <w:rFonts w:hint="eastAsia" w:ascii="宋体" w:hAnsi="宋体" w:eastAsia="宋体" w:cs="宋体"/>
          <w:color w:val="auto"/>
          <w:sz w:val="24"/>
          <w:highlight w:val="none"/>
        </w:rPr>
        <w:t>。</w:t>
      </w:r>
    </w:p>
    <w:p w14:paraId="6271DC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.采购类型：服务类</w:t>
      </w:r>
    </w:p>
    <w:p w14:paraId="6449800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.本项目（是/否）接受联合体：否。</w:t>
      </w:r>
    </w:p>
    <w:p w14:paraId="4CD811A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r>
        <w:rPr>
          <w:rFonts w:hint="eastAsia" w:ascii="宋体" w:hAnsi="宋体"/>
          <w:b/>
          <w:bCs/>
          <w:color w:val="auto"/>
          <w:sz w:val="24"/>
          <w:highlight w:val="none"/>
          <w:lang w:val="zh-CN"/>
        </w:rPr>
        <w:t>二、申请人的资格要求：</w:t>
      </w:r>
      <w:bookmarkEnd w:id="0"/>
      <w:bookmarkEnd w:id="1"/>
      <w:bookmarkEnd w:id="2"/>
      <w:bookmarkEnd w:id="3"/>
    </w:p>
    <w:p w14:paraId="4CA3BF6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14:paraId="26CE87A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bookmarkStart w:id="4" w:name="_Toc28359014"/>
      <w:bookmarkStart w:id="5" w:name="_Toc28359091"/>
      <w:r>
        <w:rPr>
          <w:rFonts w:hint="eastAsia" w:ascii="宋体" w:hAnsi="宋体"/>
          <w:color w:val="auto"/>
          <w:sz w:val="24"/>
          <w:highlight w:val="none"/>
          <w:lang w:val="zh-CN"/>
        </w:rPr>
        <w:t>（1）具有独立承担民事责任的能力（提供法人或者其他组织的营业执照；供应商为自然人的提供其身份证）；</w:t>
      </w:r>
    </w:p>
    <w:p w14:paraId="154A7BB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（2）具有良好的商业信誉和健全的财务会计制度（提供参加本次政府采购活动前一年内（至少一个月）的会计报表，成立不满一个月的无需提供）；</w:t>
      </w:r>
    </w:p>
    <w:p w14:paraId="246C505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（3）具有履行合同所必需的设备和专业技术能力（供应商根据履行采购项目合同需要，提供履行合同所必需的设备和专业技术能力的证明材料）；</w:t>
      </w:r>
    </w:p>
    <w:p w14:paraId="5001B30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（4）有依法缴纳税收和社会保障资金的良好记录（提供参加本次政府采购活动前半年内至少一个月：①提供缴纳税收的凭证；②提供缴纳社会保险的凭据），依法享受免缴、缓缴的，提供证明材料）；</w:t>
      </w:r>
    </w:p>
    <w:p w14:paraId="3C8FB88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zh-CN"/>
        </w:rPr>
        <w:t>（5）参加政府采购活动前三年内，在经营活动中没有重大违法记录（提供承诺书）；</w:t>
      </w:r>
    </w:p>
    <w:p w14:paraId="6F3BA8D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（6）法律、行政法规规定的其他条件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无</w:t>
      </w:r>
      <w:r>
        <w:rPr>
          <w:rFonts w:hint="eastAsia" w:ascii="宋体" w:hAnsi="宋体"/>
          <w:color w:val="auto"/>
          <w:sz w:val="24"/>
          <w:highlight w:val="none"/>
        </w:rPr>
        <w:t>。</w:t>
      </w:r>
    </w:p>
    <w:p w14:paraId="7977561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注：根据《关于在政府采购活动中推行信用承诺制的通知》（宁财购通[2021]5号）的规定，以上（2）～（6）涉及的证明材料，供应商可以在投标文件中一次性提交，也可以在投标文件中提供满足相应条件的书面承诺书（详见磋商文件第六章），不再需要提供上述涉及的证明材料。</w:t>
      </w:r>
    </w:p>
    <w:p w14:paraId="083F54C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投标文件中仅提供信用承诺书而未提供涉及的证明材料的，须在中标后，另行提供上述由信用承诺书替代的证明材料（一式三份），材料须加盖公章并胶装提交采购人或采购代理机构核验。经核验无误后，由采购人或采购代理机构发出中标通知书。</w:t>
      </w:r>
    </w:p>
    <w:p w14:paraId="6A51EBF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供应商涉及以下情形的，不适用信用承诺，仍须提供上述证明材料：</w:t>
      </w:r>
    </w:p>
    <w:p w14:paraId="1BF2087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（1）供应商被列入严重失信主体名单；</w:t>
      </w:r>
    </w:p>
    <w:p w14:paraId="64CDAD5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（2）被相关监管部门作出行政处罚且尚在处罚有效期内；</w:t>
      </w:r>
    </w:p>
    <w:p w14:paraId="767FCE6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（3）其他法律、行政法规规定的不适用信用承诺的情形。</w:t>
      </w:r>
    </w:p>
    <w:p w14:paraId="7E0858C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供应商对信用承诺内容的真实性、合法性、有效性负责。如作出虚假信用承诺，视同为“提供虚假材料谋取中标、成交”的违法行为。</w:t>
      </w:r>
    </w:p>
    <w:p w14:paraId="130CA53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2.落实政府采购政策需满足的资格要求：本项目按照采用以下第</w:t>
      </w:r>
      <w:r>
        <w:rPr>
          <w:rFonts w:hint="eastAsia" w:ascii="宋体" w:hAnsi="宋体"/>
          <w:b/>
          <w:bCs/>
          <w:color w:val="auto"/>
          <w:sz w:val="24"/>
          <w:highlight w:val="none"/>
          <w:u w:val="single"/>
        </w:rPr>
        <w:t>（4）</w:t>
      </w:r>
      <w:r>
        <w:rPr>
          <w:rFonts w:hint="eastAsia" w:ascii="宋体" w:hAnsi="宋体"/>
          <w:color w:val="auto"/>
          <w:sz w:val="24"/>
          <w:highlight w:val="none"/>
        </w:rPr>
        <w:t>种方式落实政府采购促进中小企业发展的要求：</w:t>
      </w:r>
    </w:p>
    <w:p w14:paraId="0E1540A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（1）本项目整体专门面向中小企业采购；</w:t>
      </w:r>
    </w:p>
    <w:p w14:paraId="26D93A1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（2）本项目整体专门面向小微企业采购；</w:t>
      </w:r>
    </w:p>
    <w:p w14:paraId="2A34020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（3）本项目通过以下第</w:t>
      </w:r>
      <w:r>
        <w:rPr>
          <w:rFonts w:hint="eastAsia" w:ascii="宋体" w:hAnsi="宋体"/>
          <w:color w:val="auto"/>
          <w:sz w:val="24"/>
          <w:highlight w:val="none"/>
          <w:u w:val="single"/>
        </w:rPr>
        <w:t xml:space="preserve"> / </w:t>
      </w:r>
      <w:r>
        <w:rPr>
          <w:rFonts w:hint="eastAsia" w:ascii="宋体" w:hAnsi="宋体"/>
          <w:color w:val="auto"/>
          <w:sz w:val="24"/>
          <w:highlight w:val="none"/>
        </w:rPr>
        <w:t>种方式预留部分采购份额，面向中小企业采购：</w:t>
      </w:r>
    </w:p>
    <w:p w14:paraId="29FBECD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①本项目要求供应商以联合体形式参加，中小企业合同金额应当达到的比例为</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3CD9CA3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②本项目要求供应商进行合同分包，中小企业合同金额应当达到的比例为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C15F4A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（4）本项目为非预留份额专门面向中小企业的采购项目或采购包，执行价格扣除优惠政策，详见“第三章评标办法与评分标准”。</w:t>
      </w:r>
    </w:p>
    <w:p w14:paraId="7F8EDAF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3、本项目的特定资格要求：</w:t>
      </w:r>
      <w:bookmarkStart w:id="6" w:name="_Toc35393631"/>
      <w:bookmarkStart w:id="7" w:name="_Toc35393800"/>
      <w:r>
        <w:rPr>
          <w:rFonts w:hint="eastAsia" w:ascii="宋体" w:hAnsi="宋体"/>
          <w:color w:val="auto"/>
          <w:sz w:val="24"/>
          <w:highlight w:val="none"/>
        </w:rPr>
        <w:t>无</w:t>
      </w:r>
    </w:p>
    <w:p w14:paraId="6A20906B">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r>
        <w:rPr>
          <w:rFonts w:hint="eastAsia" w:ascii="宋体" w:hAnsi="宋体"/>
          <w:b/>
          <w:bCs/>
          <w:color w:val="auto"/>
          <w:sz w:val="24"/>
          <w:highlight w:val="none"/>
          <w:lang w:val="zh-CN"/>
        </w:rPr>
        <w:t>三、获取采购文件</w:t>
      </w:r>
      <w:bookmarkEnd w:id="4"/>
      <w:bookmarkEnd w:id="5"/>
      <w:bookmarkEnd w:id="6"/>
      <w:bookmarkEnd w:id="7"/>
    </w:p>
    <w:p w14:paraId="5285034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1、获取时间：202</w:t>
      </w:r>
      <w:r>
        <w:rPr>
          <w:rFonts w:hint="eastAsia" w:ascii="宋体" w:hAnsi="宋体"/>
          <w:color w:val="auto"/>
          <w:sz w:val="24"/>
          <w:highlight w:val="none"/>
          <w:lang w:val="zh-CN" w:eastAsia="zh-CN"/>
        </w:rPr>
        <w:t>6</w:t>
      </w:r>
      <w:r>
        <w:rPr>
          <w:rFonts w:hint="eastAsia" w:ascii="宋体" w:hAnsi="宋体"/>
          <w:color w:val="auto"/>
          <w:sz w:val="24"/>
          <w:highlight w:val="none"/>
          <w:lang w:val="zh-CN"/>
        </w:rPr>
        <w:t>年</w:t>
      </w:r>
      <w:r>
        <w:rPr>
          <w:rFonts w:hint="eastAsia" w:ascii="宋体" w:hAnsi="宋体"/>
          <w:color w:val="auto"/>
          <w:sz w:val="24"/>
          <w:highlight w:val="none"/>
          <w:lang w:val="en-US" w:eastAsia="zh-CN"/>
        </w:rPr>
        <w:t>4</w:t>
      </w:r>
      <w:r>
        <w:rPr>
          <w:rFonts w:hint="eastAsia" w:ascii="宋体" w:hAnsi="宋体"/>
          <w:color w:val="auto"/>
          <w:sz w:val="24"/>
          <w:highlight w:val="none"/>
          <w:lang w:val="zh-CN"/>
        </w:rPr>
        <w:t>月</w:t>
      </w:r>
      <w:r>
        <w:rPr>
          <w:rFonts w:hint="eastAsia" w:ascii="宋体" w:hAnsi="宋体"/>
          <w:color w:val="auto"/>
          <w:sz w:val="24"/>
          <w:highlight w:val="none"/>
          <w:lang w:val="en-US" w:eastAsia="zh-CN"/>
        </w:rPr>
        <w:t>17</w:t>
      </w:r>
      <w:r>
        <w:rPr>
          <w:rFonts w:hint="eastAsia" w:ascii="宋体" w:hAnsi="宋体"/>
          <w:color w:val="auto"/>
          <w:sz w:val="24"/>
          <w:highlight w:val="none"/>
          <w:lang w:val="zh-CN"/>
        </w:rPr>
        <w:t>日</w:t>
      </w:r>
      <w:r>
        <w:rPr>
          <w:rFonts w:hint="eastAsia" w:ascii="宋体" w:hAnsi="宋体"/>
          <w:color w:val="auto"/>
          <w:sz w:val="24"/>
          <w:highlight w:val="none"/>
          <w:lang w:val="zh-CN" w:eastAsia="zh-CN"/>
        </w:rPr>
        <w:t>1</w:t>
      </w:r>
      <w:r>
        <w:rPr>
          <w:rFonts w:hint="eastAsia" w:ascii="宋体" w:hAnsi="宋体"/>
          <w:color w:val="auto"/>
          <w:sz w:val="24"/>
          <w:highlight w:val="none"/>
          <w:lang w:val="en-US" w:eastAsia="zh-CN"/>
        </w:rPr>
        <w:t>0</w:t>
      </w:r>
      <w:r>
        <w:rPr>
          <w:rFonts w:hint="eastAsia" w:ascii="宋体" w:hAnsi="宋体"/>
          <w:color w:val="auto"/>
          <w:sz w:val="24"/>
          <w:highlight w:val="none"/>
          <w:lang w:val="zh-CN" w:eastAsia="zh-CN"/>
        </w:rPr>
        <w:t>：00</w:t>
      </w:r>
      <w:r>
        <w:rPr>
          <w:rFonts w:hint="eastAsia" w:ascii="宋体" w:hAnsi="宋体"/>
          <w:color w:val="auto"/>
          <w:sz w:val="24"/>
          <w:highlight w:val="none"/>
          <w:lang w:val="zh-CN"/>
        </w:rPr>
        <w:t>-202</w:t>
      </w:r>
      <w:r>
        <w:rPr>
          <w:rFonts w:hint="eastAsia" w:ascii="宋体" w:hAnsi="宋体"/>
          <w:color w:val="auto"/>
          <w:sz w:val="24"/>
          <w:highlight w:val="none"/>
          <w:lang w:val="zh-CN" w:eastAsia="zh-CN"/>
        </w:rPr>
        <w:t>6</w:t>
      </w:r>
      <w:r>
        <w:rPr>
          <w:rFonts w:hint="eastAsia" w:ascii="宋体" w:hAnsi="宋体"/>
          <w:color w:val="auto"/>
          <w:sz w:val="24"/>
          <w:highlight w:val="none"/>
          <w:lang w:val="zh-CN"/>
        </w:rPr>
        <w:t>年</w:t>
      </w:r>
      <w:r>
        <w:rPr>
          <w:rFonts w:hint="eastAsia" w:ascii="宋体" w:hAnsi="宋体"/>
          <w:color w:val="auto"/>
          <w:sz w:val="24"/>
          <w:highlight w:val="none"/>
          <w:lang w:val="en-US" w:eastAsia="zh-CN"/>
        </w:rPr>
        <w:t>4</w:t>
      </w:r>
      <w:r>
        <w:rPr>
          <w:rFonts w:hint="eastAsia" w:ascii="宋体" w:hAnsi="宋体"/>
          <w:color w:val="auto"/>
          <w:sz w:val="24"/>
          <w:highlight w:val="none"/>
          <w:lang w:val="zh-CN"/>
        </w:rPr>
        <w:t>月</w:t>
      </w:r>
      <w:r>
        <w:rPr>
          <w:rFonts w:hint="eastAsia" w:ascii="宋体" w:hAnsi="宋体"/>
          <w:color w:val="auto"/>
          <w:sz w:val="24"/>
          <w:highlight w:val="none"/>
          <w:lang w:val="en-US" w:eastAsia="zh-CN"/>
        </w:rPr>
        <w:t>24</w:t>
      </w:r>
      <w:r>
        <w:rPr>
          <w:rFonts w:hint="eastAsia" w:ascii="宋体" w:hAnsi="宋体"/>
          <w:color w:val="auto"/>
          <w:sz w:val="24"/>
          <w:highlight w:val="none"/>
          <w:lang w:val="zh-CN"/>
        </w:rPr>
        <w:t>日17:00</w:t>
      </w:r>
    </w:p>
    <w:p w14:paraId="083C37F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2、获取方式：网上或现场获取。</w:t>
      </w:r>
    </w:p>
    <w:p w14:paraId="5C40901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（一）现场获取方式：</w:t>
      </w:r>
    </w:p>
    <w:p w14:paraId="6A1B420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（1）有效的营业执照（提供复印件加盖供应商公章）；</w:t>
      </w:r>
    </w:p>
    <w:p w14:paraId="4E18654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（2）法定代表人授权委托书（原件）和授权委托人身份证（原件）及复印件加盖供应商公章；</w:t>
      </w:r>
    </w:p>
    <w:p w14:paraId="0D753FB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地址：携带上述资料到南京信诺工程造价咨询有限责任公司（南京市江北新区浦滨路150号中科创新广场23幢8楼）进行投标报名、接受审查及购买竞争性谈判文件。售价：100元人民币/份，售后不退。（文件费缴纳支付宝帐户：1689598161@qq.com南京信诺工程造价咨询有限责任公司（汇款时备注简要单位名称及项目名称））</w:t>
      </w:r>
    </w:p>
    <w:p w14:paraId="65ED6DE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（二）网上获取方式：</w:t>
      </w:r>
    </w:p>
    <w:p w14:paraId="3AB2F9A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（1）有效的营业执照（提供复印件加盖供应商公章）；</w:t>
      </w:r>
    </w:p>
    <w:p w14:paraId="6DF9C2E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（2）法定代表人授权委托书（原件）和授权委托人身份证复印件加盖供应商公章；</w:t>
      </w:r>
    </w:p>
    <w:p w14:paraId="75EAF5E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以上资料盖章扫描发送至邮箱3246282634 @qq.com，邮件主题为“项目名称+单位名称+联系人+联系方式”。供应商在收到谈判文件后通过邮箱予以确认回复。</w:t>
      </w:r>
    </w:p>
    <w:p w14:paraId="34635223">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bookmarkStart w:id="8" w:name="_Toc28359015"/>
      <w:bookmarkStart w:id="9" w:name="_Toc35393801"/>
      <w:bookmarkStart w:id="10" w:name="_Toc35393632"/>
      <w:bookmarkStart w:id="11" w:name="_Toc28359092"/>
      <w:r>
        <w:rPr>
          <w:rFonts w:hint="eastAsia" w:ascii="宋体" w:hAnsi="宋体"/>
          <w:b/>
          <w:bCs/>
          <w:color w:val="auto"/>
          <w:sz w:val="24"/>
          <w:highlight w:val="none"/>
          <w:lang w:val="zh-CN"/>
        </w:rPr>
        <w:t>四、响应文件提交</w:t>
      </w:r>
      <w:bookmarkEnd w:id="8"/>
      <w:bookmarkEnd w:id="9"/>
      <w:bookmarkEnd w:id="10"/>
      <w:bookmarkEnd w:id="11"/>
    </w:p>
    <w:p w14:paraId="24259B5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1、</w:t>
      </w:r>
      <w:r>
        <w:rPr>
          <w:rFonts w:hint="eastAsia" w:ascii="宋体" w:hAnsi="宋体"/>
          <w:color w:val="auto"/>
          <w:sz w:val="24"/>
          <w:highlight w:val="none"/>
          <w:lang w:val="zh-CN"/>
        </w:rPr>
        <w:t>截止时间：202</w:t>
      </w:r>
      <w:r>
        <w:rPr>
          <w:rFonts w:hint="eastAsia" w:ascii="宋体" w:hAnsi="宋体"/>
          <w:color w:val="auto"/>
          <w:sz w:val="24"/>
          <w:highlight w:val="none"/>
          <w:lang w:val="en-US" w:eastAsia="zh-CN"/>
        </w:rPr>
        <w:t>6</w:t>
      </w:r>
      <w:r>
        <w:rPr>
          <w:rFonts w:hint="eastAsia" w:ascii="宋体" w:hAnsi="宋体"/>
          <w:color w:val="auto"/>
          <w:sz w:val="24"/>
          <w:highlight w:val="none"/>
          <w:lang w:val="zh-CN"/>
        </w:rPr>
        <w:t>年</w:t>
      </w:r>
      <w:r>
        <w:rPr>
          <w:rFonts w:hint="eastAsia" w:ascii="宋体" w:hAnsi="宋体"/>
          <w:color w:val="auto"/>
          <w:sz w:val="24"/>
          <w:highlight w:val="none"/>
          <w:lang w:val="en-US" w:eastAsia="zh-CN"/>
        </w:rPr>
        <w:t>4</w:t>
      </w:r>
      <w:r>
        <w:rPr>
          <w:rFonts w:hint="eastAsia" w:ascii="宋体" w:hAnsi="宋体"/>
          <w:color w:val="auto"/>
          <w:sz w:val="24"/>
          <w:highlight w:val="none"/>
          <w:lang w:val="zh-CN"/>
        </w:rPr>
        <w:t>月</w:t>
      </w:r>
      <w:r>
        <w:rPr>
          <w:rFonts w:hint="eastAsia" w:ascii="宋体" w:hAnsi="宋体"/>
          <w:color w:val="auto"/>
          <w:sz w:val="24"/>
          <w:highlight w:val="none"/>
          <w:lang w:val="en-US" w:eastAsia="zh-CN"/>
        </w:rPr>
        <w:t>29</w:t>
      </w:r>
      <w:r>
        <w:rPr>
          <w:rFonts w:hint="eastAsia" w:ascii="宋体" w:hAnsi="宋体"/>
          <w:color w:val="auto"/>
          <w:sz w:val="24"/>
          <w:highlight w:val="none"/>
          <w:lang w:val="zh-CN"/>
        </w:rPr>
        <w:t>日</w:t>
      </w:r>
      <w:r>
        <w:rPr>
          <w:rFonts w:hint="eastAsia" w:ascii="宋体" w:hAnsi="宋体"/>
          <w:color w:val="auto"/>
          <w:sz w:val="24"/>
          <w:highlight w:val="none"/>
          <w:lang w:val="en-US" w:eastAsia="zh-CN"/>
        </w:rPr>
        <w:t>14</w:t>
      </w:r>
      <w:r>
        <w:rPr>
          <w:rFonts w:hint="eastAsia" w:ascii="宋体" w:hAnsi="宋体"/>
          <w:color w:val="auto"/>
          <w:sz w:val="24"/>
          <w:highlight w:val="none"/>
          <w:lang w:val="zh-CN"/>
        </w:rPr>
        <w:t>点</w:t>
      </w:r>
      <w:r>
        <w:rPr>
          <w:rFonts w:hint="eastAsia" w:ascii="宋体" w:hAnsi="宋体"/>
          <w:color w:val="auto"/>
          <w:sz w:val="24"/>
          <w:highlight w:val="none"/>
        </w:rPr>
        <w:t>30</w:t>
      </w:r>
      <w:r>
        <w:rPr>
          <w:rFonts w:hint="eastAsia" w:ascii="宋体" w:hAnsi="宋体"/>
          <w:color w:val="auto"/>
          <w:sz w:val="24"/>
          <w:highlight w:val="none"/>
          <w:lang w:val="zh-CN"/>
        </w:rPr>
        <w:t>分（北京时间）</w:t>
      </w:r>
    </w:p>
    <w:p w14:paraId="2E1E1FE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2、</w:t>
      </w:r>
      <w:r>
        <w:rPr>
          <w:rFonts w:hint="eastAsia" w:ascii="宋体" w:hAnsi="宋体"/>
          <w:color w:val="auto"/>
          <w:sz w:val="24"/>
          <w:highlight w:val="none"/>
          <w:lang w:val="zh-CN"/>
        </w:rPr>
        <w:t>地点：南京市江北新区浦滨路150号中科创新广场23栋8楼</w:t>
      </w:r>
    </w:p>
    <w:p w14:paraId="5DA2AA4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Cs w:val="21"/>
          <w:highlight w:val="none"/>
          <w:lang w:val="zh-CN"/>
        </w:rPr>
      </w:pPr>
      <w:r>
        <w:rPr>
          <w:rFonts w:hint="eastAsia" w:ascii="宋体" w:hAnsi="宋体"/>
          <w:color w:val="auto"/>
          <w:sz w:val="24"/>
          <w:highlight w:val="none"/>
        </w:rPr>
        <w:t>3、</w:t>
      </w:r>
      <w:r>
        <w:rPr>
          <w:rFonts w:hint="eastAsia" w:ascii="宋体" w:hAnsi="宋体"/>
          <w:color w:val="auto"/>
          <w:sz w:val="24"/>
          <w:highlight w:val="none"/>
          <w:lang w:val="zh-CN"/>
        </w:rPr>
        <w:t>磋商响应文件份数：纸质版一式叁份（壹份正本、贰份副本）、电子版磋商文件壹份（一般应为U盘形式、随纸质正本文件一并提交）。当电子版文件和纸质正本文件不一致时，以纸质正本文件为准。每份磋商文件须清楚标明“正本”或“副本”字样。一旦正本和副本不符，以正本为准。</w:t>
      </w:r>
    </w:p>
    <w:p w14:paraId="0649A31F">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bookmarkStart w:id="12" w:name="_Toc28359016"/>
      <w:bookmarkStart w:id="13" w:name="_Toc35393633"/>
      <w:bookmarkStart w:id="14" w:name="_Toc35393802"/>
      <w:bookmarkStart w:id="15" w:name="_Toc28359093"/>
      <w:r>
        <w:rPr>
          <w:rFonts w:hint="eastAsia" w:ascii="宋体" w:hAnsi="宋体"/>
          <w:b/>
          <w:bCs/>
          <w:color w:val="auto"/>
          <w:sz w:val="24"/>
          <w:highlight w:val="none"/>
          <w:lang w:val="zh-CN"/>
        </w:rPr>
        <w:t>五、开启</w:t>
      </w:r>
      <w:bookmarkEnd w:id="12"/>
      <w:bookmarkEnd w:id="13"/>
      <w:bookmarkEnd w:id="14"/>
      <w:bookmarkEnd w:id="15"/>
    </w:p>
    <w:p w14:paraId="5729A6E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1、</w:t>
      </w:r>
      <w:r>
        <w:rPr>
          <w:rFonts w:hint="eastAsia" w:ascii="宋体" w:hAnsi="宋体"/>
          <w:color w:val="auto"/>
          <w:sz w:val="24"/>
          <w:highlight w:val="none"/>
          <w:lang w:val="zh-CN"/>
        </w:rPr>
        <w:t>时间：202</w:t>
      </w:r>
      <w:r>
        <w:rPr>
          <w:rFonts w:hint="eastAsia" w:ascii="宋体" w:hAnsi="宋体"/>
          <w:color w:val="auto"/>
          <w:sz w:val="24"/>
          <w:highlight w:val="none"/>
          <w:lang w:val="en-US" w:eastAsia="zh-CN"/>
        </w:rPr>
        <w:t>6</w:t>
      </w:r>
      <w:r>
        <w:rPr>
          <w:rFonts w:hint="eastAsia" w:ascii="宋体" w:hAnsi="宋体"/>
          <w:color w:val="auto"/>
          <w:sz w:val="24"/>
          <w:highlight w:val="none"/>
          <w:lang w:val="zh-CN"/>
        </w:rPr>
        <w:t>年</w:t>
      </w:r>
      <w:r>
        <w:rPr>
          <w:rFonts w:hint="eastAsia" w:ascii="宋体" w:hAnsi="宋体"/>
          <w:color w:val="auto"/>
          <w:sz w:val="24"/>
          <w:highlight w:val="none"/>
          <w:lang w:val="en-US" w:eastAsia="zh-CN"/>
        </w:rPr>
        <w:t>4</w:t>
      </w:r>
      <w:r>
        <w:rPr>
          <w:rFonts w:hint="eastAsia" w:ascii="宋体" w:hAnsi="宋体"/>
          <w:color w:val="auto"/>
          <w:sz w:val="24"/>
          <w:highlight w:val="none"/>
          <w:lang w:val="zh-CN"/>
        </w:rPr>
        <w:t>月</w:t>
      </w:r>
      <w:r>
        <w:rPr>
          <w:rFonts w:hint="eastAsia" w:ascii="宋体" w:hAnsi="宋体"/>
          <w:color w:val="auto"/>
          <w:sz w:val="24"/>
          <w:highlight w:val="none"/>
          <w:lang w:val="en-US" w:eastAsia="zh-CN"/>
        </w:rPr>
        <w:t>29</w:t>
      </w:r>
      <w:r>
        <w:rPr>
          <w:rFonts w:hint="eastAsia" w:ascii="宋体" w:hAnsi="宋体"/>
          <w:color w:val="auto"/>
          <w:sz w:val="24"/>
          <w:highlight w:val="none"/>
          <w:lang w:val="zh-CN"/>
        </w:rPr>
        <w:t>日</w:t>
      </w:r>
      <w:r>
        <w:rPr>
          <w:rFonts w:hint="eastAsia" w:ascii="宋体" w:hAnsi="宋体"/>
          <w:color w:val="auto"/>
          <w:sz w:val="24"/>
          <w:highlight w:val="none"/>
          <w:lang w:val="en-US" w:eastAsia="zh-CN"/>
        </w:rPr>
        <w:t>14</w:t>
      </w:r>
      <w:r>
        <w:rPr>
          <w:rFonts w:hint="eastAsia" w:ascii="宋体" w:hAnsi="宋体"/>
          <w:color w:val="auto"/>
          <w:sz w:val="24"/>
          <w:highlight w:val="none"/>
          <w:lang w:val="zh-CN"/>
        </w:rPr>
        <w:t>点</w:t>
      </w:r>
      <w:r>
        <w:rPr>
          <w:rFonts w:hint="eastAsia" w:ascii="宋体" w:hAnsi="宋体"/>
          <w:color w:val="auto"/>
          <w:sz w:val="24"/>
          <w:highlight w:val="none"/>
        </w:rPr>
        <w:t>30</w:t>
      </w:r>
      <w:r>
        <w:rPr>
          <w:rFonts w:hint="eastAsia" w:ascii="宋体" w:hAnsi="宋体"/>
          <w:color w:val="auto"/>
          <w:sz w:val="24"/>
          <w:highlight w:val="none"/>
          <w:lang w:val="zh-CN"/>
        </w:rPr>
        <w:t>分（北京时间）</w:t>
      </w:r>
    </w:p>
    <w:p w14:paraId="4FCB37B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Cs w:val="21"/>
          <w:highlight w:val="none"/>
          <w:lang w:val="zh-CN"/>
        </w:rPr>
      </w:pPr>
      <w:r>
        <w:rPr>
          <w:rFonts w:hint="eastAsia" w:ascii="宋体" w:hAnsi="宋体"/>
          <w:color w:val="auto"/>
          <w:sz w:val="24"/>
          <w:highlight w:val="none"/>
        </w:rPr>
        <w:t>2、</w:t>
      </w:r>
      <w:r>
        <w:rPr>
          <w:rFonts w:hint="eastAsia" w:ascii="宋体" w:hAnsi="宋体"/>
          <w:color w:val="auto"/>
          <w:sz w:val="24"/>
          <w:highlight w:val="none"/>
          <w:lang w:val="zh-CN"/>
        </w:rPr>
        <w:t>地点：南京市江北新区浦滨路150号中科创新广场23栋8楼</w:t>
      </w:r>
    </w:p>
    <w:p w14:paraId="565CD0D8">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bookmarkStart w:id="16" w:name="_Toc35393634"/>
      <w:bookmarkStart w:id="17" w:name="_Toc28359094"/>
      <w:bookmarkStart w:id="18" w:name="_Toc35393803"/>
      <w:bookmarkStart w:id="19" w:name="_Toc28359017"/>
      <w:r>
        <w:rPr>
          <w:rFonts w:hint="eastAsia" w:ascii="宋体" w:hAnsi="宋体"/>
          <w:b/>
          <w:bCs/>
          <w:color w:val="auto"/>
          <w:sz w:val="24"/>
          <w:highlight w:val="none"/>
          <w:lang w:val="zh-CN"/>
        </w:rPr>
        <w:t>六、公告期限</w:t>
      </w:r>
      <w:bookmarkEnd w:id="16"/>
      <w:bookmarkEnd w:id="17"/>
      <w:bookmarkEnd w:id="18"/>
      <w:bookmarkEnd w:id="19"/>
    </w:p>
    <w:p w14:paraId="2AA940A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自本公告发布之日起5个工作日。</w:t>
      </w:r>
    </w:p>
    <w:p w14:paraId="561B6660">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bookmarkStart w:id="20" w:name="_Toc35393804"/>
      <w:bookmarkStart w:id="21" w:name="_Toc35393635"/>
      <w:r>
        <w:rPr>
          <w:rFonts w:hint="eastAsia" w:ascii="宋体" w:hAnsi="宋体"/>
          <w:b/>
          <w:bCs/>
          <w:color w:val="auto"/>
          <w:sz w:val="24"/>
          <w:highlight w:val="none"/>
          <w:lang w:val="zh-CN"/>
        </w:rPr>
        <w:t>七、其他补充事宜</w:t>
      </w:r>
      <w:bookmarkEnd w:id="20"/>
      <w:bookmarkEnd w:id="21"/>
    </w:p>
    <w:p w14:paraId="42BDD43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bookmarkStart w:id="22" w:name="_Toc28359095"/>
      <w:bookmarkStart w:id="23" w:name="_Toc35393636"/>
      <w:bookmarkStart w:id="24" w:name="_Toc28359018"/>
      <w:bookmarkStart w:id="25" w:name="_Toc35393805"/>
      <w:r>
        <w:rPr>
          <w:rFonts w:hint="eastAsia" w:ascii="宋体" w:hAnsi="宋体"/>
          <w:color w:val="auto"/>
          <w:sz w:val="24"/>
          <w:highlight w:val="none"/>
          <w:lang w:val="zh-CN"/>
        </w:rPr>
        <w:t>1、拒绝下述供应商参加本次采购活动：</w:t>
      </w:r>
    </w:p>
    <w:p w14:paraId="44FE800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（1）供应商单位负责人为同一人或者存在直接控股、管理关系的不同供应商，不得参加同一合同项下的其他政府采购活动。</w:t>
      </w:r>
    </w:p>
    <w:p w14:paraId="23856A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（2）凡为采购项目提供整体设计、规范编制或者项目管理、监理、检测等服务的供应商，不得再参加本项目的采购活动。</w:t>
      </w:r>
    </w:p>
    <w:p w14:paraId="1E09ED7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（3）拒绝列入失信被执行人、重大税收违法案件当事人名单、政府采购严重违法失信行为记录名单中的供应商参加本项目的采购活动。采购人或代理机构通过 “信用中国”网站（www.creditchina.gov.cn）、“中国政府采购网”网站（www.ccgp.gov.cn）等渠道查询供应商在采购公告发布之日前的信用记录并保存。</w:t>
      </w:r>
    </w:p>
    <w:p w14:paraId="7263643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2、现场考察、答疑时间：不组织。</w:t>
      </w:r>
    </w:p>
    <w:p w14:paraId="156645A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3、供应商诚信档案管理（南京市政府采购项目适用）</w:t>
      </w:r>
    </w:p>
    <w:p w14:paraId="7D881D5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根据《南京市政府采购供应商信用管理工作暂行办法》（宁财规[2018]10号）有关规定，凡在南京地区参加政府采购活动的供应商，应当事先登陆“信用南京”（www.njcredit.gov.cn）或“南京公共采购信息网”（www.njgc.jfh.com）主页“政府采购供应商诚信档案”栏目进行注册登记。由于特殊原因未及时注册的供应商可先行获取采购文件，但必须在提交投标（响应）文件截止日2天前办理登记注册手续。</w:t>
      </w:r>
    </w:p>
    <w:p w14:paraId="408A241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供应商申请网上注册的，应当按以下程序进行：</w:t>
      </w:r>
    </w:p>
    <w:p w14:paraId="2E13326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（1）登陆“信用南京”或“南京公共采购信息网”网站，点击“政府采购供应商诚信档案”图标，在弹出的用户登录界面，点击“新用户注册”；</w:t>
      </w:r>
    </w:p>
    <w:p w14:paraId="319967A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（2）在“新用户注册”界面，供应商自行设置用户名、登录密码，如实填写“</w:t>
      </w:r>
      <w:bookmarkStart w:id="26" w:name="_Hlk109649702"/>
      <w:r>
        <w:rPr>
          <w:rFonts w:hint="eastAsia" w:ascii="宋体" w:hAnsi="宋体"/>
          <w:color w:val="auto"/>
          <w:sz w:val="24"/>
          <w:highlight w:val="none"/>
          <w:lang w:val="zh-CN"/>
        </w:rPr>
        <w:t>南京市政府采购供应商诚信档案注册登记表</w:t>
      </w:r>
      <w:bookmarkEnd w:id="26"/>
      <w:r>
        <w:rPr>
          <w:rFonts w:hint="eastAsia" w:ascii="宋体" w:hAnsi="宋体"/>
          <w:color w:val="auto"/>
          <w:sz w:val="24"/>
          <w:highlight w:val="none"/>
          <w:lang w:val="zh-CN"/>
        </w:rPr>
        <w:t>”，根据本办法第十七条规定上传相关资料，并进行信用承诺确认后，提交注册申请；系统审核后，供应商即可登录系统进行相关功能操作。</w:t>
      </w:r>
    </w:p>
    <w:p w14:paraId="3B5A263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注册成功后，供应商参加本次政府采购活动时，在采购文件发布之日起至递交投标文件截止日前，应先登录“信用南京”在线打印其“南京市政府采购供应商信用记录表暨信用承诺书”，经法定代表人签名盖章后作为投标文件的组成部分，“南京市政府采购供应商信用记录表暨信用承诺书”是其参加本次政府采购活动的必备材料。</w:t>
      </w:r>
    </w:p>
    <w:p w14:paraId="74EAADD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南京市政府采购供应商诚信档案管理系统客服电话：025-52718366；供应商可就用户注册与打印“南京市政府采购供应商信用记录表暨信用承诺书”等事宜进行咨询。</w:t>
      </w:r>
    </w:p>
    <w:p w14:paraId="30B0817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lang w:val="zh-CN"/>
        </w:rPr>
      </w:pPr>
      <w:r>
        <w:rPr>
          <w:rFonts w:hint="eastAsia" w:ascii="宋体" w:hAnsi="宋体"/>
          <w:b/>
          <w:bCs/>
          <w:color w:val="auto"/>
          <w:sz w:val="24"/>
          <w:highlight w:val="none"/>
          <w:lang w:val="zh-CN"/>
        </w:rPr>
        <w:t>八、凡对本次采购提出询问，请按以下方式联系。</w:t>
      </w:r>
      <w:bookmarkEnd w:id="22"/>
      <w:bookmarkEnd w:id="23"/>
      <w:bookmarkEnd w:id="24"/>
      <w:bookmarkEnd w:id="25"/>
    </w:p>
    <w:p w14:paraId="7340AC0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bookmarkStart w:id="27" w:name="_Toc35393637"/>
      <w:bookmarkStart w:id="28" w:name="_Toc28359096"/>
      <w:bookmarkStart w:id="29" w:name="_Toc28359019"/>
      <w:bookmarkStart w:id="30" w:name="_Toc35393806"/>
      <w:r>
        <w:rPr>
          <w:rFonts w:hint="eastAsia" w:ascii="宋体" w:hAnsi="宋体"/>
          <w:color w:val="auto"/>
          <w:sz w:val="24"/>
          <w:highlight w:val="none"/>
          <w:lang w:val="zh-CN"/>
        </w:rPr>
        <w:t>1、采购人信息</w:t>
      </w:r>
      <w:bookmarkEnd w:id="27"/>
      <w:bookmarkEnd w:id="28"/>
      <w:bookmarkEnd w:id="29"/>
      <w:bookmarkEnd w:id="30"/>
    </w:p>
    <w:p w14:paraId="59F59CA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bookmarkStart w:id="31" w:name="_Toc35393638"/>
      <w:bookmarkStart w:id="32" w:name="_Toc35393807"/>
      <w:bookmarkStart w:id="33" w:name="_Toc28359020"/>
      <w:bookmarkStart w:id="34" w:name="_Toc28359097"/>
      <w:r>
        <w:rPr>
          <w:rFonts w:hint="eastAsia" w:ascii="宋体" w:hAnsi="宋体"/>
          <w:color w:val="auto"/>
          <w:sz w:val="24"/>
          <w:highlight w:val="none"/>
          <w:lang w:val="zh-CN"/>
        </w:rPr>
        <w:t>名称：南京江北新区环保与水务服务中心</w:t>
      </w:r>
    </w:p>
    <w:p w14:paraId="2424C5D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地址：南京江北新区药谷大道9号</w:t>
      </w:r>
      <w:r>
        <w:rPr>
          <w:rFonts w:hint="eastAsia" w:ascii="宋体" w:hAnsi="宋体"/>
          <w:color w:val="auto"/>
          <w:sz w:val="24"/>
          <w:highlight w:val="none"/>
          <w:lang w:val="en-US" w:eastAsia="zh-CN"/>
        </w:rPr>
        <w:t>医药谷会展中心10楼1006室</w:t>
      </w:r>
    </w:p>
    <w:p w14:paraId="58C94FF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王曼</w:t>
      </w:r>
      <w:r>
        <w:rPr>
          <w:rFonts w:hint="eastAsia" w:ascii="宋体" w:hAnsi="宋体"/>
          <w:color w:val="auto"/>
          <w:sz w:val="24"/>
          <w:highlight w:val="none"/>
        </w:rPr>
        <w:t xml:space="preserve"> </w:t>
      </w:r>
    </w:p>
    <w:p w14:paraId="73934C1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联系方式：</w:t>
      </w:r>
      <w:r>
        <w:rPr>
          <w:rFonts w:hint="eastAsia" w:ascii="宋体" w:hAnsi="宋体"/>
          <w:color w:val="auto"/>
          <w:sz w:val="24"/>
          <w:highlight w:val="none"/>
          <w:lang w:val="en-US" w:eastAsia="zh-CN"/>
        </w:rPr>
        <w:t>02558601087</w:t>
      </w:r>
    </w:p>
    <w:p w14:paraId="1B39593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2、采购代理机构信息</w:t>
      </w:r>
      <w:bookmarkEnd w:id="31"/>
      <w:bookmarkEnd w:id="32"/>
      <w:bookmarkEnd w:id="33"/>
      <w:bookmarkEnd w:id="34"/>
    </w:p>
    <w:p w14:paraId="11142F6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名 称：南京信诺工程造价咨询有限责任公司</w:t>
      </w:r>
    </w:p>
    <w:p w14:paraId="071C161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地 址：</w:t>
      </w:r>
      <w:r>
        <w:rPr>
          <w:rFonts w:hint="eastAsia" w:ascii="宋体" w:hAnsi="宋体"/>
          <w:color w:val="auto"/>
          <w:sz w:val="24"/>
          <w:szCs w:val="21"/>
          <w:highlight w:val="none"/>
          <w:lang w:val="zh-CN"/>
        </w:rPr>
        <w:t>南京市江北新区浦滨路150号中科创新广场23栋8楼</w:t>
      </w:r>
    </w:p>
    <w:p w14:paraId="777474D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联系方式：</w:t>
      </w:r>
      <w:r>
        <w:rPr>
          <w:rFonts w:hint="eastAsia" w:ascii="宋体" w:hAnsi="宋体"/>
          <w:color w:val="auto"/>
          <w:sz w:val="24"/>
          <w:highlight w:val="none"/>
          <w:lang w:val="en-US" w:eastAsia="zh-CN"/>
        </w:rPr>
        <w:t>17205230112</w:t>
      </w:r>
    </w:p>
    <w:p w14:paraId="1A08F80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bookmarkStart w:id="35" w:name="_Toc28359098"/>
      <w:bookmarkStart w:id="36" w:name="_Toc28359021"/>
      <w:bookmarkStart w:id="37" w:name="_Toc35393639"/>
      <w:bookmarkStart w:id="38" w:name="_Toc35393808"/>
      <w:r>
        <w:rPr>
          <w:rFonts w:hint="eastAsia" w:ascii="宋体" w:hAnsi="宋体"/>
          <w:color w:val="auto"/>
          <w:sz w:val="24"/>
          <w:highlight w:val="none"/>
          <w:lang w:val="zh-CN"/>
        </w:rPr>
        <w:t>3、项目联系方式</w:t>
      </w:r>
      <w:bookmarkEnd w:id="35"/>
      <w:bookmarkEnd w:id="36"/>
      <w:bookmarkEnd w:id="37"/>
      <w:bookmarkEnd w:id="38"/>
    </w:p>
    <w:p w14:paraId="70D0B59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i/>
          <w:iCs/>
          <w:color w:val="auto"/>
          <w:sz w:val="24"/>
          <w:highlight w:val="none"/>
          <w:lang w:val="zh-CN"/>
        </w:rPr>
      </w:pPr>
      <w:r>
        <w:rPr>
          <w:rFonts w:hint="eastAsia" w:ascii="宋体" w:hAnsi="宋体"/>
          <w:color w:val="auto"/>
          <w:sz w:val="24"/>
          <w:highlight w:val="none"/>
          <w:lang w:val="zh-CN"/>
        </w:rPr>
        <w:t>项目联系人：</w:t>
      </w:r>
      <w:r>
        <w:rPr>
          <w:rFonts w:hint="eastAsia" w:ascii="宋体" w:hAnsi="宋体"/>
          <w:color w:val="auto"/>
          <w:sz w:val="24"/>
          <w:highlight w:val="none"/>
          <w:lang w:val="en-US" w:eastAsia="zh-CN"/>
        </w:rPr>
        <w:t>徐</w:t>
      </w:r>
      <w:r>
        <w:rPr>
          <w:rFonts w:hint="eastAsia" w:ascii="宋体" w:hAnsi="宋体"/>
          <w:color w:val="auto"/>
          <w:sz w:val="24"/>
          <w:highlight w:val="none"/>
        </w:rPr>
        <w:t>工</w:t>
      </w:r>
    </w:p>
    <w:p w14:paraId="178303B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电 话：</w:t>
      </w:r>
      <w:r>
        <w:rPr>
          <w:rFonts w:hint="eastAsia" w:ascii="宋体" w:hAnsi="宋体"/>
          <w:color w:val="auto"/>
          <w:sz w:val="24"/>
          <w:highlight w:val="none"/>
          <w:lang w:val="en-US" w:eastAsia="zh-CN"/>
        </w:rPr>
        <w:t>17205230112</w:t>
      </w:r>
    </w:p>
    <w:p w14:paraId="309DBF12">
      <w:pPr>
        <w:keepNext w:val="0"/>
        <w:keepLines w:val="0"/>
        <w:pageBreakBefore w:val="0"/>
        <w:kinsoku/>
        <w:wordWrap/>
        <w:overflowPunct/>
        <w:topLinePunct w:val="0"/>
        <w:autoSpaceDE w:val="0"/>
        <w:autoSpaceDN w:val="0"/>
        <w:bidi w:val="0"/>
        <w:adjustRightInd w:val="0"/>
        <w:snapToGrid w:val="0"/>
        <w:spacing w:line="360" w:lineRule="auto"/>
        <w:ind w:firstLine="723" w:firstLineChars="200"/>
        <w:textAlignment w:val="auto"/>
        <w:rPr>
          <w:rFonts w:ascii="宋体" w:hAnsi="宋体"/>
          <w:color w:val="auto"/>
          <w:sz w:val="24"/>
          <w:highlight w:val="none"/>
          <w:lang w:val="zh-CN"/>
        </w:rPr>
      </w:pPr>
      <w:r>
        <w:rPr>
          <w:rFonts w:hint="eastAsia" w:ascii="宋体" w:hAnsi="宋体"/>
          <w:b/>
          <w:bCs/>
          <w:color w:val="auto"/>
          <w:sz w:val="36"/>
          <w:szCs w:val="36"/>
          <w:highlight w:val="none"/>
        </w:rPr>
        <w:br w:type="page"/>
      </w:r>
    </w:p>
    <w:p w14:paraId="0E51DFD7">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outlineLvl w:val="0"/>
        <w:rPr>
          <w:rFonts w:ascii="宋体" w:hAnsi="宋体"/>
          <w:b/>
          <w:bCs/>
          <w:color w:val="auto"/>
          <w:sz w:val="36"/>
          <w:szCs w:val="36"/>
          <w:highlight w:val="none"/>
        </w:rPr>
      </w:pPr>
      <w:r>
        <w:rPr>
          <w:rFonts w:hint="eastAsia" w:ascii="宋体" w:hAnsi="宋体"/>
          <w:b/>
          <w:bCs/>
          <w:color w:val="auto"/>
          <w:sz w:val="36"/>
          <w:szCs w:val="36"/>
          <w:highlight w:val="none"/>
        </w:rPr>
        <w:t>第二章 竞争性磋商须知</w:t>
      </w:r>
    </w:p>
    <w:p w14:paraId="00E78ABE">
      <w:pPr>
        <w:keepNext w:val="0"/>
        <w:keepLines w:val="0"/>
        <w:pageBreakBefore w:val="0"/>
        <w:kinsoku/>
        <w:wordWrap/>
        <w:overflowPunct/>
        <w:topLinePunct w:val="0"/>
        <w:autoSpaceDE w:val="0"/>
        <w:autoSpaceDN w:val="0"/>
        <w:bidi w:val="0"/>
        <w:adjustRightInd w:val="0"/>
        <w:snapToGrid w:val="0"/>
        <w:spacing w:line="360" w:lineRule="auto"/>
        <w:textAlignment w:val="auto"/>
        <w:rPr>
          <w:rFonts w:ascii="宋体" w:hAnsi="宋体"/>
          <w:b/>
          <w:bCs/>
          <w:color w:val="auto"/>
          <w:sz w:val="24"/>
          <w:highlight w:val="none"/>
        </w:rPr>
      </w:pPr>
      <w:r>
        <w:rPr>
          <w:rFonts w:hint="eastAsia" w:ascii="宋体" w:hAnsi="宋体"/>
          <w:b/>
          <w:bCs/>
          <w:color w:val="auto"/>
          <w:sz w:val="24"/>
          <w:highlight w:val="none"/>
        </w:rPr>
        <w:t>一、总 则</w:t>
      </w:r>
    </w:p>
    <w:p w14:paraId="30E897EB">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1、适用法律</w:t>
      </w:r>
    </w:p>
    <w:p w14:paraId="7DBB57F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《中华人民共和国政府采购法》、《中华人民共和国政府采购法实施条例》、《政府采购竞争性磋商采购方式管理暂行办法》等有关法律、规章和规定等。</w:t>
      </w:r>
    </w:p>
    <w:p w14:paraId="4D065FCA">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2、定义</w:t>
      </w:r>
    </w:p>
    <w:p w14:paraId="414D20A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2.1“采购人”是指依法进行政府采购的国家机关、事业单位、团体组织。</w:t>
      </w:r>
    </w:p>
    <w:p w14:paraId="39ED01C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2.2“供应商”是指参加竞争性磋商，并符合采购文件规定资格条件的法人、其他组织或者自然人。</w:t>
      </w:r>
    </w:p>
    <w:p w14:paraId="18DA00C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2.3“货物和服务”指本采购文件中所述产品及相关服务。</w:t>
      </w:r>
    </w:p>
    <w:p w14:paraId="2AE52B1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2.4“用户或使用单位”是指使用服务的单位。</w:t>
      </w:r>
    </w:p>
    <w:p w14:paraId="2E0D7DE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3、政策功能</w:t>
      </w:r>
    </w:p>
    <w:p w14:paraId="721E1E9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3.1 中小企业政策</w:t>
      </w:r>
    </w:p>
    <w:p w14:paraId="5130487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（1）中小企业（含中型、小型、微型企业）应当符合《政府采购促进中小企业发展暂行办法》（财库〔2011〕181号）第二条、《关于政府采购支持监狱企业发展有关问题的通 知》（财库〔2014〕68号）第一条或《关于促进残疾人就业政府采购政策的通知》（财库〔2017〕141 号）第一条的规定。</w:t>
      </w:r>
    </w:p>
    <w:p w14:paraId="48D7CE8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（2）对于专门面向中小企业或小型、微型企业的项目，只面向中小企业或小型、微型企业采购。对于非专门面向中小企业的项目，对小型和微型企业产品的价格给予10%的扣除，用扣除后的价格参与评审。</w:t>
      </w:r>
    </w:p>
    <w:p w14:paraId="478E78D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（3）参加政府采购活动的中小企业应当提供《中小企业声明函》、由省级以上监狱管理局戒毒管理局(含新疆生产建设兵团)出具的属于监狱企业的证明文件或《残疾人福利性单位声明函》。</w:t>
      </w:r>
    </w:p>
    <w:p w14:paraId="4ED3861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（4）对于接受供应商以联合体形式参加采购活动的项目，小型、微型企业联合体应当符合《政府采购促进中小企业发展暂行办法》（财库〔2011〕181 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14:paraId="52B6653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（5）中小企业依据《政府采购促进中小企业发展暂行办法》（财库〔2011〕181号）规定的政策获取政府采购合同后，小型、微型企业不得分包或转包给大型、中型企业，中型企业不得分包或转包给大型企业。</w:t>
      </w:r>
    </w:p>
    <w:p w14:paraId="7D07177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3.2 节能产品、环境标志产品政策</w:t>
      </w:r>
    </w:p>
    <w:p w14:paraId="3BA8F1B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（1）政府采购节能产品、环境标志产品实施品目清单管理。</w:t>
      </w:r>
    </w:p>
    <w:p w14:paraId="5C332C3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（2）拟采购产品属于节能产品、环境标志产品品目清单规定必须强制采购的，实行强制采购。</w:t>
      </w:r>
    </w:p>
    <w:p w14:paraId="1A9633C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（3）拟采购产品属于节能产品、环境标志产品品目清单规定优先采购的，在性能、技术、服务等指标同等条件下，实行优先采购，优先采购的评审标准详见本招标文件第三章。</w:t>
      </w:r>
    </w:p>
    <w:p w14:paraId="664ACFD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（4）参加政府采购活动的节能产品、环境标志产品供应商应当提供国家确定的认证机构出具的、处于有效期之内的节能产品、环境标志产品认证证书。</w:t>
      </w:r>
    </w:p>
    <w:p w14:paraId="0B09A71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3.3 进口产品政策</w:t>
      </w:r>
    </w:p>
    <w:p w14:paraId="30C5FAE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（1）除在磋商文件另有规定外，不允许进口产品参加。进口产品认定依照《财政部关于政府采购进口产品管理有关问题的通知》（财办库〔2008〕248 号）的规定。</w:t>
      </w:r>
    </w:p>
    <w:p w14:paraId="4B1C228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（2）允许进口产品参加的，满足需求的国内产品可以参加。</w:t>
      </w:r>
    </w:p>
    <w:p w14:paraId="4786084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（3）允许进口产品参加的，优先采购向我国企业转让技术、与我国企业签订消化吸收再创新方案的供应商的进口产品。</w:t>
      </w:r>
    </w:p>
    <w:p w14:paraId="4965FF7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二、磋商响应文件编制</w:t>
      </w:r>
    </w:p>
    <w:p w14:paraId="00C2DEA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4、磋商响应文件的语言、计量单位、货币和编制</w:t>
      </w:r>
    </w:p>
    <w:p w14:paraId="053E0FF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DE02FB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4.2 供应商所使用的计量单位应为国家法定计量单位。</w:t>
      </w:r>
    </w:p>
    <w:p w14:paraId="66AB2BE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4.3 供应商应用人民币报价。报价产品如果是进口产品的，应提供人民币与外币之间的汇率；报价单位为“元”。</w:t>
      </w:r>
    </w:p>
    <w:p w14:paraId="1F77B7B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4.4 磋商响应文件应字迹清楚、内容齐全、不得涂改。如有修改，修改处须有供应商公章或投标专用章和法定代表人或其授权磋商代表签字。</w:t>
      </w:r>
    </w:p>
    <w:p w14:paraId="1EDFEB7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4.5 磋商响应文件应按照竞争性磋商文件规定的顺序，统一用A4规格幅面打印、装订成册并编制目录，由于编排混乱导致响应文件被误读或查找不到，责任由供应商承担。</w:t>
      </w:r>
    </w:p>
    <w:p w14:paraId="7DBF1F6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4.6 供应商应在磋商响应文件中写清相应的项目编号、项目名称、供应商全称、地址、电话、传真等。</w:t>
      </w:r>
    </w:p>
    <w:p w14:paraId="1A450956">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5、磋商响应文件的组成</w:t>
      </w:r>
    </w:p>
    <w:p w14:paraId="5C11317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5.1 供应商应当根据竞争性磋商文件要求编制磋商响应文件，并根据自己的商务能力、技术水平对竞争性磋商文件提出的要求和条件逐条标明是否响应。</w:t>
      </w:r>
    </w:p>
    <w:p w14:paraId="61B6B5B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5.2 磋商响应文件由商务部分、技术部分、价格部分，以及其他部分组成。</w:t>
      </w:r>
    </w:p>
    <w:p w14:paraId="5284C54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5.3 本次采购的最小单位是包。采购项目的技术要求中未分包的，供应商对要求提供的服务不得部分投标；采购项目的技术要求中已经分包的，可以以包为单位投标。</w:t>
      </w:r>
    </w:p>
    <w:p w14:paraId="20DE438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b/>
          <w:bCs/>
          <w:color w:val="auto"/>
          <w:sz w:val="24"/>
          <w:highlight w:val="none"/>
        </w:rPr>
      </w:pPr>
      <w:r>
        <w:rPr>
          <w:rFonts w:hint="eastAsia" w:ascii="宋体" w:hAnsi="宋体"/>
          <w:color w:val="auto"/>
          <w:sz w:val="24"/>
          <w:highlight w:val="none"/>
        </w:rPr>
        <w:t xml:space="preserve">5.4 </w:t>
      </w:r>
      <w:r>
        <w:rPr>
          <w:rFonts w:hint="eastAsia" w:ascii="宋体" w:hAnsi="宋体"/>
          <w:b/>
          <w:bCs/>
          <w:color w:val="auto"/>
          <w:sz w:val="24"/>
          <w:highlight w:val="none"/>
        </w:rPr>
        <w:t>磋商响应文件的商务部分</w:t>
      </w:r>
      <w:r>
        <w:rPr>
          <w:rFonts w:hint="eastAsia" w:ascii="宋体" w:hAnsi="宋体"/>
          <w:color w:val="auto"/>
          <w:sz w:val="24"/>
          <w:highlight w:val="none"/>
        </w:rPr>
        <w:t>。商务部分是证明供应商有资格参加磋商和成交后有能力履行合同的文件，这些文件应能满足竞争性磋商采购的要求，包括但不限于下列文件</w:t>
      </w:r>
      <w:r>
        <w:rPr>
          <w:rFonts w:hint="eastAsia" w:ascii="宋体" w:hAnsi="宋体"/>
          <w:b/>
          <w:bCs/>
          <w:color w:val="auto"/>
          <w:sz w:val="24"/>
          <w:highlight w:val="none"/>
        </w:rPr>
        <w:t>（（1）-（6）所述材料如提供不全或不满足磋商文件的实质性要求，评标委员会有权否决供应商的投标）：</w:t>
      </w:r>
    </w:p>
    <w:p w14:paraId="6F21D89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（1）竞争性磋商申请及声明（格式见附件）；</w:t>
      </w:r>
    </w:p>
    <w:p w14:paraId="6074770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（2）法定代表人授权委托书及委托代理人的身份证复印件（格式见附件）；</w:t>
      </w:r>
    </w:p>
    <w:p w14:paraId="7A64CF4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（3）第一章竞争性磋商公告中“《中华人民共和国政府采购法》规定的资格条件证明文件；”</w:t>
      </w:r>
    </w:p>
    <w:p w14:paraId="7D3C1F1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（4）第一章竞争性磋商公告中“采购人根据采购项目的特殊要求规定的特定条件证明文件；”</w:t>
      </w:r>
    </w:p>
    <w:p w14:paraId="3216196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（5）分项报价表（如果有）；</w:t>
      </w:r>
    </w:p>
    <w:p w14:paraId="4EB81DE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（6）《南京市政府采购供应商信用记录表暨信用承诺书》（南京市政府采购项目适用）；</w:t>
      </w:r>
    </w:p>
    <w:p w14:paraId="038564D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（7）《商务条款偏离表》；</w:t>
      </w:r>
    </w:p>
    <w:p w14:paraId="029894A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（8）供应商认为需要提供的其他资格证明文件和商务资料。</w:t>
      </w:r>
    </w:p>
    <w:p w14:paraId="552DC7F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5.5 磋商响应文件的技术部分。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5A1EC05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（1）项目技术方案或服务说明；</w:t>
      </w:r>
    </w:p>
    <w:p w14:paraId="7B198A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（2）《采购需求条款偏离表》；</w:t>
      </w:r>
    </w:p>
    <w:p w14:paraId="5321433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（3）供应商认为需要提供的其他技术资料。 </w:t>
      </w:r>
    </w:p>
    <w:p w14:paraId="14EA0547">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5.6 磋商响应文件的价格部分</w:t>
      </w:r>
    </w:p>
    <w:p w14:paraId="729661A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（1）价格部分是对服务价格构成的说明，竞争性磋商文件如没有特别说明的话，对每一项服务仅接受一个价格。</w:t>
      </w:r>
    </w:p>
    <w:p w14:paraId="526C146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（2）报价应包含与磋商项目有关的所用费用，以及技术资料、支付给员工的工资和国家强制缴纳的各种社会保障资金，以及供应商认为需要的其他费用等。</w:t>
      </w:r>
    </w:p>
    <w:p w14:paraId="0EDAF23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（3）供应商应以表格形式详细说明服务的价格构成，以及价格构成各项因素的单价和总价。供应商系中小企业（含小型、微型企业），并由本企业提供服务的，须在《报价表》、《分项报价表》中注明。</w:t>
      </w:r>
    </w:p>
    <w:p w14:paraId="31094DF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（4）供应商应充分考虑到市场价格变动，以及项目实施过程中的不可预见因素，一旦成交，总价格不变。如果有漏项，视同让利。</w:t>
      </w:r>
    </w:p>
    <w:p w14:paraId="13D87D54">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（5）响应文件所报的投标价格不得超过磋商文件规定的预算价、限价，超过磋商文件规定的响应文件，按无效投标处理。</w:t>
      </w:r>
    </w:p>
    <w:p w14:paraId="14CA75B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（6）经磋商后，如果成交价低于供应商在磋商响应文件报价的话，除特别注明外，分项报价同比例调整。</w:t>
      </w:r>
    </w:p>
    <w:p w14:paraId="793B5284">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5.7 磋商响应文件的其他部分。</w:t>
      </w:r>
      <w:r>
        <w:rPr>
          <w:rFonts w:hint="eastAsia" w:ascii="宋体" w:hAnsi="宋体"/>
          <w:color w:val="auto"/>
          <w:sz w:val="24"/>
          <w:highlight w:val="none"/>
        </w:rPr>
        <w:t>其他部分由供应商根据编制磋商响应文件需要提供的其 他相关文件组成。</w:t>
      </w:r>
    </w:p>
    <w:p w14:paraId="5006C948">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6、磋商保证金</w:t>
      </w:r>
    </w:p>
    <w:p w14:paraId="406D07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本项目无需缴纳磋商保证金。 </w:t>
      </w:r>
    </w:p>
    <w:p w14:paraId="1C74B4B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 xml:space="preserve">三、磋商响应文件的递交 </w:t>
      </w:r>
    </w:p>
    <w:p w14:paraId="157BC33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7、磋商响应文件的签署、密封和递交</w:t>
      </w:r>
    </w:p>
    <w:p w14:paraId="07D32CE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7.1 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3A4FFDFB">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7.2</w:t>
      </w:r>
      <w:r>
        <w:rPr>
          <w:rFonts w:hint="eastAsia" w:ascii="宋体" w:hAnsi="宋体"/>
          <w:color w:val="auto"/>
          <w:sz w:val="24"/>
          <w:highlight w:val="none"/>
        </w:rPr>
        <w:t xml:space="preserve"> 磋商响应文件不应有涂改、增删之处，如必须修改时，修改处必须有供应商法定代表人或授权代表签字。</w:t>
      </w:r>
    </w:p>
    <w:p w14:paraId="44309773">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7.3 供应商应当在竞争性磋商文件要求递交磋商响应文件的截止时间前，将磋商响应文件密封送达指定地点。</w:t>
      </w:r>
    </w:p>
    <w:p w14:paraId="1ED1287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7.4 有下列情形之一的响应文件将拒收：</w:t>
      </w:r>
    </w:p>
    <w:p w14:paraId="6BAFD03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（1）未按竞争性磋商文件要求密封的；</w:t>
      </w:r>
    </w:p>
    <w:p w14:paraId="3D4D0C1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（2）在竞争性磋商文件要求的递交响应文件截止时间之后送达的。 </w:t>
      </w:r>
    </w:p>
    <w:p w14:paraId="76AA069F">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8、诚实信用</w:t>
      </w:r>
    </w:p>
    <w:p w14:paraId="446BDCF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8.1 供应商之间不得相互串通报价，不得妨碍其他供应商的公平竞争，不得损害采购人或者其他供应商的合法权益。</w:t>
      </w:r>
    </w:p>
    <w:p w14:paraId="094874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8.2 供应商不得以向采购代理机构工作人员、磋商小组成员行贿或者采取其他不正当手段谋取成交。</w:t>
      </w:r>
    </w:p>
    <w:p w14:paraId="75D8650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四、磋商</w:t>
      </w:r>
    </w:p>
    <w:p w14:paraId="7EDD8B7C">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9、磋商组织</w:t>
      </w:r>
    </w:p>
    <w:p w14:paraId="4671CE4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9.1 在递交磋商响应文件时间截止后，采购代理机构在规定的时间和地点组织磋商小组分别与供应商进行磋商。</w:t>
      </w:r>
    </w:p>
    <w:p w14:paraId="13ED36E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9.2 磋商工作由采购代理机构负责组织，具体磋商事务由依法组建的磋商小组负责。</w:t>
      </w:r>
    </w:p>
    <w:p w14:paraId="0C39DA80">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10、磋商程序</w:t>
      </w:r>
    </w:p>
    <w:p w14:paraId="7452ABB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10.1 磋商小组审阅供应商所递交的响应文件，凡不具备资格条件的供应商不得进入磋商程序。</w:t>
      </w:r>
    </w:p>
    <w:p w14:paraId="142475C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10.2 磋商小组所有成员集中与单一供应商分别就竞争性磋商采购项目的技术、商务和价格进行磋商。</w:t>
      </w:r>
    </w:p>
    <w:p w14:paraId="56614DC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10.3 磋商过程中，磋商小组可以根据磋商文件和磋商情况可能实质性变动采购需求中的技术、服务要求以及合同草案条款，但不得变动磋商文件中的其他内容。实质性变动的内容，须经采购人代表确认。</w:t>
      </w:r>
    </w:p>
    <w:p w14:paraId="4EE033E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对磋商文件作出的实质性变动是磋商文件的有效组成部分，磋商小组应当及时以书面形式同时通知所有参加磋商的供应商。</w:t>
      </w:r>
    </w:p>
    <w:p w14:paraId="1511985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10.4 如磋商文件有实质性变动的，供应商应当按照磋商文件的变动情况和磋商小组的要求提交响应（或补充）文件，应由其法定代表人或授权代表签字或者加盖公章。</w:t>
      </w:r>
    </w:p>
    <w:p w14:paraId="49B1FE0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10.5 磋商结束后，磋商小组将要求所有实质性响应的供应商在规定时间内提交最后报价。</w:t>
      </w:r>
    </w:p>
    <w:p w14:paraId="0F938DC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10.6提交最后报价的供应商不得少于3家（市场竞争不充分的科研项目，以及需要扶持的科技成果转化项目除外）。最后报价由其法定代表人或授权代表签字或者加盖公章，最后报价是供应商响应文件的有效组成部分。</w:t>
      </w:r>
    </w:p>
    <w:p w14:paraId="29680DC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10.7 出现下列情形之一的响应文件按照无效处理：</w:t>
      </w:r>
    </w:p>
    <w:p w14:paraId="2267888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（1）不满足“第一章竞争性磋商公告中二、申请人的资格要求：”的规定的；</w:t>
      </w:r>
    </w:p>
    <w:p w14:paraId="1427ED5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b/>
          <w:bCs/>
          <w:color w:val="auto"/>
          <w:sz w:val="24"/>
          <w:highlight w:val="none"/>
        </w:rPr>
      </w:pPr>
      <w:r>
        <w:rPr>
          <w:rFonts w:hint="eastAsia" w:ascii="宋体" w:hAnsi="宋体"/>
          <w:color w:val="auto"/>
          <w:sz w:val="24"/>
          <w:highlight w:val="none"/>
        </w:rPr>
        <w:t>（2）未实质性响应采购文件要求的；</w:t>
      </w:r>
      <w:r>
        <w:rPr>
          <w:rFonts w:hint="eastAsia" w:ascii="宋体" w:hAnsi="宋体"/>
          <w:b/>
          <w:bCs/>
          <w:color w:val="auto"/>
          <w:sz w:val="24"/>
          <w:highlight w:val="none"/>
        </w:rPr>
        <w:t>(实质性要求是指本竞争性磋商文件中用带星号（“※”）、“须（必须）”或“应（应当）”等其他文字说明的商务和技术要求。)</w:t>
      </w:r>
    </w:p>
    <w:p w14:paraId="3117866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（3）不符合法律、法规和磋商文件规定的其他实质性要求的。</w:t>
      </w:r>
    </w:p>
    <w:p w14:paraId="21C655B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 xml:space="preserve"> 10.8 出现下列情形之一的磋商终止：</w:t>
      </w:r>
    </w:p>
    <w:p w14:paraId="1D9F3EB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（1）因情况变化，不再符合规定的竞争性磋商采购方式适用情形的；</w:t>
      </w:r>
    </w:p>
    <w:p w14:paraId="23B713C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（2）出现影响采购公正的违法、违规行为的；</w:t>
      </w:r>
    </w:p>
    <w:p w14:paraId="46C2E85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（3）除市场竞争不充分的科研项目，以及需要扶持的科技成果转化项目外，在采购过程中符合要求的供应商或者报价未超过采购预算的供应商不足2家的。</w:t>
      </w:r>
    </w:p>
    <w:p w14:paraId="011E310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10.9 磋商有效期为90天，从提交磋商响应文件的截止之日起算。磋商响应文件中承诺的磋商有效期应当不少于竞争性磋商文件中载明的磋商有效期。</w:t>
      </w:r>
    </w:p>
    <w:p w14:paraId="048C932E">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11、评分方法和标准</w:t>
      </w:r>
    </w:p>
    <w:p w14:paraId="3D78601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11.1 采用综合评分法。即在最大限度地满足磋商文件实质性要求前提下，按照磋商文件中规定的各项因素进行综合评审后，以评审总得分最高的供应商作为成交候选供应商或者成交供应商的评分方法。</w:t>
      </w:r>
    </w:p>
    <w:p w14:paraId="2C375C8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11.2 综合评分的主要因素是：技术、商务、价格等。</w:t>
      </w:r>
    </w:p>
    <w:p w14:paraId="7369ED2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11.3 评分标准详见第三章。</w:t>
      </w:r>
    </w:p>
    <w:p w14:paraId="46F323A0">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12、确定成交供应商</w:t>
      </w:r>
    </w:p>
    <w:p w14:paraId="3D69F94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12.1 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642711C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12.2 成交供应商确定后，采购人或者采购代理机构将在省级以上财政部门指定的政府采购信息发布媒体上公告成交结果，同时向成交供应商发出成交通知书。</w:t>
      </w:r>
    </w:p>
    <w:p w14:paraId="76A15FA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12.3 成交通知书对采购人和成交供应商具有同等法律效力。</w:t>
      </w:r>
    </w:p>
    <w:p w14:paraId="45D718D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12.4 成交通知书发出后，采购人或成交供应商拒绝签订合同的，拒绝签订合同的一方应需向另一方支付补偿金，以及为磋商所发生的有关费用和双方商定的其他补偿，并承担相应的法律责任。</w:t>
      </w:r>
    </w:p>
    <w:p w14:paraId="4FA6FF24">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DD5B05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12.6 采购代理机构对未成交的供应商不作未成交原因的解释。</w:t>
      </w:r>
    </w:p>
    <w:p w14:paraId="278CEA7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12.7 所有响应文件不论成交与否，采购代理机构均不退回。</w:t>
      </w:r>
    </w:p>
    <w:p w14:paraId="773F65E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13、编写磋商（评审）报告</w:t>
      </w:r>
    </w:p>
    <w:p w14:paraId="6DF2673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13.1 磋商小组根据磋商过程和结果编写磋商（评审）报告。</w:t>
      </w:r>
    </w:p>
    <w:p w14:paraId="13450B38">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14、签订合同</w:t>
      </w:r>
    </w:p>
    <w:p w14:paraId="4430E85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14.1 成交供应商应当自成交通知书发出之日起三十日内，与采购人签订合同，所签订的合同不得对竞争性磋商文件和响应文件作实质性修改。</w:t>
      </w:r>
    </w:p>
    <w:p w14:paraId="50A269E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14.2 采购人不得向成交供应商提出任何不合理的要求作为签订合同的条件，不得与成交供应商私下订立背离合同实质性内容的协议。</w:t>
      </w:r>
    </w:p>
    <w:p w14:paraId="332CE76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14.3 成交供应商因不可抗力或者自身原因不能履行合同的，采购人可以视情与排位在成交供应商之后第一位的成交候选供应商签订合同，以此类推。</w:t>
      </w:r>
    </w:p>
    <w:p w14:paraId="6257119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14.4 合同履行中，采购人需追加与合同标的相同的货物的，在不改变合同其他条款的前提下，可以与供应商协商签订补充合同，但所有补充合同的采购金额不得超过原合同采购金额的百分之十。</w:t>
      </w:r>
    </w:p>
    <w:p w14:paraId="6B9498C8">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五、质疑与投诉</w:t>
      </w:r>
    </w:p>
    <w:p w14:paraId="67F9ACCB">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15、质疑</w:t>
      </w:r>
    </w:p>
    <w:p w14:paraId="560222D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15.1 供应商认为磋商文件、磋商过程和中标、成交结果使自己的权益受到损害的，可以在知道或者应知其权益受到损害之日起七个工作日内，以书面形式向采购代理机构提出质疑。</w:t>
      </w:r>
    </w:p>
    <w:p w14:paraId="40CAFE7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71E21E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15.3 提出质疑的供应商应当是参与所质疑项目采购活动的供应商。潜在供应商已依法获取其可质疑的采购文件的，可以对该文件提出质疑。</w:t>
      </w:r>
    </w:p>
    <w:p w14:paraId="0417436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08ECAFB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15.5 以联合体形式参加政府采购活动的，其投诉应当由组成联合体的所有供应商共同提出。</w:t>
      </w:r>
    </w:p>
    <w:p w14:paraId="59A6996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15.6 供应商质疑应当有明确的请求和必要的证明材料。供应商必须在法定质疑期内一次性提出针对同一采购程序环节的质疑。</w:t>
      </w:r>
    </w:p>
    <w:p w14:paraId="11B18EC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6937C4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15.8 质疑函应当使用中文。相关当事人提供外文书证或者外国语视听资料的，应当附有中文译本，由翻译机构盖章或者翻译人员签名。</w:t>
      </w:r>
    </w:p>
    <w:p w14:paraId="2C56DCC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15.9 质疑函应当现场书面提交至采购代理机构联系人（详见竞争性磋商公告）处，提交时应出示有效身份证明。</w:t>
      </w:r>
    </w:p>
    <w:p w14:paraId="10074534">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16、投诉</w:t>
      </w:r>
    </w:p>
    <w:p w14:paraId="04368A6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16.1 供应商对采购代理机构的答复不满意或者采购代理机构未在规定的时间内作出答复的，可以在答复期满后十五个工作日内向同级政府采购监督管理部门投诉。</w:t>
      </w:r>
    </w:p>
    <w:p w14:paraId="1E492E3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16.2 供应商投诉应当有明确的请求和必要的证明材料。供应商投诉的事项不得超出已质疑事项的范围。</w:t>
      </w:r>
    </w:p>
    <w:p w14:paraId="7D29F4A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16.3 投诉人对政府采购监督管理部门的投诉处理决定不服或者政府采购监督管理部门逾期未作处理的，可以依法申请行政复议或者向人民法院提起行政诉讼。</w:t>
      </w:r>
    </w:p>
    <w:p w14:paraId="7B427C7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16.4 投诉人在全国范围12个月内三次以上投诉查无实据的，由财政部门列入不良行为记录名单。</w:t>
      </w:r>
    </w:p>
    <w:p w14:paraId="7442A49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16.5 投诉人有下列行为之一的，属于虚假、恶意投诉，由财政部门列入不良行为记录名单，禁止其1至3年内参加政府采购活动：</w:t>
      </w:r>
    </w:p>
    <w:p w14:paraId="71A65EF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（1）捏造事实；</w:t>
      </w:r>
    </w:p>
    <w:p w14:paraId="74FB0AC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（2）提供虚假材料；</w:t>
      </w:r>
    </w:p>
    <w:p w14:paraId="6D1C8BC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（3）以非法手段取得证明材料。证据来源的合法性存在明显疑问，投诉人无法证明其取得方式合法的，视为以非法手段取得证明材料。</w:t>
      </w:r>
    </w:p>
    <w:p w14:paraId="5FF7D9D7">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六、诚实信用</w:t>
      </w:r>
    </w:p>
    <w:p w14:paraId="1784898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17.1 供应商之间不得相互串通报价，不得妨碍其他供应商的公平竞争，不得损害采购人和其他供应商的合法权益。</w:t>
      </w:r>
    </w:p>
    <w:p w14:paraId="1A83A90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6FA72D6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0CD9A7D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17.4 供应商不得虚假承诺，否则，按照提供虚假材料谋取成交处理。 </w:t>
      </w:r>
    </w:p>
    <w:p w14:paraId="7BF52A1B">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bCs/>
          <w:color w:val="auto"/>
          <w:sz w:val="24"/>
          <w:highlight w:val="none"/>
        </w:rPr>
        <w:t>七、磋商费用</w:t>
      </w:r>
    </w:p>
    <w:p w14:paraId="70FD0C0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18.1 供应商应承担所有与准备和参加磋商有关的费用，无论采购结果如何，采购代理机构和采购人在任何情况下均无义务和责任承担这些费用。</w:t>
      </w:r>
    </w:p>
    <w:p w14:paraId="295B821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Style w:val="55"/>
          <w:rFonts w:ascii="宋体" w:hAnsi="宋体"/>
          <w:b/>
          <w:color w:val="auto"/>
          <w:sz w:val="24"/>
          <w:highlight w:val="none"/>
        </w:rPr>
      </w:pPr>
      <w:r>
        <w:rPr>
          <w:rFonts w:hint="eastAsia" w:ascii="宋体" w:hAnsi="宋体"/>
          <w:color w:val="auto"/>
          <w:sz w:val="24"/>
          <w:highlight w:val="none"/>
        </w:rPr>
        <w:t xml:space="preserve">18.2 </w:t>
      </w:r>
      <w:r>
        <w:rPr>
          <w:rStyle w:val="55"/>
          <w:rFonts w:hint="eastAsia" w:ascii="宋体" w:hAnsi="宋体"/>
          <w:b/>
          <w:color w:val="auto"/>
          <w:sz w:val="24"/>
          <w:highlight w:val="none"/>
        </w:rPr>
        <w:t>本项目招标代理服务费的报价为参照《江苏省招标代理服务收费的指导意见》（苏政采协[2024]20号）基准费率的60%执行。</w:t>
      </w:r>
    </w:p>
    <w:p w14:paraId="33DA3702">
      <w:pPr>
        <w:keepNext w:val="0"/>
        <w:keepLines w:val="0"/>
        <w:pageBreakBefore w:val="0"/>
        <w:kinsoku/>
        <w:wordWrap/>
        <w:overflowPunct/>
        <w:topLinePunct w:val="0"/>
        <w:bidi w:val="0"/>
        <w:spacing w:line="360" w:lineRule="auto"/>
        <w:ind w:firstLine="482"/>
        <w:textAlignment w:val="auto"/>
        <w:outlineLvl w:val="3"/>
        <w:rPr>
          <w:rStyle w:val="55"/>
          <w:rFonts w:ascii="宋体" w:hAnsi="宋体"/>
          <w:b/>
          <w:color w:val="auto"/>
          <w:sz w:val="24"/>
          <w:highlight w:val="none"/>
        </w:rPr>
      </w:pPr>
      <w:r>
        <w:rPr>
          <w:rStyle w:val="55"/>
          <w:rFonts w:hint="eastAsia" w:ascii="宋体" w:hAnsi="宋体"/>
          <w:b/>
          <w:color w:val="auto"/>
          <w:sz w:val="24"/>
          <w:highlight w:val="none"/>
        </w:rPr>
        <w:t>以上费用由成交供应商支付，供应商在报价时须考虑此部分费用，中标后在领取成交通知书时支付给代理单位。</w:t>
      </w:r>
    </w:p>
    <w:p w14:paraId="16CC9A0B">
      <w:pPr>
        <w:keepNext w:val="0"/>
        <w:keepLines w:val="0"/>
        <w:pageBreakBefore w:val="0"/>
        <w:kinsoku/>
        <w:wordWrap/>
        <w:overflowPunct/>
        <w:topLinePunct w:val="0"/>
        <w:autoSpaceDE w:val="0"/>
        <w:autoSpaceDN w:val="0"/>
        <w:bidi w:val="0"/>
        <w:adjustRightInd w:val="0"/>
        <w:snapToGrid w:val="0"/>
        <w:spacing w:line="360" w:lineRule="auto"/>
        <w:ind w:firstLine="562" w:firstLineChars="200"/>
        <w:textAlignment w:val="auto"/>
        <w:rPr>
          <w:rFonts w:ascii="宋体" w:hAnsi="宋体"/>
          <w:color w:val="auto"/>
          <w:sz w:val="24"/>
          <w:highlight w:val="none"/>
        </w:rPr>
      </w:pPr>
      <w:r>
        <w:rPr>
          <w:rFonts w:hint="eastAsia" w:ascii="宋体" w:hAnsi="宋体"/>
          <w:b/>
          <w:color w:val="auto"/>
          <w:sz w:val="28"/>
          <w:highlight w:val="none"/>
        </w:rPr>
        <w:br w:type="page"/>
      </w:r>
    </w:p>
    <w:p w14:paraId="237B7F48">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outlineLvl w:val="0"/>
        <w:rPr>
          <w:rFonts w:ascii="宋体" w:hAnsi="宋体"/>
          <w:b/>
          <w:bCs/>
          <w:color w:val="auto"/>
          <w:sz w:val="32"/>
          <w:szCs w:val="32"/>
          <w:highlight w:val="yellow"/>
        </w:rPr>
      </w:pPr>
      <w:r>
        <w:rPr>
          <w:rFonts w:hint="eastAsia" w:ascii="宋体" w:hAnsi="宋体"/>
          <w:b/>
          <w:bCs/>
          <w:color w:val="auto"/>
          <w:sz w:val="36"/>
          <w:szCs w:val="36"/>
          <w:highlight w:val="none"/>
        </w:rPr>
        <w:t>第三章 评标标准</w:t>
      </w:r>
    </w:p>
    <w:p w14:paraId="246B061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4"/>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564"/>
        <w:gridCol w:w="949"/>
        <w:gridCol w:w="6046"/>
        <w:gridCol w:w="612"/>
      </w:tblGrid>
      <w:tr w14:paraId="6BB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12" w:type="dxa"/>
            <w:noWrap/>
            <w:vAlign w:val="center"/>
          </w:tcPr>
          <w:p w14:paraId="6CF432F7">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r>
              <w:rPr>
                <w:rFonts w:hint="eastAsia" w:ascii="宋体" w:hAnsi="宋体"/>
                <w:color w:val="auto"/>
                <w:sz w:val="21"/>
                <w:szCs w:val="21"/>
                <w:highlight w:val="none"/>
              </w:rPr>
              <w:t>序号</w:t>
            </w:r>
          </w:p>
        </w:tc>
        <w:tc>
          <w:tcPr>
            <w:tcW w:w="1513" w:type="dxa"/>
            <w:gridSpan w:val="2"/>
            <w:noWrap/>
            <w:vAlign w:val="center"/>
          </w:tcPr>
          <w:p w14:paraId="3F679ED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r>
              <w:rPr>
                <w:rFonts w:hint="eastAsia" w:ascii="宋体" w:hAnsi="宋体"/>
                <w:color w:val="auto"/>
                <w:sz w:val="21"/>
                <w:szCs w:val="21"/>
                <w:highlight w:val="none"/>
              </w:rPr>
              <w:t>评审因素</w:t>
            </w:r>
          </w:p>
        </w:tc>
        <w:tc>
          <w:tcPr>
            <w:tcW w:w="6046" w:type="dxa"/>
            <w:noWrap/>
            <w:vAlign w:val="center"/>
          </w:tcPr>
          <w:p w14:paraId="3576FBA5">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r>
              <w:rPr>
                <w:rFonts w:hint="eastAsia" w:ascii="宋体" w:hAnsi="宋体"/>
                <w:color w:val="auto"/>
                <w:sz w:val="21"/>
                <w:szCs w:val="21"/>
                <w:highlight w:val="none"/>
              </w:rPr>
              <w:t>评审细则</w:t>
            </w:r>
          </w:p>
        </w:tc>
        <w:tc>
          <w:tcPr>
            <w:tcW w:w="612" w:type="dxa"/>
            <w:noWrap/>
            <w:vAlign w:val="center"/>
          </w:tcPr>
          <w:p w14:paraId="32CCAC18">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r>
              <w:rPr>
                <w:rFonts w:hint="eastAsia" w:ascii="宋体" w:hAnsi="宋体"/>
                <w:color w:val="auto"/>
                <w:sz w:val="21"/>
                <w:szCs w:val="21"/>
                <w:highlight w:val="none"/>
              </w:rPr>
              <w:t>分值</w:t>
            </w:r>
          </w:p>
        </w:tc>
      </w:tr>
      <w:tr w14:paraId="7F50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612" w:type="dxa"/>
            <w:noWrap/>
            <w:vAlign w:val="center"/>
          </w:tcPr>
          <w:p w14:paraId="6423FAEF">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p w14:paraId="1031BA5F">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r>
              <w:rPr>
                <w:rFonts w:hint="eastAsia" w:ascii="宋体" w:hAnsi="宋体"/>
                <w:color w:val="auto"/>
                <w:sz w:val="21"/>
                <w:szCs w:val="21"/>
                <w:highlight w:val="none"/>
              </w:rPr>
              <w:t>1</w:t>
            </w:r>
          </w:p>
        </w:tc>
        <w:tc>
          <w:tcPr>
            <w:tcW w:w="1513" w:type="dxa"/>
            <w:gridSpan w:val="2"/>
            <w:noWrap/>
            <w:vAlign w:val="center"/>
          </w:tcPr>
          <w:p w14:paraId="416736DE">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p w14:paraId="3F4301B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价格</w:t>
            </w:r>
          </w:p>
          <w:p w14:paraId="733FEA85">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15分</w:t>
            </w:r>
            <w:r>
              <w:rPr>
                <w:rFonts w:hint="eastAsia" w:ascii="宋体" w:hAnsi="宋体"/>
                <w:color w:val="auto"/>
                <w:sz w:val="21"/>
                <w:szCs w:val="21"/>
                <w:highlight w:val="none"/>
                <w:lang w:eastAsia="zh-CN"/>
              </w:rPr>
              <w:t>）</w:t>
            </w:r>
          </w:p>
          <w:p w14:paraId="459B23ED">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tc>
        <w:tc>
          <w:tcPr>
            <w:tcW w:w="6046" w:type="dxa"/>
            <w:noWrap/>
            <w:vAlign w:val="center"/>
          </w:tcPr>
          <w:p w14:paraId="4099B346">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color w:val="auto"/>
                <w:sz w:val="21"/>
                <w:szCs w:val="21"/>
                <w:highlight w:val="none"/>
              </w:rPr>
            </w:pPr>
            <w:r>
              <w:rPr>
                <w:rFonts w:hint="eastAsia" w:ascii="宋体" w:hAnsi="宋体"/>
                <w:color w:val="auto"/>
                <w:sz w:val="21"/>
                <w:szCs w:val="21"/>
                <w:highlight w:val="none"/>
              </w:rPr>
              <w:t>采用低价优先法计算，即满足招标文件要求且最后报价最低的供应商的价格为招标基准价，其价格分为满分。其他供应商的价格分统一按照下列公式计算:报价得分=(评标基准价/最终投标报价)x</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(小数点留两位)</w:t>
            </w:r>
          </w:p>
          <w:p w14:paraId="44D10005">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ascii="宋体" w:hAnsi="宋体"/>
                <w:color w:val="auto"/>
                <w:sz w:val="21"/>
                <w:szCs w:val="21"/>
                <w:highlight w:val="none"/>
              </w:rPr>
            </w:pPr>
            <w:r>
              <w:rPr>
                <w:rFonts w:hint="eastAsia" w:ascii="宋体" w:hAnsi="宋体"/>
                <w:color w:val="auto"/>
                <w:sz w:val="21"/>
                <w:szCs w:val="21"/>
                <w:highlight w:val="none"/>
              </w:rPr>
              <w:t>评标委员会在评标报告签字后，上述评标基准价不因招投标当事人质疑、投诉、复议以及其他任何情形而改变，但评标过程中的计算错误可作调整。</w:t>
            </w:r>
          </w:p>
        </w:tc>
        <w:tc>
          <w:tcPr>
            <w:tcW w:w="612" w:type="dxa"/>
            <w:noWrap/>
            <w:vAlign w:val="center"/>
          </w:tcPr>
          <w:p w14:paraId="73E3A8E2">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r>
      <w:tr w14:paraId="35E3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612" w:type="dxa"/>
            <w:noWrap/>
            <w:vAlign w:val="center"/>
          </w:tcPr>
          <w:p w14:paraId="24BD968F">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1513" w:type="dxa"/>
            <w:gridSpan w:val="2"/>
            <w:noWrap/>
            <w:vAlign w:val="center"/>
          </w:tcPr>
          <w:p w14:paraId="48CD7B85">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企业业绩（5分）</w:t>
            </w:r>
          </w:p>
        </w:tc>
        <w:tc>
          <w:tcPr>
            <w:tcW w:w="6046" w:type="dxa"/>
            <w:noWrap/>
          </w:tcPr>
          <w:p w14:paraId="0E139D8D">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olor w:val="auto"/>
                <w:sz w:val="21"/>
                <w:szCs w:val="21"/>
                <w:highlight w:val="none"/>
                <w:lang w:eastAsia="zh-CN"/>
              </w:rPr>
            </w:pPr>
            <w:bookmarkStart w:id="39" w:name="OLE_LINK22"/>
            <w:r>
              <w:rPr>
                <w:rFonts w:hint="eastAsia" w:ascii="宋体" w:hAnsi="宋体"/>
                <w:color w:val="auto"/>
                <w:sz w:val="21"/>
                <w:szCs w:val="21"/>
                <w:highlight w:val="none"/>
              </w:rPr>
              <w:t>供应商自202</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月1日以来，承担过类似</w:t>
            </w:r>
            <w:r>
              <w:rPr>
                <w:rFonts w:hint="eastAsia" w:ascii="宋体" w:hAnsi="宋体"/>
                <w:color w:val="auto"/>
                <w:sz w:val="21"/>
                <w:szCs w:val="21"/>
                <w:highlight w:val="none"/>
                <w:lang w:val="en-US" w:eastAsia="zh-CN"/>
              </w:rPr>
              <w:t>白蚁防治</w:t>
            </w:r>
            <w:r>
              <w:rPr>
                <w:rFonts w:hint="eastAsia" w:ascii="宋体" w:hAnsi="宋体"/>
                <w:color w:val="auto"/>
                <w:sz w:val="21"/>
                <w:szCs w:val="21"/>
                <w:highlight w:val="none"/>
              </w:rPr>
              <w:t>项目业绩，每提供一个得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w:t>
            </w:r>
            <w:r>
              <w:rPr>
                <w:rFonts w:hint="eastAsia" w:ascii="宋体" w:hAnsi="宋体"/>
                <w:color w:val="auto"/>
                <w:sz w:val="21"/>
                <w:szCs w:val="21"/>
                <w:highlight w:val="none"/>
                <w:lang w:val="en-US" w:eastAsia="zh-CN"/>
              </w:rPr>
              <w:t>未提供不得分</w:t>
            </w:r>
            <w:r>
              <w:rPr>
                <w:rFonts w:hint="eastAsia" w:ascii="宋体" w:hAnsi="宋体"/>
                <w:color w:val="auto"/>
                <w:sz w:val="21"/>
                <w:szCs w:val="21"/>
                <w:highlight w:val="none"/>
              </w:rPr>
              <w:t>。（提供中标通知书、合同等复印件加盖公章，时间以合同签订时间为准。</w:t>
            </w:r>
            <w:bookmarkEnd w:id="39"/>
            <w:r>
              <w:rPr>
                <w:rFonts w:hint="eastAsia" w:ascii="宋体" w:hAnsi="宋体"/>
                <w:color w:val="auto"/>
                <w:sz w:val="21"/>
                <w:szCs w:val="21"/>
                <w:highlight w:val="none"/>
                <w:lang w:eastAsia="zh-CN"/>
              </w:rPr>
              <w:t>）</w:t>
            </w:r>
          </w:p>
        </w:tc>
        <w:tc>
          <w:tcPr>
            <w:tcW w:w="612" w:type="dxa"/>
            <w:noWrap/>
            <w:vAlign w:val="center"/>
          </w:tcPr>
          <w:p w14:paraId="40F314A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r>
      <w:tr w14:paraId="3CB0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612" w:type="dxa"/>
            <w:noWrap/>
            <w:vAlign w:val="center"/>
          </w:tcPr>
          <w:p w14:paraId="3E64C098">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1513" w:type="dxa"/>
            <w:gridSpan w:val="2"/>
            <w:noWrap/>
            <w:vAlign w:val="center"/>
          </w:tcPr>
          <w:p w14:paraId="217B6C8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人员</w:t>
            </w:r>
          </w:p>
          <w:p w14:paraId="3E98E0CB">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（15分）</w:t>
            </w:r>
          </w:p>
        </w:tc>
        <w:tc>
          <w:tcPr>
            <w:tcW w:w="6046" w:type="dxa"/>
            <w:noWrap/>
            <w:vAlign w:val="center"/>
          </w:tcPr>
          <w:p w14:paraId="336CA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b w:val="0"/>
                <w:bCs w:val="0"/>
                <w:color w:val="auto"/>
                <w:sz w:val="21"/>
                <w:szCs w:val="21"/>
                <w:highlight w:val="none"/>
              </w:rPr>
            </w:pPr>
            <w:bookmarkStart w:id="40" w:name="OLE_LINK20"/>
            <w:r>
              <w:rPr>
                <w:rFonts w:hint="eastAsia" w:ascii="宋体" w:hAnsi="宋体"/>
                <w:b w:val="0"/>
                <w:bCs w:val="0"/>
                <w:color w:val="auto"/>
                <w:sz w:val="21"/>
                <w:szCs w:val="21"/>
                <w:highlight w:val="none"/>
              </w:rPr>
              <w:t>投入本项目的服务人员具有白蚁防治相关证书或省地级白蚁协会行业部门提供的培训证明，每人得</w:t>
            </w:r>
            <w:r>
              <w:rPr>
                <w:rFonts w:hint="eastAsia" w:ascii="宋体" w:hAnsi="宋体"/>
                <w:b w:val="0"/>
                <w:bCs w:val="0"/>
                <w:color w:val="auto"/>
                <w:sz w:val="21"/>
                <w:szCs w:val="21"/>
                <w:highlight w:val="none"/>
                <w:lang w:val="en-US" w:eastAsia="zh-CN"/>
              </w:rPr>
              <w:t>5</w:t>
            </w:r>
            <w:r>
              <w:rPr>
                <w:rFonts w:hint="eastAsia" w:ascii="宋体" w:hAnsi="宋体"/>
                <w:b w:val="0"/>
                <w:bCs w:val="0"/>
                <w:color w:val="auto"/>
                <w:sz w:val="21"/>
                <w:szCs w:val="21"/>
                <w:highlight w:val="none"/>
              </w:rPr>
              <w:t>分，满分15分。</w:t>
            </w:r>
          </w:p>
          <w:p w14:paraId="7E12D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eastAsia="宋体"/>
                <w:color w:val="auto"/>
                <w:sz w:val="21"/>
                <w:szCs w:val="21"/>
                <w:highlight w:val="none"/>
                <w:lang w:eastAsia="zh-CN"/>
              </w:rPr>
            </w:pPr>
            <w:r>
              <w:rPr>
                <w:rFonts w:hint="eastAsia" w:ascii="宋体" w:hAnsi="宋体"/>
                <w:b w:val="0"/>
                <w:bCs w:val="0"/>
                <w:color w:val="auto"/>
                <w:sz w:val="21"/>
                <w:szCs w:val="21"/>
                <w:highlight w:val="none"/>
              </w:rPr>
              <w:t xml:space="preserve"> 注：以上</w:t>
            </w:r>
            <w:r>
              <w:rPr>
                <w:rFonts w:hint="eastAsia" w:ascii="宋体" w:hAnsi="宋体"/>
                <w:b w:val="0"/>
                <w:bCs w:val="0"/>
                <w:color w:val="auto"/>
                <w:sz w:val="21"/>
                <w:szCs w:val="21"/>
                <w:highlight w:val="none"/>
                <w:lang w:val="en-US" w:eastAsia="zh-CN"/>
              </w:rPr>
              <w:t>人员须提供专业技术人员的证书复印件加盖公章；提供</w:t>
            </w:r>
            <w:r>
              <w:rPr>
                <w:rFonts w:hint="eastAsia" w:ascii="宋体" w:hAnsi="宋体"/>
                <w:b w:val="0"/>
                <w:bCs w:val="0"/>
                <w:color w:val="auto"/>
                <w:sz w:val="21"/>
                <w:szCs w:val="21"/>
                <w:highlight w:val="none"/>
              </w:rPr>
              <w:t>与供应商签订的劳动合同复印件加盖公章，</w:t>
            </w:r>
            <w:r>
              <w:rPr>
                <w:rFonts w:hint="eastAsia" w:ascii="宋体" w:hAnsi="宋体"/>
                <w:b w:val="0"/>
                <w:bCs w:val="0"/>
                <w:color w:val="auto"/>
                <w:sz w:val="21"/>
                <w:szCs w:val="21"/>
                <w:highlight w:val="none"/>
                <w:lang w:val="en-US" w:eastAsia="zh-CN"/>
              </w:rPr>
              <w:t>且</w:t>
            </w:r>
            <w:r>
              <w:rPr>
                <w:rFonts w:hint="eastAsia" w:ascii="宋体" w:hAnsi="宋体"/>
                <w:b w:val="0"/>
                <w:bCs w:val="0"/>
                <w:color w:val="auto"/>
                <w:sz w:val="21"/>
                <w:szCs w:val="21"/>
                <w:highlight w:val="none"/>
              </w:rPr>
              <w:t>提供2025年</w:t>
            </w:r>
            <w:r>
              <w:rPr>
                <w:rFonts w:hint="eastAsia" w:ascii="宋体" w:hAnsi="宋体"/>
                <w:b w:val="0"/>
                <w:bCs w:val="0"/>
                <w:color w:val="auto"/>
                <w:sz w:val="21"/>
                <w:szCs w:val="21"/>
                <w:highlight w:val="none"/>
                <w:lang w:val="en-US" w:eastAsia="zh-CN"/>
              </w:rPr>
              <w:t>9</w:t>
            </w:r>
            <w:r>
              <w:rPr>
                <w:rFonts w:hint="eastAsia" w:ascii="宋体" w:hAnsi="宋体"/>
                <w:b w:val="0"/>
                <w:bCs w:val="0"/>
                <w:color w:val="auto"/>
                <w:sz w:val="21"/>
                <w:szCs w:val="21"/>
                <w:highlight w:val="none"/>
              </w:rPr>
              <w:t>月-202</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年</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rPr>
              <w:t>月中任意一月供应商直接为其缴纳的社保证明材料加盖公章。</w:t>
            </w:r>
            <w:bookmarkEnd w:id="40"/>
            <w:r>
              <w:rPr>
                <w:rFonts w:hint="eastAsia" w:ascii="宋体" w:hAnsi="宋体"/>
                <w:b w:val="0"/>
                <w:bCs w:val="0"/>
                <w:color w:val="auto"/>
                <w:sz w:val="21"/>
                <w:szCs w:val="21"/>
                <w:highlight w:val="none"/>
                <w:lang w:eastAsia="zh-CN"/>
              </w:rPr>
              <w:t>（若以上人员属企业退休人员、现役军人等客观原因无法提供养老保险金缴费证明，必须出具相关证明材料，未提供不得分。）</w:t>
            </w:r>
          </w:p>
        </w:tc>
        <w:tc>
          <w:tcPr>
            <w:tcW w:w="612" w:type="dxa"/>
            <w:noWrap/>
            <w:vAlign w:val="center"/>
          </w:tcPr>
          <w:p w14:paraId="76BFEF1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r>
      <w:tr w14:paraId="7938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12" w:type="dxa"/>
            <w:noWrap/>
            <w:vAlign w:val="center"/>
          </w:tcPr>
          <w:p w14:paraId="03070890">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1513" w:type="dxa"/>
            <w:gridSpan w:val="2"/>
            <w:noWrap/>
            <w:vAlign w:val="center"/>
          </w:tcPr>
          <w:p w14:paraId="45A8C243">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施工器械（15分）</w:t>
            </w:r>
          </w:p>
        </w:tc>
        <w:tc>
          <w:tcPr>
            <w:tcW w:w="6046" w:type="dxa"/>
            <w:noWrap/>
            <w:vAlign w:val="center"/>
          </w:tcPr>
          <w:p w14:paraId="2CC38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1.供应商针对本项目拟投入车辆</w:t>
            </w:r>
            <w:r>
              <w:rPr>
                <w:rFonts w:hint="eastAsia" w:ascii="宋体" w:hAnsi="宋体"/>
                <w:color w:val="auto"/>
                <w:sz w:val="21"/>
                <w:szCs w:val="21"/>
                <w:highlight w:val="none"/>
                <w:lang w:eastAsia="zh-CN"/>
              </w:rPr>
              <w:t>：需提供满足项目服务的施工车辆，</w:t>
            </w:r>
            <w:r>
              <w:rPr>
                <w:rFonts w:hint="eastAsia" w:ascii="宋体" w:hAnsi="宋体"/>
                <w:color w:val="auto"/>
                <w:sz w:val="21"/>
                <w:szCs w:val="21"/>
                <w:highlight w:val="none"/>
                <w:lang w:val="en-US" w:eastAsia="zh-CN"/>
              </w:rPr>
              <w:t>每提供一辆得2.5分，最高得5分。</w:t>
            </w:r>
          </w:p>
          <w:p w14:paraId="37FFF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color w:val="auto"/>
                <w:sz w:val="21"/>
                <w:szCs w:val="21"/>
                <w:highlight w:val="none"/>
              </w:rPr>
            </w:pPr>
            <w:r>
              <w:rPr>
                <w:rFonts w:hint="eastAsia" w:ascii="宋体" w:hAnsi="宋体"/>
                <w:color w:val="auto"/>
                <w:sz w:val="21"/>
                <w:szCs w:val="21"/>
                <w:highlight w:val="none"/>
              </w:rPr>
              <w:t>(适用施工车辆车型用于</w:t>
            </w:r>
            <w:r>
              <w:rPr>
                <w:rFonts w:hint="eastAsia" w:ascii="宋体" w:hAnsi="宋体"/>
                <w:color w:val="auto"/>
                <w:sz w:val="21"/>
                <w:szCs w:val="21"/>
                <w:highlight w:val="none"/>
                <w:lang w:eastAsia="zh-CN"/>
              </w:rPr>
              <w:t>项目服务人员交通出行、运输</w:t>
            </w:r>
            <w:r>
              <w:rPr>
                <w:rFonts w:hint="eastAsia" w:ascii="宋体" w:hAnsi="宋体"/>
                <w:color w:val="auto"/>
                <w:sz w:val="21"/>
                <w:szCs w:val="21"/>
                <w:highlight w:val="none"/>
              </w:rPr>
              <w:t>施工机械</w:t>
            </w:r>
            <w:r>
              <w:rPr>
                <w:rFonts w:hint="eastAsia" w:ascii="宋体" w:hAnsi="宋体"/>
                <w:color w:val="auto"/>
                <w:sz w:val="21"/>
                <w:szCs w:val="21"/>
                <w:highlight w:val="none"/>
                <w:lang w:eastAsia="zh-CN"/>
              </w:rPr>
              <w:t>及</w:t>
            </w:r>
            <w:r>
              <w:rPr>
                <w:rFonts w:hint="eastAsia" w:ascii="宋体" w:hAnsi="宋体"/>
                <w:color w:val="auto"/>
                <w:sz w:val="21"/>
                <w:szCs w:val="21"/>
                <w:highlight w:val="none"/>
              </w:rPr>
              <w:t xml:space="preserve">药水。供应商提供加盖供应商公章的车辆行驶证、登记证复印件和车辆标准照片，如车辆为租赁的，则还需提供租赁协议复印件加盖公章。) </w:t>
            </w:r>
          </w:p>
          <w:p w14:paraId="5B1BE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2.供应商提供</w:t>
            </w:r>
            <w:r>
              <w:rPr>
                <w:rFonts w:hint="eastAsia" w:ascii="宋体" w:hAnsi="宋体"/>
                <w:color w:val="auto"/>
                <w:sz w:val="21"/>
                <w:szCs w:val="21"/>
                <w:highlight w:val="none"/>
                <w:lang w:eastAsia="zh-CN"/>
              </w:rPr>
              <w:t>搅拌设备、注浆泵、注浆加固钻机、切割机、测距仪各1台。每提供一项得</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分，满分</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lang w:eastAsia="zh-CN"/>
              </w:rPr>
              <w:t>分。(设备须提供购买或租赁发票复印件加盖公章，原件现场核查)</w:t>
            </w:r>
          </w:p>
        </w:tc>
        <w:tc>
          <w:tcPr>
            <w:tcW w:w="612" w:type="dxa"/>
            <w:noWrap/>
            <w:vAlign w:val="center"/>
          </w:tcPr>
          <w:p w14:paraId="319E48D2">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w:t>
            </w:r>
          </w:p>
        </w:tc>
      </w:tr>
      <w:tr w14:paraId="25D1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612" w:type="dxa"/>
            <w:noWrap/>
            <w:vAlign w:val="center"/>
          </w:tcPr>
          <w:p w14:paraId="436DD3E7">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6</w:t>
            </w:r>
          </w:p>
        </w:tc>
        <w:tc>
          <w:tcPr>
            <w:tcW w:w="564" w:type="dxa"/>
            <w:vMerge w:val="restart"/>
            <w:noWrap/>
            <w:vAlign w:val="center"/>
          </w:tcPr>
          <w:p w14:paraId="4F12C1F8">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服务方案</w:t>
            </w:r>
          </w:p>
          <w:p w14:paraId="07F8B12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50分</w:t>
            </w:r>
            <w:r>
              <w:rPr>
                <w:rFonts w:hint="eastAsia" w:ascii="宋体" w:hAnsi="宋体"/>
                <w:color w:val="auto"/>
                <w:sz w:val="21"/>
                <w:szCs w:val="21"/>
                <w:highlight w:val="none"/>
              </w:rPr>
              <w:t>）</w:t>
            </w:r>
          </w:p>
        </w:tc>
        <w:tc>
          <w:tcPr>
            <w:tcW w:w="949" w:type="dxa"/>
            <w:noWrap/>
            <w:vAlign w:val="center"/>
          </w:tcPr>
          <w:p w14:paraId="5A0D2D00">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bookmarkStart w:id="41" w:name="OLE_LINK9"/>
            <w:r>
              <w:rPr>
                <w:rFonts w:hint="eastAsia" w:ascii="宋体" w:hAnsi="宋体"/>
                <w:color w:val="auto"/>
                <w:sz w:val="21"/>
                <w:szCs w:val="21"/>
                <w:highlight w:val="none"/>
              </w:rPr>
              <w:t>工作方案总体评价</w:t>
            </w:r>
            <w:bookmarkEnd w:id="41"/>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p>
        </w:tc>
        <w:tc>
          <w:tcPr>
            <w:tcW w:w="6046" w:type="dxa"/>
            <w:noWrap/>
            <w:vAlign w:val="center"/>
          </w:tcPr>
          <w:p w14:paraId="6EDA09A1">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评委根据供应商提供的白蚁防治项目总体服务实施方案(基本工作流程，主要服务内容，服务质量，安全保障等)的科学性、全面性、合理性、可行性、针对性等酌情打分:</w:t>
            </w:r>
          </w:p>
          <w:p w14:paraId="6F95A71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方案思路清晰、定位准确、理解透彻、全面者得</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lang w:eastAsia="zh-CN"/>
              </w:rPr>
              <w:t>分;</w:t>
            </w:r>
          </w:p>
          <w:p w14:paraId="72DFA3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方案思路较清晰、定位较准确、理解较透彻、较全面者得</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分;</w:t>
            </w:r>
          </w:p>
          <w:p w14:paraId="357BB6C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方案思路基本清楚，全面性一般，合理性一般者得4;</w:t>
            </w:r>
          </w:p>
          <w:p w14:paraId="112DD7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ascii="宋体" w:hAnsi="宋体"/>
                <w:color w:val="auto"/>
                <w:sz w:val="21"/>
                <w:szCs w:val="21"/>
                <w:highlight w:val="none"/>
              </w:rPr>
            </w:pPr>
            <w:r>
              <w:rPr>
                <w:rFonts w:hint="eastAsia" w:ascii="宋体" w:hAnsi="宋体"/>
                <w:color w:val="auto"/>
                <w:sz w:val="21"/>
                <w:szCs w:val="21"/>
                <w:highlight w:val="none"/>
                <w:lang w:eastAsia="zh-CN"/>
              </w:rPr>
              <w:t>未提供者不得分。</w:t>
            </w:r>
          </w:p>
        </w:tc>
        <w:tc>
          <w:tcPr>
            <w:tcW w:w="612" w:type="dxa"/>
            <w:noWrap/>
            <w:vAlign w:val="center"/>
          </w:tcPr>
          <w:p w14:paraId="48E0781C">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r>
      <w:tr w14:paraId="63CA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7" w:hRule="atLeast"/>
          <w:jc w:val="center"/>
        </w:trPr>
        <w:tc>
          <w:tcPr>
            <w:tcW w:w="612" w:type="dxa"/>
            <w:noWrap/>
            <w:vAlign w:val="center"/>
          </w:tcPr>
          <w:p w14:paraId="04936AD7">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564" w:type="dxa"/>
            <w:vMerge w:val="continue"/>
            <w:noWrap/>
            <w:vAlign w:val="center"/>
          </w:tcPr>
          <w:p w14:paraId="0DE2FD4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tc>
        <w:tc>
          <w:tcPr>
            <w:tcW w:w="949" w:type="dxa"/>
            <w:noWrap/>
            <w:vAlign w:val="center"/>
          </w:tcPr>
          <w:p w14:paraId="7623D2AB">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r>
              <w:rPr>
                <w:rFonts w:hint="eastAsia" w:ascii="宋体" w:hAnsi="宋体"/>
                <w:color w:val="auto"/>
                <w:sz w:val="21"/>
                <w:szCs w:val="21"/>
                <w:highlight w:val="none"/>
              </w:rPr>
              <w:t>质量目标及控制措施(</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w:t>
            </w:r>
          </w:p>
        </w:tc>
        <w:tc>
          <w:tcPr>
            <w:tcW w:w="6046" w:type="dxa"/>
            <w:noWrap/>
            <w:vAlign w:val="center"/>
          </w:tcPr>
          <w:p w14:paraId="323FC0F7">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评委根据供应商提供的质量目标、控制措施及对服务的质量责任承诺酌情评分:</w:t>
            </w:r>
          </w:p>
          <w:p w14:paraId="54189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方案思路清晰、定位准确、理解透彻、全面者得</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p w14:paraId="45411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rPr>
              <w:t>方案思路较清晰、定位较准确、理解较透彻、较全面者得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14:paraId="4B0D3B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rPr>
              <w:t>方案思路基本清楚，全面性一般，合理性一般者得2分;</w:t>
            </w:r>
          </w:p>
          <w:p w14:paraId="526EB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color w:val="auto"/>
                <w:sz w:val="20"/>
                <w:szCs w:val="22"/>
                <w:highlight w:val="none"/>
              </w:rPr>
            </w:pPr>
            <w:r>
              <w:rPr>
                <w:rFonts w:hint="default"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bidi="ar-SA"/>
              </w:rPr>
              <w:t>未</w:t>
            </w:r>
            <w:r>
              <w:rPr>
                <w:rFonts w:hint="eastAsia" w:ascii="宋体" w:hAnsi="宋体" w:eastAsia="宋体" w:cs="宋体"/>
                <w:color w:val="auto"/>
                <w:kern w:val="0"/>
                <w:sz w:val="21"/>
                <w:szCs w:val="21"/>
                <w:highlight w:val="none"/>
              </w:rPr>
              <w:t>提供者不得分。</w:t>
            </w:r>
          </w:p>
        </w:tc>
        <w:tc>
          <w:tcPr>
            <w:tcW w:w="612" w:type="dxa"/>
            <w:noWrap/>
            <w:vAlign w:val="center"/>
          </w:tcPr>
          <w:p w14:paraId="606C583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8</w:t>
            </w:r>
          </w:p>
        </w:tc>
      </w:tr>
      <w:tr w14:paraId="1CDB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3" w:hRule="atLeast"/>
          <w:jc w:val="center"/>
        </w:trPr>
        <w:tc>
          <w:tcPr>
            <w:tcW w:w="612" w:type="dxa"/>
            <w:noWrap/>
            <w:vAlign w:val="center"/>
          </w:tcPr>
          <w:p w14:paraId="6A04639A">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564" w:type="dxa"/>
            <w:vMerge w:val="continue"/>
            <w:noWrap/>
            <w:vAlign w:val="center"/>
          </w:tcPr>
          <w:p w14:paraId="145EE0C0">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tc>
        <w:tc>
          <w:tcPr>
            <w:tcW w:w="949" w:type="dxa"/>
            <w:noWrap/>
            <w:vAlign w:val="center"/>
          </w:tcPr>
          <w:p w14:paraId="1AE648F6">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项目实施技术路线与工作流程(</w:t>
            </w:r>
            <w:r>
              <w:rPr>
                <w:rFonts w:hint="eastAsia" w:ascii="宋体" w:hAnsi="宋体"/>
                <w:color w:val="auto"/>
                <w:sz w:val="21"/>
                <w:szCs w:val="21"/>
                <w:highlight w:val="none"/>
                <w:lang w:val="en-US" w:eastAsia="zh-CN"/>
              </w:rPr>
              <w:t>8</w:t>
            </w:r>
            <w:r>
              <w:rPr>
                <w:rFonts w:hint="eastAsia" w:ascii="宋体" w:hAnsi="宋体" w:eastAsia="宋体"/>
                <w:color w:val="auto"/>
                <w:sz w:val="21"/>
                <w:szCs w:val="21"/>
                <w:highlight w:val="none"/>
                <w:lang w:eastAsia="zh-CN"/>
              </w:rPr>
              <w:t>分)</w:t>
            </w:r>
          </w:p>
        </w:tc>
        <w:tc>
          <w:tcPr>
            <w:tcW w:w="6046" w:type="dxa"/>
            <w:shd w:val="clear" w:color="auto" w:fill="auto"/>
            <w:noWrap/>
            <w:vAlign w:val="center"/>
          </w:tcPr>
          <w:p w14:paraId="58435369">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评委根据供应商方案编制的技术路线和工作流程的合理性及针对性等方面酌情评分:</w:t>
            </w:r>
          </w:p>
          <w:p w14:paraId="653AB82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方案全面、科学、合理，有针对性的得</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分;</w:t>
            </w:r>
          </w:p>
          <w:p w14:paraId="11CFC9F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方案较全面、较科学、较合理，较有针对性的得</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分;</w:t>
            </w:r>
          </w:p>
          <w:p w14:paraId="5F1B986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方案合理性一般，针对性一般的得2分;</w:t>
            </w:r>
          </w:p>
          <w:p w14:paraId="2B3945B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ascii="宋体" w:hAnsi="宋体"/>
                <w:color w:val="auto"/>
                <w:sz w:val="18"/>
                <w:szCs w:val="21"/>
                <w:highlight w:val="none"/>
              </w:rPr>
            </w:pPr>
            <w:r>
              <w:rPr>
                <w:rFonts w:hint="eastAsia" w:ascii="宋体" w:hAnsi="宋体"/>
                <w:color w:val="auto"/>
                <w:kern w:val="0"/>
                <w:sz w:val="21"/>
                <w:szCs w:val="21"/>
                <w:highlight w:val="none"/>
              </w:rPr>
              <w:t>未提供者不得分。</w:t>
            </w:r>
          </w:p>
        </w:tc>
        <w:tc>
          <w:tcPr>
            <w:tcW w:w="612" w:type="dxa"/>
            <w:shd w:val="clear" w:color="auto" w:fill="auto"/>
            <w:noWrap/>
            <w:vAlign w:val="center"/>
          </w:tcPr>
          <w:p w14:paraId="4FE30533">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r>
      <w:tr w14:paraId="4C7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12" w:type="dxa"/>
            <w:noWrap/>
            <w:vAlign w:val="center"/>
          </w:tcPr>
          <w:p w14:paraId="17E2A66A">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9</w:t>
            </w:r>
          </w:p>
        </w:tc>
        <w:tc>
          <w:tcPr>
            <w:tcW w:w="564" w:type="dxa"/>
            <w:vMerge w:val="continue"/>
            <w:noWrap/>
            <w:vAlign w:val="center"/>
          </w:tcPr>
          <w:p w14:paraId="2718CC51">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tc>
        <w:tc>
          <w:tcPr>
            <w:tcW w:w="949" w:type="dxa"/>
            <w:noWrap/>
            <w:vAlign w:val="center"/>
          </w:tcPr>
          <w:p w14:paraId="0047B3DD">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重点难点分析</w:t>
            </w:r>
            <w:r>
              <w:rPr>
                <w:rFonts w:hint="eastAsia" w:ascii="宋体" w:hAnsi="宋体"/>
                <w:color w:val="auto"/>
                <w:sz w:val="21"/>
                <w:szCs w:val="21"/>
                <w:highlight w:val="none"/>
                <w:lang w:val="en-US" w:eastAsia="zh-CN"/>
              </w:rPr>
              <w:t>(8分）</w:t>
            </w:r>
          </w:p>
        </w:tc>
        <w:tc>
          <w:tcPr>
            <w:tcW w:w="6046" w:type="dxa"/>
            <w:shd w:val="clear" w:color="auto" w:fill="auto"/>
            <w:noWrap/>
            <w:vAlign w:val="center"/>
          </w:tcPr>
          <w:p w14:paraId="08DD3237">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评委根据供应商针对本服务项目的难点、重点进行分析，且能提出明确的针对性的措施方法，并对管辖区域白蚁防治相关工作提出积极可行的合理意见等酌情评分:</w:t>
            </w:r>
          </w:p>
          <w:p w14:paraId="6B8BD80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方案思路清晰、定位准确、理解透彻、全面者得</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分;</w:t>
            </w:r>
          </w:p>
          <w:p w14:paraId="2464B3D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方案思路较清晰、定位较准确、理解较透彻、较全面者</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分;</w:t>
            </w:r>
          </w:p>
          <w:p w14:paraId="36074EF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方案思路基本清楚，全面性一般，合理性一般者得2分;</w:t>
            </w:r>
          </w:p>
          <w:p w14:paraId="381C1F7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未提供者不得分。</w:t>
            </w:r>
          </w:p>
        </w:tc>
        <w:tc>
          <w:tcPr>
            <w:tcW w:w="612" w:type="dxa"/>
            <w:shd w:val="clear" w:color="auto" w:fill="auto"/>
            <w:noWrap/>
            <w:vAlign w:val="center"/>
          </w:tcPr>
          <w:p w14:paraId="2A4CB684">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8</w:t>
            </w:r>
          </w:p>
        </w:tc>
      </w:tr>
      <w:tr w14:paraId="7BB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612" w:type="dxa"/>
            <w:noWrap/>
            <w:vAlign w:val="center"/>
          </w:tcPr>
          <w:p w14:paraId="31C7EB83">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564" w:type="dxa"/>
            <w:vMerge w:val="continue"/>
            <w:noWrap/>
            <w:vAlign w:val="center"/>
          </w:tcPr>
          <w:p w14:paraId="23BF81FD">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tc>
        <w:tc>
          <w:tcPr>
            <w:tcW w:w="949" w:type="dxa"/>
            <w:noWrap/>
            <w:vAlign w:val="center"/>
          </w:tcPr>
          <w:p w14:paraId="2A3BBF4A">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color w:val="auto"/>
                <w:kern w:val="0"/>
                <w:sz w:val="21"/>
                <w:szCs w:val="21"/>
                <w:highlight w:val="none"/>
              </w:rPr>
            </w:pPr>
            <w:bookmarkStart w:id="42" w:name="OLE_LINK15"/>
            <w:r>
              <w:rPr>
                <w:rFonts w:hint="eastAsia" w:ascii="宋体" w:hAnsi="宋体"/>
                <w:color w:val="auto"/>
                <w:kern w:val="0"/>
                <w:sz w:val="21"/>
                <w:szCs w:val="21"/>
                <w:highlight w:val="none"/>
              </w:rPr>
              <w:t>进度目标及控制措施</w:t>
            </w:r>
            <w:bookmarkEnd w:id="42"/>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分)</w:t>
            </w:r>
          </w:p>
        </w:tc>
        <w:tc>
          <w:tcPr>
            <w:tcW w:w="6046" w:type="dxa"/>
            <w:shd w:val="clear" w:color="auto" w:fill="auto"/>
            <w:noWrap/>
            <w:vAlign w:val="center"/>
          </w:tcPr>
          <w:p w14:paraId="0460A105">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评委根据供应商提供的进度目标及控制措施(含制定项目进度及保障措施，计划合理，措施得力)等酌情评分:</w:t>
            </w:r>
          </w:p>
          <w:p w14:paraId="75716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default" w:ascii="宋体" w:hAnsi="宋体" w:eastAsia="宋体" w:cs="宋体"/>
                <w:color w:val="auto"/>
                <w:kern w:val="0"/>
                <w:sz w:val="21"/>
                <w:szCs w:val="21"/>
                <w:lang w:val="en-US" w:eastAsia="zh-CN" w:bidi="ar-SA"/>
              </w:rPr>
              <w:t>(1)</w:t>
            </w:r>
            <w:r>
              <w:rPr>
                <w:rFonts w:hint="eastAsia" w:ascii="宋体" w:hAnsi="宋体"/>
                <w:color w:val="auto"/>
                <w:kern w:val="0"/>
                <w:sz w:val="21"/>
                <w:szCs w:val="21"/>
                <w:highlight w:val="none"/>
              </w:rPr>
              <w:t>方案思路清晰、定位准确、理解透彻、全面者得</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分;</w:t>
            </w:r>
          </w:p>
          <w:p w14:paraId="4E0A26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lang w:val="en-US" w:eastAsia="zh-CN"/>
              </w:rPr>
            </w:pPr>
            <w:r>
              <w:rPr>
                <w:rFonts w:hint="default" w:ascii="宋体" w:hAnsi="宋体" w:eastAsia="宋体" w:cs="宋体"/>
                <w:color w:val="auto"/>
                <w:kern w:val="0"/>
                <w:sz w:val="21"/>
                <w:szCs w:val="21"/>
                <w:lang w:val="en-US" w:eastAsia="zh-CN" w:bidi="ar-SA"/>
              </w:rPr>
              <w:t>(2)</w:t>
            </w:r>
            <w:r>
              <w:rPr>
                <w:rFonts w:hint="eastAsia" w:ascii="宋体" w:hAnsi="宋体"/>
                <w:color w:val="auto"/>
                <w:kern w:val="0"/>
                <w:sz w:val="21"/>
                <w:szCs w:val="21"/>
                <w:highlight w:val="none"/>
              </w:rPr>
              <w:t>方案思路较清晰、定位较准确、理解较透彻、较全面者得</w:t>
            </w:r>
            <w:r>
              <w:rPr>
                <w:rFonts w:hint="eastAsia" w:ascii="宋体" w:hAnsi="宋体"/>
                <w:color w:val="auto"/>
                <w:kern w:val="0"/>
                <w:sz w:val="21"/>
                <w:szCs w:val="21"/>
                <w:highlight w:val="none"/>
                <w:lang w:val="en-US" w:eastAsia="zh-CN"/>
              </w:rPr>
              <w:t>5</w:t>
            </w:r>
          </w:p>
          <w:p w14:paraId="33C42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方案思路基本清楚，全面性一般，合理性一般者得2分;</w:t>
            </w:r>
          </w:p>
          <w:p w14:paraId="4192F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default"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4</w:t>
            </w:r>
            <w:r>
              <w:rPr>
                <w:rFonts w:hint="default" w:ascii="宋体" w:hAnsi="宋体" w:eastAsia="宋体" w:cs="宋体"/>
                <w:color w:val="auto"/>
                <w:kern w:val="0"/>
                <w:sz w:val="21"/>
                <w:szCs w:val="21"/>
                <w:lang w:val="en-US" w:eastAsia="zh-CN" w:bidi="ar-SA"/>
              </w:rPr>
              <w:t>)</w:t>
            </w:r>
            <w:r>
              <w:rPr>
                <w:rFonts w:hint="eastAsia" w:ascii="宋体" w:hAnsi="宋体"/>
                <w:color w:val="auto"/>
                <w:kern w:val="0"/>
                <w:sz w:val="21"/>
                <w:szCs w:val="21"/>
                <w:highlight w:val="none"/>
              </w:rPr>
              <w:t>未提供者不得分</w:t>
            </w:r>
          </w:p>
        </w:tc>
        <w:tc>
          <w:tcPr>
            <w:tcW w:w="612" w:type="dxa"/>
            <w:shd w:val="clear" w:color="auto" w:fill="auto"/>
            <w:noWrap/>
            <w:vAlign w:val="center"/>
          </w:tcPr>
          <w:p w14:paraId="3E402EFB">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8</w:t>
            </w:r>
          </w:p>
        </w:tc>
      </w:tr>
      <w:tr w14:paraId="0712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612" w:type="dxa"/>
            <w:noWrap/>
            <w:vAlign w:val="center"/>
          </w:tcPr>
          <w:p w14:paraId="6C635B09">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564" w:type="dxa"/>
            <w:vMerge w:val="continue"/>
            <w:noWrap/>
            <w:vAlign w:val="center"/>
          </w:tcPr>
          <w:p w14:paraId="1B06CC1C">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宋体" w:hAnsi="宋体"/>
                <w:color w:val="auto"/>
                <w:sz w:val="21"/>
                <w:szCs w:val="21"/>
                <w:highlight w:val="none"/>
              </w:rPr>
            </w:pPr>
          </w:p>
        </w:tc>
        <w:tc>
          <w:tcPr>
            <w:tcW w:w="949" w:type="dxa"/>
            <w:noWrap/>
            <w:vAlign w:val="center"/>
          </w:tcPr>
          <w:p w14:paraId="1AC2EF26">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信息与计算资料管理(</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分)</w:t>
            </w:r>
          </w:p>
        </w:tc>
        <w:tc>
          <w:tcPr>
            <w:tcW w:w="6046" w:type="dxa"/>
            <w:shd w:val="clear" w:color="auto" w:fill="auto"/>
            <w:noWrap/>
            <w:vAlign w:val="center"/>
          </w:tcPr>
          <w:p w14:paraId="0DE0911B">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评委根据供应商提供的信息与计算资料管理等酌情评分:</w:t>
            </w:r>
          </w:p>
          <w:p w14:paraId="2FB2045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信息与技术资料收集全面、完整得</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分</w:t>
            </w:r>
            <w:r>
              <w:rPr>
                <w:rFonts w:hint="eastAsia" w:ascii="宋体" w:hAnsi="宋体"/>
                <w:color w:val="auto"/>
                <w:kern w:val="0"/>
                <w:sz w:val="21"/>
                <w:szCs w:val="21"/>
                <w:highlight w:val="none"/>
                <w:lang w:eastAsia="zh-CN"/>
              </w:rPr>
              <w:t>；</w:t>
            </w:r>
          </w:p>
          <w:p w14:paraId="0E1AC59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信息与技术资料收集较全面、较完整得</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分</w:t>
            </w:r>
            <w:r>
              <w:rPr>
                <w:rFonts w:hint="eastAsia" w:ascii="宋体" w:hAnsi="宋体"/>
                <w:color w:val="auto"/>
                <w:kern w:val="0"/>
                <w:sz w:val="21"/>
                <w:szCs w:val="21"/>
                <w:highlight w:val="none"/>
                <w:lang w:eastAsia="zh-CN"/>
              </w:rPr>
              <w:t>；</w:t>
            </w:r>
          </w:p>
          <w:p w14:paraId="0D3E554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信息与技术资料收集一般得2分</w:t>
            </w:r>
            <w:r>
              <w:rPr>
                <w:rFonts w:hint="eastAsia" w:ascii="宋体" w:hAnsi="宋体"/>
                <w:color w:val="auto"/>
                <w:kern w:val="0"/>
                <w:sz w:val="21"/>
                <w:szCs w:val="21"/>
                <w:highlight w:val="none"/>
                <w:lang w:eastAsia="zh-CN"/>
              </w:rPr>
              <w:t>；</w:t>
            </w:r>
          </w:p>
          <w:p w14:paraId="13B8AAA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未提供者不得分。</w:t>
            </w:r>
          </w:p>
        </w:tc>
        <w:tc>
          <w:tcPr>
            <w:tcW w:w="612" w:type="dxa"/>
            <w:shd w:val="clear" w:color="auto" w:fill="auto"/>
            <w:noWrap/>
            <w:vAlign w:val="center"/>
          </w:tcPr>
          <w:p w14:paraId="11418F9D">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8</w:t>
            </w:r>
          </w:p>
        </w:tc>
      </w:tr>
    </w:tbl>
    <w:p w14:paraId="38FD4BA8">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40D2DE47">
      <w:pPr>
        <w:keepNext w:val="0"/>
        <w:keepLines w:val="0"/>
        <w:pageBreakBefore w:val="0"/>
        <w:kinsoku/>
        <w:wordWrap/>
        <w:overflowPunct/>
        <w:topLinePunct w:val="0"/>
        <w:bidi w:val="0"/>
        <w:spacing w:line="360" w:lineRule="auto"/>
        <w:textAlignment w:val="auto"/>
        <w:rPr>
          <w:rFonts w:ascii="宋体" w:hAnsi="宋体"/>
          <w:b/>
          <w:bCs/>
          <w:color w:val="auto"/>
          <w:kern w:val="0"/>
          <w:sz w:val="24"/>
          <w:highlight w:val="none"/>
          <w:lang w:val="zh-CN" w:bidi="zh-CN"/>
        </w:rPr>
      </w:pPr>
      <w:r>
        <w:rPr>
          <w:rFonts w:hint="eastAsia" w:ascii="宋体" w:hAnsi="宋体"/>
          <w:b/>
          <w:bCs/>
          <w:color w:val="auto"/>
          <w:kern w:val="0"/>
          <w:sz w:val="24"/>
          <w:highlight w:val="none"/>
          <w:lang w:val="zh-CN" w:bidi="zh-CN"/>
        </w:rPr>
        <w:t>说明：</w:t>
      </w:r>
    </w:p>
    <w:p w14:paraId="09040938">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1.对国家认定的节能产品和环保产品分别给予投标价的 5%价格扣除，用扣除后的价格参与评审（特别说明：节能、环保产品必须提供有效的节能产品、环境标志产品认证证书复印件）。</w:t>
      </w:r>
    </w:p>
    <w:p w14:paraId="1AF1C89A">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2.小微企业的价格扣除（本项目为专门面向中小企业采购，故不适用价格扣除）对小型和微型企业提供的服务给予10%的扣除，用扣除后的价格参与评审。参加投标的中小企业，应当按照《政府采购促进中小企业发展管理办法》（财库〔2020〕46号）的规定提供《中小企业声明函》（服务）（中小企业划型标准详见《关于印发中小企业划型标准规定的通知》工信部联企业〔2011〕300号）。</w:t>
      </w:r>
    </w:p>
    <w:p w14:paraId="21C9C8B6">
      <w:pPr>
        <w:keepNext w:val="0"/>
        <w:keepLines w:val="0"/>
        <w:pageBreakBefore w:val="0"/>
        <w:kinsoku/>
        <w:wordWrap/>
        <w:overflowPunct/>
        <w:topLinePunct w:val="0"/>
        <w:bidi w:val="0"/>
        <w:spacing w:line="360" w:lineRule="auto"/>
        <w:textAlignment w:val="auto"/>
        <w:rPr>
          <w:rFonts w:ascii="宋体" w:hAnsi="宋体"/>
          <w:color w:val="auto"/>
          <w:sz w:val="24"/>
          <w:highlight w:val="none"/>
        </w:rPr>
      </w:pPr>
      <w:r>
        <w:rPr>
          <w:rFonts w:hint="eastAsia" w:ascii="宋体" w:hAnsi="宋体"/>
          <w:b/>
          <w:bCs/>
          <w:color w:val="auto"/>
          <w:sz w:val="24"/>
          <w:highlight w:val="none"/>
        </w:rPr>
        <w:t>3.监狱和戒毒企业的价格扣除</w:t>
      </w:r>
    </w:p>
    <w:p w14:paraId="58E8D595">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3.1 本项目对监狱和戒毒企业（简称监狱企业），给予10%的价格扣除，用扣除后的价格参与评审。</w:t>
      </w:r>
    </w:p>
    <w:p w14:paraId="28DFC084">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3.2 监狱企业需提供由省级以上监狱管理局、戒毒管理局（含新疆生产建设兵团）出具的属于监狱企业的证明文件。</w:t>
      </w:r>
    </w:p>
    <w:p w14:paraId="0AE2961E">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3.3 监狱企业标准请参照《关于政府采购支持监狱企业发展有关问题的通知》（财库〔2014〕68号）。</w:t>
      </w:r>
    </w:p>
    <w:p w14:paraId="69D24C9C">
      <w:pPr>
        <w:keepNext w:val="0"/>
        <w:keepLines w:val="0"/>
        <w:pageBreakBefore w:val="0"/>
        <w:kinsoku/>
        <w:wordWrap/>
        <w:overflowPunct/>
        <w:topLinePunct w:val="0"/>
        <w:bidi w:val="0"/>
        <w:spacing w:line="360" w:lineRule="auto"/>
        <w:textAlignment w:val="auto"/>
        <w:rPr>
          <w:rFonts w:ascii="宋体" w:hAnsi="宋体"/>
          <w:b/>
          <w:bCs/>
          <w:color w:val="auto"/>
          <w:sz w:val="24"/>
          <w:highlight w:val="none"/>
        </w:rPr>
      </w:pPr>
      <w:r>
        <w:rPr>
          <w:rFonts w:hint="eastAsia" w:ascii="宋体" w:hAnsi="宋体"/>
          <w:b/>
          <w:bCs/>
          <w:color w:val="auto"/>
          <w:sz w:val="24"/>
          <w:highlight w:val="none"/>
        </w:rPr>
        <w:t>4.残疾人福利性单位的价格扣除</w:t>
      </w:r>
    </w:p>
    <w:p w14:paraId="2AB4F572">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4.1 本项目对残疾人福利性单位，给予10%的价格扣除，用扣除后的价格参与评审。</w:t>
      </w:r>
    </w:p>
    <w:p w14:paraId="4E805F6D">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4.2 残疾人福利单位需按照采购文件的要求提供《残疾人福利性单位声明函》。</w:t>
      </w:r>
    </w:p>
    <w:p w14:paraId="526F3147">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4.3 残疾人福利单位标准请参照《关于促进残疾人就业政府采购政策的通知》（财库〔2017〕141号）。</w:t>
      </w:r>
    </w:p>
    <w:p w14:paraId="30F0626B">
      <w:pPr>
        <w:keepNext w:val="0"/>
        <w:keepLines w:val="0"/>
        <w:pageBreakBefore w:val="0"/>
        <w:kinsoku/>
        <w:wordWrap/>
        <w:overflowPunct/>
        <w:topLinePunct w:val="0"/>
        <w:bidi w:val="0"/>
        <w:spacing w:line="360" w:lineRule="auto"/>
        <w:textAlignment w:val="auto"/>
        <w:rPr>
          <w:rFonts w:ascii="宋体" w:hAnsi="宋体"/>
          <w:b/>
          <w:bCs/>
          <w:color w:val="auto"/>
          <w:sz w:val="24"/>
          <w:highlight w:val="none"/>
        </w:rPr>
      </w:pPr>
      <w:r>
        <w:rPr>
          <w:rFonts w:hint="eastAsia" w:ascii="宋体" w:hAnsi="宋体"/>
          <w:b/>
          <w:bCs/>
          <w:color w:val="auto"/>
          <w:sz w:val="24"/>
          <w:highlight w:val="none"/>
        </w:rPr>
        <w:t>5.监狱企业、残疾人福利单位属于小型、微型企业的，不重复享受政策。</w:t>
      </w:r>
    </w:p>
    <w:p w14:paraId="400BEE24">
      <w:pPr>
        <w:pStyle w:val="51"/>
        <w:keepNext w:val="0"/>
        <w:keepLines w:val="0"/>
        <w:pageBreakBefore w:val="0"/>
        <w:kinsoku/>
        <w:wordWrap/>
        <w:overflowPunct/>
        <w:topLinePunct w:val="0"/>
        <w:bidi w:val="0"/>
        <w:spacing w:line="360" w:lineRule="auto"/>
        <w:ind w:left="0" w:leftChars="0" w:firstLine="0" w:firstLineChars="0"/>
        <w:textAlignment w:val="auto"/>
        <w:rPr>
          <w:color w:val="auto"/>
          <w:highlight w:val="none"/>
        </w:rPr>
      </w:pPr>
      <w:r>
        <w:rPr>
          <w:rFonts w:hint="eastAsia"/>
          <w:color w:val="auto"/>
          <w:highlight w:val="none"/>
        </w:rPr>
        <w:t>6.评分标准中提到认证、证明、业绩以有效的证明文件扫描件或复印件为依据。要求提供原件核查、备查的资料在磋商前与响应文件一并递交，磋商后不再接收任何原件及资料。</w:t>
      </w:r>
    </w:p>
    <w:p w14:paraId="385E59BD">
      <w:pPr>
        <w:keepNext w:val="0"/>
        <w:keepLines w:val="0"/>
        <w:pageBreakBefore w:val="0"/>
        <w:widowControl/>
        <w:kinsoku/>
        <w:wordWrap/>
        <w:overflowPunct/>
        <w:topLinePunct w:val="0"/>
        <w:bidi w:val="0"/>
        <w:spacing w:line="360" w:lineRule="auto"/>
        <w:jc w:val="left"/>
        <w:textAlignment w:val="auto"/>
        <w:rPr>
          <w:rFonts w:ascii="宋体" w:hAnsi="宋体"/>
          <w:b/>
          <w:bCs/>
          <w:color w:val="auto"/>
          <w:sz w:val="32"/>
          <w:szCs w:val="32"/>
          <w:highlight w:val="none"/>
        </w:rPr>
      </w:pPr>
      <w:r>
        <w:rPr>
          <w:rFonts w:hint="eastAsia" w:ascii="宋体" w:hAnsi="宋体"/>
          <w:bCs/>
          <w:color w:val="auto"/>
          <w:sz w:val="32"/>
          <w:szCs w:val="32"/>
          <w:highlight w:val="none"/>
        </w:rPr>
        <w:br w:type="page"/>
      </w:r>
    </w:p>
    <w:p w14:paraId="170E5281">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outlineLvl w:val="0"/>
        <w:rPr>
          <w:rFonts w:ascii="宋体" w:hAnsi="宋体"/>
          <w:b/>
          <w:bCs/>
          <w:color w:val="auto"/>
          <w:sz w:val="36"/>
          <w:szCs w:val="36"/>
          <w:highlight w:val="none"/>
        </w:rPr>
      </w:pPr>
      <w:r>
        <w:rPr>
          <w:rFonts w:hint="eastAsia" w:ascii="宋体" w:hAnsi="宋体"/>
          <w:b/>
          <w:bCs/>
          <w:color w:val="auto"/>
          <w:sz w:val="36"/>
          <w:szCs w:val="36"/>
          <w:highlight w:val="none"/>
        </w:rPr>
        <w:t xml:space="preserve">第四章 </w:t>
      </w:r>
      <w:r>
        <w:rPr>
          <w:rFonts w:hint="eastAsia" w:ascii="宋体" w:hAnsi="宋体"/>
          <w:b/>
          <w:bCs/>
          <w:color w:val="auto"/>
          <w:sz w:val="36"/>
          <w:szCs w:val="36"/>
          <w:highlight w:val="none"/>
          <w:lang w:val="en-US" w:eastAsia="zh-CN"/>
        </w:rPr>
        <w:t>技术要求及采购清单</w:t>
      </w:r>
    </w:p>
    <w:p w14:paraId="0B258D0E">
      <w:pPr>
        <w:keepNext w:val="0"/>
        <w:keepLines w:val="0"/>
        <w:pageBreakBefore w:val="0"/>
        <w:kinsoku/>
        <w:wordWrap/>
        <w:overflowPunct/>
        <w:topLinePunct w:val="0"/>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一、</w:t>
      </w:r>
      <w:r>
        <w:rPr>
          <w:rFonts w:hint="default" w:ascii="宋体" w:hAnsi="宋体"/>
          <w:color w:val="auto"/>
          <w:sz w:val="24"/>
          <w:highlight w:val="none"/>
          <w:lang w:val="en-US" w:eastAsia="zh-CN"/>
        </w:rPr>
        <w:t>招标范围</w:t>
      </w:r>
    </w:p>
    <w:p w14:paraId="0FFC959E">
      <w:pPr>
        <w:keepNext w:val="0"/>
        <w:keepLines w:val="0"/>
        <w:pageBreakBefore w:val="0"/>
        <w:kinsoku/>
        <w:wordWrap/>
        <w:overflowPunct/>
        <w:topLinePunct w:val="0"/>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项目名称</w:t>
      </w:r>
      <w:r>
        <w:rPr>
          <w:rFonts w:hint="default" w:ascii="宋体" w:hAnsi="宋体"/>
          <w:color w:val="auto"/>
          <w:sz w:val="24"/>
          <w:highlight w:val="none"/>
          <w:lang w:val="en-US" w:eastAsia="zh-CN"/>
        </w:rPr>
        <w:t>：</w:t>
      </w:r>
      <w:r>
        <w:rPr>
          <w:rFonts w:hint="eastAsia" w:ascii="宋体" w:hAnsi="宋体"/>
          <w:color w:val="auto"/>
          <w:sz w:val="24"/>
          <w:highlight w:val="none"/>
          <w:lang w:val="en-US" w:eastAsia="zh-CN"/>
        </w:rPr>
        <w:t>南京江北新区2026年度河道堤防白蚁防治项目</w:t>
      </w:r>
      <w:r>
        <w:rPr>
          <w:rFonts w:hint="default" w:ascii="宋体" w:hAnsi="宋体"/>
          <w:color w:val="auto"/>
          <w:sz w:val="24"/>
          <w:highlight w:val="none"/>
          <w:lang w:val="en-US" w:eastAsia="zh-CN"/>
        </w:rPr>
        <w:t>，具体详见技术要求</w:t>
      </w:r>
      <w:r>
        <w:rPr>
          <w:rFonts w:hint="eastAsia" w:ascii="宋体" w:hAnsi="宋体"/>
          <w:color w:val="auto"/>
          <w:sz w:val="24"/>
          <w:highlight w:val="none"/>
          <w:lang w:val="en-US" w:eastAsia="zh-CN"/>
        </w:rPr>
        <w:t>。</w:t>
      </w:r>
    </w:p>
    <w:p w14:paraId="3A5CFDAD">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项目内容</w:t>
      </w:r>
      <w:r>
        <w:rPr>
          <w:rFonts w:hint="default" w:ascii="宋体" w:hAnsi="宋体"/>
          <w:color w:val="auto"/>
          <w:sz w:val="24"/>
          <w:highlight w:val="none"/>
          <w:lang w:val="en-US" w:eastAsia="zh-CN"/>
        </w:rPr>
        <w:t>：本项目要求对新区8条骨干河道（城南河、七里河、朱家山河、石头河、滁河、岳子河、划子口河、四柳河），总长88.68公里堤防及大顶山水库开展白蚁普查、防治工作</w:t>
      </w:r>
      <w:r>
        <w:rPr>
          <w:rFonts w:hint="eastAsia" w:ascii="宋体" w:hAnsi="宋体"/>
          <w:color w:val="auto"/>
          <w:sz w:val="24"/>
          <w:highlight w:val="none"/>
          <w:lang w:val="en-US" w:eastAsia="zh-CN"/>
        </w:rPr>
        <w:t>。</w:t>
      </w:r>
    </w:p>
    <w:p w14:paraId="60CEE964">
      <w:pPr>
        <w:keepNext w:val="0"/>
        <w:keepLines w:val="0"/>
        <w:pageBreakBefore w:val="0"/>
        <w:kinsoku/>
        <w:wordWrap/>
        <w:overflowPunct/>
        <w:topLinePunct w:val="0"/>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项目</w:t>
      </w:r>
      <w:r>
        <w:rPr>
          <w:rFonts w:hint="default" w:ascii="宋体" w:hAnsi="宋体"/>
          <w:color w:val="auto"/>
          <w:sz w:val="24"/>
          <w:highlight w:val="none"/>
          <w:lang w:val="en-US" w:eastAsia="zh-CN"/>
        </w:rPr>
        <w:t>地点</w:t>
      </w:r>
      <w:r>
        <w:rPr>
          <w:rFonts w:hint="eastAsia" w:ascii="宋体" w:hAnsi="宋体"/>
          <w:color w:val="auto"/>
          <w:sz w:val="24"/>
          <w:highlight w:val="none"/>
          <w:lang w:val="en-US" w:eastAsia="zh-CN"/>
        </w:rPr>
        <w:t>：江北新区</w:t>
      </w:r>
      <w:r>
        <w:rPr>
          <w:rFonts w:hint="default" w:ascii="宋体" w:hAnsi="宋体"/>
          <w:color w:val="auto"/>
          <w:sz w:val="24"/>
          <w:highlight w:val="none"/>
          <w:lang w:val="en-US" w:eastAsia="zh-CN"/>
        </w:rPr>
        <w:t>。</w:t>
      </w:r>
    </w:p>
    <w:p w14:paraId="777E0F93">
      <w:pPr>
        <w:keepNext w:val="0"/>
        <w:keepLines w:val="0"/>
        <w:pageBreakBefore w:val="0"/>
        <w:kinsoku/>
        <w:wordWrap/>
        <w:overflowPunct/>
        <w:topLinePunct w:val="0"/>
        <w:bidi w:val="0"/>
        <w:spacing w:line="360" w:lineRule="auto"/>
        <w:ind w:firstLine="480" w:firstLineChars="200"/>
        <w:textAlignment w:val="auto"/>
        <w:rPr>
          <w:rFonts w:hint="default" w:ascii="宋体" w:hAnsi="宋体"/>
          <w:color w:val="auto"/>
          <w:sz w:val="24"/>
          <w:highlight w:val="none"/>
          <w:lang w:val="en-US" w:eastAsia="zh-CN"/>
        </w:rPr>
      </w:pPr>
      <w:r>
        <w:rPr>
          <w:rFonts w:hint="default" w:ascii="宋体" w:hAnsi="宋体"/>
          <w:color w:val="auto"/>
          <w:sz w:val="24"/>
          <w:highlight w:val="none"/>
          <w:lang w:val="en-US" w:eastAsia="zh-CN"/>
        </w:rPr>
        <w:t>二、</w:t>
      </w:r>
      <w:r>
        <w:rPr>
          <w:rFonts w:hint="eastAsia" w:ascii="宋体" w:hAnsi="宋体"/>
          <w:color w:val="auto"/>
          <w:sz w:val="24"/>
          <w:highlight w:val="none"/>
          <w:lang w:val="en-US" w:eastAsia="zh-CN"/>
        </w:rPr>
        <w:t>服务期：</w:t>
      </w:r>
      <w:r>
        <w:rPr>
          <w:rFonts w:hint="default" w:ascii="宋体" w:hAnsi="宋体"/>
          <w:color w:val="auto"/>
          <w:sz w:val="24"/>
          <w:highlight w:val="none"/>
          <w:lang w:val="en-US" w:eastAsia="zh-CN"/>
        </w:rPr>
        <w:t>自2026年5月至2027年4月。</w:t>
      </w:r>
    </w:p>
    <w:p w14:paraId="1E0BF163">
      <w:pPr>
        <w:keepNext w:val="0"/>
        <w:keepLines w:val="0"/>
        <w:pageBreakBefore w:val="0"/>
        <w:kinsoku/>
        <w:wordWrap/>
        <w:overflowPunct/>
        <w:topLinePunct w:val="0"/>
        <w:bidi w:val="0"/>
        <w:spacing w:line="360" w:lineRule="auto"/>
        <w:ind w:firstLine="480" w:firstLineChars="200"/>
        <w:textAlignment w:val="auto"/>
        <w:rPr>
          <w:rFonts w:hint="default" w:ascii="宋体" w:hAnsi="宋体"/>
          <w:color w:val="auto"/>
          <w:sz w:val="24"/>
          <w:highlight w:val="none"/>
          <w:lang w:val="en-US" w:eastAsia="zh-CN"/>
        </w:rPr>
      </w:pPr>
      <w:r>
        <w:rPr>
          <w:rFonts w:hint="default" w:ascii="宋体" w:hAnsi="宋体"/>
          <w:color w:val="auto"/>
          <w:sz w:val="24"/>
          <w:highlight w:val="none"/>
          <w:lang w:val="en-US" w:eastAsia="zh-CN"/>
        </w:rPr>
        <w:t>三、</w:t>
      </w:r>
      <w:r>
        <w:rPr>
          <w:rFonts w:hint="eastAsia" w:ascii="宋体" w:hAnsi="宋体"/>
          <w:color w:val="auto"/>
          <w:sz w:val="24"/>
          <w:highlight w:val="none"/>
          <w:lang w:val="en-US" w:eastAsia="zh-CN"/>
        </w:rPr>
        <w:t>项目</w:t>
      </w:r>
      <w:r>
        <w:rPr>
          <w:rFonts w:hint="default" w:ascii="宋体" w:hAnsi="宋体"/>
          <w:color w:val="auto"/>
          <w:sz w:val="24"/>
          <w:highlight w:val="none"/>
          <w:lang w:val="en-US" w:eastAsia="zh-CN"/>
        </w:rPr>
        <w:t>要求</w:t>
      </w:r>
    </w:p>
    <w:p w14:paraId="383833B6">
      <w:pPr>
        <w:keepNext w:val="0"/>
        <w:keepLines w:val="0"/>
        <w:pageBreakBefore w:val="0"/>
        <w:kinsoku/>
        <w:wordWrap/>
        <w:overflowPunct/>
        <w:topLinePunct w:val="0"/>
        <w:bidi w:val="0"/>
        <w:spacing w:line="360" w:lineRule="auto"/>
        <w:ind w:firstLine="480" w:firstLineChars="200"/>
        <w:textAlignment w:val="auto"/>
        <w:rPr>
          <w:rFonts w:hint="default" w:ascii="宋体" w:hAnsi="宋体"/>
          <w:color w:val="auto"/>
          <w:sz w:val="24"/>
          <w:highlight w:val="none"/>
          <w:lang w:val="en-US" w:eastAsia="zh-CN"/>
        </w:rPr>
      </w:pPr>
      <w:r>
        <w:rPr>
          <w:rFonts w:hint="default" w:ascii="宋体" w:hAnsi="宋体"/>
          <w:color w:val="auto"/>
          <w:sz w:val="24"/>
          <w:highlight w:val="none"/>
          <w:lang w:val="en-US" w:eastAsia="zh-CN"/>
        </w:rPr>
        <w:t>对新区88.68公里骨干河道堤防（滁河29.45公里、朱家山河17.73公里、石头河4.9公里、城南河5.6公里、七里河 9.4 公里、划子口河7.75公里、岳子河9.2公里、四柳河4.65公里）和1座水库（大顶山水库）进行普查（具体位置见附件1）；对蚁患区、蚁源区进行防治，采用药物治理、人工开挖蚁巢治理、带药灌浆治理、迁移白蚁喜食的树木等措施。</w:t>
      </w:r>
    </w:p>
    <w:p w14:paraId="5B337CB5">
      <w:pPr>
        <w:keepNext w:val="0"/>
        <w:keepLines w:val="0"/>
        <w:pageBreakBefore w:val="0"/>
        <w:kinsoku/>
        <w:wordWrap/>
        <w:overflowPunct/>
        <w:topLinePunct w:val="0"/>
        <w:bidi w:val="0"/>
        <w:spacing w:line="360" w:lineRule="auto"/>
        <w:ind w:firstLine="562" w:firstLineChars="200"/>
        <w:textAlignment w:val="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任务清单</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97"/>
        <w:gridCol w:w="6138"/>
      </w:tblGrid>
      <w:tr w14:paraId="5ED2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60" w:type="pct"/>
            <w:vAlign w:val="center"/>
          </w:tcPr>
          <w:p w14:paraId="50287A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37" w:type="pct"/>
            <w:vAlign w:val="center"/>
          </w:tcPr>
          <w:p w14:paraId="3866F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任务名称</w:t>
            </w:r>
          </w:p>
        </w:tc>
        <w:tc>
          <w:tcPr>
            <w:tcW w:w="3601" w:type="pct"/>
            <w:vAlign w:val="center"/>
          </w:tcPr>
          <w:p w14:paraId="6C9A9F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任务要求</w:t>
            </w:r>
          </w:p>
        </w:tc>
      </w:tr>
      <w:tr w14:paraId="7A8F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460" w:type="pct"/>
            <w:vAlign w:val="center"/>
          </w:tcPr>
          <w:p w14:paraId="4A764B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p>
        </w:tc>
        <w:tc>
          <w:tcPr>
            <w:tcW w:w="937" w:type="pct"/>
            <w:vAlign w:val="center"/>
          </w:tcPr>
          <w:p w14:paraId="08036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危害普查</w:t>
            </w:r>
          </w:p>
        </w:tc>
        <w:tc>
          <w:tcPr>
            <w:tcW w:w="3601" w:type="pct"/>
            <w:vAlign w:val="center"/>
          </w:tcPr>
          <w:p w14:paraId="3166D7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4月中旬、11 月中旬前对新区</w:t>
            </w:r>
            <w:r>
              <w:rPr>
                <w:rFonts w:hint="eastAsia" w:ascii="宋体" w:hAnsi="宋体" w:eastAsia="宋体" w:cs="宋体"/>
                <w:sz w:val="24"/>
                <w:szCs w:val="24"/>
                <w:vertAlign w:val="baseline"/>
                <w:lang w:val="en-US" w:eastAsia="zh-CN"/>
              </w:rPr>
              <w:t>88.68公</w:t>
            </w:r>
            <w:r>
              <w:rPr>
                <w:rFonts w:hint="eastAsia" w:ascii="宋体" w:hAnsi="宋体" w:eastAsia="宋体" w:cs="宋体"/>
                <w:sz w:val="24"/>
                <w:szCs w:val="24"/>
                <w:vertAlign w:val="baseline"/>
              </w:rPr>
              <w:t>里河道堤防及大顶山水库全覆盖巡查1次</w:t>
            </w:r>
            <w:r>
              <w:rPr>
                <w:rFonts w:hint="eastAsia" w:ascii="宋体" w:hAnsi="宋体" w:eastAsia="宋体" w:cs="宋体"/>
                <w:sz w:val="24"/>
                <w:szCs w:val="24"/>
                <w:vertAlign w:val="baseline"/>
                <w:lang w:eastAsia="zh-CN"/>
              </w:rPr>
              <w:t>；</w:t>
            </w:r>
          </w:p>
          <w:p w14:paraId="50520A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4月-10月白蚁外出活动期</w:t>
            </w:r>
            <w:r>
              <w:rPr>
                <w:rFonts w:hint="eastAsia" w:ascii="宋体" w:hAnsi="宋体" w:eastAsia="宋体" w:cs="宋体"/>
                <w:sz w:val="24"/>
                <w:szCs w:val="24"/>
                <w:vertAlign w:val="baseline"/>
                <w:lang w:val="en-US" w:eastAsia="zh-CN"/>
              </w:rPr>
              <w:t>对</w:t>
            </w:r>
            <w:r>
              <w:rPr>
                <w:rFonts w:hint="eastAsia" w:ascii="宋体" w:hAnsi="宋体" w:eastAsia="宋体" w:cs="宋体"/>
                <w:sz w:val="24"/>
                <w:szCs w:val="24"/>
                <w:vertAlign w:val="baseline"/>
              </w:rPr>
              <w:t>蚁患区每月检查不少于2 次，蚁源区每月检查不少于1次</w:t>
            </w:r>
            <w:r>
              <w:rPr>
                <w:rFonts w:hint="eastAsia" w:ascii="宋体" w:hAnsi="宋体" w:eastAsia="宋体" w:cs="宋体"/>
                <w:sz w:val="24"/>
                <w:szCs w:val="24"/>
                <w:vertAlign w:val="baseline"/>
                <w:lang w:eastAsia="zh-CN"/>
              </w:rPr>
              <w:t>；</w:t>
            </w:r>
          </w:p>
          <w:p w14:paraId="23023F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5</w:t>
            </w:r>
            <w:r>
              <w:rPr>
                <w:rFonts w:hint="eastAsia" w:ascii="宋体" w:hAnsi="宋体" w:eastAsia="宋体" w:cs="宋体"/>
                <w:sz w:val="24"/>
                <w:szCs w:val="24"/>
                <w:vertAlign w:val="baseline"/>
                <w:lang w:val="en-US" w:eastAsia="zh-CN"/>
              </w:rPr>
              <w:t>月</w:t>
            </w:r>
            <w:r>
              <w:rPr>
                <w:rFonts w:hint="eastAsia" w:ascii="宋体" w:hAnsi="宋体" w:eastAsia="宋体" w:cs="宋体"/>
                <w:sz w:val="24"/>
                <w:szCs w:val="24"/>
                <w:vertAlign w:val="baseline"/>
              </w:rPr>
              <w:t>、6</w:t>
            </w:r>
            <w:r>
              <w:rPr>
                <w:rFonts w:hint="eastAsia" w:ascii="宋体" w:hAnsi="宋体" w:eastAsia="宋体" w:cs="宋体"/>
                <w:sz w:val="24"/>
                <w:szCs w:val="24"/>
                <w:vertAlign w:val="baseline"/>
                <w:lang w:val="en-US" w:eastAsia="zh-CN"/>
              </w:rPr>
              <w:t>月</w:t>
            </w:r>
            <w:r>
              <w:rPr>
                <w:rFonts w:hint="eastAsia" w:ascii="宋体" w:hAnsi="宋体" w:eastAsia="宋体" w:cs="宋体"/>
                <w:sz w:val="24"/>
                <w:szCs w:val="24"/>
                <w:vertAlign w:val="baseline"/>
              </w:rPr>
              <w:t>、9</w:t>
            </w:r>
            <w:r>
              <w:rPr>
                <w:rFonts w:hint="eastAsia" w:ascii="宋体" w:hAnsi="宋体" w:eastAsia="宋体" w:cs="宋体"/>
                <w:sz w:val="24"/>
                <w:szCs w:val="24"/>
                <w:vertAlign w:val="baseline"/>
                <w:lang w:val="en-US" w:eastAsia="zh-CN"/>
              </w:rPr>
              <w:t>月</w:t>
            </w:r>
            <w:r>
              <w:rPr>
                <w:rFonts w:hint="eastAsia" w:ascii="宋体" w:hAnsi="宋体" w:eastAsia="宋体" w:cs="宋体"/>
                <w:sz w:val="24"/>
                <w:szCs w:val="24"/>
                <w:vertAlign w:val="baseline"/>
              </w:rPr>
              <w:t>、10</w:t>
            </w:r>
            <w:r>
              <w:rPr>
                <w:rFonts w:hint="eastAsia" w:ascii="宋体" w:hAnsi="宋体" w:eastAsia="宋体" w:cs="宋体"/>
                <w:sz w:val="24"/>
                <w:szCs w:val="24"/>
                <w:vertAlign w:val="baseline"/>
                <w:lang w:val="en-US" w:eastAsia="zh-CN"/>
              </w:rPr>
              <w:t>月</w:t>
            </w:r>
            <w:r>
              <w:rPr>
                <w:rFonts w:hint="eastAsia" w:ascii="宋体" w:hAnsi="宋体" w:eastAsia="宋体" w:cs="宋体"/>
                <w:sz w:val="24"/>
                <w:szCs w:val="24"/>
                <w:vertAlign w:val="baseline"/>
              </w:rPr>
              <w:t>白蚁外出高峰期</w:t>
            </w:r>
            <w:r>
              <w:rPr>
                <w:rFonts w:hint="eastAsia" w:ascii="宋体" w:hAnsi="宋体" w:eastAsia="宋体" w:cs="宋体"/>
                <w:sz w:val="24"/>
                <w:szCs w:val="24"/>
                <w:vertAlign w:val="baseline"/>
                <w:lang w:val="en-US" w:eastAsia="zh-CN"/>
              </w:rPr>
              <w:t>对</w:t>
            </w:r>
            <w:r>
              <w:rPr>
                <w:rFonts w:hint="eastAsia" w:ascii="宋体" w:hAnsi="宋体" w:eastAsia="宋体" w:cs="宋体"/>
                <w:sz w:val="24"/>
                <w:szCs w:val="24"/>
                <w:vertAlign w:val="baseline"/>
              </w:rPr>
              <w:t>蚁患区每月检查不少于3次。</w:t>
            </w:r>
          </w:p>
        </w:tc>
      </w:tr>
      <w:tr w14:paraId="1E7C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460" w:type="pct"/>
            <w:vAlign w:val="center"/>
          </w:tcPr>
          <w:p w14:paraId="51149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p>
        </w:tc>
        <w:tc>
          <w:tcPr>
            <w:tcW w:w="937" w:type="pct"/>
            <w:vAlign w:val="center"/>
          </w:tcPr>
          <w:p w14:paraId="26685F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埋桩投药</w:t>
            </w:r>
          </w:p>
        </w:tc>
        <w:tc>
          <w:tcPr>
            <w:tcW w:w="3601" w:type="pct"/>
            <w:vAlign w:val="center"/>
          </w:tcPr>
          <w:p w14:paraId="6FB507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对</w:t>
            </w:r>
            <w:r>
              <w:rPr>
                <w:rFonts w:hint="eastAsia" w:ascii="宋体" w:hAnsi="宋体" w:eastAsia="宋体" w:cs="宋体"/>
                <w:sz w:val="24"/>
                <w:szCs w:val="24"/>
                <w:vertAlign w:val="baseline"/>
                <w:lang w:val="en-US" w:eastAsia="zh-CN"/>
              </w:rPr>
              <w:t>蚁</w:t>
            </w:r>
            <w:r>
              <w:rPr>
                <w:rFonts w:hint="eastAsia" w:ascii="宋体" w:hAnsi="宋体" w:eastAsia="宋体" w:cs="宋体"/>
                <w:sz w:val="24"/>
                <w:szCs w:val="24"/>
                <w:vertAlign w:val="baseline"/>
              </w:rPr>
              <w:t>患区埋桩投药，木桩(长30cm，</w:t>
            </w:r>
            <w:r>
              <w:rPr>
                <w:rFonts w:hint="eastAsia" w:ascii="宋体" w:hAnsi="宋体" w:eastAsia="宋体" w:cs="宋体"/>
                <w:sz w:val="24"/>
                <w:szCs w:val="24"/>
                <w:vertAlign w:val="baseline"/>
                <w:lang w:val="en-US" w:eastAsia="zh-CN"/>
              </w:rPr>
              <w:t>直径</w:t>
            </w:r>
            <w:r>
              <w:rPr>
                <w:rFonts w:hint="eastAsia" w:ascii="宋体" w:hAnsi="宋体" w:eastAsia="宋体" w:cs="宋体"/>
                <w:sz w:val="24"/>
                <w:szCs w:val="24"/>
                <w:vertAlign w:val="baseline"/>
              </w:rPr>
              <w:t>5cm)</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引诱坑(规格30x30x5cm)，在引诱坑内放置1袋药物及0.2kg鸡爪草</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必须防治堤段见附件2</w:t>
            </w:r>
            <w:r>
              <w:rPr>
                <w:rFonts w:hint="eastAsia" w:ascii="宋体" w:hAnsi="宋体" w:eastAsia="宋体" w:cs="宋体"/>
                <w:sz w:val="24"/>
                <w:szCs w:val="24"/>
                <w:vertAlign w:val="baseline"/>
                <w:lang w:eastAsia="zh-CN"/>
              </w:rPr>
              <w:t>）；</w:t>
            </w:r>
          </w:p>
          <w:p w14:paraId="6220D8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对蚁源区</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骨干河道为堤脚线向外延伸50米，大顶山水库为蚁患区向外延伸50米-100米</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投放药物或者移植树木</w:t>
            </w:r>
            <w:r>
              <w:rPr>
                <w:rFonts w:hint="eastAsia" w:ascii="宋体" w:hAnsi="宋体" w:eastAsia="宋体" w:cs="宋体"/>
                <w:sz w:val="24"/>
                <w:szCs w:val="24"/>
                <w:vertAlign w:val="baseline"/>
                <w:lang w:eastAsia="zh-CN"/>
              </w:rPr>
              <w:t>。</w:t>
            </w:r>
          </w:p>
        </w:tc>
      </w:tr>
      <w:tr w14:paraId="3F67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60" w:type="pct"/>
            <w:vAlign w:val="center"/>
          </w:tcPr>
          <w:p w14:paraId="07AE49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p>
        </w:tc>
        <w:tc>
          <w:tcPr>
            <w:tcW w:w="937" w:type="pct"/>
            <w:vAlign w:val="center"/>
          </w:tcPr>
          <w:p w14:paraId="31CA7E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蚁巢开挖</w:t>
            </w:r>
          </w:p>
        </w:tc>
        <w:tc>
          <w:tcPr>
            <w:tcW w:w="3601" w:type="pct"/>
            <w:vAlign w:val="center"/>
          </w:tcPr>
          <w:p w14:paraId="0751E2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开挖白蚁活巢（包括主巢和副巢），进行投药并按要求回填压实，回填土符合《堤防工程设计规范》（GB50286-2013）要求。</w:t>
            </w:r>
          </w:p>
        </w:tc>
      </w:tr>
      <w:tr w14:paraId="0977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vAlign w:val="center"/>
          </w:tcPr>
          <w:p w14:paraId="2A583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p>
        </w:tc>
        <w:tc>
          <w:tcPr>
            <w:tcW w:w="937" w:type="pct"/>
            <w:vAlign w:val="center"/>
          </w:tcPr>
          <w:p w14:paraId="083789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带药灌浆</w:t>
            </w:r>
          </w:p>
        </w:tc>
        <w:tc>
          <w:tcPr>
            <w:tcW w:w="3601" w:type="pct"/>
            <w:vAlign w:val="center"/>
          </w:tcPr>
          <w:p w14:paraId="3B1C6C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对隐患堤防进行带药灌浆，梅花型</w:t>
            </w:r>
            <w:r>
              <w:rPr>
                <w:rFonts w:hint="eastAsia" w:ascii="宋体" w:hAnsi="宋体" w:eastAsia="宋体" w:cs="宋体"/>
                <w:sz w:val="24"/>
                <w:szCs w:val="24"/>
                <w:vertAlign w:val="baseline"/>
                <w:lang w:val="en-US" w:eastAsia="zh-CN"/>
              </w:rPr>
              <w:t>布置，灌浆孔位、深度及相关工序应按《水利工程白蚁防治技术规程》（SL/T 836-2024）《土坝灌浆技术规范》（SL564-2014）相关要求开展，灌浆治理后应按要求恢复堤防原状。</w:t>
            </w:r>
          </w:p>
        </w:tc>
      </w:tr>
      <w:tr w14:paraId="04AF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460" w:type="pct"/>
            <w:vAlign w:val="center"/>
          </w:tcPr>
          <w:p w14:paraId="4F250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五</w:t>
            </w:r>
          </w:p>
        </w:tc>
        <w:tc>
          <w:tcPr>
            <w:tcW w:w="937" w:type="pct"/>
            <w:vAlign w:val="center"/>
          </w:tcPr>
          <w:p w14:paraId="06DF70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达控验收</w:t>
            </w:r>
          </w:p>
        </w:tc>
        <w:tc>
          <w:tcPr>
            <w:tcW w:w="3601" w:type="pct"/>
            <w:vAlign w:val="center"/>
          </w:tcPr>
          <w:p w14:paraId="397491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11月底</w:t>
            </w:r>
            <w:r>
              <w:rPr>
                <w:rFonts w:hint="eastAsia" w:ascii="宋体" w:hAnsi="宋体" w:cs="宋体"/>
                <w:sz w:val="24"/>
                <w:szCs w:val="24"/>
                <w:vertAlign w:val="baseline"/>
                <w:lang w:val="en-US" w:eastAsia="zh-CN"/>
              </w:rPr>
              <w:t>前</w:t>
            </w:r>
            <w:r>
              <w:rPr>
                <w:rFonts w:hint="eastAsia" w:ascii="宋体" w:hAnsi="宋体" w:eastAsia="宋体" w:cs="宋体"/>
                <w:sz w:val="24"/>
                <w:szCs w:val="24"/>
                <w:vertAlign w:val="baseline"/>
              </w:rPr>
              <w:t>完成滁河延佑双城圩主堤防2.1公里复查验收任务</w:t>
            </w:r>
          </w:p>
        </w:tc>
      </w:tr>
    </w:tbl>
    <w:p w14:paraId="3EA6E370">
      <w:pPr>
        <w:keepNext w:val="0"/>
        <w:keepLines w:val="0"/>
        <w:pageBreakBefore w:val="0"/>
        <w:kinsoku/>
        <w:wordWrap/>
        <w:overflowPunct/>
        <w:topLinePunct w:val="0"/>
        <w:bidi w:val="0"/>
        <w:spacing w:line="360" w:lineRule="auto"/>
        <w:textAlignment w:val="auto"/>
        <w:rPr>
          <w:rFonts w:ascii="宋体" w:hAnsi="宋体"/>
          <w:color w:val="auto"/>
          <w:sz w:val="24"/>
          <w:highlight w:val="none"/>
        </w:rPr>
      </w:pPr>
    </w:p>
    <w:p w14:paraId="49A8440E">
      <w:pPr>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br w:type="page"/>
      </w:r>
    </w:p>
    <w:p w14:paraId="5E2FB8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sectPr>
          <w:footerReference r:id="rId3" w:type="default"/>
          <w:type w:val="continuous"/>
          <w:pgSz w:w="11906" w:h="16838"/>
          <w:pgMar w:top="1440" w:right="1800" w:bottom="1440" w:left="1800" w:header="851" w:footer="992" w:gutter="0"/>
          <w:cols w:space="0" w:num="1"/>
          <w:docGrid w:type="lines" w:linePitch="312" w:charSpace="0"/>
        </w:sectPr>
      </w:pPr>
    </w:p>
    <w:p w14:paraId="12C775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附件1</w:t>
      </w:r>
    </w:p>
    <w:tbl>
      <w:tblPr>
        <w:tblStyle w:val="24"/>
        <w:tblW w:w="38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2698"/>
        <w:gridCol w:w="1171"/>
        <w:gridCol w:w="745"/>
        <w:gridCol w:w="912"/>
        <w:gridCol w:w="985"/>
        <w:gridCol w:w="3693"/>
      </w:tblGrid>
      <w:tr w14:paraId="18E5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89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2"/>
                <w:lang w:val="en-US" w:eastAsia="zh-CN" w:bidi="ar"/>
              </w:rPr>
              <w:t>序号</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1F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63"/>
                <w:lang w:val="en-US" w:eastAsia="zh-CN" w:bidi="ar"/>
              </w:rPr>
              <w:t>堤防名称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B5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63"/>
                <w:lang w:val="en-US" w:eastAsia="zh-CN" w:bidi="ar"/>
              </w:rPr>
              <w:t>堤防类型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0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63"/>
                <w:lang w:val="en-US" w:eastAsia="zh-CN" w:bidi="ar"/>
              </w:rPr>
              <w:t>河流岸别</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C391">
            <w:pPr>
              <w:keepNext w:val="0"/>
              <w:keepLines w:val="0"/>
              <w:widowControl/>
              <w:suppressLineNumbers w:val="0"/>
              <w:jc w:val="center"/>
              <w:textAlignment w:val="center"/>
              <w:rPr>
                <w:rStyle w:val="63"/>
                <w:rFonts w:hint="eastAsia"/>
                <w:lang w:val="en-US" w:eastAsia="zh-CN" w:bidi="ar"/>
              </w:rPr>
            </w:pPr>
            <w:r>
              <w:rPr>
                <w:rStyle w:val="63"/>
                <w:lang w:val="en-US" w:eastAsia="zh-CN" w:bidi="ar"/>
              </w:rPr>
              <w:t>堤防</w:t>
            </w:r>
            <w:r>
              <w:rPr>
                <w:rStyle w:val="63"/>
                <w:rFonts w:hint="eastAsia"/>
                <w:lang w:val="en-US" w:eastAsia="zh-CN" w:bidi="ar"/>
              </w:rPr>
              <w:t>/大坝</w:t>
            </w:r>
          </w:p>
          <w:p w14:paraId="1EC08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63"/>
                <w:lang w:val="en-US" w:eastAsia="zh-CN" w:bidi="ar"/>
              </w:rPr>
              <w:t>级别</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FC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63"/>
                <w:lang w:val="en-US" w:eastAsia="zh-CN" w:bidi="ar"/>
              </w:rPr>
              <w:t>堤防长度（</w:t>
            </w:r>
            <w:r>
              <w:rPr>
                <w:rStyle w:val="64"/>
                <w:rFonts w:eastAsia="宋体"/>
                <w:lang w:val="en-US" w:eastAsia="zh-CN" w:bidi="ar"/>
              </w:rPr>
              <w:t>KM</w:t>
            </w:r>
            <w:r>
              <w:rPr>
                <w:rStyle w:val="63"/>
                <w:lang w:val="en-US" w:eastAsia="zh-CN" w:bidi="ar"/>
              </w:rPr>
              <w:t>）</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6F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63"/>
                <w:lang w:val="en-US" w:eastAsia="zh-CN" w:bidi="ar"/>
              </w:rPr>
              <w:t>备注</w:t>
            </w:r>
          </w:p>
        </w:tc>
      </w:tr>
      <w:tr w14:paraId="33C9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90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31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滁河堤防盘城段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8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2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CA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4</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3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朱家山河河口至马汊河河口</w:t>
            </w:r>
          </w:p>
        </w:tc>
      </w:tr>
      <w:tr w14:paraId="1164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3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32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滁河堤防长芦段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C9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A6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87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4E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岳子河口至划子口河口</w:t>
            </w:r>
          </w:p>
        </w:tc>
      </w:tr>
      <w:tr w14:paraId="61D6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5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3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滁河堤防葛塘段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5A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F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38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4</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C9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D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小头李至头桥涵闸</w:t>
            </w:r>
          </w:p>
        </w:tc>
      </w:tr>
      <w:tr w14:paraId="7EE3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A3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31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滁河堤防新材料科技园段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56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D3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0D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13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9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四柳河河口上游300m至岳子河</w:t>
            </w:r>
          </w:p>
        </w:tc>
      </w:tr>
      <w:tr w14:paraId="1FEA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9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EE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朱家山河堤防泰山段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E2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6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1D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82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知青泵站至后河河口</w:t>
            </w:r>
          </w:p>
        </w:tc>
      </w:tr>
      <w:tr w14:paraId="6182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60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97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朱家山河堤防泰山段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5F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8D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左岸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9A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50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E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大众河河口至入江口</w:t>
            </w:r>
          </w:p>
        </w:tc>
      </w:tr>
      <w:tr w14:paraId="3A0E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10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4586">
            <w:pPr>
              <w:jc w:val="center"/>
              <w:rPr>
                <w:rFonts w:hint="default" w:ascii="Times New Roman" w:hAnsi="Times New Roman" w:eastAsia="宋体" w:cs="Times New Roman"/>
                <w:i w:val="0"/>
                <w:iCs w:val="0"/>
                <w:color w:val="000000"/>
                <w:sz w:val="20"/>
                <w:szCs w:val="20"/>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AE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E4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03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43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2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大众河河口至入江口</w:t>
            </w:r>
          </w:p>
        </w:tc>
      </w:tr>
      <w:tr w14:paraId="1ED6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38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39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朱家山河堤防盘城段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63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B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左岸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1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70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张堡站至花旗营大桥</w:t>
            </w:r>
          </w:p>
        </w:tc>
      </w:tr>
      <w:tr w14:paraId="2F37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13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5B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朱家山河堤防顶山段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77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46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AD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96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8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头道桥至华明市政</w:t>
            </w:r>
          </w:p>
        </w:tc>
      </w:tr>
      <w:tr w14:paraId="2BCD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DE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47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划子口河</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FA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B7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8C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81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C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黄庄涵至船闸</w:t>
            </w:r>
          </w:p>
        </w:tc>
      </w:tr>
      <w:tr w14:paraId="0DC3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C1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6F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岳子河堤防长芦段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FD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B1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左岸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3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13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滁河河口至沿高路桥</w:t>
            </w:r>
          </w:p>
        </w:tc>
      </w:tr>
      <w:tr w14:paraId="2AD3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DB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岳子河堤防新材料科技园段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0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A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D4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71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E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滁河河口至沿高路桥</w:t>
            </w:r>
          </w:p>
        </w:tc>
      </w:tr>
      <w:tr w14:paraId="4D74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56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3F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四柳河堤防新材料科技园段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4A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A4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83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E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古城山至滁河</w:t>
            </w:r>
          </w:p>
        </w:tc>
      </w:tr>
      <w:tr w14:paraId="0DCF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5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54D7">
            <w:pPr>
              <w:jc w:val="center"/>
              <w:rPr>
                <w:rFonts w:hint="default" w:ascii="Times New Roman" w:hAnsi="Times New Roman" w:eastAsia="宋体" w:cs="Times New Roman"/>
                <w:i w:val="0"/>
                <w:iCs w:val="0"/>
                <w:color w:val="000000"/>
                <w:sz w:val="20"/>
                <w:szCs w:val="20"/>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F2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9E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左岸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39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E8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2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四柳河桥至滁河</w:t>
            </w:r>
          </w:p>
        </w:tc>
      </w:tr>
      <w:tr w14:paraId="7033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39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F8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石头河堤防沿江街道段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6D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56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D0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82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5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冯墙铁路桥至入江口</w:t>
            </w:r>
          </w:p>
        </w:tc>
      </w:tr>
      <w:tr w14:paraId="0AA0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B9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60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七里河堤防顶山街道段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2D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1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左岸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4C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27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2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珠西河河口至入江口</w:t>
            </w:r>
          </w:p>
        </w:tc>
      </w:tr>
      <w:tr w14:paraId="6D41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2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A2A4">
            <w:pPr>
              <w:jc w:val="center"/>
              <w:rPr>
                <w:rFonts w:hint="default" w:ascii="Times New Roman" w:hAnsi="Times New Roman" w:eastAsia="宋体" w:cs="Times New Roman"/>
                <w:i w:val="0"/>
                <w:iCs w:val="0"/>
                <w:color w:val="000000"/>
                <w:sz w:val="20"/>
                <w:szCs w:val="20"/>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70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1F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B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9F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6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珠西河河口至入江口</w:t>
            </w:r>
          </w:p>
        </w:tc>
      </w:tr>
      <w:tr w14:paraId="5904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18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A3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城南河堤防顶山街道段</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A4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D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左岸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BD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F3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B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浦滨路至入江口</w:t>
            </w:r>
          </w:p>
        </w:tc>
      </w:tr>
      <w:tr w14:paraId="02EC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25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12ED">
            <w:pPr>
              <w:jc w:val="center"/>
              <w:rPr>
                <w:rFonts w:hint="default" w:ascii="Times New Roman" w:hAnsi="Times New Roman" w:eastAsia="宋体" w:cs="Times New Roman"/>
                <w:i w:val="0"/>
                <w:iCs w:val="0"/>
                <w:color w:val="000000"/>
                <w:sz w:val="20"/>
                <w:szCs w:val="20"/>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47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5"/>
                <w:lang w:val="en-US" w:eastAsia="zh-CN" w:bidi="ar"/>
              </w:rPr>
              <w:t>河</w:t>
            </w:r>
            <w:r>
              <w:rPr>
                <w:rStyle w:val="66"/>
                <w:rFonts w:eastAsia="宋体"/>
                <w:lang w:val="en-US" w:eastAsia="zh-CN" w:bidi="ar"/>
              </w:rPr>
              <w:t>(</w:t>
            </w:r>
            <w:r>
              <w:rPr>
                <w:rStyle w:val="65"/>
                <w:lang w:val="en-US" w:eastAsia="zh-CN" w:bidi="ar"/>
              </w:rPr>
              <w:t>江</w:t>
            </w:r>
            <w:r>
              <w:rPr>
                <w:rStyle w:val="66"/>
                <w:rFonts w:eastAsia="宋体"/>
                <w:lang w:val="en-US" w:eastAsia="zh-CN" w:bidi="ar"/>
              </w:rPr>
              <w:t>)</w:t>
            </w:r>
            <w:r>
              <w:rPr>
                <w:rStyle w:val="65"/>
                <w:lang w:val="en-US" w:eastAsia="zh-CN" w:bidi="ar"/>
              </w:rPr>
              <w:t>堤</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4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5"/>
                <w:rFonts w:ascii="宋体" w:hAnsi="宋体" w:eastAsia="宋体" w:cs="宋体"/>
                <w:i w:val="0"/>
                <w:iCs w:val="0"/>
                <w:color w:val="000000"/>
                <w:lang w:val="en-US" w:eastAsia="zh-CN" w:bidi="ar"/>
              </w:rPr>
              <w:t>右岸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17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6"/>
                <w:rFonts w:eastAsia="宋体"/>
                <w:lang w:val="en-US" w:eastAsia="zh-CN" w:bidi="ar"/>
              </w:rPr>
              <w:t>2</w:t>
            </w:r>
            <w:r>
              <w:rPr>
                <w:rStyle w:val="65"/>
                <w:lang w:val="en-US" w:eastAsia="zh-CN" w:bidi="ar"/>
              </w:rPr>
              <w:t>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24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1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浦滨路至入江口</w:t>
            </w:r>
          </w:p>
        </w:tc>
      </w:tr>
      <w:tr w14:paraId="563E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4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9FFA">
            <w:pPr>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大顶山水库</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79E3">
            <w:pPr>
              <w:keepNext w:val="0"/>
              <w:keepLines w:val="0"/>
              <w:widowControl/>
              <w:suppressLineNumbers w:val="0"/>
              <w:jc w:val="center"/>
              <w:textAlignment w:val="center"/>
              <w:rPr>
                <w:rStyle w:val="65"/>
                <w:rFonts w:hint="default"/>
                <w:lang w:val="en-US" w:eastAsia="zh-CN" w:bidi="ar"/>
              </w:rPr>
            </w:pPr>
            <w:r>
              <w:rPr>
                <w:rStyle w:val="65"/>
                <w:rFonts w:hint="eastAsia" w:ascii="宋体" w:hAnsi="宋体" w:eastAsia="宋体" w:cs="宋体"/>
                <w:i w:val="0"/>
                <w:iCs w:val="0"/>
                <w:color w:val="000000"/>
                <w:lang w:val="en-US" w:eastAsia="zh-CN" w:bidi="ar"/>
              </w:rPr>
              <w:t>大坝</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60F5">
            <w:pPr>
              <w:keepNext w:val="0"/>
              <w:keepLines w:val="0"/>
              <w:widowControl/>
              <w:suppressLineNumbers w:val="0"/>
              <w:jc w:val="center"/>
              <w:textAlignment w:val="center"/>
              <w:rPr>
                <w:rStyle w:val="67"/>
                <w:rFonts w:hint="default"/>
                <w:lang w:val="en-US" w:eastAsia="zh-CN" w:bidi="ar"/>
              </w:rPr>
            </w:pPr>
            <w:r>
              <w:rPr>
                <w:rStyle w:val="67"/>
                <w:rFonts w:hint="eastAsia"/>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56F5">
            <w:pPr>
              <w:keepNext w:val="0"/>
              <w:keepLines w:val="0"/>
              <w:widowControl/>
              <w:suppressLineNumbers w:val="0"/>
              <w:jc w:val="center"/>
              <w:textAlignment w:val="center"/>
              <w:rPr>
                <w:rStyle w:val="66"/>
                <w:rFonts w:hint="default" w:eastAsia="宋体"/>
                <w:lang w:val="en-US" w:eastAsia="zh-CN" w:bidi="ar"/>
              </w:rPr>
            </w:pPr>
            <w:r>
              <w:rPr>
                <w:rStyle w:val="66"/>
                <w:rFonts w:hint="eastAsia" w:eastAsia="宋体"/>
                <w:lang w:val="en-US" w:eastAsia="zh-CN" w:bidi="ar"/>
              </w:rPr>
              <w:t>5级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F1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0.227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0C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14:paraId="7F2EDA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p>
    <w:tbl>
      <w:tblPr>
        <w:tblStyle w:val="24"/>
        <w:tblpPr w:leftFromText="180" w:rightFromText="180" w:vertAnchor="text" w:horzAnchor="page" w:tblpXSpec="center" w:tblpY="560"/>
        <w:tblOverlap w:val="never"/>
        <w:tblW w:w="37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2848"/>
        <w:gridCol w:w="1283"/>
        <w:gridCol w:w="932"/>
        <w:gridCol w:w="875"/>
        <w:gridCol w:w="1087"/>
        <w:gridCol w:w="2857"/>
      </w:tblGrid>
      <w:tr w14:paraId="3BA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3893">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68"/>
                <w:lang w:val="en-US" w:eastAsia="zh-CN" w:bidi="ar"/>
              </w:rPr>
              <w:t>序号</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ED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堤防名称</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CE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堤防类型</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BC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河流岸别</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D3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堤防级别</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6A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堤防长度（</w:t>
            </w:r>
            <w:r>
              <w:rPr>
                <w:rFonts w:hint="default" w:ascii="Times New Roman" w:hAnsi="Times New Roman" w:eastAsia="宋体" w:cs="Times New Roman"/>
                <w:b/>
                <w:bCs/>
                <w:i w:val="0"/>
                <w:iCs w:val="0"/>
                <w:color w:val="000000"/>
                <w:kern w:val="0"/>
                <w:sz w:val="20"/>
                <w:szCs w:val="20"/>
                <w:u w:val="none"/>
                <w:lang w:val="en-US" w:eastAsia="zh-CN" w:bidi="ar"/>
              </w:rPr>
              <w:t>KM</w:t>
            </w:r>
            <w:r>
              <w:rPr>
                <w:rFonts w:hint="eastAsia" w:ascii="黑体" w:hAnsi="宋体" w:eastAsia="黑体" w:cs="黑体"/>
                <w:b/>
                <w:bCs/>
                <w:i w:val="0"/>
                <w:iCs w:val="0"/>
                <w:color w:val="000000"/>
                <w:kern w:val="0"/>
                <w:sz w:val="20"/>
                <w:szCs w:val="20"/>
                <w:u w:val="none"/>
                <w:lang w:val="en-US" w:eastAsia="zh-CN" w:bidi="ar"/>
              </w:rPr>
              <w:t>）</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8E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备注</w:t>
            </w:r>
          </w:p>
        </w:tc>
      </w:tr>
      <w:tr w14:paraId="7FE8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0A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F6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滁河堤防盘城段</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2A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江</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B7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右岸</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6E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4D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5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朱家山河口至盘锦科技园</w:t>
            </w:r>
          </w:p>
        </w:tc>
      </w:tr>
      <w:tr w14:paraId="7861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77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E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滁河堤防新材料科技园段</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1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江</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E7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右岸</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47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AF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B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小营河向上游300米</w:t>
            </w:r>
          </w:p>
        </w:tc>
      </w:tr>
      <w:tr w14:paraId="51A2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9C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4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朱家山河泰山段</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EF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江</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4C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右岸</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F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8F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0.35</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7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浦东北路桥至浦珠北路桥</w:t>
            </w:r>
          </w:p>
        </w:tc>
      </w:tr>
      <w:tr w14:paraId="6E95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FB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2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划子口河</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27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江</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FD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右岸</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5F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2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9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红庙至团洲段3km、新桥至曹庄2km</w:t>
            </w:r>
          </w:p>
        </w:tc>
      </w:tr>
      <w:tr w14:paraId="43D4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FD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0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七里河堤防顶山街道段</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A4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江</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3B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左岸</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A1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0.28</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C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珠西河河口至快速路桥下</w:t>
            </w:r>
          </w:p>
        </w:tc>
      </w:tr>
    </w:tbl>
    <w:p w14:paraId="3C9457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附件2</w:t>
      </w:r>
    </w:p>
    <w:p w14:paraId="20811A82">
      <w:pPr>
        <w:keepNext w:val="0"/>
        <w:keepLines w:val="0"/>
        <w:pageBreakBefore w:val="0"/>
        <w:kinsoku/>
        <w:wordWrap/>
        <w:overflowPunct/>
        <w:topLinePunct w:val="0"/>
        <w:bidi w:val="0"/>
        <w:spacing w:line="360" w:lineRule="auto"/>
        <w:textAlignment w:val="auto"/>
        <w:rPr>
          <w:rFonts w:ascii="宋体" w:hAnsi="宋体"/>
          <w:color w:val="auto"/>
          <w:sz w:val="24"/>
          <w:highlight w:val="none"/>
        </w:rPr>
      </w:pPr>
    </w:p>
    <w:p w14:paraId="05F4EE19">
      <w:pPr>
        <w:keepNext w:val="0"/>
        <w:keepLines w:val="0"/>
        <w:pageBreakBefore w:val="0"/>
        <w:tabs>
          <w:tab w:val="left" w:pos="312"/>
        </w:tabs>
        <w:kinsoku/>
        <w:wordWrap/>
        <w:overflowPunct/>
        <w:topLinePunct w:val="0"/>
        <w:bidi w:val="0"/>
        <w:spacing w:line="360" w:lineRule="auto"/>
        <w:ind w:firstLine="723"/>
        <w:contextualSpacing/>
        <w:textAlignment w:val="auto"/>
        <w:rPr>
          <w:rFonts w:ascii="宋体" w:hAnsi="宋体"/>
          <w:b/>
          <w:color w:val="auto"/>
          <w:sz w:val="24"/>
          <w:highlight w:val="none"/>
        </w:rPr>
      </w:pPr>
    </w:p>
    <w:p w14:paraId="3D34AC65">
      <w:pPr>
        <w:rPr>
          <w:rFonts w:hint="eastAsia" w:ascii="宋体" w:hAnsi="宋体"/>
          <w:b/>
          <w:bCs/>
          <w:sz w:val="36"/>
          <w:szCs w:val="36"/>
          <w:highlight w:val="none"/>
        </w:rPr>
      </w:pPr>
      <w:r>
        <w:rPr>
          <w:rFonts w:hint="eastAsia" w:ascii="宋体" w:hAnsi="宋体"/>
          <w:b/>
          <w:bCs/>
          <w:sz w:val="36"/>
          <w:szCs w:val="36"/>
          <w:highlight w:val="none"/>
        </w:rPr>
        <w:br w:type="page"/>
      </w:r>
    </w:p>
    <w:p w14:paraId="76FB99B5">
      <w:pPr>
        <w:keepNext w:val="0"/>
        <w:keepLines w:val="0"/>
        <w:pageBreakBefore w:val="0"/>
        <w:widowControl/>
        <w:kinsoku/>
        <w:wordWrap/>
        <w:overflowPunct/>
        <w:topLinePunct w:val="0"/>
        <w:bidi w:val="0"/>
        <w:spacing w:line="360" w:lineRule="auto"/>
        <w:jc w:val="center"/>
        <w:textAlignment w:val="auto"/>
        <w:rPr>
          <w:rFonts w:hint="eastAsia" w:ascii="宋体" w:hAnsi="宋体"/>
          <w:b/>
          <w:bCs/>
          <w:sz w:val="36"/>
          <w:szCs w:val="36"/>
          <w:highlight w:val="none"/>
        </w:rPr>
        <w:sectPr>
          <w:pgSz w:w="16838" w:h="11906" w:orient="landscape"/>
          <w:pgMar w:top="1800" w:right="1440" w:bottom="1800" w:left="1440" w:header="851" w:footer="992" w:gutter="0"/>
          <w:cols w:space="0" w:num="1"/>
          <w:docGrid w:type="lines" w:linePitch="312" w:charSpace="0"/>
        </w:sectPr>
      </w:pPr>
    </w:p>
    <w:p w14:paraId="5CC19D67">
      <w:pPr>
        <w:keepNext w:val="0"/>
        <w:keepLines w:val="0"/>
        <w:pageBreakBefore w:val="0"/>
        <w:widowControl/>
        <w:kinsoku/>
        <w:wordWrap/>
        <w:overflowPunct/>
        <w:topLinePunct w:val="0"/>
        <w:bidi w:val="0"/>
        <w:spacing w:line="360" w:lineRule="auto"/>
        <w:jc w:val="center"/>
        <w:textAlignment w:val="auto"/>
        <w:rPr>
          <w:rFonts w:ascii="宋体" w:hAnsi="宋体"/>
          <w:b/>
          <w:bCs/>
          <w:sz w:val="36"/>
          <w:szCs w:val="36"/>
          <w:highlight w:val="none"/>
        </w:rPr>
      </w:pPr>
      <w:r>
        <w:rPr>
          <w:rFonts w:hint="eastAsia" w:ascii="宋体" w:hAnsi="宋体"/>
          <w:b/>
          <w:bCs/>
          <w:sz w:val="36"/>
          <w:szCs w:val="36"/>
          <w:highlight w:val="none"/>
        </w:rPr>
        <w:t>第五章 合同主要条款</w:t>
      </w:r>
    </w:p>
    <w:p w14:paraId="48B9AD89">
      <w:pPr>
        <w:keepNext w:val="0"/>
        <w:keepLines w:val="0"/>
        <w:pageBreakBefore w:val="0"/>
        <w:kinsoku/>
        <w:wordWrap/>
        <w:overflowPunct/>
        <w:topLinePunct w:val="0"/>
        <w:bidi w:val="0"/>
        <w:spacing w:line="360" w:lineRule="auto"/>
        <w:textAlignment w:val="auto"/>
        <w:rPr>
          <w:rFonts w:ascii="宋体" w:hAnsi="宋体"/>
          <w:sz w:val="32"/>
          <w:szCs w:val="40"/>
          <w:highlight w:val="none"/>
        </w:rPr>
      </w:pPr>
      <w:bookmarkStart w:id="43" w:name="br1_47"/>
      <w:bookmarkEnd w:id="43"/>
    </w:p>
    <w:p w14:paraId="27DDB76E">
      <w:pPr>
        <w:keepNext w:val="0"/>
        <w:keepLines w:val="0"/>
        <w:pageBreakBefore w:val="0"/>
        <w:kinsoku/>
        <w:wordWrap/>
        <w:overflowPunct/>
        <w:topLinePunct w:val="0"/>
        <w:bidi w:val="0"/>
        <w:spacing w:line="360" w:lineRule="auto"/>
        <w:textAlignment w:val="auto"/>
        <w:rPr>
          <w:rFonts w:ascii="宋体" w:hAnsi="宋体"/>
          <w:sz w:val="32"/>
          <w:szCs w:val="40"/>
          <w:highlight w:val="none"/>
        </w:rPr>
      </w:pPr>
    </w:p>
    <w:p w14:paraId="39779566">
      <w:pPr>
        <w:keepNext w:val="0"/>
        <w:keepLines w:val="0"/>
        <w:pageBreakBefore w:val="0"/>
        <w:kinsoku/>
        <w:wordWrap/>
        <w:overflowPunct/>
        <w:topLinePunct w:val="0"/>
        <w:bidi w:val="0"/>
        <w:spacing w:line="360" w:lineRule="auto"/>
        <w:textAlignment w:val="auto"/>
        <w:rPr>
          <w:rFonts w:ascii="宋体" w:hAnsi="宋体"/>
          <w:sz w:val="32"/>
          <w:szCs w:val="40"/>
          <w:highlight w:val="none"/>
        </w:rPr>
      </w:pPr>
    </w:p>
    <w:p w14:paraId="4B95F588">
      <w:pPr>
        <w:keepNext w:val="0"/>
        <w:keepLines w:val="0"/>
        <w:pageBreakBefore w:val="0"/>
        <w:kinsoku/>
        <w:wordWrap/>
        <w:overflowPunct/>
        <w:topLinePunct w:val="0"/>
        <w:bidi w:val="0"/>
        <w:spacing w:line="360" w:lineRule="auto"/>
        <w:ind w:firstLine="1280" w:firstLineChars="400"/>
        <w:textAlignment w:val="auto"/>
        <w:rPr>
          <w:rFonts w:ascii="宋体" w:hAnsi="宋体"/>
          <w:sz w:val="32"/>
          <w:szCs w:val="40"/>
          <w:highlight w:val="none"/>
        </w:rPr>
      </w:pPr>
      <w:r>
        <w:rPr>
          <w:rFonts w:hint="eastAsia" w:ascii="宋体" w:hAnsi="宋体"/>
          <w:sz w:val="32"/>
          <w:szCs w:val="40"/>
          <w:highlight w:val="none"/>
        </w:rPr>
        <w:t>合同编号：</w:t>
      </w:r>
    </w:p>
    <w:p w14:paraId="5B1EE5B9">
      <w:pPr>
        <w:keepNext w:val="0"/>
        <w:keepLines w:val="0"/>
        <w:pageBreakBefore w:val="0"/>
        <w:kinsoku/>
        <w:wordWrap/>
        <w:overflowPunct/>
        <w:topLinePunct w:val="0"/>
        <w:bidi w:val="0"/>
        <w:spacing w:line="360" w:lineRule="auto"/>
        <w:ind w:firstLine="1280" w:firstLineChars="400"/>
        <w:textAlignment w:val="auto"/>
        <w:rPr>
          <w:rFonts w:ascii="宋体" w:hAnsi="宋体"/>
          <w:sz w:val="32"/>
          <w:szCs w:val="40"/>
          <w:highlight w:val="none"/>
        </w:rPr>
      </w:pPr>
      <w:r>
        <w:rPr>
          <w:rFonts w:hint="eastAsia" w:ascii="宋体" w:hAnsi="宋体"/>
          <w:sz w:val="32"/>
          <w:szCs w:val="40"/>
          <w:highlight w:val="none"/>
        </w:rPr>
        <w:t>项目名称：</w:t>
      </w:r>
    </w:p>
    <w:p w14:paraId="09C08627">
      <w:pPr>
        <w:keepNext w:val="0"/>
        <w:keepLines w:val="0"/>
        <w:pageBreakBefore w:val="0"/>
        <w:kinsoku/>
        <w:wordWrap/>
        <w:overflowPunct/>
        <w:topLinePunct w:val="0"/>
        <w:bidi w:val="0"/>
        <w:spacing w:line="360" w:lineRule="auto"/>
        <w:ind w:firstLine="1280" w:firstLineChars="400"/>
        <w:textAlignment w:val="auto"/>
        <w:rPr>
          <w:rFonts w:ascii="宋体" w:hAnsi="宋体"/>
          <w:sz w:val="32"/>
          <w:szCs w:val="40"/>
          <w:highlight w:val="none"/>
        </w:rPr>
      </w:pPr>
      <w:r>
        <w:rPr>
          <w:rFonts w:hint="eastAsia" w:ascii="宋体" w:hAnsi="宋体"/>
          <w:sz w:val="32"/>
          <w:szCs w:val="40"/>
          <w:highlight w:val="none"/>
        </w:rPr>
        <w:t>采购单位：</w:t>
      </w:r>
    </w:p>
    <w:p w14:paraId="7C0A8ECE">
      <w:pPr>
        <w:keepNext w:val="0"/>
        <w:keepLines w:val="0"/>
        <w:pageBreakBefore w:val="0"/>
        <w:kinsoku/>
        <w:wordWrap/>
        <w:overflowPunct/>
        <w:topLinePunct w:val="0"/>
        <w:bidi w:val="0"/>
        <w:spacing w:line="360" w:lineRule="auto"/>
        <w:ind w:firstLine="1280" w:firstLineChars="400"/>
        <w:textAlignment w:val="auto"/>
        <w:rPr>
          <w:rFonts w:ascii="宋体" w:hAnsi="宋体"/>
          <w:sz w:val="32"/>
          <w:szCs w:val="40"/>
          <w:highlight w:val="none"/>
        </w:rPr>
      </w:pPr>
      <w:r>
        <w:rPr>
          <w:rFonts w:hint="eastAsia" w:ascii="宋体" w:hAnsi="宋体"/>
          <w:sz w:val="32"/>
          <w:szCs w:val="40"/>
          <w:highlight w:val="none"/>
        </w:rPr>
        <w:t>服务单位：</w:t>
      </w:r>
    </w:p>
    <w:p w14:paraId="36C60BDF">
      <w:pPr>
        <w:keepNext w:val="0"/>
        <w:keepLines w:val="0"/>
        <w:pageBreakBefore w:val="0"/>
        <w:kinsoku/>
        <w:wordWrap/>
        <w:overflowPunct/>
        <w:topLinePunct w:val="0"/>
        <w:bidi w:val="0"/>
        <w:spacing w:line="360" w:lineRule="auto"/>
        <w:ind w:firstLine="1280" w:firstLineChars="400"/>
        <w:textAlignment w:val="auto"/>
        <w:rPr>
          <w:rFonts w:ascii="宋体" w:hAnsi="宋体"/>
          <w:sz w:val="32"/>
          <w:szCs w:val="40"/>
          <w:highlight w:val="none"/>
        </w:rPr>
      </w:pPr>
      <w:r>
        <w:rPr>
          <w:rFonts w:hint="eastAsia" w:ascii="宋体" w:hAnsi="宋体"/>
          <w:sz w:val="32"/>
          <w:szCs w:val="40"/>
          <w:highlight w:val="none"/>
        </w:rPr>
        <w:t>签订日期：</w:t>
      </w:r>
    </w:p>
    <w:p w14:paraId="739D9E5E">
      <w:pPr>
        <w:keepNext w:val="0"/>
        <w:keepLines w:val="0"/>
        <w:pageBreakBefore w:val="0"/>
        <w:kinsoku/>
        <w:wordWrap/>
        <w:overflowPunct/>
        <w:topLinePunct w:val="0"/>
        <w:bidi w:val="0"/>
        <w:spacing w:line="360" w:lineRule="auto"/>
        <w:textAlignment w:val="auto"/>
        <w:rPr>
          <w:rFonts w:ascii="宋体" w:hAnsi="宋体"/>
          <w:sz w:val="24"/>
          <w:highlight w:val="none"/>
        </w:rPr>
      </w:pPr>
    </w:p>
    <w:p w14:paraId="14701972">
      <w:pPr>
        <w:keepNext w:val="0"/>
        <w:keepLines w:val="0"/>
        <w:pageBreakBefore w:val="0"/>
        <w:kinsoku/>
        <w:wordWrap/>
        <w:overflowPunct/>
        <w:topLinePunct w:val="0"/>
        <w:bidi w:val="0"/>
        <w:spacing w:line="360" w:lineRule="auto"/>
        <w:jc w:val="center"/>
        <w:textAlignment w:val="auto"/>
        <w:rPr>
          <w:rFonts w:ascii="仿宋" w:hAnsi="仿宋" w:eastAsia="仿宋"/>
          <w:b/>
          <w:sz w:val="36"/>
          <w:szCs w:val="36"/>
          <w:highlight w:val="none"/>
        </w:rPr>
      </w:pPr>
      <w:r>
        <w:rPr>
          <w:rFonts w:hint="eastAsia" w:ascii="宋体" w:hAnsi="宋体"/>
          <w:kern w:val="0"/>
          <w:szCs w:val="21"/>
          <w:highlight w:val="none"/>
        </w:rPr>
        <w:br w:type="page"/>
      </w:r>
    </w:p>
    <w:p w14:paraId="05222CDF">
      <w:pPr>
        <w:keepNext w:val="0"/>
        <w:keepLines w:val="0"/>
        <w:pageBreakBefore w:val="0"/>
        <w:kinsoku/>
        <w:wordWrap/>
        <w:overflowPunct/>
        <w:topLinePunct w:val="0"/>
        <w:bidi w:val="0"/>
        <w:spacing w:line="360" w:lineRule="auto"/>
        <w:jc w:val="center"/>
        <w:textAlignment w:val="auto"/>
        <w:rPr>
          <w:rFonts w:hint="default" w:ascii="仿宋" w:hAnsi="仿宋" w:eastAsia="仿宋"/>
          <w:b/>
          <w:color w:val="auto"/>
          <w:sz w:val="36"/>
          <w:szCs w:val="36"/>
          <w:highlight w:val="none"/>
          <w:lang w:val="en-US"/>
        </w:rPr>
      </w:pPr>
      <w:r>
        <w:rPr>
          <w:rFonts w:hint="eastAsia" w:ascii="仿宋" w:hAnsi="仿宋" w:eastAsia="仿宋"/>
          <w:b/>
          <w:color w:val="auto"/>
          <w:sz w:val="36"/>
          <w:szCs w:val="36"/>
          <w:highlight w:val="none"/>
          <w:lang w:val="en-US" w:eastAsia="zh-CN"/>
        </w:rPr>
        <w:t>南京江北新区2026年度河道堤防白蚁防治项目</w:t>
      </w:r>
    </w:p>
    <w:p w14:paraId="7AA5C716">
      <w:pPr>
        <w:keepNext w:val="0"/>
        <w:keepLines w:val="0"/>
        <w:pageBreakBefore w:val="0"/>
        <w:kinsoku/>
        <w:wordWrap/>
        <w:overflowPunct/>
        <w:topLinePunct w:val="0"/>
        <w:bidi w:val="0"/>
        <w:spacing w:line="360" w:lineRule="auto"/>
        <w:jc w:val="center"/>
        <w:textAlignment w:val="auto"/>
        <w:rPr>
          <w:rFonts w:ascii="仿宋" w:hAnsi="仿宋" w:eastAsia="仿宋"/>
          <w:b/>
          <w:color w:val="000000" w:themeColor="text1"/>
          <w:sz w:val="36"/>
          <w:szCs w:val="36"/>
          <w:highlight w:val="none"/>
          <w14:textFill>
            <w14:solidFill>
              <w14:schemeClr w14:val="tx1"/>
            </w14:solidFill>
          </w14:textFill>
        </w:rPr>
      </w:pPr>
    </w:p>
    <w:p w14:paraId="2F69B57E">
      <w:pPr>
        <w:keepNext w:val="0"/>
        <w:keepLines w:val="0"/>
        <w:pageBreakBefore w:val="0"/>
        <w:kinsoku/>
        <w:wordWrap/>
        <w:overflowPunct/>
        <w:topLinePunct w:val="0"/>
        <w:autoSpaceDE w:val="0"/>
        <w:autoSpaceDN w:val="0"/>
        <w:bidi w:val="0"/>
        <w:spacing w:line="360" w:lineRule="auto"/>
        <w:ind w:firstLine="560" w:firstLineChars="200"/>
        <w:textAlignment w:val="auto"/>
        <w:rPr>
          <w:rFonts w:hint="default" w:ascii="仿宋" w:hAnsi="仿宋" w:eastAsia="仿宋"/>
          <w:color w:val="000000" w:themeColor="text1"/>
          <w:position w:val="6"/>
          <w:sz w:val="28"/>
          <w:szCs w:val="28"/>
          <w:highlight w:val="none"/>
          <w:lang w:val="en-US" w:eastAsia="zh-CN"/>
          <w14:textFill>
            <w14:solidFill>
              <w14:schemeClr w14:val="tx1"/>
            </w14:solidFill>
          </w14:textFill>
        </w:rPr>
      </w:pPr>
      <w:r>
        <w:rPr>
          <w:rFonts w:hint="eastAsia" w:ascii="仿宋" w:hAnsi="仿宋" w:eastAsia="仿宋"/>
          <w:bCs/>
          <w:color w:val="000000" w:themeColor="text1"/>
          <w:position w:val="6"/>
          <w:sz w:val="28"/>
          <w:szCs w:val="28"/>
          <w:highlight w:val="none"/>
          <w14:textFill>
            <w14:solidFill>
              <w14:schemeClr w14:val="tx1"/>
            </w14:solidFill>
          </w14:textFill>
        </w:rPr>
        <w:t>甲方：</w:t>
      </w:r>
      <w:r>
        <w:rPr>
          <w:rFonts w:hint="eastAsia" w:ascii="仿宋" w:hAnsi="仿宋" w:eastAsia="仿宋"/>
          <w:bCs/>
          <w:color w:val="000000" w:themeColor="text1"/>
          <w:position w:val="6"/>
          <w:sz w:val="28"/>
          <w:szCs w:val="28"/>
          <w:highlight w:val="none"/>
          <w:lang w:val="en-US" w:eastAsia="zh-CN"/>
          <w14:textFill>
            <w14:solidFill>
              <w14:schemeClr w14:val="tx1"/>
            </w14:solidFill>
          </w14:textFill>
        </w:rPr>
        <w:t>南京江北新区环保与水务服务中心</w:t>
      </w:r>
    </w:p>
    <w:p w14:paraId="200AB668">
      <w:pPr>
        <w:keepNext w:val="0"/>
        <w:keepLines w:val="0"/>
        <w:pageBreakBefore w:val="0"/>
        <w:kinsoku/>
        <w:wordWrap/>
        <w:overflowPunct/>
        <w:topLinePunct w:val="0"/>
        <w:autoSpaceDE w:val="0"/>
        <w:autoSpaceDN w:val="0"/>
        <w:bidi w:val="0"/>
        <w:spacing w:line="360" w:lineRule="auto"/>
        <w:ind w:firstLine="560" w:firstLineChars="200"/>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Cs/>
          <w:color w:val="000000" w:themeColor="text1"/>
          <w:position w:val="6"/>
          <w:sz w:val="28"/>
          <w:szCs w:val="28"/>
          <w:highlight w:val="none"/>
          <w14:textFill>
            <w14:solidFill>
              <w14:schemeClr w14:val="tx1"/>
            </w14:solidFill>
          </w14:textFill>
        </w:rPr>
        <w:t>乙方：</w:t>
      </w:r>
    </w:p>
    <w:p w14:paraId="5C4EA6E5">
      <w:pPr>
        <w:spacing w:line="360" w:lineRule="auto"/>
        <w:ind w:firstLine="482"/>
        <w:rPr>
          <w:rStyle w:val="55"/>
          <w:rFonts w:hint="eastAsia"/>
          <w:sz w:val="24"/>
          <w:szCs w:val="32"/>
        </w:rPr>
      </w:pPr>
      <w:r>
        <w:rPr>
          <w:rStyle w:val="55"/>
          <w:rFonts w:hint="eastAsia"/>
          <w:b/>
          <w:bCs/>
          <w:color w:val="000000"/>
          <w:sz w:val="24"/>
          <w:szCs w:val="32"/>
        </w:rPr>
        <w:t xml:space="preserve">第一条合同标的 </w:t>
      </w:r>
      <w:r>
        <w:rPr>
          <w:rStyle w:val="55"/>
          <w:rFonts w:hint="eastAsia"/>
          <w:color w:val="000000"/>
          <w:sz w:val="24"/>
          <w:szCs w:val="32"/>
        </w:rPr>
        <w:t>乙方根据甲方需求提供下列服务</w:t>
      </w:r>
      <w:r>
        <w:rPr>
          <w:rStyle w:val="55"/>
          <w:rFonts w:hint="eastAsia"/>
          <w:color w:val="000000"/>
          <w:sz w:val="24"/>
          <w:szCs w:val="32"/>
          <w:u w:val="single"/>
        </w:rPr>
        <w:t xml:space="preserve">：  </w:t>
      </w:r>
      <w:r>
        <w:rPr>
          <w:rStyle w:val="55"/>
          <w:rFonts w:hint="eastAsia"/>
          <w:color w:val="000000"/>
          <w:sz w:val="24"/>
          <w:szCs w:val="32"/>
          <w:u w:val="single"/>
          <w:lang w:val="en-US" w:eastAsia="zh-CN"/>
        </w:rPr>
        <w:t xml:space="preserve">     </w:t>
      </w:r>
      <w:r>
        <w:rPr>
          <w:rStyle w:val="55"/>
          <w:rFonts w:hint="eastAsia"/>
          <w:b/>
          <w:sz w:val="24"/>
          <w:szCs w:val="32"/>
          <w:u w:val="single"/>
        </w:rPr>
        <w:t>（项目编号：   ）</w:t>
      </w:r>
      <w:r>
        <w:rPr>
          <w:rStyle w:val="55"/>
          <w:rFonts w:hint="eastAsia"/>
          <w:sz w:val="24"/>
          <w:szCs w:val="32"/>
        </w:rPr>
        <w:t>，详见乙方响应文件。</w:t>
      </w:r>
    </w:p>
    <w:p w14:paraId="25132524">
      <w:pPr>
        <w:spacing w:line="360" w:lineRule="auto"/>
        <w:ind w:firstLine="482"/>
        <w:rPr>
          <w:rStyle w:val="55"/>
          <w:rFonts w:hint="eastAsia"/>
          <w:color w:val="000000"/>
          <w:sz w:val="24"/>
          <w:szCs w:val="32"/>
        </w:rPr>
      </w:pPr>
      <w:r>
        <w:rPr>
          <w:rStyle w:val="55"/>
          <w:rFonts w:hint="eastAsia"/>
          <w:b/>
          <w:bCs/>
          <w:color w:val="000000"/>
          <w:sz w:val="24"/>
          <w:szCs w:val="32"/>
        </w:rPr>
        <w:t xml:space="preserve">第二条合同总价款  </w:t>
      </w:r>
      <w:r>
        <w:rPr>
          <w:rStyle w:val="55"/>
          <w:rFonts w:hint="eastAsia"/>
          <w:color w:val="000000"/>
          <w:sz w:val="24"/>
          <w:szCs w:val="32"/>
        </w:rPr>
        <w:t>本合同项下项目总价款为___________（大写）人民币，分项价款在“</w:t>
      </w:r>
      <w:r>
        <w:rPr>
          <w:rStyle w:val="55"/>
          <w:rFonts w:hint="eastAsia"/>
          <w:b/>
          <w:sz w:val="24"/>
          <w:szCs w:val="32"/>
        </w:rPr>
        <w:t>分项报价及费用测算表</w:t>
      </w:r>
      <w:r>
        <w:rPr>
          <w:rStyle w:val="55"/>
          <w:rFonts w:hint="eastAsia"/>
          <w:color w:val="000000"/>
          <w:sz w:val="24"/>
          <w:szCs w:val="32"/>
        </w:rPr>
        <w:t>”中有明确规定；</w:t>
      </w:r>
    </w:p>
    <w:p w14:paraId="41B3D11C">
      <w:pPr>
        <w:spacing w:line="360" w:lineRule="auto"/>
        <w:ind w:firstLine="482"/>
        <w:rPr>
          <w:rStyle w:val="55"/>
          <w:rFonts w:hint="eastAsia"/>
          <w:b/>
          <w:sz w:val="24"/>
          <w:szCs w:val="32"/>
        </w:rPr>
      </w:pPr>
      <w:r>
        <w:rPr>
          <w:rStyle w:val="55"/>
          <w:rFonts w:hint="eastAsia"/>
          <w:b/>
          <w:sz w:val="24"/>
          <w:szCs w:val="32"/>
        </w:rPr>
        <w:t>报价为全包交费用报价。最终投标报价应是本采购文件所包含确定的全部工作内容及本采购文件未说明但完成该项目必须包含的所有全包费用的价格体现</w:t>
      </w:r>
      <w:r>
        <w:rPr>
          <w:rStyle w:val="55"/>
          <w:rFonts w:hint="eastAsia"/>
          <w:b/>
          <w:spacing w:val="-2"/>
          <w:sz w:val="24"/>
          <w:szCs w:val="32"/>
        </w:rPr>
        <w:t>。</w:t>
      </w:r>
      <w:r>
        <w:rPr>
          <w:rStyle w:val="55"/>
          <w:rFonts w:hint="eastAsia"/>
          <w:b/>
          <w:sz w:val="24"/>
          <w:szCs w:val="32"/>
        </w:rPr>
        <w:t>投标最终报价应包含劳务、设备、管理、材料、运输装缷、保险、验收及验收合格之前保管的所有含税费用、支付给员工的工资和国家强制缴纳的各种社会保障资金等。投标供应商的任何错漏、优惠、竞争性报价不得作为减轻责任、减少服务、增加收费、降低质量的理由。</w:t>
      </w:r>
    </w:p>
    <w:p w14:paraId="3AC0CCAD">
      <w:pPr>
        <w:spacing w:line="360" w:lineRule="auto"/>
        <w:ind w:firstLine="480"/>
        <w:rPr>
          <w:rStyle w:val="55"/>
          <w:rFonts w:hint="eastAsia"/>
          <w:color w:val="000000"/>
          <w:sz w:val="24"/>
          <w:szCs w:val="32"/>
        </w:rPr>
      </w:pPr>
      <w:r>
        <w:rPr>
          <w:rStyle w:val="55"/>
          <w:rFonts w:hint="eastAsia"/>
          <w:color w:val="000000"/>
          <w:sz w:val="24"/>
          <w:szCs w:val="32"/>
        </w:rPr>
        <w:t>本合同执行期间合同总价不变。</w:t>
      </w:r>
    </w:p>
    <w:p w14:paraId="4B2F6058">
      <w:pPr>
        <w:spacing w:line="360" w:lineRule="auto"/>
        <w:ind w:firstLine="482"/>
        <w:rPr>
          <w:rStyle w:val="55"/>
          <w:rFonts w:hint="eastAsia"/>
          <w:color w:val="000000"/>
          <w:sz w:val="24"/>
          <w:szCs w:val="32"/>
        </w:rPr>
      </w:pPr>
      <w:r>
        <w:rPr>
          <w:rStyle w:val="55"/>
          <w:rFonts w:hint="eastAsia"/>
          <w:b/>
          <w:bCs/>
          <w:color w:val="000000"/>
          <w:sz w:val="24"/>
          <w:szCs w:val="32"/>
        </w:rPr>
        <w:t>第三条 组成本合同的有关文件</w:t>
      </w:r>
      <w:r>
        <w:rPr>
          <w:rStyle w:val="55"/>
          <w:rFonts w:hint="eastAsia"/>
          <w:color w:val="000000"/>
          <w:sz w:val="24"/>
          <w:szCs w:val="32"/>
        </w:rPr>
        <w:t>下列关于</w:t>
      </w:r>
      <w:r>
        <w:rPr>
          <w:rStyle w:val="55"/>
          <w:rFonts w:hint="eastAsia"/>
          <w:b/>
          <w:sz w:val="24"/>
          <w:szCs w:val="32"/>
          <w:u w:val="single"/>
        </w:rPr>
        <w:t xml:space="preserve">  （项目编号：          ）</w:t>
      </w:r>
      <w:r>
        <w:rPr>
          <w:rStyle w:val="55"/>
          <w:rFonts w:hint="eastAsia"/>
          <w:color w:val="000000"/>
          <w:sz w:val="24"/>
          <w:szCs w:val="32"/>
        </w:rPr>
        <w:t>的招标文件、供应商响应文件，或与本次采购活动方式相适应的文件，以及有关附件是本合同不可分割的组成部分，与本合同具有同等法律效力，这些文件包括但不限于：</w:t>
      </w:r>
    </w:p>
    <w:p w14:paraId="0224B416">
      <w:pPr>
        <w:spacing w:line="360" w:lineRule="auto"/>
        <w:ind w:firstLine="480"/>
        <w:rPr>
          <w:rStyle w:val="55"/>
          <w:rFonts w:hint="eastAsia"/>
          <w:color w:val="000000"/>
          <w:sz w:val="24"/>
          <w:szCs w:val="32"/>
        </w:rPr>
      </w:pPr>
      <w:r>
        <w:rPr>
          <w:rStyle w:val="55"/>
          <w:rFonts w:hint="eastAsia"/>
          <w:color w:val="000000"/>
          <w:sz w:val="24"/>
          <w:szCs w:val="32"/>
        </w:rPr>
        <w:t>（1）乙方提供的响应文件和报价表；</w:t>
      </w:r>
    </w:p>
    <w:p w14:paraId="7E0E1279">
      <w:pPr>
        <w:spacing w:line="360" w:lineRule="auto"/>
        <w:ind w:firstLine="480"/>
        <w:rPr>
          <w:rStyle w:val="55"/>
          <w:rFonts w:hint="eastAsia"/>
          <w:color w:val="000000"/>
          <w:sz w:val="24"/>
          <w:szCs w:val="32"/>
        </w:rPr>
      </w:pPr>
      <w:r>
        <w:rPr>
          <w:rStyle w:val="55"/>
          <w:rFonts w:hint="eastAsia"/>
          <w:color w:val="000000"/>
          <w:sz w:val="24"/>
          <w:szCs w:val="32"/>
        </w:rPr>
        <w:t>（2）</w:t>
      </w:r>
      <w:r>
        <w:rPr>
          <w:rStyle w:val="55"/>
          <w:rFonts w:hint="eastAsia"/>
          <w:sz w:val="24"/>
          <w:szCs w:val="32"/>
        </w:rPr>
        <w:t>项目整体实施方案和质量保证体系；</w:t>
      </w:r>
    </w:p>
    <w:p w14:paraId="1B2E2C73">
      <w:pPr>
        <w:spacing w:line="360" w:lineRule="auto"/>
        <w:ind w:firstLine="480"/>
        <w:rPr>
          <w:rStyle w:val="55"/>
          <w:rFonts w:hint="eastAsia"/>
          <w:color w:val="000000"/>
          <w:sz w:val="24"/>
          <w:szCs w:val="32"/>
        </w:rPr>
      </w:pPr>
      <w:r>
        <w:rPr>
          <w:rStyle w:val="55"/>
          <w:rFonts w:hint="eastAsia"/>
          <w:color w:val="000000"/>
          <w:sz w:val="24"/>
          <w:szCs w:val="32"/>
        </w:rPr>
        <w:t>（3）服务承诺；</w:t>
      </w:r>
    </w:p>
    <w:p w14:paraId="1784839B">
      <w:pPr>
        <w:spacing w:line="360" w:lineRule="auto"/>
        <w:ind w:firstLine="480"/>
        <w:rPr>
          <w:rStyle w:val="55"/>
          <w:rFonts w:hint="eastAsia"/>
          <w:color w:val="000000"/>
          <w:sz w:val="24"/>
          <w:szCs w:val="32"/>
        </w:rPr>
      </w:pPr>
      <w:r>
        <w:rPr>
          <w:rStyle w:val="55"/>
          <w:rFonts w:hint="eastAsia"/>
          <w:color w:val="000000"/>
          <w:sz w:val="24"/>
          <w:szCs w:val="32"/>
        </w:rPr>
        <w:t>（4）成交通知书；</w:t>
      </w:r>
    </w:p>
    <w:p w14:paraId="773EA2DA">
      <w:pPr>
        <w:spacing w:line="360" w:lineRule="auto"/>
        <w:ind w:firstLine="480"/>
        <w:rPr>
          <w:rStyle w:val="55"/>
          <w:rFonts w:hint="eastAsia"/>
          <w:color w:val="000000"/>
          <w:sz w:val="24"/>
          <w:szCs w:val="32"/>
        </w:rPr>
      </w:pPr>
      <w:r>
        <w:rPr>
          <w:rStyle w:val="55"/>
          <w:rFonts w:hint="eastAsia"/>
          <w:color w:val="000000"/>
          <w:sz w:val="24"/>
          <w:szCs w:val="32"/>
        </w:rPr>
        <w:t>（5）甲乙双方商定的其他文件等。</w:t>
      </w:r>
    </w:p>
    <w:p w14:paraId="28AF18AB">
      <w:pPr>
        <w:spacing w:line="360" w:lineRule="auto"/>
        <w:ind w:firstLine="482"/>
        <w:rPr>
          <w:rStyle w:val="55"/>
          <w:rFonts w:hint="eastAsia"/>
          <w:b/>
          <w:bCs/>
          <w:color w:val="000000"/>
          <w:sz w:val="24"/>
          <w:szCs w:val="32"/>
        </w:rPr>
      </w:pPr>
      <w:r>
        <w:rPr>
          <w:rStyle w:val="55"/>
          <w:rFonts w:hint="eastAsia"/>
          <w:b/>
          <w:bCs/>
          <w:color w:val="000000"/>
          <w:sz w:val="24"/>
          <w:szCs w:val="32"/>
        </w:rPr>
        <w:t>第四条 权利保证</w:t>
      </w:r>
    </w:p>
    <w:p w14:paraId="287CF4B0">
      <w:pPr>
        <w:spacing w:line="360" w:lineRule="auto"/>
        <w:ind w:firstLine="480"/>
        <w:rPr>
          <w:rStyle w:val="55"/>
          <w:rFonts w:hint="eastAsia"/>
          <w:color w:val="000000"/>
          <w:sz w:val="24"/>
          <w:szCs w:val="32"/>
        </w:rPr>
      </w:pPr>
      <w:r>
        <w:rPr>
          <w:rStyle w:val="55"/>
          <w:rFonts w:hint="eastAsia"/>
          <w:color w:val="000000"/>
          <w:sz w:val="24"/>
          <w:szCs w:val="32"/>
        </w:rPr>
        <w:t>乙方应积极配合甲方工作调度，积极响应甲方要求,及时安排人员完成甲方安排的各项任务。</w:t>
      </w:r>
    </w:p>
    <w:p w14:paraId="031B8704">
      <w:pPr>
        <w:spacing w:line="360" w:lineRule="auto"/>
        <w:ind w:firstLine="480"/>
        <w:rPr>
          <w:rFonts w:hint="eastAsia"/>
          <w:sz w:val="24"/>
          <w:szCs w:val="32"/>
        </w:rPr>
      </w:pPr>
      <w:r>
        <w:rPr>
          <w:rStyle w:val="55"/>
          <w:rFonts w:hint="eastAsia"/>
          <w:color w:val="000000"/>
          <w:sz w:val="24"/>
          <w:szCs w:val="32"/>
        </w:rPr>
        <w:t>乙方应保证甲方在使用该服务或其任何一部分时不受第三方提出侵犯其专利权、版权、商标权或其他权利的起诉。一旦出现侵权，乙方应承担全部责任。</w:t>
      </w:r>
    </w:p>
    <w:p w14:paraId="5C7EE666">
      <w:pPr>
        <w:spacing w:line="360" w:lineRule="auto"/>
        <w:ind w:firstLine="482"/>
        <w:rPr>
          <w:rStyle w:val="55"/>
          <w:rFonts w:hint="eastAsia"/>
          <w:b/>
          <w:bCs/>
          <w:color w:val="000000"/>
          <w:sz w:val="24"/>
          <w:szCs w:val="32"/>
        </w:rPr>
      </w:pPr>
      <w:r>
        <w:rPr>
          <w:rStyle w:val="55"/>
          <w:rFonts w:hint="eastAsia"/>
          <w:b/>
          <w:bCs/>
          <w:color w:val="000000"/>
          <w:sz w:val="24"/>
          <w:szCs w:val="32"/>
        </w:rPr>
        <w:t>第五条 质量保证</w:t>
      </w:r>
    </w:p>
    <w:p w14:paraId="0CBE2A89">
      <w:pPr>
        <w:spacing w:line="360" w:lineRule="auto"/>
        <w:ind w:firstLine="480"/>
        <w:rPr>
          <w:rStyle w:val="55"/>
          <w:rFonts w:hint="eastAsia"/>
          <w:color w:val="000000"/>
          <w:sz w:val="24"/>
          <w:szCs w:val="32"/>
        </w:rPr>
      </w:pPr>
      <w:r>
        <w:rPr>
          <w:rStyle w:val="55"/>
          <w:rFonts w:hint="eastAsia"/>
          <w:color w:val="000000"/>
          <w:sz w:val="24"/>
          <w:szCs w:val="32"/>
        </w:rPr>
        <w:t>乙方所提供的服务的技术规格应与采购文件规定的技术规格及所附的“技术条款偏离表”相一致；若技术性能无特殊说明，则按国家有关部门最新颁布的标准及规范为准。</w:t>
      </w:r>
    </w:p>
    <w:p w14:paraId="21F234D4">
      <w:pPr>
        <w:spacing w:line="360" w:lineRule="auto"/>
        <w:ind w:firstLine="482"/>
        <w:rPr>
          <w:rStyle w:val="55"/>
          <w:rFonts w:hint="eastAsia"/>
          <w:b/>
          <w:bCs/>
          <w:sz w:val="24"/>
          <w:szCs w:val="32"/>
        </w:rPr>
      </w:pPr>
      <w:r>
        <w:rPr>
          <w:rStyle w:val="55"/>
          <w:rFonts w:hint="eastAsia"/>
          <w:b/>
          <w:bCs/>
          <w:sz w:val="24"/>
          <w:szCs w:val="32"/>
        </w:rPr>
        <w:t>第六条 交付和验收</w:t>
      </w:r>
    </w:p>
    <w:p w14:paraId="655D43C8">
      <w:pPr>
        <w:spacing w:line="360" w:lineRule="auto"/>
        <w:ind w:firstLine="482"/>
        <w:rPr>
          <w:rStyle w:val="55"/>
          <w:rFonts w:hint="eastAsia"/>
          <w:b/>
          <w:bCs/>
          <w:sz w:val="24"/>
          <w:szCs w:val="32"/>
          <w:u w:val="single"/>
        </w:rPr>
      </w:pPr>
      <w:r>
        <w:rPr>
          <w:rStyle w:val="55"/>
          <w:rFonts w:hint="eastAsia"/>
          <w:b/>
          <w:bCs/>
          <w:sz w:val="24"/>
          <w:szCs w:val="32"/>
        </w:rPr>
        <w:t>1、项目服务周期：</w:t>
      </w:r>
    </w:p>
    <w:p w14:paraId="4B484B7C">
      <w:pPr>
        <w:spacing w:line="360" w:lineRule="auto"/>
        <w:ind w:firstLine="482"/>
        <w:rPr>
          <w:rStyle w:val="55"/>
          <w:color w:val="000000"/>
          <w:sz w:val="24"/>
          <w:szCs w:val="32"/>
        </w:rPr>
      </w:pPr>
      <w:r>
        <w:rPr>
          <w:rStyle w:val="55"/>
          <w:rFonts w:hint="eastAsia"/>
          <w:b/>
          <w:bCs/>
          <w:sz w:val="24"/>
          <w:szCs w:val="32"/>
        </w:rPr>
        <w:t>2、验收标准：</w:t>
      </w:r>
      <w:r>
        <w:rPr>
          <w:rStyle w:val="55"/>
          <w:rFonts w:hint="eastAsia"/>
          <w:color w:val="000000"/>
          <w:sz w:val="24"/>
          <w:szCs w:val="32"/>
        </w:rPr>
        <w:t>甲方有权自行组织或视情邀请相关专家或国家认可的质量检测机构参加验收，最终成果除需满足业主要求、采购文件和合同规定的外还应当符合国家及行业现行规范要求及相关部门的检查验收，乙方提供的服务不符合前述要求的，甲方有权拒收，并承担验收费用等。</w:t>
      </w:r>
    </w:p>
    <w:p w14:paraId="5D52AF3C">
      <w:pPr>
        <w:spacing w:line="360" w:lineRule="auto"/>
        <w:ind w:firstLine="482"/>
        <w:rPr>
          <w:rStyle w:val="55"/>
          <w:rFonts w:hint="eastAsia"/>
          <w:b/>
          <w:bCs/>
          <w:i/>
          <w:iCs/>
          <w:sz w:val="24"/>
          <w:szCs w:val="32"/>
        </w:rPr>
      </w:pPr>
      <w:r>
        <w:rPr>
          <w:rStyle w:val="55"/>
          <w:rFonts w:hint="eastAsia"/>
          <w:b/>
          <w:bCs/>
          <w:sz w:val="24"/>
          <w:szCs w:val="32"/>
        </w:rPr>
        <w:t>第七条 合同款支付</w:t>
      </w:r>
    </w:p>
    <w:p w14:paraId="7E3CF4B3">
      <w:pPr>
        <w:spacing w:line="360" w:lineRule="auto"/>
        <w:ind w:firstLine="480"/>
        <w:rPr>
          <w:rStyle w:val="55"/>
          <w:rFonts w:hint="eastAsia"/>
          <w:sz w:val="24"/>
          <w:szCs w:val="32"/>
        </w:rPr>
      </w:pPr>
      <w:r>
        <w:rPr>
          <w:rStyle w:val="55"/>
          <w:rFonts w:hint="eastAsia"/>
          <w:sz w:val="24"/>
          <w:szCs w:val="32"/>
        </w:rPr>
        <w:t>1、本合同项下所有款项均以人民币支付；</w:t>
      </w:r>
    </w:p>
    <w:p w14:paraId="310E1F33">
      <w:pPr>
        <w:spacing w:line="360" w:lineRule="auto"/>
        <w:ind w:firstLine="480"/>
        <w:rPr>
          <w:rStyle w:val="55"/>
          <w:rFonts w:hint="eastAsia"/>
          <w:sz w:val="24"/>
          <w:szCs w:val="32"/>
        </w:rPr>
      </w:pPr>
      <w:r>
        <w:rPr>
          <w:rStyle w:val="55"/>
          <w:rFonts w:hint="eastAsia"/>
          <w:sz w:val="24"/>
          <w:szCs w:val="32"/>
        </w:rPr>
        <w:t>2、本合同项下的采购资金由国库集中支付或甲方自行支付，乙方向甲方开具发票；</w:t>
      </w:r>
    </w:p>
    <w:p w14:paraId="33B1E59F">
      <w:pPr>
        <w:spacing w:line="360" w:lineRule="auto"/>
        <w:ind w:firstLine="480"/>
        <w:rPr>
          <w:rStyle w:val="55"/>
          <w:rFonts w:hint="eastAsia"/>
          <w:sz w:val="24"/>
          <w:szCs w:val="32"/>
        </w:rPr>
      </w:pPr>
      <w:r>
        <w:rPr>
          <w:rStyle w:val="55"/>
          <w:rFonts w:hint="eastAsia"/>
          <w:sz w:val="24"/>
          <w:szCs w:val="32"/>
        </w:rPr>
        <w:t>3、付款条件：</w:t>
      </w:r>
    </w:p>
    <w:p w14:paraId="380ED856">
      <w:pPr>
        <w:pStyle w:val="69"/>
        <w:ind w:left="0" w:firstLine="480"/>
        <w:rPr>
          <w:rFonts w:hint="eastAsia" w:ascii="宋体" w:eastAsia="宋体"/>
          <w:color w:val="000000"/>
          <w:spacing w:val="4"/>
          <w:sz w:val="24"/>
          <w:szCs w:val="24"/>
          <w:highlight w:val="none"/>
        </w:rPr>
      </w:pPr>
      <w:r>
        <w:rPr>
          <w:rFonts w:hint="eastAsia" w:ascii="宋体" w:eastAsia="宋体"/>
          <w:sz w:val="24"/>
          <w:szCs w:val="24"/>
          <w:highlight w:val="none"/>
        </w:rPr>
        <w:t>服务费的结算形式</w:t>
      </w:r>
      <w:r>
        <w:rPr>
          <w:rFonts w:hint="eastAsia" w:ascii="宋体" w:eastAsia="宋体"/>
          <w:sz w:val="24"/>
          <w:szCs w:val="24"/>
          <w:highlight w:val="none"/>
          <w:lang w:eastAsia="zh-CN"/>
        </w:rPr>
        <w:t>：</w:t>
      </w:r>
      <w:r>
        <w:rPr>
          <w:rFonts w:hint="eastAsia" w:ascii="宋体" w:eastAsia="宋体"/>
          <w:sz w:val="24"/>
          <w:szCs w:val="24"/>
          <w:highlight w:val="none"/>
        </w:rPr>
        <w:t>每半年支付一次，按照乙方实际提交的工作成果支付，乙方提交成果并通过验收后30日内，甲方完成支付。本合同项下所有款项均以人民币支付，各阶段支付前，乙方按甲方要求向甲方开具等额发票。(实际付款根据财政资金拨付到位时间进行相应调整)</w:t>
      </w:r>
    </w:p>
    <w:p w14:paraId="444C3AAF">
      <w:pPr>
        <w:spacing w:line="360" w:lineRule="auto"/>
        <w:ind w:firstLine="482"/>
        <w:rPr>
          <w:rStyle w:val="55"/>
          <w:rFonts w:hint="eastAsia"/>
          <w:b/>
          <w:bCs/>
          <w:color w:val="000000"/>
          <w:sz w:val="24"/>
          <w:szCs w:val="32"/>
        </w:rPr>
      </w:pPr>
      <w:r>
        <w:rPr>
          <w:rStyle w:val="55"/>
          <w:rFonts w:hint="eastAsia"/>
          <w:b/>
          <w:bCs/>
          <w:color w:val="000000"/>
          <w:sz w:val="24"/>
          <w:szCs w:val="32"/>
          <w:highlight w:val="none"/>
        </w:rPr>
        <w:t>第八条 违约</w:t>
      </w:r>
      <w:r>
        <w:rPr>
          <w:rStyle w:val="55"/>
          <w:rFonts w:hint="eastAsia"/>
          <w:b/>
          <w:bCs/>
          <w:color w:val="000000"/>
          <w:sz w:val="24"/>
          <w:szCs w:val="32"/>
        </w:rPr>
        <w:t>责任</w:t>
      </w:r>
    </w:p>
    <w:p w14:paraId="65BBE78F">
      <w:pPr>
        <w:spacing w:line="360" w:lineRule="auto"/>
        <w:ind w:firstLine="480"/>
        <w:rPr>
          <w:rStyle w:val="55"/>
          <w:rFonts w:hint="eastAsia"/>
          <w:color w:val="000000"/>
          <w:sz w:val="24"/>
          <w:szCs w:val="32"/>
        </w:rPr>
      </w:pPr>
      <w:r>
        <w:rPr>
          <w:rStyle w:val="55"/>
          <w:rFonts w:hint="eastAsia"/>
          <w:color w:val="000000"/>
          <w:sz w:val="24"/>
          <w:szCs w:val="32"/>
        </w:rPr>
        <w:t>１、甲方无正当理由拒收服务、拒付服务款的，甲方向乙方偿付合同总价的1%违约金；</w:t>
      </w:r>
    </w:p>
    <w:p w14:paraId="4AA8E1B2">
      <w:pPr>
        <w:spacing w:line="360" w:lineRule="auto"/>
        <w:ind w:firstLine="480"/>
        <w:rPr>
          <w:rStyle w:val="55"/>
          <w:rFonts w:hint="eastAsia"/>
          <w:color w:val="000000"/>
          <w:sz w:val="24"/>
          <w:szCs w:val="32"/>
        </w:rPr>
      </w:pPr>
      <w:r>
        <w:rPr>
          <w:rStyle w:val="55"/>
          <w:rFonts w:hint="eastAsia"/>
          <w:color w:val="000000"/>
          <w:sz w:val="24"/>
          <w:szCs w:val="32"/>
        </w:rPr>
        <w:t>2、如乙方不能交付服务的，乙方应向甲方支付合同总价10%的违约金；</w:t>
      </w:r>
    </w:p>
    <w:p w14:paraId="51A1B16A">
      <w:pPr>
        <w:spacing w:line="360" w:lineRule="auto"/>
        <w:ind w:firstLine="480"/>
        <w:rPr>
          <w:rStyle w:val="55"/>
          <w:rFonts w:hint="eastAsia"/>
          <w:color w:val="000000"/>
          <w:sz w:val="24"/>
          <w:szCs w:val="32"/>
        </w:rPr>
      </w:pPr>
      <w:r>
        <w:rPr>
          <w:rStyle w:val="55"/>
          <w:rFonts w:hint="eastAsia"/>
          <w:color w:val="000000"/>
          <w:sz w:val="24"/>
          <w:szCs w:val="32"/>
        </w:rPr>
        <w:t>3、乙方逾期交付的，每逾期1天，乙方向甲方偿付合同总额的5‰的滞纳金。如乙方逾期交付达10天，甲方有权解除合同，解除合同的通知自到达乙方时生效；</w:t>
      </w:r>
    </w:p>
    <w:p w14:paraId="7050E13E">
      <w:pPr>
        <w:spacing w:line="360" w:lineRule="auto"/>
        <w:ind w:firstLine="480"/>
        <w:rPr>
          <w:rStyle w:val="55"/>
          <w:rFonts w:hint="eastAsia"/>
          <w:color w:val="000000"/>
          <w:sz w:val="24"/>
          <w:szCs w:val="32"/>
        </w:rPr>
      </w:pPr>
      <w:r>
        <w:rPr>
          <w:rStyle w:val="55"/>
          <w:rFonts w:hint="eastAsia"/>
          <w:color w:val="000000"/>
          <w:sz w:val="24"/>
          <w:szCs w:val="32"/>
        </w:rPr>
        <w:t>4、乙方所交付的服务不符合合同规定的，甲方有权拒收。甲方拒收的，乙方应向甲方支付合同总款10%的违约金。甲方未发现导致接收的，甲方有权在接受后向有关部门反映，并责成乙方按照采购结果提供服务，同时视情有权不予支付相关款项，并追究乙方违约责任；</w:t>
      </w:r>
    </w:p>
    <w:p w14:paraId="50FCB449">
      <w:pPr>
        <w:spacing w:line="360" w:lineRule="auto"/>
        <w:ind w:firstLine="480"/>
        <w:rPr>
          <w:rStyle w:val="55"/>
          <w:rFonts w:hint="eastAsia"/>
          <w:color w:val="000000"/>
          <w:sz w:val="24"/>
          <w:szCs w:val="32"/>
        </w:rPr>
      </w:pPr>
      <w:r>
        <w:rPr>
          <w:rStyle w:val="55"/>
          <w:rFonts w:hint="eastAsia"/>
          <w:color w:val="000000"/>
          <w:sz w:val="24"/>
          <w:szCs w:val="32"/>
        </w:rPr>
        <w:t>5、在乙方承诺的或国家规定的质量保证期内（取两者中最长的期限），如经乙方两次整改仍不能达到合同约定的质量标准，乙方应退回全部合同价款，并按第3款处理，同时，乙方还须赔偿甲方因此遭受的损失；</w:t>
      </w:r>
    </w:p>
    <w:p w14:paraId="52F205AC">
      <w:pPr>
        <w:spacing w:line="360" w:lineRule="auto"/>
        <w:ind w:firstLine="480"/>
        <w:rPr>
          <w:rStyle w:val="55"/>
          <w:rFonts w:hint="eastAsia"/>
          <w:color w:val="000000"/>
          <w:sz w:val="24"/>
          <w:szCs w:val="32"/>
        </w:rPr>
      </w:pPr>
      <w:r>
        <w:rPr>
          <w:rStyle w:val="55"/>
          <w:rFonts w:hint="eastAsia"/>
          <w:color w:val="000000"/>
          <w:sz w:val="24"/>
          <w:szCs w:val="32"/>
        </w:rPr>
        <w:t>6、乙方未按本合同的规定和“服务承诺”提供伴随服务/售后服务的，应按合同总价款的10%向甲方承担违约责任；</w:t>
      </w:r>
    </w:p>
    <w:p w14:paraId="54889236">
      <w:pPr>
        <w:spacing w:line="360" w:lineRule="auto"/>
        <w:ind w:firstLine="480"/>
        <w:rPr>
          <w:rStyle w:val="55"/>
          <w:rFonts w:hint="eastAsia"/>
          <w:color w:val="000000"/>
          <w:sz w:val="24"/>
          <w:szCs w:val="32"/>
        </w:rPr>
      </w:pPr>
      <w:r>
        <w:rPr>
          <w:rStyle w:val="55"/>
          <w:rFonts w:hint="eastAsia"/>
          <w:color w:val="000000"/>
          <w:sz w:val="24"/>
          <w:szCs w:val="32"/>
        </w:rPr>
        <w:t>7、乙方在承担上述4-7款一项或多项违约责任后，仍应继续履行合同规定的义务（甲方解除合同的除外）。甲方未能及时追究乙方的任何一项违约责任并不表明甲方放弃追究乙方该项或其他违约责任；</w:t>
      </w:r>
    </w:p>
    <w:p w14:paraId="72F24B49">
      <w:pPr>
        <w:spacing w:line="360" w:lineRule="auto"/>
        <w:ind w:firstLine="480"/>
        <w:rPr>
          <w:rStyle w:val="55"/>
          <w:rFonts w:hint="eastAsia"/>
          <w:color w:val="000000"/>
          <w:sz w:val="24"/>
          <w:szCs w:val="32"/>
        </w:rPr>
      </w:pPr>
      <w:r>
        <w:rPr>
          <w:rStyle w:val="55"/>
          <w:rFonts w:hint="eastAsia"/>
          <w:color w:val="000000"/>
          <w:sz w:val="24"/>
          <w:szCs w:val="32"/>
        </w:rPr>
        <w:t>8、乙方响应属虚假承诺，或经权威部门监测提供的服务不能满足竞争性磋商文件要求，或是由于乙方的过错造成合同无法继续履行的，乙方应向甲方支付不少于合同总价30%赔偿金；</w:t>
      </w:r>
    </w:p>
    <w:p w14:paraId="1C584461">
      <w:pPr>
        <w:spacing w:line="360" w:lineRule="auto"/>
        <w:ind w:firstLine="480"/>
        <w:rPr>
          <w:rStyle w:val="55"/>
          <w:color w:val="000000"/>
          <w:sz w:val="24"/>
          <w:szCs w:val="32"/>
        </w:rPr>
      </w:pPr>
      <w:r>
        <w:rPr>
          <w:rStyle w:val="55"/>
          <w:rFonts w:hint="eastAsia"/>
          <w:color w:val="000000"/>
          <w:sz w:val="24"/>
          <w:szCs w:val="32"/>
        </w:rPr>
        <w:t>9、合同履行过程中，乙方负责工作团队安全教育，制定并落实安全生产管理制度，加强安全管控，因乙方原因产生的安全问题由乙方承担。双方一致同意，根据相关法律规定，乙方为生产安全责任主体；本服务协议项下，乙方对受托范围内的安全生产管理工作负首要责任。根据不同的专业性质，乙方负责安排具体日常生产安全管理工作，并按照下述要求履行安全生产职责。</w:t>
      </w:r>
    </w:p>
    <w:p w14:paraId="2A0187E3">
      <w:pPr>
        <w:spacing w:line="360" w:lineRule="auto"/>
        <w:ind w:firstLine="480"/>
        <w:rPr>
          <w:rStyle w:val="55"/>
          <w:color w:val="000000"/>
          <w:sz w:val="24"/>
          <w:szCs w:val="32"/>
        </w:rPr>
      </w:pPr>
      <w:r>
        <w:rPr>
          <w:rStyle w:val="55"/>
          <w:rFonts w:hint="eastAsia"/>
          <w:color w:val="000000"/>
          <w:sz w:val="24"/>
          <w:szCs w:val="32"/>
        </w:rPr>
        <w:t>（1）乙方应加强</w:t>
      </w:r>
      <w:r>
        <w:rPr>
          <w:rStyle w:val="55"/>
          <w:color w:val="000000"/>
          <w:sz w:val="24"/>
          <w:szCs w:val="32"/>
        </w:rPr>
        <w:t>安全生产管理，接受政府有关部门和上级的监管，严格按照《中华人民共和国安全生产法》中的要求，压实各级的安全生产责任，提高项目安全生产水平，确保安全生产。</w:t>
      </w:r>
    </w:p>
    <w:p w14:paraId="6A661C69">
      <w:pPr>
        <w:spacing w:line="360" w:lineRule="auto"/>
        <w:ind w:firstLine="480"/>
        <w:rPr>
          <w:rStyle w:val="55"/>
          <w:color w:val="000000"/>
          <w:sz w:val="24"/>
          <w:szCs w:val="32"/>
        </w:rPr>
      </w:pPr>
      <w:r>
        <w:rPr>
          <w:rStyle w:val="55"/>
          <w:rFonts w:hint="eastAsia"/>
          <w:color w:val="000000"/>
          <w:sz w:val="24"/>
          <w:szCs w:val="32"/>
        </w:rPr>
        <w:t>（2）乙方</w:t>
      </w:r>
      <w:r>
        <w:rPr>
          <w:rStyle w:val="55"/>
          <w:color w:val="000000"/>
          <w:sz w:val="24"/>
          <w:szCs w:val="32"/>
        </w:rPr>
        <w:t>确保具备《中华人民共和国安全生产法》和有关法律、行政法规和国家标准或者行业标准规定的安全生产条件；不具备安全生产条件的，不得从事生产经营活动。</w:t>
      </w:r>
    </w:p>
    <w:p w14:paraId="4FD827B8">
      <w:pPr>
        <w:spacing w:line="360" w:lineRule="auto"/>
        <w:ind w:firstLine="480"/>
        <w:rPr>
          <w:rStyle w:val="55"/>
          <w:color w:val="000000"/>
          <w:sz w:val="24"/>
          <w:szCs w:val="32"/>
        </w:rPr>
      </w:pPr>
      <w:r>
        <w:rPr>
          <w:rStyle w:val="55"/>
          <w:rFonts w:hint="eastAsia"/>
          <w:color w:val="000000"/>
          <w:sz w:val="24"/>
          <w:szCs w:val="32"/>
        </w:rPr>
        <w:t>（3）</w:t>
      </w:r>
      <w:r>
        <w:rPr>
          <w:rStyle w:val="55"/>
          <w:color w:val="000000"/>
          <w:sz w:val="24"/>
          <w:szCs w:val="32"/>
        </w:rPr>
        <w:t>建立相应的机制，加强对全员安全生产责任制落实情况的监督考核，保证全员安全生产责任制的落实。</w:t>
      </w:r>
    </w:p>
    <w:p w14:paraId="5E99139D">
      <w:pPr>
        <w:spacing w:line="360" w:lineRule="auto"/>
        <w:ind w:firstLine="480"/>
        <w:rPr>
          <w:rStyle w:val="55"/>
          <w:color w:val="000000"/>
          <w:sz w:val="24"/>
          <w:szCs w:val="32"/>
        </w:rPr>
      </w:pPr>
      <w:r>
        <w:rPr>
          <w:rStyle w:val="55"/>
          <w:rFonts w:hint="eastAsia"/>
          <w:color w:val="000000"/>
          <w:sz w:val="24"/>
          <w:szCs w:val="32"/>
        </w:rPr>
        <w:t>（4）乙方</w:t>
      </w:r>
      <w:r>
        <w:rPr>
          <w:rStyle w:val="55"/>
          <w:color w:val="000000"/>
          <w:sz w:val="24"/>
          <w:szCs w:val="32"/>
        </w:rPr>
        <w:t>应当教育和督促</w:t>
      </w:r>
      <w:r>
        <w:rPr>
          <w:rStyle w:val="55"/>
          <w:rFonts w:hint="eastAsia"/>
          <w:color w:val="000000"/>
          <w:sz w:val="24"/>
          <w:szCs w:val="32"/>
        </w:rPr>
        <w:t>员工</w:t>
      </w:r>
      <w:r>
        <w:rPr>
          <w:rStyle w:val="55"/>
          <w:color w:val="000000"/>
          <w:sz w:val="24"/>
          <w:szCs w:val="32"/>
        </w:rPr>
        <w:t>严格执行公司的安全生产规章制度和安全操作规程。</w:t>
      </w:r>
    </w:p>
    <w:p w14:paraId="1FA3B290">
      <w:pPr>
        <w:spacing w:line="360" w:lineRule="auto"/>
        <w:ind w:firstLine="480"/>
        <w:rPr>
          <w:rStyle w:val="55"/>
          <w:color w:val="000000"/>
          <w:sz w:val="24"/>
          <w:szCs w:val="32"/>
        </w:rPr>
      </w:pPr>
      <w:r>
        <w:rPr>
          <w:rStyle w:val="55"/>
          <w:rFonts w:hint="eastAsia"/>
          <w:color w:val="000000"/>
          <w:sz w:val="24"/>
          <w:szCs w:val="32"/>
        </w:rPr>
        <w:t>（5）乙方</w:t>
      </w:r>
      <w:r>
        <w:rPr>
          <w:rStyle w:val="55"/>
          <w:color w:val="000000"/>
          <w:sz w:val="24"/>
          <w:szCs w:val="32"/>
        </w:rPr>
        <w:t>应当配备</w:t>
      </w:r>
      <w:r>
        <w:rPr>
          <w:rStyle w:val="55"/>
          <w:rFonts w:hint="eastAsia"/>
          <w:color w:val="000000"/>
          <w:sz w:val="24"/>
          <w:szCs w:val="32"/>
        </w:rPr>
        <w:t>采购必要的</w:t>
      </w:r>
      <w:r>
        <w:rPr>
          <w:rStyle w:val="55"/>
          <w:color w:val="000000"/>
          <w:sz w:val="24"/>
          <w:szCs w:val="32"/>
        </w:rPr>
        <w:t>劳动防护用品</w:t>
      </w:r>
      <w:r>
        <w:rPr>
          <w:rStyle w:val="55"/>
          <w:rFonts w:hint="eastAsia"/>
          <w:color w:val="000000"/>
          <w:sz w:val="24"/>
          <w:szCs w:val="32"/>
        </w:rPr>
        <w:t>，准备</w:t>
      </w:r>
      <w:r>
        <w:rPr>
          <w:rStyle w:val="55"/>
          <w:color w:val="000000"/>
          <w:sz w:val="24"/>
          <w:szCs w:val="32"/>
        </w:rPr>
        <w:t>进行安全生产培训的经费。</w:t>
      </w:r>
    </w:p>
    <w:p w14:paraId="256C2898">
      <w:pPr>
        <w:spacing w:line="360" w:lineRule="auto"/>
        <w:ind w:firstLine="480"/>
        <w:rPr>
          <w:rStyle w:val="55"/>
          <w:rFonts w:hint="eastAsia"/>
          <w:color w:val="000000"/>
          <w:sz w:val="24"/>
          <w:szCs w:val="32"/>
        </w:rPr>
      </w:pPr>
      <w:r>
        <w:rPr>
          <w:rStyle w:val="55"/>
          <w:rFonts w:hint="eastAsia"/>
          <w:color w:val="000000"/>
          <w:sz w:val="24"/>
          <w:szCs w:val="32"/>
        </w:rPr>
        <w:t>（6）</w:t>
      </w:r>
      <w:r>
        <w:rPr>
          <w:rStyle w:val="55"/>
          <w:color w:val="000000"/>
          <w:sz w:val="24"/>
          <w:szCs w:val="32"/>
        </w:rPr>
        <w:t>若发生安全生产责任事故的，</w:t>
      </w:r>
      <w:r>
        <w:rPr>
          <w:rStyle w:val="55"/>
          <w:rFonts w:hint="eastAsia"/>
          <w:color w:val="000000"/>
          <w:sz w:val="24"/>
          <w:szCs w:val="32"/>
        </w:rPr>
        <w:t>乙方</w:t>
      </w:r>
      <w:r>
        <w:rPr>
          <w:rStyle w:val="55"/>
          <w:color w:val="000000"/>
          <w:sz w:val="24"/>
          <w:szCs w:val="32"/>
        </w:rPr>
        <w:t>承担</w:t>
      </w:r>
      <w:r>
        <w:rPr>
          <w:rStyle w:val="55"/>
          <w:rFonts w:hint="eastAsia"/>
          <w:color w:val="000000"/>
          <w:sz w:val="24"/>
          <w:szCs w:val="32"/>
        </w:rPr>
        <w:t>全部的</w:t>
      </w:r>
      <w:r>
        <w:rPr>
          <w:rStyle w:val="55"/>
          <w:color w:val="000000"/>
          <w:sz w:val="24"/>
          <w:szCs w:val="32"/>
        </w:rPr>
        <w:t>安全生产责任</w:t>
      </w:r>
      <w:r>
        <w:rPr>
          <w:rStyle w:val="55"/>
          <w:rFonts w:hint="eastAsia"/>
          <w:color w:val="000000"/>
          <w:sz w:val="24"/>
          <w:szCs w:val="32"/>
        </w:rPr>
        <w:t>，并赔偿相应人员或机构的损失，且甲方有权终止本合同</w:t>
      </w:r>
      <w:r>
        <w:rPr>
          <w:rStyle w:val="55"/>
          <w:color w:val="000000"/>
          <w:sz w:val="24"/>
          <w:szCs w:val="32"/>
        </w:rPr>
        <w:t>。</w:t>
      </w:r>
    </w:p>
    <w:p w14:paraId="72ECD4E8">
      <w:pPr>
        <w:spacing w:line="360" w:lineRule="auto"/>
        <w:ind w:firstLine="482"/>
        <w:rPr>
          <w:rStyle w:val="55"/>
          <w:rFonts w:hint="eastAsia"/>
          <w:b/>
          <w:bCs/>
          <w:color w:val="000000"/>
          <w:sz w:val="24"/>
          <w:szCs w:val="32"/>
        </w:rPr>
      </w:pPr>
      <w:r>
        <w:rPr>
          <w:rStyle w:val="55"/>
          <w:rFonts w:hint="eastAsia"/>
          <w:b/>
          <w:bCs/>
          <w:color w:val="000000"/>
          <w:sz w:val="24"/>
          <w:szCs w:val="32"/>
        </w:rPr>
        <w:t>第九条 合同的变更和终止</w:t>
      </w:r>
    </w:p>
    <w:p w14:paraId="75AE20EE">
      <w:pPr>
        <w:spacing w:line="360" w:lineRule="auto"/>
        <w:ind w:firstLine="480"/>
        <w:rPr>
          <w:rStyle w:val="55"/>
          <w:rFonts w:hint="eastAsia"/>
          <w:color w:val="000000"/>
          <w:sz w:val="24"/>
          <w:szCs w:val="32"/>
        </w:rPr>
      </w:pPr>
      <w:r>
        <w:rPr>
          <w:rStyle w:val="55"/>
          <w:rFonts w:hint="eastAsia"/>
          <w:color w:val="000000"/>
          <w:sz w:val="24"/>
          <w:szCs w:val="32"/>
        </w:rPr>
        <w:t>1、除《政府采购法》第50条第二款规定的情形外，本合同一经签订，甲乙双方不得擅自变更、中止或终止合同；</w:t>
      </w:r>
    </w:p>
    <w:p w14:paraId="59D2AC4D">
      <w:pPr>
        <w:spacing w:line="360" w:lineRule="auto"/>
        <w:ind w:firstLine="480"/>
        <w:rPr>
          <w:rStyle w:val="55"/>
          <w:rFonts w:hint="eastAsia"/>
          <w:color w:val="000000"/>
          <w:sz w:val="24"/>
          <w:szCs w:val="32"/>
        </w:rPr>
      </w:pPr>
      <w:r>
        <w:rPr>
          <w:rStyle w:val="55"/>
          <w:rFonts w:hint="eastAsia"/>
          <w:color w:val="000000"/>
          <w:sz w:val="24"/>
          <w:szCs w:val="32"/>
        </w:rPr>
        <w:t>2、除发生法律规定的不能预见、不能避免并不能克服的客观情况外，甲乙双方不得放弃或拒绝履行合同。乙方放弃或拒绝履行合同，应支付甲方合同总额20%的违约金。</w:t>
      </w:r>
    </w:p>
    <w:p w14:paraId="539C1244">
      <w:pPr>
        <w:spacing w:line="360" w:lineRule="auto"/>
        <w:ind w:firstLine="482"/>
        <w:rPr>
          <w:rStyle w:val="55"/>
          <w:rFonts w:hint="eastAsia"/>
          <w:b/>
          <w:bCs/>
          <w:color w:val="000000"/>
          <w:sz w:val="24"/>
          <w:szCs w:val="32"/>
        </w:rPr>
      </w:pPr>
      <w:r>
        <w:rPr>
          <w:rStyle w:val="55"/>
          <w:rFonts w:hint="eastAsia"/>
          <w:b/>
          <w:bCs/>
          <w:color w:val="000000"/>
          <w:sz w:val="24"/>
          <w:szCs w:val="32"/>
        </w:rPr>
        <w:t>第十条 合同的转让</w:t>
      </w:r>
    </w:p>
    <w:p w14:paraId="3D6E46ED">
      <w:pPr>
        <w:spacing w:line="360" w:lineRule="auto"/>
        <w:ind w:firstLine="480"/>
        <w:rPr>
          <w:rStyle w:val="55"/>
          <w:rFonts w:hint="eastAsia"/>
          <w:color w:val="000000"/>
          <w:sz w:val="24"/>
          <w:szCs w:val="32"/>
        </w:rPr>
      </w:pPr>
      <w:r>
        <w:rPr>
          <w:rStyle w:val="55"/>
          <w:rFonts w:hint="eastAsia"/>
          <w:color w:val="000000"/>
          <w:sz w:val="24"/>
          <w:szCs w:val="32"/>
        </w:rPr>
        <w:t>乙方不得擅自部分或全部转让其应履行的合同义务；</w:t>
      </w:r>
    </w:p>
    <w:p w14:paraId="75FDB409">
      <w:pPr>
        <w:spacing w:line="360" w:lineRule="auto"/>
        <w:ind w:firstLine="482"/>
        <w:rPr>
          <w:rStyle w:val="55"/>
          <w:rFonts w:hint="eastAsia"/>
          <w:color w:val="000000"/>
          <w:sz w:val="24"/>
          <w:szCs w:val="32"/>
        </w:rPr>
      </w:pPr>
      <w:r>
        <w:rPr>
          <w:rStyle w:val="55"/>
          <w:rFonts w:hint="eastAsia"/>
          <w:b/>
          <w:bCs/>
          <w:color w:val="000000"/>
          <w:sz w:val="24"/>
          <w:szCs w:val="32"/>
        </w:rPr>
        <w:t>第十一条 争议的解决</w:t>
      </w:r>
    </w:p>
    <w:p w14:paraId="120FA63C">
      <w:pPr>
        <w:spacing w:line="360" w:lineRule="auto"/>
        <w:ind w:firstLine="480"/>
        <w:rPr>
          <w:rStyle w:val="55"/>
          <w:rFonts w:hint="eastAsia"/>
          <w:color w:val="000000"/>
          <w:sz w:val="24"/>
          <w:szCs w:val="32"/>
        </w:rPr>
      </w:pPr>
      <w:r>
        <w:rPr>
          <w:rStyle w:val="55"/>
          <w:rFonts w:hint="eastAsia"/>
          <w:color w:val="000000"/>
          <w:sz w:val="24"/>
          <w:szCs w:val="32"/>
        </w:rPr>
        <w:t>1、因履行本合同引起的或与本合同有关的争议，甲、乙双方应首先通过友好协商解决，如果协商不能解决争议，则采取以下第（1）种方式解决争议：</w:t>
      </w:r>
    </w:p>
    <w:p w14:paraId="6E1A0D6E">
      <w:pPr>
        <w:spacing w:line="360" w:lineRule="auto"/>
        <w:ind w:firstLine="480"/>
        <w:rPr>
          <w:rStyle w:val="55"/>
          <w:rFonts w:hint="eastAsia"/>
          <w:color w:val="000000"/>
          <w:sz w:val="24"/>
          <w:szCs w:val="32"/>
        </w:rPr>
      </w:pPr>
      <w:r>
        <w:rPr>
          <w:rStyle w:val="55"/>
          <w:rFonts w:hint="eastAsia"/>
          <w:color w:val="000000"/>
          <w:sz w:val="24"/>
          <w:szCs w:val="32"/>
        </w:rPr>
        <w:t>（1）向甲方所在地有管辖权的人民法院提起诉讼；</w:t>
      </w:r>
    </w:p>
    <w:p w14:paraId="0E5F370A">
      <w:pPr>
        <w:spacing w:line="360" w:lineRule="auto"/>
        <w:ind w:firstLine="480"/>
        <w:rPr>
          <w:rStyle w:val="55"/>
          <w:rFonts w:hint="eastAsia"/>
          <w:color w:val="000000"/>
          <w:sz w:val="24"/>
          <w:szCs w:val="32"/>
        </w:rPr>
      </w:pPr>
      <w:r>
        <w:rPr>
          <w:rStyle w:val="55"/>
          <w:rFonts w:hint="eastAsia"/>
          <w:color w:val="000000"/>
          <w:sz w:val="24"/>
          <w:szCs w:val="32"/>
        </w:rPr>
        <w:t>（2）向南京仲裁委员会按其仲裁规则申请仲裁；</w:t>
      </w:r>
    </w:p>
    <w:p w14:paraId="0CD5DE3C">
      <w:pPr>
        <w:spacing w:line="360" w:lineRule="auto"/>
        <w:ind w:firstLine="480"/>
        <w:rPr>
          <w:rStyle w:val="55"/>
          <w:rFonts w:hint="eastAsia"/>
          <w:color w:val="000000"/>
          <w:sz w:val="24"/>
          <w:szCs w:val="32"/>
        </w:rPr>
      </w:pPr>
      <w:r>
        <w:rPr>
          <w:rStyle w:val="55"/>
          <w:rFonts w:hint="eastAsia"/>
          <w:color w:val="000000"/>
          <w:sz w:val="24"/>
          <w:szCs w:val="32"/>
        </w:rPr>
        <w:t>如没有约定，默认采取第2种方式解决争议；</w:t>
      </w:r>
    </w:p>
    <w:p w14:paraId="19E3AC33">
      <w:pPr>
        <w:spacing w:line="360" w:lineRule="auto"/>
        <w:ind w:firstLine="480"/>
        <w:rPr>
          <w:rStyle w:val="55"/>
          <w:rFonts w:hint="eastAsia"/>
          <w:color w:val="000000"/>
          <w:sz w:val="24"/>
          <w:szCs w:val="32"/>
        </w:rPr>
      </w:pPr>
      <w:r>
        <w:rPr>
          <w:rStyle w:val="55"/>
          <w:rFonts w:hint="eastAsia"/>
          <w:color w:val="000000"/>
          <w:sz w:val="24"/>
          <w:szCs w:val="32"/>
        </w:rPr>
        <w:t>2、在仲裁期间，本合同应继续履行；</w:t>
      </w:r>
    </w:p>
    <w:p w14:paraId="4EFC352D">
      <w:pPr>
        <w:spacing w:line="360" w:lineRule="auto"/>
        <w:ind w:firstLine="482"/>
        <w:rPr>
          <w:rStyle w:val="55"/>
          <w:rFonts w:hint="eastAsia"/>
          <w:b/>
          <w:bCs/>
          <w:color w:val="000000"/>
          <w:sz w:val="24"/>
          <w:szCs w:val="32"/>
        </w:rPr>
      </w:pPr>
      <w:r>
        <w:rPr>
          <w:rStyle w:val="55"/>
          <w:rFonts w:hint="eastAsia"/>
          <w:b/>
          <w:bCs/>
          <w:color w:val="000000"/>
          <w:sz w:val="24"/>
          <w:szCs w:val="32"/>
        </w:rPr>
        <w:t>第十二条诚实信用</w:t>
      </w:r>
    </w:p>
    <w:p w14:paraId="6AE4E2A1">
      <w:pPr>
        <w:spacing w:line="360" w:lineRule="auto"/>
        <w:ind w:firstLine="480"/>
        <w:rPr>
          <w:rStyle w:val="55"/>
          <w:rFonts w:hint="eastAsia"/>
          <w:color w:val="000000"/>
          <w:sz w:val="24"/>
          <w:szCs w:val="32"/>
        </w:rPr>
      </w:pPr>
      <w:r>
        <w:rPr>
          <w:rStyle w:val="55"/>
          <w:rFonts w:hint="eastAsia"/>
          <w:color w:val="000000"/>
          <w:sz w:val="24"/>
          <w:szCs w:val="32"/>
        </w:rPr>
        <w:t>乙方应诚实信用，严格按照竞争性磋商文件要求和响应承诺履行合同，不向甲方进行商业贿赂或者提供不正当利益；</w:t>
      </w:r>
    </w:p>
    <w:p w14:paraId="5A82B958">
      <w:pPr>
        <w:spacing w:line="360" w:lineRule="auto"/>
        <w:ind w:firstLine="482"/>
        <w:rPr>
          <w:rStyle w:val="55"/>
          <w:rFonts w:hint="eastAsia"/>
          <w:b/>
          <w:bCs/>
          <w:color w:val="000000"/>
          <w:sz w:val="24"/>
          <w:szCs w:val="32"/>
        </w:rPr>
      </w:pPr>
      <w:r>
        <w:rPr>
          <w:rStyle w:val="55"/>
          <w:rFonts w:hint="eastAsia"/>
          <w:b/>
          <w:bCs/>
          <w:color w:val="000000"/>
          <w:sz w:val="24"/>
          <w:szCs w:val="32"/>
        </w:rPr>
        <w:t>第十三条 其他事项</w:t>
      </w:r>
    </w:p>
    <w:p w14:paraId="2C4CFFF0">
      <w:pPr>
        <w:spacing w:line="360" w:lineRule="auto"/>
        <w:ind w:firstLine="480"/>
        <w:rPr>
          <w:rStyle w:val="55"/>
          <w:rFonts w:hint="eastAsia"/>
          <w:color w:val="000000"/>
          <w:sz w:val="24"/>
          <w:szCs w:val="32"/>
        </w:rPr>
      </w:pPr>
      <w:r>
        <w:rPr>
          <w:rStyle w:val="55"/>
          <w:rFonts w:hint="eastAsia"/>
          <w:color w:val="000000"/>
          <w:sz w:val="24"/>
          <w:szCs w:val="32"/>
        </w:rPr>
        <w:t>1、甲乙双方在履行合同中发生矛盾及纠纷时，明确责任后，违约、滞纳金，由违约方在柒日内支付给对方；</w:t>
      </w:r>
    </w:p>
    <w:p w14:paraId="072A7238">
      <w:pPr>
        <w:spacing w:line="360" w:lineRule="auto"/>
        <w:ind w:firstLine="480"/>
        <w:rPr>
          <w:rStyle w:val="55"/>
          <w:rFonts w:hint="eastAsia"/>
          <w:color w:val="000000"/>
          <w:sz w:val="24"/>
          <w:szCs w:val="32"/>
        </w:rPr>
      </w:pPr>
      <w:r>
        <w:rPr>
          <w:rStyle w:val="55"/>
          <w:rFonts w:hint="eastAsia"/>
          <w:color w:val="000000"/>
          <w:sz w:val="24"/>
          <w:szCs w:val="32"/>
        </w:rPr>
        <w:t>2、本合同一式</w:t>
      </w:r>
      <w:r>
        <w:rPr>
          <w:rStyle w:val="55"/>
          <w:rFonts w:hint="eastAsia"/>
          <w:color w:val="000000"/>
          <w:sz w:val="24"/>
          <w:szCs w:val="32"/>
          <w:lang w:val="en-US" w:eastAsia="zh-CN"/>
        </w:rPr>
        <w:t>肆</w:t>
      </w:r>
      <w:r>
        <w:rPr>
          <w:rStyle w:val="55"/>
          <w:rFonts w:hint="eastAsia"/>
          <w:color w:val="000000"/>
          <w:sz w:val="24"/>
          <w:szCs w:val="32"/>
        </w:rPr>
        <w:t>份，甲乙双方各执贰份；</w:t>
      </w:r>
    </w:p>
    <w:p w14:paraId="370A0A2F">
      <w:pPr>
        <w:spacing w:line="360" w:lineRule="auto"/>
        <w:ind w:firstLine="480"/>
        <w:rPr>
          <w:rStyle w:val="55"/>
          <w:rFonts w:hint="eastAsia"/>
          <w:color w:val="000000"/>
          <w:sz w:val="24"/>
          <w:szCs w:val="32"/>
        </w:rPr>
      </w:pPr>
      <w:r>
        <w:rPr>
          <w:rStyle w:val="55"/>
          <w:rFonts w:hint="eastAsia"/>
          <w:color w:val="000000"/>
          <w:sz w:val="24"/>
          <w:szCs w:val="32"/>
        </w:rPr>
        <w:t>3、本合同应按照中华人民共和国的现行法律进行解释；</w:t>
      </w:r>
    </w:p>
    <w:p w14:paraId="6BF71472">
      <w:pPr>
        <w:pStyle w:val="9"/>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2"/>
          <w:highlight w:val="none"/>
          <w:lang w:val="en-US" w:eastAsia="zh-CN"/>
        </w:rPr>
      </w:pPr>
      <w:r>
        <w:rPr>
          <w:rStyle w:val="55"/>
          <w:rFonts w:hint="eastAsia"/>
          <w:bCs/>
          <w:color w:val="000000"/>
          <w:sz w:val="24"/>
          <w:szCs w:val="32"/>
        </w:rPr>
        <w:t>4、本合同一经双方签字盖章后，即发生法律效力</w:t>
      </w:r>
      <w:r>
        <w:rPr>
          <w:rStyle w:val="55"/>
          <w:rFonts w:hint="eastAsia"/>
          <w:bCs/>
          <w:color w:val="000000"/>
          <w:sz w:val="24"/>
          <w:szCs w:val="32"/>
          <w:lang w:eastAsia="zh-CN"/>
        </w:rPr>
        <w:t>。</w:t>
      </w:r>
    </w:p>
    <w:p w14:paraId="1BC120A6">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cs="宋体"/>
          <w:sz w:val="24"/>
          <w:szCs w:val="22"/>
          <w:highlight w:val="none"/>
          <w:lang w:val="en-US" w:eastAsia="zh-CN"/>
        </w:rPr>
      </w:pPr>
      <w:r>
        <w:rPr>
          <w:rFonts w:hint="default" w:ascii="宋体" w:hAnsi="宋体" w:cs="宋体"/>
          <w:sz w:val="24"/>
          <w:szCs w:val="22"/>
          <w:highlight w:val="none"/>
          <w:lang w:val="en-US" w:eastAsia="zh-CN"/>
        </w:rPr>
        <w:t>甲方(签字盖章):</w:t>
      </w:r>
      <w:r>
        <w:rPr>
          <w:rFonts w:hint="eastAsia" w:ascii="宋体" w:hAnsi="宋体" w:cs="宋体"/>
          <w:sz w:val="24"/>
          <w:szCs w:val="22"/>
          <w:highlight w:val="none"/>
          <w:lang w:val="en-US" w:eastAsia="zh-CN"/>
        </w:rPr>
        <w:t xml:space="preserve">                   乙</w:t>
      </w:r>
      <w:r>
        <w:rPr>
          <w:rFonts w:hint="default" w:ascii="宋体" w:hAnsi="宋体" w:cs="宋体"/>
          <w:sz w:val="24"/>
          <w:szCs w:val="22"/>
          <w:highlight w:val="none"/>
          <w:lang w:val="en-US" w:eastAsia="zh-CN"/>
        </w:rPr>
        <w:t>方(签字盖章):</w:t>
      </w:r>
    </w:p>
    <w:p w14:paraId="47C35721">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cs="宋体"/>
          <w:sz w:val="24"/>
          <w:szCs w:val="22"/>
          <w:highlight w:val="none"/>
          <w:lang w:val="en-US" w:eastAsia="zh-CN"/>
        </w:rPr>
      </w:pPr>
      <w:r>
        <w:rPr>
          <w:rFonts w:hint="default" w:ascii="宋体" w:hAnsi="宋体" w:cs="宋体"/>
          <w:sz w:val="24"/>
          <w:szCs w:val="22"/>
          <w:highlight w:val="none"/>
          <w:lang w:val="en-US" w:eastAsia="zh-CN"/>
        </w:rPr>
        <w:t>法定代表人:</w:t>
      </w:r>
      <w:r>
        <w:rPr>
          <w:rFonts w:hint="eastAsia" w:ascii="宋体" w:hAnsi="宋体" w:cs="宋体"/>
          <w:sz w:val="24"/>
          <w:szCs w:val="22"/>
          <w:highlight w:val="none"/>
          <w:lang w:val="en-US" w:eastAsia="zh-CN"/>
        </w:rPr>
        <w:t xml:space="preserve">                       </w:t>
      </w:r>
      <w:r>
        <w:rPr>
          <w:rFonts w:hint="default" w:ascii="宋体" w:hAnsi="宋体" w:cs="宋体"/>
          <w:sz w:val="24"/>
          <w:szCs w:val="22"/>
          <w:highlight w:val="none"/>
          <w:lang w:val="en-US" w:eastAsia="zh-CN"/>
        </w:rPr>
        <w:t>法定代表人:</w:t>
      </w:r>
    </w:p>
    <w:p w14:paraId="634C801F">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cs="宋体"/>
          <w:sz w:val="24"/>
          <w:szCs w:val="22"/>
          <w:highlight w:val="none"/>
          <w:lang w:val="en-US" w:eastAsia="zh-CN"/>
        </w:rPr>
      </w:pPr>
      <w:r>
        <w:rPr>
          <w:rFonts w:hint="default" w:ascii="宋体" w:hAnsi="宋体" w:cs="宋体"/>
          <w:sz w:val="24"/>
          <w:szCs w:val="22"/>
          <w:highlight w:val="none"/>
          <w:lang w:val="en-US" w:eastAsia="zh-CN"/>
        </w:rPr>
        <w:t>签字日期:</w:t>
      </w:r>
      <w:r>
        <w:rPr>
          <w:rFonts w:hint="eastAsia" w:ascii="宋体" w:hAnsi="宋体" w:cs="宋体"/>
          <w:sz w:val="24"/>
          <w:szCs w:val="22"/>
          <w:highlight w:val="none"/>
          <w:lang w:val="en-US" w:eastAsia="zh-CN"/>
        </w:rPr>
        <w:t xml:space="preserve">  </w:t>
      </w:r>
      <w:r>
        <w:rPr>
          <w:rFonts w:hint="default" w:ascii="宋体" w:hAnsi="宋体" w:cs="宋体"/>
          <w:sz w:val="24"/>
          <w:szCs w:val="22"/>
          <w:highlight w:val="none"/>
          <w:lang w:val="en-US" w:eastAsia="zh-CN"/>
        </w:rPr>
        <w:t>年</w:t>
      </w:r>
      <w:r>
        <w:rPr>
          <w:rFonts w:hint="eastAsia" w:ascii="宋体" w:hAnsi="宋体" w:cs="宋体"/>
          <w:sz w:val="24"/>
          <w:szCs w:val="22"/>
          <w:highlight w:val="none"/>
          <w:lang w:val="en-US" w:eastAsia="zh-CN"/>
        </w:rPr>
        <w:t xml:space="preserve">  </w:t>
      </w:r>
      <w:r>
        <w:rPr>
          <w:rFonts w:hint="default" w:ascii="宋体" w:hAnsi="宋体" w:cs="宋体"/>
          <w:sz w:val="24"/>
          <w:szCs w:val="22"/>
          <w:highlight w:val="none"/>
          <w:lang w:val="en-US" w:eastAsia="zh-CN"/>
        </w:rPr>
        <w:t>月</w:t>
      </w:r>
      <w:r>
        <w:rPr>
          <w:rFonts w:hint="eastAsia" w:ascii="宋体" w:hAnsi="宋体" w:cs="宋体"/>
          <w:sz w:val="24"/>
          <w:szCs w:val="22"/>
          <w:highlight w:val="none"/>
          <w:lang w:val="en-US" w:eastAsia="zh-CN"/>
        </w:rPr>
        <w:t xml:space="preserve">  日             </w:t>
      </w:r>
      <w:r>
        <w:rPr>
          <w:rFonts w:hint="default" w:ascii="宋体" w:hAnsi="宋体" w:cs="宋体"/>
          <w:sz w:val="24"/>
          <w:szCs w:val="22"/>
          <w:highlight w:val="none"/>
          <w:lang w:val="en-US" w:eastAsia="zh-CN"/>
        </w:rPr>
        <w:t>签字日期:</w:t>
      </w:r>
      <w:r>
        <w:rPr>
          <w:rFonts w:hint="eastAsia" w:ascii="宋体" w:hAnsi="宋体" w:cs="宋体"/>
          <w:sz w:val="24"/>
          <w:szCs w:val="22"/>
          <w:highlight w:val="none"/>
          <w:lang w:val="en-US" w:eastAsia="zh-CN"/>
        </w:rPr>
        <w:t xml:space="preserve">  </w:t>
      </w:r>
      <w:r>
        <w:rPr>
          <w:rFonts w:hint="default" w:ascii="宋体" w:hAnsi="宋体" w:cs="宋体"/>
          <w:sz w:val="24"/>
          <w:szCs w:val="22"/>
          <w:highlight w:val="none"/>
          <w:lang w:val="en-US" w:eastAsia="zh-CN"/>
        </w:rPr>
        <w:t>年</w:t>
      </w:r>
      <w:r>
        <w:rPr>
          <w:rFonts w:hint="eastAsia" w:ascii="宋体" w:hAnsi="宋体" w:cs="宋体"/>
          <w:sz w:val="24"/>
          <w:szCs w:val="22"/>
          <w:highlight w:val="none"/>
          <w:lang w:val="en-US" w:eastAsia="zh-CN"/>
        </w:rPr>
        <w:t xml:space="preserve">  </w:t>
      </w:r>
      <w:r>
        <w:rPr>
          <w:rFonts w:hint="default" w:ascii="宋体" w:hAnsi="宋体" w:cs="宋体"/>
          <w:sz w:val="24"/>
          <w:szCs w:val="22"/>
          <w:highlight w:val="none"/>
          <w:lang w:val="en-US" w:eastAsia="zh-CN"/>
        </w:rPr>
        <w:t>月</w:t>
      </w:r>
      <w:r>
        <w:rPr>
          <w:rFonts w:hint="eastAsia" w:ascii="宋体" w:hAnsi="宋体" w:cs="宋体"/>
          <w:sz w:val="24"/>
          <w:szCs w:val="22"/>
          <w:highlight w:val="none"/>
          <w:lang w:val="en-US" w:eastAsia="zh-CN"/>
        </w:rPr>
        <w:t xml:space="preserve">  日</w:t>
      </w:r>
    </w:p>
    <w:p w14:paraId="5E9035A2">
      <w:pP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10B64329">
      <w:pPr>
        <w:keepNext w:val="0"/>
        <w:keepLines w:val="0"/>
        <w:pageBreakBefore w:val="0"/>
        <w:kinsoku/>
        <w:wordWrap/>
        <w:overflowPunct/>
        <w:topLinePunct w:val="0"/>
        <w:bidi w:val="0"/>
        <w:spacing w:line="360" w:lineRule="auto"/>
        <w:jc w:val="center"/>
        <w:textAlignment w:val="auto"/>
        <w:rPr>
          <w:rFonts w:ascii="宋体" w:hAnsi="宋体"/>
          <w:bCs/>
          <w:color w:val="auto"/>
          <w:sz w:val="32"/>
          <w:szCs w:val="32"/>
          <w:highlight w:val="none"/>
        </w:rPr>
      </w:pPr>
      <w:r>
        <w:rPr>
          <w:rFonts w:hint="eastAsia" w:ascii="宋体" w:hAnsi="宋体"/>
          <w:b/>
          <w:bCs/>
          <w:color w:val="auto"/>
          <w:sz w:val="36"/>
          <w:szCs w:val="36"/>
          <w:highlight w:val="none"/>
        </w:rPr>
        <w:t>第六章 投标文件格式</w:t>
      </w:r>
    </w:p>
    <w:p w14:paraId="4A45500A">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rPr>
          <w:rFonts w:ascii="宋体" w:hAnsi="宋体"/>
          <w:b/>
          <w:bCs/>
          <w:color w:val="auto"/>
          <w:sz w:val="36"/>
          <w:szCs w:val="36"/>
          <w:highlight w:val="none"/>
        </w:rPr>
      </w:pPr>
    </w:p>
    <w:p w14:paraId="54146655">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rPr>
          <w:rFonts w:ascii="宋体" w:hAnsi="宋体"/>
          <w:b/>
          <w:bCs/>
          <w:color w:val="auto"/>
          <w:sz w:val="36"/>
          <w:szCs w:val="36"/>
          <w:highlight w:val="none"/>
        </w:rPr>
      </w:pPr>
    </w:p>
    <w:p w14:paraId="1DAC6C1A">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rPr>
          <w:rFonts w:ascii="宋体" w:hAnsi="宋体"/>
          <w:b/>
          <w:bCs/>
          <w:color w:val="auto"/>
          <w:sz w:val="36"/>
          <w:szCs w:val="36"/>
          <w:highlight w:val="none"/>
        </w:rPr>
      </w:pPr>
    </w:p>
    <w:p w14:paraId="27A17547">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rPr>
        <w:t>（项目名称）</w:t>
      </w:r>
    </w:p>
    <w:p w14:paraId="0F299761">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3DBFC499">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7AF5E38">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1D7F9695">
      <w:pPr>
        <w:keepNext w:val="0"/>
        <w:keepLines w:val="0"/>
        <w:pageBreakBefore w:val="0"/>
        <w:kinsoku/>
        <w:wordWrap/>
        <w:overflowPunct/>
        <w:topLinePunct w:val="0"/>
        <w:autoSpaceDE w:val="0"/>
        <w:autoSpaceDN w:val="0"/>
        <w:bidi w:val="0"/>
        <w:adjustRightInd w:val="0"/>
        <w:snapToGrid w:val="0"/>
        <w:spacing w:line="360" w:lineRule="auto"/>
        <w:ind w:firstLine="723" w:firstLineChars="200"/>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rPr>
        <w:t>竞争性磋商响应文件</w:t>
      </w:r>
    </w:p>
    <w:p w14:paraId="1129C9CD">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425C366">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60B85E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7B28BFB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5A6C6EF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518FE83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5A8133E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264E721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2C9DDF82">
      <w:pPr>
        <w:keepNext w:val="0"/>
        <w:keepLines w:val="0"/>
        <w:pageBreakBefore w:val="0"/>
        <w:kinsoku/>
        <w:wordWrap/>
        <w:overflowPunct/>
        <w:topLinePunct w:val="0"/>
        <w:autoSpaceDE w:val="0"/>
        <w:autoSpaceDN w:val="0"/>
        <w:bidi w:val="0"/>
        <w:adjustRightInd w:val="0"/>
        <w:snapToGrid w:val="0"/>
        <w:spacing w:line="360" w:lineRule="auto"/>
        <w:textAlignment w:val="auto"/>
        <w:rPr>
          <w:rFonts w:ascii="宋体" w:hAnsi="宋体"/>
          <w:color w:val="auto"/>
          <w:sz w:val="24"/>
          <w:highlight w:val="none"/>
        </w:rPr>
      </w:pPr>
    </w:p>
    <w:p w14:paraId="309EA42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2A61F7CE">
      <w:pPr>
        <w:keepNext w:val="0"/>
        <w:keepLines w:val="0"/>
        <w:pageBreakBefore w:val="0"/>
        <w:kinsoku/>
        <w:wordWrap/>
        <w:overflowPunct/>
        <w:topLinePunct w:val="0"/>
        <w:autoSpaceDE w:val="0"/>
        <w:autoSpaceDN w:val="0"/>
        <w:bidi w:val="0"/>
        <w:adjustRightInd w:val="0"/>
        <w:snapToGrid w:val="0"/>
        <w:spacing w:line="360" w:lineRule="auto"/>
        <w:ind w:firstLine="1680" w:firstLineChars="600"/>
        <w:textAlignment w:val="auto"/>
        <w:rPr>
          <w:rFonts w:ascii="宋体" w:hAnsi="宋体"/>
          <w:color w:val="auto"/>
          <w:sz w:val="28"/>
          <w:szCs w:val="28"/>
          <w:highlight w:val="none"/>
        </w:rPr>
      </w:pPr>
      <w:r>
        <w:rPr>
          <w:rFonts w:hint="eastAsia" w:ascii="宋体" w:hAnsi="宋体"/>
          <w:color w:val="auto"/>
          <w:sz w:val="28"/>
          <w:szCs w:val="28"/>
          <w:highlight w:val="none"/>
        </w:rPr>
        <w:t>供应商：（盖单位章）</w:t>
      </w:r>
    </w:p>
    <w:p w14:paraId="0CC821C3">
      <w:pPr>
        <w:keepNext w:val="0"/>
        <w:keepLines w:val="0"/>
        <w:pageBreakBefore w:val="0"/>
        <w:kinsoku/>
        <w:wordWrap/>
        <w:overflowPunct/>
        <w:topLinePunct w:val="0"/>
        <w:autoSpaceDE w:val="0"/>
        <w:autoSpaceDN w:val="0"/>
        <w:bidi w:val="0"/>
        <w:adjustRightInd w:val="0"/>
        <w:snapToGrid w:val="0"/>
        <w:spacing w:line="360" w:lineRule="auto"/>
        <w:ind w:firstLine="1680" w:firstLineChars="600"/>
        <w:textAlignment w:val="auto"/>
        <w:rPr>
          <w:rFonts w:ascii="宋体" w:hAnsi="宋体"/>
          <w:color w:val="auto"/>
          <w:sz w:val="28"/>
          <w:szCs w:val="28"/>
          <w:highlight w:val="none"/>
        </w:rPr>
      </w:pPr>
      <w:r>
        <w:rPr>
          <w:rFonts w:hint="eastAsia" w:ascii="宋体" w:hAnsi="宋体"/>
          <w:color w:val="auto"/>
          <w:sz w:val="28"/>
          <w:szCs w:val="28"/>
          <w:highlight w:val="none"/>
        </w:rPr>
        <w:t>法定代表人或其委托代理人：（签字）</w:t>
      </w:r>
    </w:p>
    <w:p w14:paraId="65D8B308">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p w14:paraId="30172EE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olor w:val="auto"/>
          <w:sz w:val="24"/>
          <w:highlight w:val="none"/>
        </w:rPr>
      </w:pPr>
    </w:p>
    <w:p w14:paraId="6F281934">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AE1248D">
      <w:pPr>
        <w:keepNext w:val="0"/>
        <w:keepLines w:val="0"/>
        <w:pageBreakBefore w:val="0"/>
        <w:widowControl/>
        <w:kinsoku/>
        <w:wordWrap/>
        <w:overflowPunct/>
        <w:topLinePunct w:val="0"/>
        <w:bidi w:val="0"/>
        <w:spacing w:line="360" w:lineRule="auto"/>
        <w:jc w:val="left"/>
        <w:textAlignment w:val="auto"/>
        <w:rPr>
          <w:rFonts w:ascii="宋体" w:hAnsi="宋体"/>
          <w:color w:val="auto"/>
          <w:highlight w:val="none"/>
        </w:rPr>
      </w:pPr>
    </w:p>
    <w:p w14:paraId="1E5294C8">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28ACC12">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6C5EDBD6">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ascii="宋体" w:hAnsi="宋体"/>
          <w:b/>
          <w:bCs/>
          <w:color w:val="auto"/>
          <w:sz w:val="36"/>
          <w:szCs w:val="36"/>
          <w:highlight w:val="none"/>
        </w:rPr>
      </w:pPr>
      <w:bookmarkStart w:id="44" w:name="_Toc29894189"/>
      <w:bookmarkStart w:id="45" w:name="_Toc11783"/>
      <w:bookmarkStart w:id="46" w:name="_Toc7016"/>
      <w:bookmarkStart w:id="47" w:name="_Toc1923"/>
      <w:r>
        <w:rPr>
          <w:rFonts w:hint="eastAsia" w:ascii="宋体" w:hAnsi="宋体"/>
          <w:b/>
          <w:bCs/>
          <w:color w:val="auto"/>
          <w:sz w:val="36"/>
          <w:szCs w:val="36"/>
          <w:highlight w:val="none"/>
        </w:rPr>
        <w:t>评分索引表</w:t>
      </w:r>
      <w:bookmarkEnd w:id="44"/>
      <w:bookmarkEnd w:id="45"/>
      <w:bookmarkEnd w:id="46"/>
      <w:bookmarkEnd w:id="47"/>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9"/>
        <w:gridCol w:w="3293"/>
      </w:tblGrid>
      <w:tr w14:paraId="6917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183E4834">
            <w:pPr>
              <w:pStyle w:val="49"/>
              <w:keepNext w:val="0"/>
              <w:keepLines w:val="0"/>
              <w:pageBreakBefore w:val="0"/>
              <w:kinsoku/>
              <w:wordWrap/>
              <w:overflowPunct/>
              <w:topLinePunct w:val="0"/>
              <w:bidi w:val="0"/>
              <w:spacing w:line="360" w:lineRule="auto"/>
              <w:textAlignment w:val="auto"/>
              <w:rPr>
                <w:rFonts w:ascii="宋体" w:hAnsi="宋体" w:cs="宋体"/>
                <w:bCs/>
                <w:color w:val="auto"/>
                <w:highlight w:val="none"/>
              </w:rPr>
            </w:pPr>
            <w:r>
              <w:rPr>
                <w:rFonts w:hint="eastAsia" w:ascii="宋体" w:hAnsi="宋体" w:cs="宋体"/>
                <w:color w:val="auto"/>
                <w:highlight w:val="none"/>
              </w:rPr>
              <w:t>评分项目</w:t>
            </w:r>
          </w:p>
        </w:tc>
        <w:tc>
          <w:tcPr>
            <w:tcW w:w="1932" w:type="pct"/>
            <w:vAlign w:val="center"/>
          </w:tcPr>
          <w:p w14:paraId="7AF851B3">
            <w:pPr>
              <w:keepNext w:val="0"/>
              <w:keepLines w:val="0"/>
              <w:pageBreakBefore w:val="0"/>
              <w:kinsoku/>
              <w:wordWrap/>
              <w:overflowPunct/>
              <w:topLinePunct w:val="0"/>
              <w:bidi w:val="0"/>
              <w:spacing w:line="360" w:lineRule="auto"/>
              <w:jc w:val="center"/>
              <w:textAlignment w:val="auto"/>
              <w:rPr>
                <w:rFonts w:ascii="宋体" w:hAnsi="宋体"/>
                <w:b/>
                <w:color w:val="auto"/>
                <w:highlight w:val="none"/>
              </w:rPr>
            </w:pPr>
            <w:r>
              <w:rPr>
                <w:rFonts w:hint="eastAsia" w:ascii="宋体" w:hAnsi="宋体"/>
                <w:b/>
                <w:color w:val="auto"/>
                <w:kern w:val="0"/>
                <w:highlight w:val="none"/>
                <w:lang w:bidi="en-US"/>
              </w:rPr>
              <w:t>在投标文件中的页码位置</w:t>
            </w:r>
          </w:p>
        </w:tc>
      </w:tr>
      <w:tr w14:paraId="3E8C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vAlign w:val="center"/>
          </w:tcPr>
          <w:p w14:paraId="53D98CD1">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p>
        </w:tc>
        <w:tc>
          <w:tcPr>
            <w:tcW w:w="1932" w:type="pct"/>
            <w:vAlign w:val="center"/>
          </w:tcPr>
          <w:p w14:paraId="6C365608">
            <w:pPr>
              <w:keepNext w:val="0"/>
              <w:keepLines w:val="0"/>
              <w:pageBreakBefore w:val="0"/>
              <w:kinsoku/>
              <w:wordWrap/>
              <w:overflowPunct/>
              <w:topLinePunct w:val="0"/>
              <w:bidi w:val="0"/>
              <w:spacing w:line="360" w:lineRule="auto"/>
              <w:jc w:val="center"/>
              <w:textAlignment w:val="auto"/>
              <w:rPr>
                <w:rFonts w:ascii="宋体" w:hAnsi="宋体"/>
                <w:b/>
                <w:color w:val="auto"/>
                <w:kern w:val="0"/>
                <w:highlight w:val="none"/>
                <w:lang w:bidi="en-US"/>
              </w:rPr>
            </w:pPr>
          </w:p>
        </w:tc>
      </w:tr>
      <w:tr w14:paraId="3525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vAlign w:val="center"/>
          </w:tcPr>
          <w:p w14:paraId="5B9FE65D">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p>
        </w:tc>
        <w:tc>
          <w:tcPr>
            <w:tcW w:w="1932" w:type="pct"/>
            <w:vAlign w:val="center"/>
          </w:tcPr>
          <w:p w14:paraId="76B89B61">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r w14:paraId="576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vAlign w:val="center"/>
          </w:tcPr>
          <w:p w14:paraId="52609800">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p>
        </w:tc>
        <w:tc>
          <w:tcPr>
            <w:tcW w:w="1932" w:type="pct"/>
            <w:vAlign w:val="center"/>
          </w:tcPr>
          <w:p w14:paraId="368C1E35">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r w14:paraId="6DFC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15DED3E8">
            <w:pPr>
              <w:pStyle w:val="49"/>
              <w:keepNext w:val="0"/>
              <w:keepLines w:val="0"/>
              <w:pageBreakBefore w:val="0"/>
              <w:kinsoku/>
              <w:wordWrap/>
              <w:overflowPunct/>
              <w:topLinePunct w:val="0"/>
              <w:bidi w:val="0"/>
              <w:spacing w:line="360" w:lineRule="auto"/>
              <w:textAlignment w:val="auto"/>
              <w:rPr>
                <w:rFonts w:ascii="宋体" w:hAnsi="宋体" w:cs="宋体"/>
                <w:color w:val="auto"/>
                <w:highlight w:val="none"/>
              </w:rPr>
            </w:pPr>
            <w:r>
              <w:rPr>
                <w:rFonts w:hint="eastAsia" w:ascii="宋体" w:hAnsi="宋体" w:cs="宋体"/>
                <w:color w:val="auto"/>
                <w:highlight w:val="none"/>
              </w:rPr>
              <w:t>行数不够，自行添加</w:t>
            </w:r>
          </w:p>
        </w:tc>
        <w:tc>
          <w:tcPr>
            <w:tcW w:w="1932" w:type="pct"/>
            <w:vAlign w:val="center"/>
          </w:tcPr>
          <w:p w14:paraId="53DBAF47">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bl>
    <w:p w14:paraId="60E99548">
      <w:pPr>
        <w:keepNext w:val="0"/>
        <w:keepLines w:val="0"/>
        <w:pageBreakBefore w:val="0"/>
        <w:kinsoku/>
        <w:wordWrap/>
        <w:overflowPunct/>
        <w:topLinePunct w:val="0"/>
        <w:bidi w:val="0"/>
        <w:spacing w:line="360" w:lineRule="auto"/>
        <w:jc w:val="left"/>
        <w:textAlignment w:val="auto"/>
        <w:rPr>
          <w:rFonts w:ascii="宋体" w:hAnsi="宋体"/>
          <w:b/>
          <w:color w:val="auto"/>
          <w:highlight w:val="none"/>
        </w:rPr>
      </w:pPr>
      <w:r>
        <w:rPr>
          <w:rFonts w:hint="eastAsia" w:ascii="宋体" w:hAnsi="宋体"/>
          <w:color w:val="auto"/>
          <w:highlight w:val="none"/>
        </w:rPr>
        <w:t>注：建议投标供应商为《投标书》制作详细目录，并将该《评分索引表》放在投标书目录之前。</w:t>
      </w:r>
    </w:p>
    <w:p w14:paraId="6BF88ED8">
      <w:pPr>
        <w:keepNext w:val="0"/>
        <w:keepLines w:val="0"/>
        <w:pageBreakBefore w:val="0"/>
        <w:kinsoku/>
        <w:wordWrap/>
        <w:overflowPunct/>
        <w:topLinePunct w:val="0"/>
        <w:bidi w:val="0"/>
        <w:spacing w:line="360" w:lineRule="auto"/>
        <w:ind w:left="718" w:leftChars="342"/>
        <w:textAlignment w:val="auto"/>
        <w:rPr>
          <w:rFonts w:ascii="宋体" w:hAnsi="宋体"/>
          <w:b/>
          <w:bCs/>
          <w:color w:val="auto"/>
          <w:sz w:val="32"/>
          <w:szCs w:val="32"/>
          <w:highlight w:val="none"/>
        </w:rPr>
      </w:pPr>
    </w:p>
    <w:p w14:paraId="61C110E7">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4B6FDCC3">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rPr>
        <w:t>目录</w:t>
      </w:r>
    </w:p>
    <w:p w14:paraId="2872482A">
      <w:pPr>
        <w:keepNext w:val="0"/>
        <w:keepLines w:val="0"/>
        <w:pageBreakBefore w:val="0"/>
        <w:kinsoku/>
        <w:wordWrap/>
        <w:overflowPunct/>
        <w:topLinePunct w:val="0"/>
        <w:bidi w:val="0"/>
        <w:spacing w:line="360" w:lineRule="auto"/>
        <w:jc w:val="left"/>
        <w:textAlignment w:val="auto"/>
        <w:rPr>
          <w:rFonts w:ascii="宋体" w:hAnsi="宋体"/>
          <w:color w:val="auto"/>
          <w:highlight w:val="none"/>
        </w:rPr>
      </w:pPr>
    </w:p>
    <w:p w14:paraId="74139D8F">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b/>
          <w:bCs/>
          <w:color w:val="auto"/>
          <w:sz w:val="24"/>
          <w:highlight w:val="none"/>
        </w:rPr>
      </w:pPr>
      <w:r>
        <w:rPr>
          <w:rFonts w:hint="eastAsia" w:ascii="宋体" w:hAnsi="宋体"/>
          <w:b/>
          <w:bCs/>
          <w:color w:val="auto"/>
          <w:sz w:val="24"/>
          <w:highlight w:val="none"/>
        </w:rPr>
        <w:t>（注：供应商根据附件顺序编制投标文件并制作目录（须生成页码））</w:t>
      </w:r>
    </w:p>
    <w:p w14:paraId="192592B0">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6F77A53A">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1DFD461C">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6BF6EB09">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1821B77">
      <w:pPr>
        <w:keepNext w:val="0"/>
        <w:keepLines w:val="0"/>
        <w:pageBreakBefore w:val="0"/>
        <w:widowControl/>
        <w:kinsoku/>
        <w:wordWrap/>
        <w:overflowPunct/>
        <w:topLinePunct w:val="0"/>
        <w:bidi w:val="0"/>
        <w:spacing w:line="360" w:lineRule="auto"/>
        <w:jc w:val="left"/>
        <w:textAlignment w:val="auto"/>
        <w:rPr>
          <w:rFonts w:ascii="宋体" w:hAnsi="宋体"/>
          <w:color w:val="auto"/>
          <w:highlight w:val="none"/>
        </w:rPr>
      </w:pPr>
      <w:r>
        <w:rPr>
          <w:rFonts w:hint="eastAsia" w:ascii="宋体" w:hAnsi="宋体"/>
          <w:color w:val="auto"/>
          <w:highlight w:val="none"/>
        </w:rPr>
        <w:br w:type="page"/>
      </w:r>
    </w:p>
    <w:p w14:paraId="136654A4">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1C08607">
      <w:pPr>
        <w:keepNext w:val="0"/>
        <w:keepLines w:val="0"/>
        <w:pageBreakBefore w:val="0"/>
        <w:widowControl/>
        <w:kinsoku/>
        <w:wordWrap/>
        <w:overflowPunct/>
        <w:topLinePunct w:val="0"/>
        <w:bidi w:val="0"/>
        <w:adjustRightInd w:val="0"/>
        <w:spacing w:line="360" w:lineRule="auto"/>
        <w:jc w:val="center"/>
        <w:textAlignment w:val="auto"/>
        <w:rPr>
          <w:rFonts w:ascii="宋体" w:hAnsi="宋体"/>
          <w:b/>
          <w:bCs/>
          <w:color w:val="auto"/>
          <w:kern w:val="0"/>
          <w:sz w:val="32"/>
          <w:szCs w:val="36"/>
          <w:highlight w:val="none"/>
          <w:lang w:val="zh-CN"/>
        </w:rPr>
      </w:pPr>
      <w:r>
        <w:rPr>
          <w:rFonts w:hint="eastAsia" w:ascii="宋体" w:hAnsi="宋体"/>
          <w:b/>
          <w:bCs/>
          <w:color w:val="auto"/>
          <w:kern w:val="0"/>
          <w:sz w:val="32"/>
          <w:szCs w:val="36"/>
          <w:highlight w:val="none"/>
          <w:lang w:val="en-US" w:eastAsia="zh-CN"/>
        </w:rPr>
        <w:t>一、投标函</w:t>
      </w:r>
    </w:p>
    <w:p w14:paraId="4A86DA59">
      <w:pPr>
        <w:keepNext w:val="0"/>
        <w:keepLines w:val="0"/>
        <w:pageBreakBefore w:val="0"/>
        <w:kinsoku/>
        <w:wordWrap/>
        <w:overflowPunct/>
        <w:topLinePunct w:val="0"/>
        <w:bidi w:val="0"/>
        <w:spacing w:line="360" w:lineRule="auto"/>
        <w:textAlignment w:val="auto"/>
        <w:rPr>
          <w:rFonts w:hint="default" w:ascii="宋体" w:hAnsi="宋体" w:eastAsia="宋体"/>
          <w:b/>
          <w:color w:val="auto"/>
          <w:sz w:val="24"/>
          <w:highlight w:val="none"/>
          <w:u w:val="single"/>
          <w:lang w:val="en-US" w:eastAsia="zh-CN"/>
        </w:rPr>
      </w:pPr>
      <w:r>
        <w:rPr>
          <w:rFonts w:hint="eastAsia" w:ascii="宋体" w:hAnsi="宋体"/>
          <w:b/>
          <w:color w:val="auto"/>
          <w:sz w:val="24"/>
          <w:highlight w:val="none"/>
          <w:u w:val="none"/>
          <w:lang w:val="zh-CN"/>
        </w:rPr>
        <w:t>（采购人）：</w:t>
      </w:r>
      <w:r>
        <w:rPr>
          <w:rFonts w:hint="eastAsia" w:ascii="宋体" w:hAnsi="宋体"/>
          <w:b/>
          <w:color w:val="auto"/>
          <w:sz w:val="24"/>
          <w:highlight w:val="none"/>
          <w:u w:val="single"/>
          <w:lang w:val="en-US" w:eastAsia="zh-CN"/>
        </w:rPr>
        <w:t xml:space="preserve">                  </w:t>
      </w:r>
    </w:p>
    <w:p w14:paraId="6BD8DCDB">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1、根据已收到的采购项目的采购文件，我单位经考察现场和研究</w:t>
      </w:r>
      <w:r>
        <w:rPr>
          <w:rFonts w:hint="eastAsia" w:ascii="宋体" w:hAnsi="宋体"/>
          <w:color w:val="auto"/>
          <w:sz w:val="24"/>
          <w:highlight w:val="none"/>
          <w:lang w:val="en-US" w:eastAsia="zh-CN"/>
        </w:rPr>
        <w:t>上述</w:t>
      </w:r>
      <w:r>
        <w:rPr>
          <w:rFonts w:hint="eastAsia" w:ascii="宋体" w:hAnsi="宋体"/>
          <w:color w:val="auto"/>
          <w:sz w:val="24"/>
          <w:highlight w:val="none"/>
        </w:rPr>
        <w:t>项目采购文件的投标须知、合同条件、技术规范和其他有关文件后，我方愿以人民币(大写)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元(小写:¥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元)的总报价，</w:t>
      </w:r>
      <w:r>
        <w:rPr>
          <w:rFonts w:hint="eastAsia" w:ascii="宋体" w:hAnsi="宋体"/>
          <w:color w:val="auto"/>
          <w:sz w:val="24"/>
          <w:highlight w:val="none"/>
          <w:lang w:val="en-US" w:eastAsia="zh-CN"/>
        </w:rPr>
        <w:t>服务期</w:t>
      </w:r>
      <w:r>
        <w:rPr>
          <w:rFonts w:hint="eastAsia" w:ascii="宋体" w:hAnsi="宋体"/>
          <w:color w:val="auto"/>
          <w:sz w:val="24"/>
          <w:highlight w:val="none"/>
        </w:rPr>
        <w:t>:</w:t>
      </w:r>
      <w:r>
        <w:rPr>
          <w:rFonts w:hint="eastAsia" w:ascii="宋体" w:hAnsi="宋体"/>
          <w:color w:val="auto"/>
          <w:sz w:val="24"/>
          <w:highlight w:val="none"/>
          <w:u w:val="single"/>
          <w:lang w:val="en-US" w:eastAsia="zh-CN"/>
        </w:rPr>
        <w:t>自2026年5月至2027年4月</w:t>
      </w:r>
      <w:r>
        <w:rPr>
          <w:rFonts w:hint="eastAsia" w:ascii="宋体" w:hAnsi="宋体"/>
          <w:color w:val="auto"/>
          <w:sz w:val="24"/>
          <w:highlight w:val="none"/>
          <w:u w:val="single"/>
        </w:rPr>
        <w:t>。</w:t>
      </w:r>
      <w:r>
        <w:rPr>
          <w:rFonts w:hint="eastAsia" w:ascii="宋体" w:hAnsi="宋体"/>
          <w:color w:val="auto"/>
          <w:sz w:val="24"/>
          <w:highlight w:val="none"/>
        </w:rPr>
        <w:t>承诺质量达到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，我方承诺按合同条款、招标需求和磋商文件中的要求承担本项目。</w:t>
      </w:r>
    </w:p>
    <w:p w14:paraId="41D787BA">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2.我方承诺在投标有效期内不修改、撤销竞争性磋商响应文件及投标保证金。</w:t>
      </w:r>
    </w:p>
    <w:p w14:paraId="3A727912">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3.随同本投标函提交投标保证金一份，金额为人民币(大写)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1B104B99">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4.如我方中标:</w:t>
      </w:r>
    </w:p>
    <w:p w14:paraId="5C908572">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(1)我方将派出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(项目负责人姓名)</w:t>
      </w:r>
      <w:r>
        <w:rPr>
          <w:rFonts w:hint="eastAsia" w:ascii="宋体" w:hAnsi="宋体"/>
          <w:color w:val="auto"/>
          <w:sz w:val="24"/>
          <w:highlight w:val="none"/>
        </w:rPr>
        <w:t>作为本项目的项目负责人。</w:t>
      </w:r>
    </w:p>
    <w:p w14:paraId="5A0159D9">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(2)我方承诺在收到成交通知书后，在成交通知书规定的期限内与你方签订合同。</w:t>
      </w:r>
    </w:p>
    <w:p w14:paraId="788227D4">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(3)我方承诺在合同约定的期限内完成并移交全部合同内容。</w:t>
      </w:r>
    </w:p>
    <w:p w14:paraId="54664CDF">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(4)我方承诺在提交竞争性磋商响应文件截止时间后到采购文件规定的投标有效期终止之前，不补充、修改、替代或者撤回其竞争性磋商响应文件。</w:t>
      </w:r>
    </w:p>
    <w:p w14:paraId="67A83F6D">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(5)我方承诺按采购文件“合同条款及格式”的相关规定履行我方的权利和义务。</w:t>
      </w:r>
    </w:p>
    <w:p w14:paraId="56C690E4">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5.我方决不提供虚假材料谋取成交、决不采取不正当手段诋毁、排挤其他供应商、决不与采购人（或采购代理机构）、其它供应商恶意串通、决不向</w:t>
      </w:r>
      <w:r>
        <w:rPr>
          <w:rFonts w:hint="eastAsia" w:ascii="宋体" w:hAnsi="宋体"/>
          <w:color w:val="auto"/>
          <w:sz w:val="24"/>
          <w:highlight w:val="none"/>
          <w:lang w:val="zh-CN"/>
        </w:rPr>
        <w:t>采购人（或采购代理机构）</w:t>
      </w:r>
      <w:r>
        <w:rPr>
          <w:rFonts w:hint="eastAsia" w:ascii="宋体" w:hAnsi="宋体"/>
          <w:color w:val="auto"/>
          <w:sz w:val="24"/>
          <w:highlight w:val="none"/>
        </w:rPr>
        <w:t>工作人员和磋商小组进行商业贿赂、决不拒绝有关部门监督检查或提供虚假情况，如有违反，无条件接受贵方及相关管理部门的处罚。</w:t>
      </w:r>
    </w:p>
    <w:p w14:paraId="65CC5913">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、我方正式通讯方式为：</w:t>
      </w:r>
    </w:p>
    <w:p w14:paraId="435990A5">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地   址：</w:t>
      </w:r>
    </w:p>
    <w:p w14:paraId="5D622023">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电   话：</w:t>
      </w:r>
    </w:p>
    <w:p w14:paraId="24F0EA4D">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传   真：</w:t>
      </w:r>
    </w:p>
    <w:p w14:paraId="7AD59FE9">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、我方正式开户银行和帐号为：</w:t>
      </w:r>
    </w:p>
    <w:p w14:paraId="7D43CDF8">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开户银行：</w:t>
      </w:r>
    </w:p>
    <w:p w14:paraId="42572332">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帐    号：</w:t>
      </w:r>
    </w:p>
    <w:p w14:paraId="0F650878">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auto"/>
          <w:sz w:val="24"/>
          <w:highlight w:val="none"/>
        </w:rPr>
      </w:pPr>
    </w:p>
    <w:p w14:paraId="76F0A1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供应商授权代表姓名（签字）：</w:t>
      </w:r>
    </w:p>
    <w:p w14:paraId="0454D06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供应商名称（公章）：</w:t>
      </w:r>
    </w:p>
    <w:p w14:paraId="2EA8FC0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日    期： 年 月 日</w:t>
      </w:r>
    </w:p>
    <w:p w14:paraId="4C67A145">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4B9E8F83">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63FAFCA">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48BCF932">
      <w:pPr>
        <w:rPr>
          <w:rFonts w:hint="eastAsia" w:ascii="宋体" w:hAnsi="宋体"/>
          <w:b/>
          <w:color w:val="auto"/>
          <w:sz w:val="28"/>
          <w:highlight w:val="none"/>
          <w:lang w:val="zh-CN"/>
        </w:rPr>
      </w:pPr>
      <w:r>
        <w:rPr>
          <w:rFonts w:hint="eastAsia" w:ascii="宋体" w:hAnsi="宋体"/>
          <w:b/>
          <w:color w:val="auto"/>
          <w:sz w:val="28"/>
          <w:highlight w:val="none"/>
          <w:lang w:val="zh-CN"/>
        </w:rPr>
        <w:br w:type="page"/>
      </w:r>
    </w:p>
    <w:p w14:paraId="76A7653E">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en-US" w:eastAsia="zh-CN"/>
        </w:rPr>
        <w:t>二、</w:t>
      </w:r>
      <w:r>
        <w:rPr>
          <w:rFonts w:hint="eastAsia" w:ascii="宋体" w:hAnsi="宋体"/>
          <w:b/>
          <w:color w:val="auto"/>
          <w:sz w:val="28"/>
          <w:highlight w:val="none"/>
          <w:lang w:val="zh-CN"/>
        </w:rPr>
        <w:t>法定代表人授权书格式</w:t>
      </w:r>
    </w:p>
    <w:p w14:paraId="4D6C954A">
      <w:pPr>
        <w:keepNext w:val="0"/>
        <w:keepLines w:val="0"/>
        <w:pageBreakBefore w:val="0"/>
        <w:kinsoku/>
        <w:wordWrap/>
        <w:overflowPunct/>
        <w:topLinePunct w:val="0"/>
        <w:bidi w:val="0"/>
        <w:spacing w:line="360" w:lineRule="auto"/>
        <w:jc w:val="center"/>
        <w:textAlignment w:val="auto"/>
        <w:rPr>
          <w:rFonts w:ascii="宋体" w:hAnsi="宋体"/>
          <w:color w:val="auto"/>
          <w:sz w:val="28"/>
          <w:highlight w:val="none"/>
        </w:rPr>
      </w:pPr>
    </w:p>
    <w:p w14:paraId="68DA7663">
      <w:pPr>
        <w:keepNext w:val="0"/>
        <w:keepLines w:val="0"/>
        <w:pageBreakBefore w:val="0"/>
        <w:kinsoku/>
        <w:wordWrap/>
        <w:overflowPunct/>
        <w:topLinePunct w:val="0"/>
        <w:bidi w:val="0"/>
        <w:spacing w:line="360" w:lineRule="auto"/>
        <w:textAlignment w:val="auto"/>
        <w:rPr>
          <w:rFonts w:ascii="宋体" w:hAnsi="宋体"/>
          <w:color w:val="auto"/>
          <w:sz w:val="24"/>
          <w:highlight w:val="none"/>
          <w:u w:val="single"/>
        </w:rPr>
      </w:pPr>
      <w:r>
        <w:rPr>
          <w:rFonts w:hint="eastAsia" w:ascii="宋体" w:hAnsi="宋体"/>
          <w:color w:val="auto"/>
          <w:sz w:val="24"/>
          <w:highlight w:val="none"/>
          <w:lang w:val="zh-CN"/>
        </w:rPr>
        <w:t>致：</w:t>
      </w:r>
      <w:r>
        <w:rPr>
          <w:rFonts w:hint="eastAsia" w:ascii="宋体" w:hAnsi="宋体"/>
          <w:color w:val="auto"/>
          <w:sz w:val="24"/>
          <w:highlight w:val="none"/>
          <w:u w:val="single"/>
          <w:lang w:val="zh-CN"/>
        </w:rPr>
        <w:t>（</w:t>
      </w:r>
      <w:r>
        <w:rPr>
          <w:rFonts w:hint="eastAsia" w:ascii="宋体" w:hAnsi="宋体"/>
          <w:color w:val="auto"/>
          <w:sz w:val="24"/>
          <w:highlight w:val="none"/>
          <w:u w:val="single"/>
        </w:rPr>
        <w:t>采购</w:t>
      </w:r>
      <w:r>
        <w:rPr>
          <w:rFonts w:hint="eastAsia" w:ascii="宋体" w:hAnsi="宋体"/>
          <w:color w:val="auto"/>
          <w:sz w:val="24"/>
          <w:highlight w:val="none"/>
          <w:u w:val="single"/>
          <w:lang w:val="zh-CN"/>
        </w:rPr>
        <w:t>人）</w:t>
      </w:r>
    </w:p>
    <w:p w14:paraId="55AB3E49">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lang w:val="zh-CN"/>
        </w:rPr>
        <w:t>本授权书声明：注册于（供应商住址）的（供应商名称）法定代表人（法定代表人姓名、职务）代表本公司授权在下面签字的（供应商代表姓名、职务）为本公司的合法代理人，就贵方组织的（项目名称）（项目编号）竞争性磋商，以本公司名义处理一切与之有关的事务。</w:t>
      </w:r>
    </w:p>
    <w:p w14:paraId="32B9CE57">
      <w:pPr>
        <w:keepNext w:val="0"/>
        <w:keepLines w:val="0"/>
        <w:pageBreakBefore w:val="0"/>
        <w:kinsoku/>
        <w:wordWrap/>
        <w:overflowPunct/>
        <w:topLinePunct w:val="0"/>
        <w:autoSpaceDE w:val="0"/>
        <w:autoSpaceDN w:val="0"/>
        <w:bidi w:val="0"/>
        <w:adjustRightInd w:val="0"/>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本授权书于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日签字生效，特此声明。</w:t>
      </w:r>
    </w:p>
    <w:p w14:paraId="174710AE">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ascii="宋体" w:hAnsi="宋体"/>
          <w:color w:val="auto"/>
          <w:sz w:val="24"/>
          <w:highlight w:val="none"/>
          <w:u w:val="single"/>
          <w:lang w:val="zh-CN"/>
        </w:rPr>
      </w:pPr>
      <w:r>
        <w:rPr>
          <w:rFonts w:hint="eastAsia" w:ascii="宋体" w:hAnsi="宋体"/>
          <w:color w:val="auto"/>
          <w:sz w:val="24"/>
          <w:highlight w:val="none"/>
          <w:lang w:val="zh-CN"/>
        </w:rPr>
        <w:t>法定代表人签字：</w:t>
      </w:r>
    </w:p>
    <w:p w14:paraId="0E5B0CEA">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ascii="宋体" w:hAnsi="宋体"/>
          <w:color w:val="auto"/>
          <w:sz w:val="24"/>
          <w:highlight w:val="none"/>
          <w:lang w:val="zh-CN"/>
        </w:rPr>
      </w:pPr>
      <w:r>
        <w:rPr>
          <w:rFonts w:hint="eastAsia" w:ascii="宋体" w:hAnsi="宋体"/>
          <w:color w:val="auto"/>
          <w:sz w:val="24"/>
          <w:highlight w:val="none"/>
          <w:lang w:val="zh-CN"/>
        </w:rPr>
        <w:t>被授权人签字：</w:t>
      </w:r>
    </w:p>
    <w:p w14:paraId="0A868B72">
      <w:pPr>
        <w:keepNext w:val="0"/>
        <w:keepLines w:val="0"/>
        <w:pageBreakBefore w:val="0"/>
        <w:widowControl w:val="0"/>
        <w:tabs>
          <w:tab w:val="left" w:pos="1440"/>
        </w:tabs>
        <w:kinsoku/>
        <w:wordWrap/>
        <w:overflowPunct/>
        <w:topLinePunct w:val="0"/>
        <w:autoSpaceDE w:val="0"/>
        <w:autoSpaceDN w:val="0"/>
        <w:bidi w:val="0"/>
        <w:adjustRightInd w:val="0"/>
        <w:snapToGrid/>
        <w:spacing w:line="480" w:lineRule="auto"/>
        <w:ind w:firstLine="420"/>
        <w:textAlignment w:val="auto"/>
        <w:rPr>
          <w:rFonts w:ascii="宋体" w:hAnsi="宋体"/>
          <w:color w:val="auto"/>
          <w:sz w:val="24"/>
          <w:highlight w:val="none"/>
          <w:lang w:val="zh-CN"/>
        </w:rPr>
      </w:pPr>
      <w:r>
        <w:rPr>
          <w:rFonts w:hint="eastAsia" w:ascii="宋体" w:hAnsi="宋体"/>
          <w:color w:val="auto"/>
          <w:sz w:val="24"/>
          <w:highlight w:val="none"/>
          <w:lang w:val="zh-CN"/>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日</w:t>
      </w:r>
    </w:p>
    <w:p w14:paraId="2711DDD8">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0E56602F">
      <w:pPr>
        <w:keepNext w:val="0"/>
        <w:keepLines w:val="0"/>
        <w:pageBreakBefore w:val="0"/>
        <w:kinsoku/>
        <w:wordWrap/>
        <w:overflowPunct/>
        <w:topLinePunct w:val="0"/>
        <w:bidi w:val="0"/>
        <w:spacing w:line="360" w:lineRule="auto"/>
        <w:textAlignment w:val="auto"/>
        <w:rPr>
          <w:rFonts w:ascii="宋体" w:hAnsi="宋体"/>
          <w:color w:val="auto"/>
          <w:sz w:val="24"/>
          <w:szCs w:val="32"/>
          <w:highlight w:val="none"/>
        </w:rPr>
      </w:pPr>
      <w:r>
        <w:rPr>
          <w:rFonts w:hint="eastAsia" w:ascii="宋体" w:hAnsi="宋体"/>
          <w:color w:val="auto"/>
          <w:sz w:val="24"/>
          <w:szCs w:val="32"/>
          <w:highlight w:val="none"/>
        </w:rPr>
        <w:t>被授权人的身份证明文件的复印件：</w:t>
      </w:r>
    </w:p>
    <w:p w14:paraId="4335671D">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0B3BD2E0">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1DD2A3CD">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61A6C8DA">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2F5051C">
      <w:pPr>
        <w:keepNext w:val="0"/>
        <w:keepLines w:val="0"/>
        <w:pageBreakBefore w:val="0"/>
        <w:widowControl/>
        <w:kinsoku/>
        <w:wordWrap/>
        <w:overflowPunct/>
        <w:topLinePunct w:val="0"/>
        <w:bidi w:val="0"/>
        <w:spacing w:line="360" w:lineRule="auto"/>
        <w:jc w:val="left"/>
        <w:textAlignment w:val="auto"/>
        <w:rPr>
          <w:rFonts w:ascii="宋体" w:hAnsi="宋体"/>
          <w:color w:val="auto"/>
          <w:highlight w:val="none"/>
        </w:rPr>
      </w:pPr>
      <w:r>
        <w:rPr>
          <w:rFonts w:hint="eastAsia" w:ascii="宋体" w:hAnsi="宋体"/>
          <w:color w:val="auto"/>
          <w:highlight w:val="none"/>
        </w:rPr>
        <w:br w:type="page"/>
      </w:r>
    </w:p>
    <w:p w14:paraId="3E6B5262">
      <w:pPr>
        <w:keepNext w:val="0"/>
        <w:keepLines w:val="0"/>
        <w:pageBreakBefore w:val="0"/>
        <w:widowControl/>
        <w:shd w:val="clear" w:color="auto" w:fill="FFFFFF"/>
        <w:kinsoku/>
        <w:wordWrap/>
        <w:overflowPunct/>
        <w:topLinePunct w:val="0"/>
        <w:bidi w:val="0"/>
        <w:spacing w:line="360" w:lineRule="auto"/>
        <w:jc w:val="center"/>
        <w:textAlignment w:val="auto"/>
        <w:rPr>
          <w:rFonts w:ascii="宋体" w:hAnsi="宋体"/>
          <w:color w:val="auto"/>
          <w:kern w:val="0"/>
          <w:sz w:val="24"/>
          <w:highlight w:val="none"/>
        </w:rPr>
      </w:pPr>
      <w:r>
        <w:rPr>
          <w:rFonts w:hint="eastAsia" w:ascii="宋体" w:hAnsi="宋体"/>
          <w:b/>
          <w:color w:val="auto"/>
          <w:sz w:val="28"/>
          <w:highlight w:val="none"/>
          <w:lang w:val="en-US" w:eastAsia="zh-CN"/>
        </w:rPr>
        <w:t>三、</w:t>
      </w:r>
      <w:r>
        <w:rPr>
          <w:rFonts w:hint="eastAsia" w:ascii="宋体" w:hAnsi="宋体"/>
          <w:b/>
          <w:color w:val="auto"/>
          <w:sz w:val="28"/>
          <w:highlight w:val="none"/>
          <w:lang w:val="zh-CN"/>
        </w:rPr>
        <w:t>分项报价表</w:t>
      </w:r>
    </w:p>
    <w:tbl>
      <w:tblPr>
        <w:tblStyle w:val="25"/>
        <w:tblpPr w:leftFromText="180" w:rightFromText="180" w:vertAnchor="text" w:horzAnchor="page" w:tblpXSpec="center" w:tblpY="19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745"/>
        <w:gridCol w:w="2244"/>
        <w:gridCol w:w="2053"/>
        <w:gridCol w:w="1777"/>
      </w:tblGrid>
      <w:tr w14:paraId="4610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0" w:type="pct"/>
            <w:vAlign w:val="top"/>
          </w:tcPr>
          <w:p w14:paraId="3A8E4E2E">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序号</w:t>
            </w:r>
          </w:p>
        </w:tc>
        <w:tc>
          <w:tcPr>
            <w:tcW w:w="1024" w:type="pct"/>
            <w:vAlign w:val="top"/>
          </w:tcPr>
          <w:p w14:paraId="7D881CE8">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名称</w:t>
            </w:r>
          </w:p>
        </w:tc>
        <w:tc>
          <w:tcPr>
            <w:tcW w:w="1317" w:type="pct"/>
            <w:vAlign w:val="top"/>
          </w:tcPr>
          <w:p w14:paraId="6AC04CC4">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en-US" w:eastAsia="zh-CN"/>
              </w:rPr>
              <w:t>单价</w:t>
            </w:r>
            <w:r>
              <w:rPr>
                <w:rFonts w:hint="eastAsia" w:ascii="宋体" w:hAnsi="宋体"/>
                <w:color w:val="auto"/>
                <w:kern w:val="0"/>
                <w:sz w:val="24"/>
                <w:szCs w:val="24"/>
                <w:highlight w:val="none"/>
                <w:lang w:val="zh-CN" w:eastAsia="zh-CN"/>
              </w:rPr>
              <w:t>限价（元）</w:t>
            </w:r>
          </w:p>
        </w:tc>
        <w:tc>
          <w:tcPr>
            <w:tcW w:w="1204" w:type="pct"/>
            <w:vAlign w:val="top"/>
          </w:tcPr>
          <w:p w14:paraId="11E44B75">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单价（元）</w:t>
            </w:r>
          </w:p>
        </w:tc>
        <w:tc>
          <w:tcPr>
            <w:tcW w:w="1043" w:type="pct"/>
            <w:vAlign w:val="top"/>
          </w:tcPr>
          <w:p w14:paraId="39EF1F80">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合价（元）</w:t>
            </w:r>
          </w:p>
        </w:tc>
      </w:tr>
      <w:tr w14:paraId="6441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10" w:type="pct"/>
            <w:vAlign w:val="top"/>
          </w:tcPr>
          <w:p w14:paraId="37F349B9">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1</w:t>
            </w:r>
          </w:p>
        </w:tc>
        <w:tc>
          <w:tcPr>
            <w:tcW w:w="1024" w:type="pct"/>
            <w:vAlign w:val="top"/>
          </w:tcPr>
          <w:p w14:paraId="2D25956C">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白蚁危害普查</w:t>
            </w:r>
          </w:p>
        </w:tc>
        <w:tc>
          <w:tcPr>
            <w:tcW w:w="1317" w:type="pct"/>
            <w:vAlign w:val="top"/>
          </w:tcPr>
          <w:p w14:paraId="0306739E">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1</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lang w:val="zh-CN" w:eastAsia="zh-CN"/>
              </w:rPr>
              <w:t>0000</w:t>
            </w:r>
          </w:p>
        </w:tc>
        <w:tc>
          <w:tcPr>
            <w:tcW w:w="1204" w:type="pct"/>
            <w:vAlign w:val="top"/>
          </w:tcPr>
          <w:p w14:paraId="10ECB4CC">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p>
        </w:tc>
        <w:tc>
          <w:tcPr>
            <w:tcW w:w="1043" w:type="pct"/>
            <w:vAlign w:val="top"/>
          </w:tcPr>
          <w:p w14:paraId="7876E8A7">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p>
        </w:tc>
      </w:tr>
      <w:tr w14:paraId="56AE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10" w:type="pct"/>
            <w:vAlign w:val="top"/>
          </w:tcPr>
          <w:p w14:paraId="58830F3F">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2</w:t>
            </w:r>
          </w:p>
        </w:tc>
        <w:tc>
          <w:tcPr>
            <w:tcW w:w="1024" w:type="pct"/>
            <w:vAlign w:val="top"/>
          </w:tcPr>
          <w:p w14:paraId="37412404">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白蚁治理</w:t>
            </w:r>
          </w:p>
        </w:tc>
        <w:tc>
          <w:tcPr>
            <w:tcW w:w="1317" w:type="pct"/>
            <w:vAlign w:val="top"/>
          </w:tcPr>
          <w:p w14:paraId="4D2B27DC">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en-US" w:eastAsia="zh-CN"/>
              </w:rPr>
              <w:t>20</w:t>
            </w:r>
            <w:r>
              <w:rPr>
                <w:rFonts w:hint="eastAsia" w:ascii="宋体" w:hAnsi="宋体"/>
                <w:color w:val="auto"/>
                <w:kern w:val="0"/>
                <w:sz w:val="24"/>
                <w:szCs w:val="24"/>
                <w:highlight w:val="none"/>
                <w:lang w:val="zh-CN" w:eastAsia="zh-CN"/>
              </w:rPr>
              <w:t>0000</w:t>
            </w:r>
          </w:p>
        </w:tc>
        <w:tc>
          <w:tcPr>
            <w:tcW w:w="1204" w:type="pct"/>
            <w:vAlign w:val="top"/>
          </w:tcPr>
          <w:p w14:paraId="4C7462A0">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p>
        </w:tc>
        <w:tc>
          <w:tcPr>
            <w:tcW w:w="1043" w:type="pct"/>
            <w:vAlign w:val="top"/>
          </w:tcPr>
          <w:p w14:paraId="2E90200D">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p>
        </w:tc>
      </w:tr>
      <w:tr w14:paraId="5087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0" w:type="pct"/>
            <w:vAlign w:val="top"/>
          </w:tcPr>
          <w:p w14:paraId="2208A5C9">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3</w:t>
            </w:r>
          </w:p>
        </w:tc>
        <w:tc>
          <w:tcPr>
            <w:tcW w:w="1024" w:type="pct"/>
            <w:vAlign w:val="top"/>
          </w:tcPr>
          <w:p w14:paraId="31714C23">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达控验收</w:t>
            </w:r>
          </w:p>
        </w:tc>
        <w:tc>
          <w:tcPr>
            <w:tcW w:w="1317" w:type="pct"/>
            <w:vAlign w:val="top"/>
          </w:tcPr>
          <w:p w14:paraId="23577C5F">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zh-CN" w:eastAsia="zh-CN"/>
              </w:rPr>
              <w:t>10000</w:t>
            </w:r>
          </w:p>
        </w:tc>
        <w:tc>
          <w:tcPr>
            <w:tcW w:w="1204" w:type="pct"/>
            <w:vAlign w:val="top"/>
          </w:tcPr>
          <w:p w14:paraId="0D0E5EE4">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p>
        </w:tc>
        <w:tc>
          <w:tcPr>
            <w:tcW w:w="1043" w:type="pct"/>
            <w:vAlign w:val="top"/>
          </w:tcPr>
          <w:p w14:paraId="7F67A0E5">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p>
        </w:tc>
      </w:tr>
      <w:tr w14:paraId="387D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0" w:type="pct"/>
            <w:vAlign w:val="top"/>
          </w:tcPr>
          <w:p w14:paraId="0EAA5264">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4</w:t>
            </w:r>
          </w:p>
        </w:tc>
        <w:tc>
          <w:tcPr>
            <w:tcW w:w="3546" w:type="pct"/>
            <w:gridSpan w:val="3"/>
            <w:vAlign w:val="top"/>
          </w:tcPr>
          <w:p w14:paraId="150ABA4C">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eastAsia" w:ascii="宋体" w:hAnsi="宋体"/>
                <w:color w:val="auto"/>
                <w:kern w:val="0"/>
                <w:sz w:val="24"/>
                <w:szCs w:val="24"/>
                <w:highlight w:val="none"/>
                <w:lang w:val="zh-CN" w:eastAsia="zh-CN"/>
              </w:rPr>
            </w:pPr>
            <w:r>
              <w:rPr>
                <w:rFonts w:hint="eastAsia" w:ascii="宋体" w:hAnsi="宋体"/>
                <w:color w:val="auto"/>
                <w:kern w:val="0"/>
                <w:sz w:val="24"/>
                <w:szCs w:val="24"/>
                <w:highlight w:val="none"/>
                <w:lang w:val="en-US" w:eastAsia="zh-CN"/>
              </w:rPr>
              <w:t>总价</w:t>
            </w:r>
          </w:p>
        </w:tc>
        <w:tc>
          <w:tcPr>
            <w:tcW w:w="1043" w:type="pct"/>
            <w:vAlign w:val="top"/>
          </w:tcPr>
          <w:p w14:paraId="0B52FE56">
            <w:pPr>
              <w:keepNext w:val="0"/>
              <w:keepLines w:val="0"/>
              <w:pageBreakBefore w:val="0"/>
              <w:widowControl/>
              <w:kinsoku/>
              <w:wordWrap/>
              <w:overflowPunct/>
              <w:topLinePunct w:val="0"/>
              <w:autoSpaceDE/>
              <w:autoSpaceDN/>
              <w:bidi w:val="0"/>
              <w:adjustRightInd w:val="0"/>
              <w:snapToGrid/>
              <w:spacing w:beforeLines="100" w:line="240" w:lineRule="auto"/>
              <w:jc w:val="center"/>
              <w:textAlignment w:val="auto"/>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u w:val="single"/>
                <w:lang w:val="en-US" w:eastAsia="zh-CN"/>
              </w:rPr>
              <w:t xml:space="preserve">      元</w:t>
            </w:r>
          </w:p>
        </w:tc>
      </w:tr>
    </w:tbl>
    <w:p w14:paraId="55F346BE">
      <w:pPr>
        <w:keepNext w:val="0"/>
        <w:keepLines w:val="0"/>
        <w:pageBreakBefore w:val="0"/>
        <w:widowControl/>
        <w:kinsoku/>
        <w:wordWrap/>
        <w:overflowPunct/>
        <w:topLinePunct w:val="0"/>
        <w:autoSpaceDE/>
        <w:autoSpaceDN/>
        <w:bidi w:val="0"/>
        <w:adjustRightInd w:val="0"/>
        <w:snapToGrid/>
        <w:spacing w:beforeLines="100" w:line="240" w:lineRule="auto"/>
        <w:jc w:val="left"/>
        <w:textAlignment w:val="auto"/>
        <w:rPr>
          <w:rFonts w:hint="eastAsia" w:ascii="宋体" w:hAnsi="宋体"/>
          <w:color w:val="auto"/>
          <w:kern w:val="0"/>
          <w:sz w:val="24"/>
          <w:szCs w:val="24"/>
          <w:highlight w:val="none"/>
          <w:lang w:val="zh-CN"/>
        </w:rPr>
      </w:pPr>
    </w:p>
    <w:p w14:paraId="44AA507B">
      <w:pPr>
        <w:keepNext w:val="0"/>
        <w:keepLines w:val="0"/>
        <w:pageBreakBefore w:val="0"/>
        <w:widowControl/>
        <w:kinsoku/>
        <w:wordWrap/>
        <w:overflowPunct/>
        <w:topLinePunct w:val="0"/>
        <w:autoSpaceDE/>
        <w:autoSpaceDN/>
        <w:bidi w:val="0"/>
        <w:adjustRightInd w:val="0"/>
        <w:snapToGrid/>
        <w:spacing w:beforeLines="100" w:line="240" w:lineRule="auto"/>
        <w:jc w:val="left"/>
        <w:textAlignment w:val="auto"/>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供应商名称：（盖章）</w:t>
      </w:r>
    </w:p>
    <w:p w14:paraId="4D12C520">
      <w:pPr>
        <w:keepNext w:val="0"/>
        <w:keepLines w:val="0"/>
        <w:pageBreakBefore w:val="0"/>
        <w:widowControl/>
        <w:kinsoku/>
        <w:wordWrap/>
        <w:overflowPunct/>
        <w:topLinePunct w:val="0"/>
        <w:autoSpaceDE/>
        <w:autoSpaceDN/>
        <w:bidi w:val="0"/>
        <w:adjustRightInd w:val="0"/>
        <w:snapToGrid/>
        <w:spacing w:beforeLines="100" w:line="240" w:lineRule="auto"/>
        <w:jc w:val="left"/>
        <w:textAlignment w:val="auto"/>
        <w:rPr>
          <w:rFonts w:hint="eastAsia" w:ascii="宋体" w:hAnsi="宋体"/>
          <w:color w:val="auto"/>
          <w:kern w:val="0"/>
          <w:sz w:val="24"/>
          <w:szCs w:val="24"/>
          <w:highlight w:val="none"/>
          <w:lang w:val="zh-CN"/>
        </w:rPr>
      </w:pPr>
      <w:r>
        <w:rPr>
          <w:rFonts w:hint="eastAsia" w:ascii="宋体" w:hAnsi="宋体"/>
          <w:color w:val="auto"/>
          <w:kern w:val="0"/>
          <w:sz w:val="24"/>
          <w:szCs w:val="24"/>
          <w:highlight w:val="none"/>
          <w:lang w:val="zh-CN"/>
        </w:rPr>
        <w:t>日期：  年  月  日</w:t>
      </w:r>
    </w:p>
    <w:p w14:paraId="15223088">
      <w:pPr>
        <w:keepNext w:val="0"/>
        <w:keepLines w:val="0"/>
        <w:pageBreakBefore w:val="0"/>
        <w:widowControl/>
        <w:kinsoku/>
        <w:wordWrap/>
        <w:overflowPunct/>
        <w:topLinePunct w:val="0"/>
        <w:autoSpaceDE/>
        <w:autoSpaceDN/>
        <w:bidi w:val="0"/>
        <w:adjustRightInd w:val="0"/>
        <w:snapToGrid/>
        <w:spacing w:beforeLines="100" w:line="240" w:lineRule="auto"/>
        <w:jc w:val="left"/>
        <w:textAlignment w:val="auto"/>
        <w:rPr>
          <w:rFonts w:ascii="宋体" w:hAnsi="宋体"/>
          <w:color w:val="auto"/>
          <w:kern w:val="0"/>
          <w:sz w:val="28"/>
          <w:szCs w:val="28"/>
          <w:highlight w:val="none"/>
          <w:lang w:val="zh-CN"/>
        </w:rPr>
      </w:pPr>
      <w:r>
        <w:rPr>
          <w:rFonts w:hint="eastAsia" w:ascii="宋体" w:hAnsi="宋体"/>
          <w:color w:val="auto"/>
          <w:kern w:val="0"/>
          <w:sz w:val="24"/>
          <w:szCs w:val="24"/>
          <w:highlight w:val="none"/>
          <w:lang w:val="zh-CN"/>
        </w:rPr>
        <w:t>说明：1、如果行数不够，请自行增加，应列出认为需要的报价项。</w:t>
      </w:r>
    </w:p>
    <w:p w14:paraId="7BD35E5A">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3F5AD2F6">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72950EE7">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475BECD6">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B221517">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145AA2AB">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6E08CEBA">
      <w:pPr>
        <w:keepNext w:val="0"/>
        <w:keepLines w:val="0"/>
        <w:pageBreakBefore w:val="0"/>
        <w:widowControl/>
        <w:kinsoku/>
        <w:wordWrap/>
        <w:overflowPunct/>
        <w:topLinePunct w:val="0"/>
        <w:bidi w:val="0"/>
        <w:spacing w:line="360" w:lineRule="auto"/>
        <w:jc w:val="left"/>
        <w:textAlignment w:val="auto"/>
        <w:rPr>
          <w:rFonts w:ascii="宋体" w:hAnsi="宋体"/>
          <w:color w:val="auto"/>
          <w:highlight w:val="none"/>
        </w:rPr>
      </w:pPr>
      <w:r>
        <w:rPr>
          <w:rFonts w:hint="eastAsia" w:ascii="宋体" w:hAnsi="宋体"/>
          <w:color w:val="auto"/>
          <w:highlight w:val="none"/>
        </w:rPr>
        <w:br w:type="page"/>
      </w:r>
    </w:p>
    <w:p w14:paraId="7D5FF289">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7DCD3A96">
      <w:pPr>
        <w:keepNext w:val="0"/>
        <w:keepLines w:val="0"/>
        <w:pageBreakBefore w:val="0"/>
        <w:widowControl/>
        <w:kinsoku/>
        <w:wordWrap/>
        <w:overflowPunct/>
        <w:topLinePunct w:val="0"/>
        <w:bidi w:val="0"/>
        <w:adjustRightInd w:val="0"/>
        <w:spacing w:line="360" w:lineRule="auto"/>
        <w:ind w:firstLine="2891" w:firstLineChars="900"/>
        <w:jc w:val="left"/>
        <w:textAlignment w:val="auto"/>
        <w:rPr>
          <w:rFonts w:ascii="宋体" w:hAnsi="宋体"/>
          <w:b/>
          <w:bCs/>
          <w:color w:val="auto"/>
          <w:sz w:val="32"/>
          <w:szCs w:val="32"/>
          <w:highlight w:val="none"/>
        </w:rPr>
      </w:pPr>
      <w:r>
        <w:rPr>
          <w:rFonts w:hint="eastAsia" w:ascii="宋体" w:hAnsi="宋体"/>
          <w:b/>
          <w:bCs/>
          <w:color w:val="auto"/>
          <w:sz w:val="32"/>
          <w:szCs w:val="32"/>
          <w:highlight w:val="none"/>
          <w:lang w:val="en-US" w:eastAsia="zh-CN"/>
        </w:rPr>
        <w:t>四、</w:t>
      </w:r>
      <w:r>
        <w:rPr>
          <w:rFonts w:hint="eastAsia" w:ascii="宋体" w:hAnsi="宋体"/>
          <w:b/>
          <w:bCs/>
          <w:color w:val="auto"/>
          <w:sz w:val="32"/>
          <w:szCs w:val="32"/>
          <w:highlight w:val="none"/>
        </w:rPr>
        <w:t>商务条款偏离表</w:t>
      </w:r>
    </w:p>
    <w:p w14:paraId="265AE1FB">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p>
    <w:p w14:paraId="4A2123A3">
      <w:pPr>
        <w:pStyle w:val="10"/>
        <w:keepNext w:val="0"/>
        <w:keepLines w:val="0"/>
        <w:pageBreakBefore w:val="0"/>
        <w:tabs>
          <w:tab w:val="left" w:pos="6871"/>
        </w:tabs>
        <w:kinsoku/>
        <w:wordWrap/>
        <w:overflowPunct/>
        <w:topLinePunct w:val="0"/>
        <w:bidi w:val="0"/>
        <w:spacing w:before="0" w:line="360" w:lineRule="auto"/>
        <w:ind w:left="137"/>
        <w:jc w:val="left"/>
        <w:textAlignment w:val="auto"/>
        <w:rPr>
          <w:color w:val="auto"/>
          <w:highlight w:val="none"/>
        </w:rPr>
      </w:pPr>
      <w:r>
        <w:rPr>
          <w:rFonts w:hint="eastAsia"/>
          <w:color w:val="auto"/>
          <w:highlight w:val="none"/>
        </w:rPr>
        <w:t>项目名称：</w:t>
      </w:r>
      <w:r>
        <w:rPr>
          <w:rFonts w:hint="eastAsia"/>
          <w:color w:val="auto"/>
          <w:w w:val="95"/>
          <w:highlight w:val="none"/>
        </w:rPr>
        <w:tab/>
      </w:r>
      <w:r>
        <w:rPr>
          <w:rFonts w:hint="eastAsia"/>
          <w:color w:val="auto"/>
          <w:highlight w:val="none"/>
        </w:rPr>
        <w:t>项目编号：</w:t>
      </w:r>
    </w:p>
    <w:p w14:paraId="612C1B5B">
      <w:pPr>
        <w:keepNext w:val="0"/>
        <w:keepLines w:val="0"/>
        <w:pageBreakBefore w:val="0"/>
        <w:kinsoku/>
        <w:wordWrap/>
        <w:overflowPunct/>
        <w:topLinePunct w:val="0"/>
        <w:bidi w:val="0"/>
        <w:spacing w:line="360" w:lineRule="auto"/>
        <w:textAlignment w:val="auto"/>
        <w:rPr>
          <w:rFonts w:ascii="宋体" w:hAnsi="宋体"/>
          <w:color w:val="auto"/>
          <w:sz w:val="3"/>
          <w:szCs w:val="3"/>
          <w:highlight w:val="none"/>
        </w:rPr>
      </w:pPr>
    </w:p>
    <w:tbl>
      <w:tblPr>
        <w:tblStyle w:val="24"/>
        <w:tblW w:w="8380" w:type="dxa"/>
        <w:tblInd w:w="119" w:type="dxa"/>
        <w:tblLayout w:type="fixed"/>
        <w:tblCellMar>
          <w:top w:w="0" w:type="dxa"/>
          <w:left w:w="0" w:type="dxa"/>
          <w:bottom w:w="0" w:type="dxa"/>
          <w:right w:w="0" w:type="dxa"/>
        </w:tblCellMar>
      </w:tblPr>
      <w:tblGrid>
        <w:gridCol w:w="665"/>
        <w:gridCol w:w="1656"/>
        <w:gridCol w:w="2759"/>
        <w:gridCol w:w="2033"/>
        <w:gridCol w:w="1267"/>
      </w:tblGrid>
      <w:tr w14:paraId="40F43E8A">
        <w:tblPrEx>
          <w:tblCellMar>
            <w:top w:w="0" w:type="dxa"/>
            <w:left w:w="0" w:type="dxa"/>
            <w:bottom w:w="0" w:type="dxa"/>
            <w:right w:w="0" w:type="dxa"/>
          </w:tblCellMar>
        </w:tblPrEx>
        <w:trPr>
          <w:trHeight w:val="391" w:hRule="exact"/>
        </w:trPr>
        <w:tc>
          <w:tcPr>
            <w:tcW w:w="665" w:type="dxa"/>
            <w:tcBorders>
              <w:top w:val="single" w:color="000000" w:sz="6" w:space="0"/>
              <w:left w:val="single" w:color="000000" w:sz="6" w:space="0"/>
              <w:bottom w:val="single" w:color="000000" w:sz="6" w:space="0"/>
              <w:right w:val="single" w:color="000000" w:sz="6" w:space="0"/>
            </w:tcBorders>
          </w:tcPr>
          <w:p w14:paraId="7E1DEEE4">
            <w:pPr>
              <w:pStyle w:val="33"/>
              <w:keepNext w:val="0"/>
              <w:keepLines w:val="0"/>
              <w:pageBreakBefore w:val="0"/>
              <w:kinsoku/>
              <w:wordWrap/>
              <w:overflowPunct/>
              <w:topLinePunct w:val="0"/>
              <w:bidi w:val="0"/>
              <w:spacing w:line="360" w:lineRule="auto"/>
              <w:ind w:left="113"/>
              <w:jc w:val="left"/>
              <w:textAlignment w:val="auto"/>
              <w:rPr>
                <w:rFonts w:ascii="宋体" w:hAnsi="宋体"/>
                <w:color w:val="auto"/>
                <w:szCs w:val="21"/>
                <w:highlight w:val="none"/>
              </w:rPr>
            </w:pPr>
            <w:r>
              <w:rPr>
                <w:rFonts w:hint="eastAsia" w:ascii="宋体" w:hAnsi="宋体"/>
                <w:color w:val="auto"/>
                <w:szCs w:val="21"/>
                <w:highlight w:val="none"/>
              </w:rPr>
              <w:t>序号</w:t>
            </w:r>
          </w:p>
        </w:tc>
        <w:tc>
          <w:tcPr>
            <w:tcW w:w="1656" w:type="dxa"/>
            <w:tcBorders>
              <w:top w:val="single" w:color="000000" w:sz="6" w:space="0"/>
              <w:left w:val="single" w:color="000000" w:sz="6" w:space="0"/>
              <w:bottom w:val="single" w:color="000000" w:sz="6" w:space="0"/>
              <w:right w:val="single" w:color="000000" w:sz="6" w:space="0"/>
            </w:tcBorders>
          </w:tcPr>
          <w:p w14:paraId="603F3427">
            <w:pPr>
              <w:pStyle w:val="33"/>
              <w:keepNext w:val="0"/>
              <w:keepLines w:val="0"/>
              <w:pageBreakBefore w:val="0"/>
              <w:kinsoku/>
              <w:wordWrap/>
              <w:overflowPunct/>
              <w:topLinePunct w:val="0"/>
              <w:bidi w:val="0"/>
              <w:spacing w:line="360" w:lineRule="auto"/>
              <w:ind w:left="84"/>
              <w:jc w:val="left"/>
              <w:textAlignment w:val="auto"/>
              <w:rPr>
                <w:rFonts w:ascii="宋体" w:hAnsi="宋体"/>
                <w:color w:val="auto"/>
                <w:szCs w:val="21"/>
                <w:highlight w:val="none"/>
              </w:rPr>
            </w:pPr>
            <w:r>
              <w:rPr>
                <w:rFonts w:hint="eastAsia" w:ascii="宋体" w:hAnsi="宋体"/>
                <w:color w:val="auto"/>
                <w:szCs w:val="21"/>
                <w:highlight w:val="none"/>
              </w:rPr>
              <w:t>采购文件条目号</w:t>
            </w:r>
          </w:p>
        </w:tc>
        <w:tc>
          <w:tcPr>
            <w:tcW w:w="2759" w:type="dxa"/>
            <w:tcBorders>
              <w:top w:val="single" w:color="000000" w:sz="6" w:space="0"/>
              <w:left w:val="single" w:color="000000" w:sz="6" w:space="0"/>
              <w:bottom w:val="single" w:color="000000" w:sz="6" w:space="0"/>
              <w:right w:val="single" w:color="000000" w:sz="6" w:space="0"/>
            </w:tcBorders>
          </w:tcPr>
          <w:p w14:paraId="413A56FE">
            <w:pPr>
              <w:pStyle w:val="33"/>
              <w:keepNext w:val="0"/>
              <w:keepLines w:val="0"/>
              <w:pageBreakBefore w:val="0"/>
              <w:kinsoku/>
              <w:wordWrap/>
              <w:overflowPunct/>
              <w:topLinePunct w:val="0"/>
              <w:bidi w:val="0"/>
              <w:spacing w:line="360" w:lineRule="auto"/>
              <w:ind w:left="216"/>
              <w:jc w:val="left"/>
              <w:textAlignment w:val="auto"/>
              <w:rPr>
                <w:rFonts w:ascii="宋体" w:hAnsi="宋体"/>
                <w:color w:val="auto"/>
                <w:szCs w:val="21"/>
                <w:highlight w:val="none"/>
              </w:rPr>
            </w:pPr>
            <w:r>
              <w:rPr>
                <w:rFonts w:hint="eastAsia" w:ascii="宋体" w:hAnsi="宋体"/>
                <w:color w:val="auto"/>
                <w:szCs w:val="21"/>
                <w:highlight w:val="none"/>
              </w:rPr>
              <w:t>采购文件要求的商务条款</w:t>
            </w:r>
          </w:p>
        </w:tc>
        <w:tc>
          <w:tcPr>
            <w:tcW w:w="2033" w:type="dxa"/>
            <w:tcBorders>
              <w:top w:val="single" w:color="000000" w:sz="6" w:space="0"/>
              <w:left w:val="single" w:color="000000" w:sz="6" w:space="0"/>
              <w:bottom w:val="single" w:color="000000" w:sz="6" w:space="0"/>
              <w:right w:val="single" w:color="000000" w:sz="6" w:space="0"/>
            </w:tcBorders>
          </w:tcPr>
          <w:p w14:paraId="59BACB60">
            <w:pPr>
              <w:pStyle w:val="33"/>
              <w:keepNext w:val="0"/>
              <w:keepLines w:val="0"/>
              <w:pageBreakBefore w:val="0"/>
              <w:kinsoku/>
              <w:wordWrap/>
              <w:overflowPunct/>
              <w:topLinePunct w:val="0"/>
              <w:bidi w:val="0"/>
              <w:spacing w:line="360" w:lineRule="auto"/>
              <w:ind w:right="2"/>
              <w:jc w:val="center"/>
              <w:textAlignment w:val="auto"/>
              <w:rPr>
                <w:rFonts w:ascii="宋体" w:hAnsi="宋体"/>
                <w:color w:val="auto"/>
                <w:szCs w:val="21"/>
                <w:highlight w:val="none"/>
              </w:rPr>
            </w:pPr>
            <w:r>
              <w:rPr>
                <w:rFonts w:hint="eastAsia" w:ascii="宋体" w:hAnsi="宋体"/>
                <w:color w:val="auto"/>
                <w:szCs w:val="21"/>
                <w:highlight w:val="none"/>
              </w:rPr>
              <w:t>磋商响应</w:t>
            </w:r>
          </w:p>
        </w:tc>
        <w:tc>
          <w:tcPr>
            <w:tcW w:w="1267" w:type="dxa"/>
            <w:tcBorders>
              <w:top w:val="single" w:color="000000" w:sz="6" w:space="0"/>
              <w:left w:val="single" w:color="000000" w:sz="6" w:space="0"/>
              <w:bottom w:val="single" w:color="000000" w:sz="6" w:space="0"/>
              <w:right w:val="single" w:color="000000" w:sz="6" w:space="0"/>
            </w:tcBorders>
          </w:tcPr>
          <w:p w14:paraId="689B9F98">
            <w:pPr>
              <w:pStyle w:val="33"/>
              <w:keepNext w:val="0"/>
              <w:keepLines w:val="0"/>
              <w:pageBreakBefore w:val="0"/>
              <w:kinsoku/>
              <w:wordWrap/>
              <w:overflowPunct/>
              <w:topLinePunct w:val="0"/>
              <w:bidi w:val="0"/>
              <w:spacing w:line="360" w:lineRule="auto"/>
              <w:ind w:left="91"/>
              <w:jc w:val="left"/>
              <w:textAlignment w:val="auto"/>
              <w:rPr>
                <w:rFonts w:ascii="宋体" w:hAnsi="宋体"/>
                <w:color w:val="auto"/>
                <w:szCs w:val="21"/>
                <w:highlight w:val="none"/>
              </w:rPr>
            </w:pPr>
            <w:r>
              <w:rPr>
                <w:rFonts w:hint="eastAsia" w:ascii="宋体" w:hAnsi="宋体"/>
                <w:color w:val="auto"/>
                <w:szCs w:val="21"/>
                <w:highlight w:val="none"/>
              </w:rPr>
              <w:t>偏离说明</w:t>
            </w:r>
          </w:p>
        </w:tc>
      </w:tr>
      <w:tr w14:paraId="0C5F7651">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3D34C91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56" w:type="dxa"/>
            <w:tcBorders>
              <w:top w:val="single" w:color="000000" w:sz="6" w:space="0"/>
              <w:left w:val="single" w:color="000000" w:sz="6" w:space="0"/>
              <w:bottom w:val="single" w:color="000000" w:sz="6" w:space="0"/>
              <w:right w:val="single" w:color="000000" w:sz="6" w:space="0"/>
            </w:tcBorders>
          </w:tcPr>
          <w:p w14:paraId="33C3BE6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759" w:type="dxa"/>
            <w:tcBorders>
              <w:top w:val="single" w:color="000000" w:sz="6" w:space="0"/>
              <w:left w:val="single" w:color="000000" w:sz="6" w:space="0"/>
              <w:bottom w:val="single" w:color="000000" w:sz="6" w:space="0"/>
              <w:right w:val="single" w:color="000000" w:sz="6" w:space="0"/>
            </w:tcBorders>
          </w:tcPr>
          <w:p w14:paraId="1F543984">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33" w:type="dxa"/>
            <w:tcBorders>
              <w:top w:val="single" w:color="000000" w:sz="6" w:space="0"/>
              <w:left w:val="single" w:color="000000" w:sz="6" w:space="0"/>
              <w:bottom w:val="single" w:color="000000" w:sz="6" w:space="0"/>
              <w:right w:val="single" w:color="000000" w:sz="6" w:space="0"/>
            </w:tcBorders>
          </w:tcPr>
          <w:p w14:paraId="616DBBD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67" w:type="dxa"/>
            <w:tcBorders>
              <w:top w:val="single" w:color="000000" w:sz="6" w:space="0"/>
              <w:left w:val="single" w:color="000000" w:sz="6" w:space="0"/>
              <w:bottom w:val="single" w:color="000000" w:sz="6" w:space="0"/>
              <w:right w:val="single" w:color="000000" w:sz="6" w:space="0"/>
            </w:tcBorders>
          </w:tcPr>
          <w:p w14:paraId="5855E942">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2A1F8D35">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141013E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56" w:type="dxa"/>
            <w:tcBorders>
              <w:top w:val="single" w:color="000000" w:sz="6" w:space="0"/>
              <w:left w:val="single" w:color="000000" w:sz="6" w:space="0"/>
              <w:bottom w:val="single" w:color="000000" w:sz="6" w:space="0"/>
              <w:right w:val="single" w:color="000000" w:sz="6" w:space="0"/>
            </w:tcBorders>
          </w:tcPr>
          <w:p w14:paraId="2227485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759" w:type="dxa"/>
            <w:tcBorders>
              <w:top w:val="single" w:color="000000" w:sz="6" w:space="0"/>
              <w:left w:val="single" w:color="000000" w:sz="6" w:space="0"/>
              <w:bottom w:val="single" w:color="000000" w:sz="6" w:space="0"/>
              <w:right w:val="single" w:color="000000" w:sz="6" w:space="0"/>
            </w:tcBorders>
          </w:tcPr>
          <w:p w14:paraId="13EAB9A9">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33" w:type="dxa"/>
            <w:tcBorders>
              <w:top w:val="single" w:color="000000" w:sz="6" w:space="0"/>
              <w:left w:val="single" w:color="000000" w:sz="6" w:space="0"/>
              <w:bottom w:val="single" w:color="000000" w:sz="6" w:space="0"/>
              <w:right w:val="single" w:color="000000" w:sz="6" w:space="0"/>
            </w:tcBorders>
          </w:tcPr>
          <w:p w14:paraId="48B5F82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67" w:type="dxa"/>
            <w:tcBorders>
              <w:top w:val="single" w:color="000000" w:sz="6" w:space="0"/>
              <w:left w:val="single" w:color="000000" w:sz="6" w:space="0"/>
              <w:bottom w:val="single" w:color="000000" w:sz="6" w:space="0"/>
              <w:right w:val="single" w:color="000000" w:sz="6" w:space="0"/>
            </w:tcBorders>
          </w:tcPr>
          <w:p w14:paraId="3E8D597E">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724DA544">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28AE46F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56" w:type="dxa"/>
            <w:tcBorders>
              <w:top w:val="single" w:color="000000" w:sz="6" w:space="0"/>
              <w:left w:val="single" w:color="000000" w:sz="6" w:space="0"/>
              <w:bottom w:val="single" w:color="000000" w:sz="6" w:space="0"/>
              <w:right w:val="single" w:color="000000" w:sz="6" w:space="0"/>
            </w:tcBorders>
          </w:tcPr>
          <w:p w14:paraId="20FCE3D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759" w:type="dxa"/>
            <w:tcBorders>
              <w:top w:val="single" w:color="000000" w:sz="6" w:space="0"/>
              <w:left w:val="single" w:color="000000" w:sz="6" w:space="0"/>
              <w:bottom w:val="single" w:color="000000" w:sz="6" w:space="0"/>
              <w:right w:val="single" w:color="000000" w:sz="6" w:space="0"/>
            </w:tcBorders>
          </w:tcPr>
          <w:p w14:paraId="7ABDF7C6">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33" w:type="dxa"/>
            <w:tcBorders>
              <w:top w:val="single" w:color="000000" w:sz="6" w:space="0"/>
              <w:left w:val="single" w:color="000000" w:sz="6" w:space="0"/>
              <w:bottom w:val="single" w:color="000000" w:sz="6" w:space="0"/>
              <w:right w:val="single" w:color="000000" w:sz="6" w:space="0"/>
            </w:tcBorders>
          </w:tcPr>
          <w:p w14:paraId="056DD61F">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67" w:type="dxa"/>
            <w:tcBorders>
              <w:top w:val="single" w:color="000000" w:sz="6" w:space="0"/>
              <w:left w:val="single" w:color="000000" w:sz="6" w:space="0"/>
              <w:bottom w:val="single" w:color="000000" w:sz="6" w:space="0"/>
              <w:right w:val="single" w:color="000000" w:sz="6" w:space="0"/>
            </w:tcBorders>
          </w:tcPr>
          <w:p w14:paraId="68646BB6">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5CCEEB5F">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699C9E4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56" w:type="dxa"/>
            <w:tcBorders>
              <w:top w:val="single" w:color="000000" w:sz="6" w:space="0"/>
              <w:left w:val="single" w:color="000000" w:sz="6" w:space="0"/>
              <w:bottom w:val="single" w:color="000000" w:sz="6" w:space="0"/>
              <w:right w:val="single" w:color="000000" w:sz="6" w:space="0"/>
            </w:tcBorders>
          </w:tcPr>
          <w:p w14:paraId="736123D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759" w:type="dxa"/>
            <w:tcBorders>
              <w:top w:val="single" w:color="000000" w:sz="6" w:space="0"/>
              <w:left w:val="single" w:color="000000" w:sz="6" w:space="0"/>
              <w:bottom w:val="single" w:color="000000" w:sz="6" w:space="0"/>
              <w:right w:val="single" w:color="000000" w:sz="6" w:space="0"/>
            </w:tcBorders>
          </w:tcPr>
          <w:p w14:paraId="5FD5D7E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33" w:type="dxa"/>
            <w:tcBorders>
              <w:top w:val="single" w:color="000000" w:sz="6" w:space="0"/>
              <w:left w:val="single" w:color="000000" w:sz="6" w:space="0"/>
              <w:bottom w:val="single" w:color="000000" w:sz="6" w:space="0"/>
              <w:right w:val="single" w:color="000000" w:sz="6" w:space="0"/>
            </w:tcBorders>
          </w:tcPr>
          <w:p w14:paraId="6B1B92A7">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67" w:type="dxa"/>
            <w:tcBorders>
              <w:top w:val="single" w:color="000000" w:sz="6" w:space="0"/>
              <w:left w:val="single" w:color="000000" w:sz="6" w:space="0"/>
              <w:bottom w:val="single" w:color="000000" w:sz="6" w:space="0"/>
              <w:right w:val="single" w:color="000000" w:sz="6" w:space="0"/>
            </w:tcBorders>
          </w:tcPr>
          <w:p w14:paraId="1471CC35">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25EFB1E2">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453CAC79">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56" w:type="dxa"/>
            <w:tcBorders>
              <w:top w:val="single" w:color="000000" w:sz="6" w:space="0"/>
              <w:left w:val="single" w:color="000000" w:sz="6" w:space="0"/>
              <w:bottom w:val="single" w:color="000000" w:sz="6" w:space="0"/>
              <w:right w:val="single" w:color="000000" w:sz="6" w:space="0"/>
            </w:tcBorders>
          </w:tcPr>
          <w:p w14:paraId="23E01D70">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759" w:type="dxa"/>
            <w:tcBorders>
              <w:top w:val="single" w:color="000000" w:sz="6" w:space="0"/>
              <w:left w:val="single" w:color="000000" w:sz="6" w:space="0"/>
              <w:bottom w:val="single" w:color="000000" w:sz="6" w:space="0"/>
              <w:right w:val="single" w:color="000000" w:sz="6" w:space="0"/>
            </w:tcBorders>
          </w:tcPr>
          <w:p w14:paraId="6A6A0774">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33" w:type="dxa"/>
            <w:tcBorders>
              <w:top w:val="single" w:color="000000" w:sz="6" w:space="0"/>
              <w:left w:val="single" w:color="000000" w:sz="6" w:space="0"/>
              <w:bottom w:val="single" w:color="000000" w:sz="6" w:space="0"/>
              <w:right w:val="single" w:color="000000" w:sz="6" w:space="0"/>
            </w:tcBorders>
          </w:tcPr>
          <w:p w14:paraId="74DB7B8D">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67" w:type="dxa"/>
            <w:tcBorders>
              <w:top w:val="single" w:color="000000" w:sz="6" w:space="0"/>
              <w:left w:val="single" w:color="000000" w:sz="6" w:space="0"/>
              <w:bottom w:val="single" w:color="000000" w:sz="6" w:space="0"/>
              <w:right w:val="single" w:color="000000" w:sz="6" w:space="0"/>
            </w:tcBorders>
          </w:tcPr>
          <w:p w14:paraId="796EB6F2">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bl>
    <w:p w14:paraId="4FF40D98">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1C8466A3">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p>
    <w:p w14:paraId="4B0D1D98">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供应商（盖章）:</w:t>
      </w:r>
      <w:r>
        <w:rPr>
          <w:rFonts w:hint="eastAsia" w:ascii="宋体" w:hAnsi="宋体"/>
          <w:color w:val="auto"/>
          <w:kern w:val="0"/>
          <w:szCs w:val="21"/>
          <w:highlight w:val="none"/>
        </w:rPr>
        <w:tab/>
      </w:r>
    </w:p>
    <w:p w14:paraId="33CBCCDA">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p>
    <w:p w14:paraId="0135C69A">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授权代表（签字）：</w:t>
      </w:r>
      <w:r>
        <w:rPr>
          <w:rFonts w:hint="eastAsia" w:ascii="宋体" w:hAnsi="宋体"/>
          <w:color w:val="auto"/>
          <w:kern w:val="0"/>
          <w:szCs w:val="21"/>
          <w:highlight w:val="none"/>
        </w:rPr>
        <w:tab/>
      </w:r>
    </w:p>
    <w:p w14:paraId="61BD42D0">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p>
    <w:p w14:paraId="09BAFDC3">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日</w:t>
      </w:r>
      <w:r>
        <w:rPr>
          <w:rFonts w:hint="eastAsia" w:ascii="宋体" w:hAnsi="宋体"/>
          <w:color w:val="auto"/>
          <w:kern w:val="0"/>
          <w:szCs w:val="21"/>
          <w:highlight w:val="none"/>
        </w:rPr>
        <w:tab/>
      </w:r>
      <w:r>
        <w:rPr>
          <w:rFonts w:hint="eastAsia" w:ascii="宋体" w:hAnsi="宋体"/>
          <w:color w:val="auto"/>
          <w:kern w:val="0"/>
          <w:szCs w:val="21"/>
          <w:highlight w:val="none"/>
        </w:rPr>
        <w:t>期：年</w:t>
      </w:r>
      <w:r>
        <w:rPr>
          <w:rFonts w:hint="eastAsia" w:ascii="宋体" w:hAnsi="宋体"/>
          <w:color w:val="auto"/>
          <w:kern w:val="0"/>
          <w:szCs w:val="21"/>
          <w:highlight w:val="none"/>
        </w:rPr>
        <w:tab/>
      </w:r>
      <w:r>
        <w:rPr>
          <w:rFonts w:hint="eastAsia" w:ascii="宋体" w:hAnsi="宋体"/>
          <w:color w:val="auto"/>
          <w:kern w:val="0"/>
          <w:szCs w:val="21"/>
          <w:highlight w:val="none"/>
        </w:rPr>
        <w:t>月</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日</w:t>
      </w:r>
    </w:p>
    <w:p w14:paraId="4CD1FEF2">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p>
    <w:p w14:paraId="65BE17E7">
      <w:pPr>
        <w:keepNext w:val="0"/>
        <w:keepLines w:val="0"/>
        <w:pageBreakBefore w:val="0"/>
        <w:widowControl/>
        <w:kinsoku/>
        <w:wordWrap/>
        <w:overflowPunct/>
        <w:topLinePunct w:val="0"/>
        <w:bidi w:val="0"/>
        <w:adjustRightInd w:val="0"/>
        <w:spacing w:line="360" w:lineRule="auto"/>
        <w:ind w:firstLine="420" w:firstLineChars="200"/>
        <w:jc w:val="left"/>
        <w:textAlignment w:val="auto"/>
        <w:rPr>
          <w:rFonts w:ascii="宋体" w:hAnsi="宋体"/>
          <w:color w:val="auto"/>
          <w:kern w:val="0"/>
          <w:szCs w:val="21"/>
          <w:highlight w:val="none"/>
        </w:rPr>
      </w:pPr>
    </w:p>
    <w:p w14:paraId="7661C9FC">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7820A8EB">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A725637">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41CB1262">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2D24C23">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C4657BD">
      <w:pPr>
        <w:keepNext w:val="0"/>
        <w:keepLines w:val="0"/>
        <w:pageBreakBefore w:val="0"/>
        <w:widowControl/>
        <w:kinsoku/>
        <w:wordWrap/>
        <w:overflowPunct/>
        <w:topLinePunct w:val="0"/>
        <w:bidi w:val="0"/>
        <w:spacing w:line="360" w:lineRule="auto"/>
        <w:jc w:val="left"/>
        <w:textAlignment w:val="auto"/>
        <w:rPr>
          <w:rFonts w:ascii="宋体" w:hAnsi="宋体"/>
          <w:b/>
          <w:bCs/>
          <w:color w:val="auto"/>
          <w:sz w:val="32"/>
          <w:szCs w:val="32"/>
          <w:highlight w:val="none"/>
        </w:rPr>
      </w:pPr>
      <w:r>
        <w:rPr>
          <w:rFonts w:hint="eastAsia" w:ascii="宋体" w:hAnsi="宋体"/>
          <w:color w:val="auto"/>
          <w:highlight w:val="none"/>
        </w:rPr>
        <w:br w:type="page"/>
      </w:r>
    </w:p>
    <w:p w14:paraId="784FEA36">
      <w:pPr>
        <w:keepNext w:val="0"/>
        <w:keepLines w:val="0"/>
        <w:pageBreakBefore w:val="0"/>
        <w:kinsoku/>
        <w:wordWrap/>
        <w:overflowPunct/>
        <w:topLinePunct w:val="0"/>
        <w:bidi w:val="0"/>
        <w:spacing w:before="4" w:line="360" w:lineRule="auto"/>
        <w:textAlignment w:val="auto"/>
        <w:rPr>
          <w:rFonts w:ascii="宋体" w:hAnsi="宋体"/>
          <w:b/>
          <w:bCs/>
          <w:color w:val="auto"/>
          <w:sz w:val="31"/>
          <w:szCs w:val="31"/>
          <w:highlight w:val="none"/>
        </w:rPr>
      </w:pPr>
    </w:p>
    <w:p w14:paraId="1D09CB72">
      <w:pPr>
        <w:keepNext w:val="0"/>
        <w:keepLines w:val="0"/>
        <w:pageBreakBefore w:val="0"/>
        <w:kinsoku/>
        <w:wordWrap/>
        <w:overflowPunct/>
        <w:topLinePunct w:val="0"/>
        <w:bidi w:val="0"/>
        <w:spacing w:line="360" w:lineRule="auto"/>
        <w:jc w:val="center"/>
        <w:textAlignment w:val="auto"/>
        <w:rPr>
          <w:rFonts w:ascii="宋体" w:hAnsi="宋体"/>
          <w:b/>
          <w:bCs/>
          <w:color w:val="auto"/>
          <w:sz w:val="50"/>
          <w:szCs w:val="50"/>
          <w:highlight w:val="none"/>
        </w:rPr>
      </w:pPr>
      <w:r>
        <w:rPr>
          <w:rFonts w:hint="eastAsia" w:ascii="宋体" w:hAnsi="宋体"/>
          <w:b/>
          <w:bCs/>
          <w:color w:val="auto"/>
          <w:sz w:val="36"/>
          <w:szCs w:val="36"/>
          <w:highlight w:val="none"/>
          <w:lang w:val="en-US" w:eastAsia="zh-CN"/>
        </w:rPr>
        <w:t>五、</w:t>
      </w:r>
      <w:r>
        <w:rPr>
          <w:rFonts w:hint="eastAsia" w:ascii="宋体" w:hAnsi="宋体"/>
          <w:b/>
          <w:bCs/>
          <w:color w:val="auto"/>
          <w:sz w:val="36"/>
          <w:szCs w:val="36"/>
          <w:highlight w:val="none"/>
        </w:rPr>
        <w:t>采购需求条款偏离表</w:t>
      </w:r>
    </w:p>
    <w:p w14:paraId="1D035112">
      <w:pPr>
        <w:pStyle w:val="10"/>
        <w:keepNext w:val="0"/>
        <w:keepLines w:val="0"/>
        <w:pageBreakBefore w:val="0"/>
        <w:tabs>
          <w:tab w:val="left" w:pos="6871"/>
        </w:tabs>
        <w:kinsoku/>
        <w:wordWrap/>
        <w:overflowPunct/>
        <w:topLinePunct w:val="0"/>
        <w:bidi w:val="0"/>
        <w:spacing w:before="0" w:line="360" w:lineRule="auto"/>
        <w:ind w:left="137"/>
        <w:jc w:val="left"/>
        <w:textAlignment w:val="auto"/>
        <w:rPr>
          <w:color w:val="auto"/>
          <w:highlight w:val="none"/>
        </w:rPr>
      </w:pPr>
      <w:r>
        <w:rPr>
          <w:rFonts w:hint="eastAsia"/>
          <w:color w:val="auto"/>
          <w:highlight w:val="none"/>
        </w:rPr>
        <w:t>项目名称：</w:t>
      </w:r>
      <w:r>
        <w:rPr>
          <w:rFonts w:hint="eastAsia"/>
          <w:color w:val="auto"/>
          <w:w w:val="95"/>
          <w:highlight w:val="none"/>
        </w:rPr>
        <w:tab/>
      </w:r>
      <w:r>
        <w:rPr>
          <w:rFonts w:hint="eastAsia"/>
          <w:color w:val="auto"/>
          <w:highlight w:val="none"/>
        </w:rPr>
        <w:t>项目编号：</w:t>
      </w:r>
    </w:p>
    <w:p w14:paraId="29118A47">
      <w:pPr>
        <w:keepNext w:val="0"/>
        <w:keepLines w:val="0"/>
        <w:pageBreakBefore w:val="0"/>
        <w:kinsoku/>
        <w:wordWrap/>
        <w:overflowPunct/>
        <w:topLinePunct w:val="0"/>
        <w:bidi w:val="0"/>
        <w:spacing w:before="12" w:line="360" w:lineRule="auto"/>
        <w:textAlignment w:val="auto"/>
        <w:rPr>
          <w:rFonts w:ascii="宋体" w:hAnsi="宋体"/>
          <w:color w:val="auto"/>
          <w:sz w:val="2"/>
          <w:szCs w:val="2"/>
          <w:highlight w:val="none"/>
        </w:rPr>
      </w:pPr>
    </w:p>
    <w:tbl>
      <w:tblPr>
        <w:tblStyle w:val="24"/>
        <w:tblW w:w="8429" w:type="dxa"/>
        <w:tblInd w:w="119" w:type="dxa"/>
        <w:tblLayout w:type="fixed"/>
        <w:tblCellMar>
          <w:top w:w="0" w:type="dxa"/>
          <w:left w:w="0" w:type="dxa"/>
          <w:bottom w:w="0" w:type="dxa"/>
          <w:right w:w="0" w:type="dxa"/>
        </w:tblCellMar>
      </w:tblPr>
      <w:tblGrid>
        <w:gridCol w:w="665"/>
        <w:gridCol w:w="2124"/>
        <w:gridCol w:w="2840"/>
        <w:gridCol w:w="1227"/>
        <w:gridCol w:w="1573"/>
      </w:tblGrid>
      <w:tr w14:paraId="0A968796">
        <w:tblPrEx>
          <w:tblCellMar>
            <w:top w:w="0" w:type="dxa"/>
            <w:left w:w="0" w:type="dxa"/>
            <w:bottom w:w="0" w:type="dxa"/>
            <w:right w:w="0" w:type="dxa"/>
          </w:tblCellMar>
        </w:tblPrEx>
        <w:trPr>
          <w:trHeight w:val="381" w:hRule="exact"/>
        </w:trPr>
        <w:tc>
          <w:tcPr>
            <w:tcW w:w="665" w:type="dxa"/>
            <w:tcBorders>
              <w:top w:val="single" w:color="000000" w:sz="6" w:space="0"/>
              <w:left w:val="single" w:color="000000" w:sz="6" w:space="0"/>
              <w:bottom w:val="single" w:color="000000" w:sz="6" w:space="0"/>
              <w:right w:val="single" w:color="000000" w:sz="6" w:space="0"/>
            </w:tcBorders>
          </w:tcPr>
          <w:p w14:paraId="5DBB98F8">
            <w:pPr>
              <w:pStyle w:val="33"/>
              <w:keepNext w:val="0"/>
              <w:keepLines w:val="0"/>
              <w:pageBreakBefore w:val="0"/>
              <w:kinsoku/>
              <w:wordWrap/>
              <w:overflowPunct/>
              <w:topLinePunct w:val="0"/>
              <w:bidi w:val="0"/>
              <w:spacing w:line="360" w:lineRule="auto"/>
              <w:ind w:left="113"/>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2124" w:type="dxa"/>
            <w:tcBorders>
              <w:top w:val="single" w:color="000000" w:sz="6" w:space="0"/>
              <w:left w:val="single" w:color="000000" w:sz="6" w:space="0"/>
              <w:bottom w:val="single" w:color="000000" w:sz="6" w:space="0"/>
              <w:right w:val="single" w:color="000000" w:sz="6" w:space="0"/>
            </w:tcBorders>
          </w:tcPr>
          <w:p w14:paraId="4F7F6061">
            <w:pPr>
              <w:pStyle w:val="33"/>
              <w:keepNext w:val="0"/>
              <w:keepLines w:val="0"/>
              <w:pageBreakBefore w:val="0"/>
              <w:kinsoku/>
              <w:wordWrap/>
              <w:overflowPunct/>
              <w:topLinePunct w:val="0"/>
              <w:bidi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采购文件条目号</w:t>
            </w:r>
          </w:p>
        </w:tc>
        <w:tc>
          <w:tcPr>
            <w:tcW w:w="2840" w:type="dxa"/>
            <w:tcBorders>
              <w:top w:val="single" w:color="000000" w:sz="6" w:space="0"/>
              <w:left w:val="single" w:color="000000" w:sz="6" w:space="0"/>
              <w:bottom w:val="single" w:color="000000" w:sz="6" w:space="0"/>
              <w:right w:val="single" w:color="000000" w:sz="6" w:space="0"/>
            </w:tcBorders>
          </w:tcPr>
          <w:p w14:paraId="34F9130D">
            <w:pPr>
              <w:pStyle w:val="33"/>
              <w:keepNext w:val="0"/>
              <w:keepLines w:val="0"/>
              <w:pageBreakBefore w:val="0"/>
              <w:kinsoku/>
              <w:wordWrap/>
              <w:overflowPunct/>
              <w:topLinePunct w:val="0"/>
              <w:bidi w:val="0"/>
              <w:spacing w:line="360" w:lineRule="auto"/>
              <w:ind w:left="36"/>
              <w:jc w:val="center"/>
              <w:textAlignment w:val="auto"/>
              <w:rPr>
                <w:rFonts w:ascii="宋体" w:hAnsi="宋体"/>
                <w:color w:val="auto"/>
                <w:szCs w:val="21"/>
                <w:highlight w:val="none"/>
              </w:rPr>
            </w:pPr>
            <w:r>
              <w:rPr>
                <w:rFonts w:hint="eastAsia" w:ascii="宋体" w:hAnsi="宋体"/>
                <w:color w:val="auto"/>
                <w:szCs w:val="21"/>
                <w:highlight w:val="none"/>
              </w:rPr>
              <w:t>采购文件要求的采购需求条款</w:t>
            </w:r>
          </w:p>
        </w:tc>
        <w:tc>
          <w:tcPr>
            <w:tcW w:w="1227" w:type="dxa"/>
            <w:tcBorders>
              <w:top w:val="single" w:color="000000" w:sz="6" w:space="0"/>
              <w:left w:val="single" w:color="000000" w:sz="6" w:space="0"/>
              <w:bottom w:val="single" w:color="000000" w:sz="6" w:space="0"/>
              <w:right w:val="single" w:color="000000" w:sz="6" w:space="0"/>
            </w:tcBorders>
          </w:tcPr>
          <w:p w14:paraId="25D70C2F">
            <w:pPr>
              <w:pStyle w:val="33"/>
              <w:keepNext w:val="0"/>
              <w:keepLines w:val="0"/>
              <w:pageBreakBefore w:val="0"/>
              <w:kinsoku/>
              <w:wordWrap/>
              <w:overflowPunct/>
              <w:topLinePunct w:val="0"/>
              <w:bidi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磋商响应</w:t>
            </w:r>
          </w:p>
        </w:tc>
        <w:tc>
          <w:tcPr>
            <w:tcW w:w="1573" w:type="dxa"/>
            <w:tcBorders>
              <w:top w:val="single" w:color="000000" w:sz="6" w:space="0"/>
              <w:left w:val="single" w:color="000000" w:sz="6" w:space="0"/>
              <w:bottom w:val="single" w:color="000000" w:sz="6" w:space="0"/>
              <w:right w:val="single" w:color="000000" w:sz="6" w:space="0"/>
            </w:tcBorders>
          </w:tcPr>
          <w:p w14:paraId="1705A956">
            <w:pPr>
              <w:pStyle w:val="33"/>
              <w:keepNext w:val="0"/>
              <w:keepLines w:val="0"/>
              <w:pageBreakBefore w:val="0"/>
              <w:kinsoku/>
              <w:wordWrap/>
              <w:overflowPunct/>
              <w:topLinePunct w:val="0"/>
              <w:bidi w:val="0"/>
              <w:spacing w:line="360" w:lineRule="auto"/>
              <w:ind w:left="91"/>
              <w:jc w:val="center"/>
              <w:textAlignment w:val="auto"/>
              <w:rPr>
                <w:rFonts w:ascii="宋体" w:hAnsi="宋体"/>
                <w:color w:val="auto"/>
                <w:szCs w:val="21"/>
                <w:highlight w:val="none"/>
              </w:rPr>
            </w:pPr>
            <w:r>
              <w:rPr>
                <w:rFonts w:hint="eastAsia" w:ascii="宋体" w:hAnsi="宋体"/>
                <w:color w:val="auto"/>
                <w:szCs w:val="21"/>
                <w:highlight w:val="none"/>
              </w:rPr>
              <w:t>偏离说明</w:t>
            </w:r>
          </w:p>
        </w:tc>
      </w:tr>
      <w:tr w14:paraId="13597197">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307CA067">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6B736050">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840" w:type="dxa"/>
            <w:tcBorders>
              <w:top w:val="single" w:color="000000" w:sz="6" w:space="0"/>
              <w:left w:val="single" w:color="000000" w:sz="6" w:space="0"/>
              <w:bottom w:val="single" w:color="000000" w:sz="6" w:space="0"/>
              <w:right w:val="single" w:color="000000" w:sz="6" w:space="0"/>
            </w:tcBorders>
          </w:tcPr>
          <w:p w14:paraId="576CBFDC">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227" w:type="dxa"/>
            <w:tcBorders>
              <w:top w:val="single" w:color="000000" w:sz="6" w:space="0"/>
              <w:left w:val="single" w:color="000000" w:sz="6" w:space="0"/>
              <w:bottom w:val="single" w:color="000000" w:sz="6" w:space="0"/>
              <w:right w:val="single" w:color="000000" w:sz="6" w:space="0"/>
            </w:tcBorders>
          </w:tcPr>
          <w:p w14:paraId="3697840F">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573" w:type="dxa"/>
            <w:tcBorders>
              <w:top w:val="single" w:color="000000" w:sz="6" w:space="0"/>
              <w:left w:val="single" w:color="000000" w:sz="6" w:space="0"/>
              <w:bottom w:val="single" w:color="000000" w:sz="6" w:space="0"/>
              <w:right w:val="single" w:color="000000" w:sz="6" w:space="0"/>
            </w:tcBorders>
          </w:tcPr>
          <w:p w14:paraId="523D0AFA">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r w14:paraId="704B3F75">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3B60660A">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0D55D1A7">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840" w:type="dxa"/>
            <w:tcBorders>
              <w:top w:val="single" w:color="000000" w:sz="6" w:space="0"/>
              <w:left w:val="single" w:color="000000" w:sz="6" w:space="0"/>
              <w:bottom w:val="single" w:color="000000" w:sz="6" w:space="0"/>
              <w:right w:val="single" w:color="000000" w:sz="6" w:space="0"/>
            </w:tcBorders>
          </w:tcPr>
          <w:p w14:paraId="412DF4E0">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227" w:type="dxa"/>
            <w:tcBorders>
              <w:top w:val="single" w:color="000000" w:sz="6" w:space="0"/>
              <w:left w:val="single" w:color="000000" w:sz="6" w:space="0"/>
              <w:bottom w:val="single" w:color="000000" w:sz="6" w:space="0"/>
              <w:right w:val="single" w:color="000000" w:sz="6" w:space="0"/>
            </w:tcBorders>
          </w:tcPr>
          <w:p w14:paraId="357BE981">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573" w:type="dxa"/>
            <w:tcBorders>
              <w:top w:val="single" w:color="000000" w:sz="6" w:space="0"/>
              <w:left w:val="single" w:color="000000" w:sz="6" w:space="0"/>
              <w:bottom w:val="single" w:color="000000" w:sz="6" w:space="0"/>
              <w:right w:val="single" w:color="000000" w:sz="6" w:space="0"/>
            </w:tcBorders>
          </w:tcPr>
          <w:p w14:paraId="000E8CA8">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r w14:paraId="4CC186A0">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40046CD4">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6DD2C481">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840" w:type="dxa"/>
            <w:tcBorders>
              <w:top w:val="single" w:color="000000" w:sz="6" w:space="0"/>
              <w:left w:val="single" w:color="000000" w:sz="6" w:space="0"/>
              <w:bottom w:val="single" w:color="000000" w:sz="6" w:space="0"/>
              <w:right w:val="single" w:color="000000" w:sz="6" w:space="0"/>
            </w:tcBorders>
          </w:tcPr>
          <w:p w14:paraId="18F8F69D">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227" w:type="dxa"/>
            <w:tcBorders>
              <w:top w:val="single" w:color="000000" w:sz="6" w:space="0"/>
              <w:left w:val="single" w:color="000000" w:sz="6" w:space="0"/>
              <w:bottom w:val="single" w:color="000000" w:sz="6" w:space="0"/>
              <w:right w:val="single" w:color="000000" w:sz="6" w:space="0"/>
            </w:tcBorders>
          </w:tcPr>
          <w:p w14:paraId="1F525266">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573" w:type="dxa"/>
            <w:tcBorders>
              <w:top w:val="single" w:color="000000" w:sz="6" w:space="0"/>
              <w:left w:val="single" w:color="000000" w:sz="6" w:space="0"/>
              <w:bottom w:val="single" w:color="000000" w:sz="6" w:space="0"/>
              <w:right w:val="single" w:color="000000" w:sz="6" w:space="0"/>
            </w:tcBorders>
          </w:tcPr>
          <w:p w14:paraId="7053672F">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r w14:paraId="00D3277A">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088512C3">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791BE569">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840" w:type="dxa"/>
            <w:tcBorders>
              <w:top w:val="single" w:color="000000" w:sz="6" w:space="0"/>
              <w:left w:val="single" w:color="000000" w:sz="6" w:space="0"/>
              <w:bottom w:val="single" w:color="000000" w:sz="6" w:space="0"/>
              <w:right w:val="single" w:color="000000" w:sz="6" w:space="0"/>
            </w:tcBorders>
          </w:tcPr>
          <w:p w14:paraId="62409028">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227" w:type="dxa"/>
            <w:tcBorders>
              <w:top w:val="single" w:color="000000" w:sz="6" w:space="0"/>
              <w:left w:val="single" w:color="000000" w:sz="6" w:space="0"/>
              <w:bottom w:val="single" w:color="000000" w:sz="6" w:space="0"/>
              <w:right w:val="single" w:color="000000" w:sz="6" w:space="0"/>
            </w:tcBorders>
          </w:tcPr>
          <w:p w14:paraId="5B78115D">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573" w:type="dxa"/>
            <w:tcBorders>
              <w:top w:val="single" w:color="000000" w:sz="6" w:space="0"/>
              <w:left w:val="single" w:color="000000" w:sz="6" w:space="0"/>
              <w:bottom w:val="single" w:color="000000" w:sz="6" w:space="0"/>
              <w:right w:val="single" w:color="000000" w:sz="6" w:space="0"/>
            </w:tcBorders>
          </w:tcPr>
          <w:p w14:paraId="7C3AA4E1">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r w14:paraId="36C04031">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4873D38E">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0496B318">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2840" w:type="dxa"/>
            <w:tcBorders>
              <w:top w:val="single" w:color="000000" w:sz="6" w:space="0"/>
              <w:left w:val="single" w:color="000000" w:sz="6" w:space="0"/>
              <w:bottom w:val="single" w:color="000000" w:sz="6" w:space="0"/>
              <w:right w:val="single" w:color="000000" w:sz="6" w:space="0"/>
            </w:tcBorders>
          </w:tcPr>
          <w:p w14:paraId="5460EF49">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227" w:type="dxa"/>
            <w:tcBorders>
              <w:top w:val="single" w:color="000000" w:sz="6" w:space="0"/>
              <w:left w:val="single" w:color="000000" w:sz="6" w:space="0"/>
              <w:bottom w:val="single" w:color="000000" w:sz="6" w:space="0"/>
              <w:right w:val="single" w:color="000000" w:sz="6" w:space="0"/>
            </w:tcBorders>
          </w:tcPr>
          <w:p w14:paraId="6075DCBE">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c>
          <w:tcPr>
            <w:tcW w:w="1573" w:type="dxa"/>
            <w:tcBorders>
              <w:top w:val="single" w:color="000000" w:sz="6" w:space="0"/>
              <w:left w:val="single" w:color="000000" w:sz="6" w:space="0"/>
              <w:bottom w:val="single" w:color="000000" w:sz="6" w:space="0"/>
              <w:right w:val="single" w:color="000000" w:sz="6" w:space="0"/>
            </w:tcBorders>
          </w:tcPr>
          <w:p w14:paraId="20487A0A">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tc>
      </w:tr>
    </w:tbl>
    <w:p w14:paraId="0D8E5114">
      <w:pPr>
        <w:keepNext w:val="0"/>
        <w:keepLines w:val="0"/>
        <w:pageBreakBefore w:val="0"/>
        <w:kinsoku/>
        <w:wordWrap/>
        <w:overflowPunct/>
        <w:topLinePunct w:val="0"/>
        <w:bidi w:val="0"/>
        <w:spacing w:before="1" w:line="360" w:lineRule="auto"/>
        <w:textAlignment w:val="auto"/>
        <w:rPr>
          <w:rFonts w:ascii="宋体" w:hAnsi="宋体"/>
          <w:color w:val="auto"/>
          <w:sz w:val="23"/>
          <w:szCs w:val="23"/>
          <w:highlight w:val="none"/>
        </w:rPr>
      </w:pPr>
    </w:p>
    <w:p w14:paraId="04B37256">
      <w:pPr>
        <w:pStyle w:val="10"/>
        <w:keepNext w:val="0"/>
        <w:keepLines w:val="0"/>
        <w:pageBreakBefore w:val="0"/>
        <w:tabs>
          <w:tab w:val="left" w:pos="4717"/>
        </w:tabs>
        <w:kinsoku/>
        <w:wordWrap/>
        <w:overflowPunct/>
        <w:topLinePunct w:val="0"/>
        <w:bidi w:val="0"/>
        <w:spacing w:before="34" w:line="360" w:lineRule="auto"/>
        <w:ind w:left="677"/>
        <w:jc w:val="left"/>
        <w:textAlignment w:val="auto"/>
        <w:rPr>
          <w:color w:val="auto"/>
          <w:highlight w:val="none"/>
        </w:rPr>
      </w:pPr>
      <w:r>
        <w:rPr>
          <w:rFonts w:hint="eastAsia"/>
          <w:color w:val="auto"/>
          <w:highlight w:val="none"/>
        </w:rPr>
        <w:t>供应商（盖章）:</w:t>
      </w:r>
      <w:r>
        <w:rPr>
          <w:rFonts w:hint="eastAsia"/>
          <w:color w:val="auto"/>
          <w:highlight w:val="none"/>
          <w:u w:val="single" w:color="000000"/>
        </w:rPr>
        <w:tab/>
      </w:r>
    </w:p>
    <w:p w14:paraId="3401B018">
      <w:pPr>
        <w:keepNext w:val="0"/>
        <w:keepLines w:val="0"/>
        <w:pageBreakBefore w:val="0"/>
        <w:kinsoku/>
        <w:wordWrap/>
        <w:overflowPunct/>
        <w:topLinePunct w:val="0"/>
        <w:bidi w:val="0"/>
        <w:spacing w:before="1" w:line="360" w:lineRule="auto"/>
        <w:textAlignment w:val="auto"/>
        <w:rPr>
          <w:rFonts w:ascii="宋体" w:hAnsi="宋体"/>
          <w:color w:val="auto"/>
          <w:sz w:val="11"/>
          <w:szCs w:val="11"/>
          <w:highlight w:val="none"/>
        </w:rPr>
      </w:pPr>
    </w:p>
    <w:p w14:paraId="057DBF36">
      <w:pPr>
        <w:pStyle w:val="10"/>
        <w:keepNext w:val="0"/>
        <w:keepLines w:val="0"/>
        <w:pageBreakBefore w:val="0"/>
        <w:tabs>
          <w:tab w:val="left" w:pos="4717"/>
        </w:tabs>
        <w:kinsoku/>
        <w:wordWrap/>
        <w:overflowPunct/>
        <w:topLinePunct w:val="0"/>
        <w:bidi w:val="0"/>
        <w:spacing w:before="34" w:line="360" w:lineRule="auto"/>
        <w:ind w:left="677"/>
        <w:jc w:val="left"/>
        <w:textAlignment w:val="auto"/>
        <w:rPr>
          <w:color w:val="auto"/>
          <w:highlight w:val="none"/>
        </w:rPr>
      </w:pPr>
      <w:r>
        <w:rPr>
          <w:rFonts w:hint="eastAsia"/>
          <w:color w:val="auto"/>
          <w:highlight w:val="none"/>
        </w:rPr>
        <w:t>授权代表（签字）：</w:t>
      </w:r>
      <w:r>
        <w:rPr>
          <w:rFonts w:hint="eastAsia"/>
          <w:color w:val="auto"/>
          <w:highlight w:val="none"/>
          <w:u w:val="single" w:color="000000"/>
        </w:rPr>
        <w:tab/>
      </w:r>
    </w:p>
    <w:p w14:paraId="4816440C">
      <w:pPr>
        <w:keepNext w:val="0"/>
        <w:keepLines w:val="0"/>
        <w:pageBreakBefore w:val="0"/>
        <w:kinsoku/>
        <w:wordWrap/>
        <w:overflowPunct/>
        <w:topLinePunct w:val="0"/>
        <w:bidi w:val="0"/>
        <w:spacing w:before="10" w:line="360" w:lineRule="auto"/>
        <w:textAlignment w:val="auto"/>
        <w:rPr>
          <w:rFonts w:ascii="宋体" w:hAnsi="宋体"/>
          <w:color w:val="auto"/>
          <w:sz w:val="10"/>
          <w:szCs w:val="10"/>
          <w:highlight w:val="none"/>
        </w:rPr>
      </w:pPr>
    </w:p>
    <w:p w14:paraId="633FFEAB">
      <w:pPr>
        <w:keepNext w:val="0"/>
        <w:keepLines w:val="0"/>
        <w:pageBreakBefore w:val="0"/>
        <w:widowControl/>
        <w:kinsoku/>
        <w:wordWrap/>
        <w:overflowPunct/>
        <w:topLinePunct w:val="0"/>
        <w:bidi w:val="0"/>
        <w:adjustRightInd w:val="0"/>
        <w:spacing w:line="360" w:lineRule="auto"/>
        <w:ind w:firstLine="630" w:firstLineChars="300"/>
        <w:jc w:val="left"/>
        <w:textAlignment w:val="auto"/>
        <w:rPr>
          <w:rFonts w:ascii="宋体" w:hAnsi="宋体"/>
          <w:color w:val="auto"/>
          <w:kern w:val="0"/>
          <w:szCs w:val="21"/>
          <w:highlight w:val="none"/>
        </w:rPr>
      </w:pPr>
      <w:r>
        <w:rPr>
          <w:rFonts w:hint="eastAsia" w:ascii="宋体" w:hAnsi="宋体"/>
          <w:color w:val="auto"/>
          <w:kern w:val="0"/>
          <w:szCs w:val="21"/>
          <w:highlight w:val="none"/>
        </w:rPr>
        <w:t>日</w:t>
      </w:r>
      <w:r>
        <w:rPr>
          <w:rFonts w:hint="eastAsia" w:ascii="宋体" w:hAnsi="宋体"/>
          <w:color w:val="auto"/>
          <w:kern w:val="0"/>
          <w:szCs w:val="21"/>
          <w:highlight w:val="none"/>
        </w:rPr>
        <w:tab/>
      </w:r>
      <w:r>
        <w:rPr>
          <w:rFonts w:hint="eastAsia" w:ascii="宋体" w:hAnsi="宋体"/>
          <w:color w:val="auto"/>
          <w:kern w:val="0"/>
          <w:szCs w:val="21"/>
          <w:highlight w:val="none"/>
        </w:rPr>
        <w:t>期：</w:t>
      </w:r>
      <w:r>
        <w:rPr>
          <w:rFonts w:hint="eastAsia" w:ascii="宋体" w:hAnsi="宋体"/>
          <w:color w:val="auto"/>
          <w:kern w:val="0"/>
          <w:szCs w:val="21"/>
          <w:highlight w:val="none"/>
        </w:rPr>
        <w:tab/>
      </w:r>
      <w:r>
        <w:rPr>
          <w:rFonts w:hint="eastAsia" w:ascii="宋体" w:hAnsi="宋体"/>
          <w:color w:val="auto"/>
          <w:kern w:val="0"/>
          <w:szCs w:val="21"/>
          <w:highlight w:val="none"/>
        </w:rPr>
        <w:t>年</w:t>
      </w:r>
      <w:r>
        <w:rPr>
          <w:rFonts w:hint="eastAsia" w:ascii="宋体" w:hAnsi="宋体"/>
          <w:color w:val="auto"/>
          <w:kern w:val="0"/>
          <w:szCs w:val="21"/>
          <w:highlight w:val="none"/>
        </w:rPr>
        <w:tab/>
      </w:r>
      <w:r>
        <w:rPr>
          <w:rFonts w:hint="eastAsia" w:ascii="宋体" w:hAnsi="宋体"/>
          <w:color w:val="auto"/>
          <w:kern w:val="0"/>
          <w:szCs w:val="21"/>
          <w:highlight w:val="none"/>
        </w:rPr>
        <w:t>月</w:t>
      </w:r>
      <w:r>
        <w:rPr>
          <w:rFonts w:hint="eastAsia" w:ascii="宋体" w:hAnsi="宋体"/>
          <w:color w:val="auto"/>
          <w:kern w:val="0"/>
          <w:szCs w:val="21"/>
          <w:highlight w:val="none"/>
        </w:rPr>
        <w:tab/>
      </w:r>
      <w:r>
        <w:rPr>
          <w:rFonts w:hint="eastAsia" w:ascii="宋体" w:hAnsi="宋体"/>
          <w:color w:val="auto"/>
          <w:kern w:val="0"/>
          <w:szCs w:val="21"/>
          <w:highlight w:val="none"/>
        </w:rPr>
        <w:t>日</w:t>
      </w:r>
    </w:p>
    <w:p w14:paraId="6893BDAD">
      <w:pPr>
        <w:pStyle w:val="31"/>
        <w:keepNext w:val="0"/>
        <w:keepLines w:val="0"/>
        <w:pageBreakBefore w:val="0"/>
        <w:kinsoku/>
        <w:wordWrap/>
        <w:overflowPunct/>
        <w:topLinePunct w:val="0"/>
        <w:bidi w:val="0"/>
        <w:spacing w:line="360" w:lineRule="auto"/>
        <w:textAlignment w:val="auto"/>
        <w:rPr>
          <w:color w:val="auto"/>
          <w:highlight w:val="none"/>
        </w:rPr>
      </w:pPr>
    </w:p>
    <w:p w14:paraId="22474311">
      <w:pPr>
        <w:pStyle w:val="31"/>
        <w:keepNext w:val="0"/>
        <w:keepLines w:val="0"/>
        <w:pageBreakBefore w:val="0"/>
        <w:kinsoku/>
        <w:wordWrap/>
        <w:overflowPunct/>
        <w:topLinePunct w:val="0"/>
        <w:bidi w:val="0"/>
        <w:spacing w:line="360" w:lineRule="auto"/>
        <w:textAlignment w:val="auto"/>
        <w:rPr>
          <w:color w:val="auto"/>
          <w:highlight w:val="none"/>
        </w:rPr>
      </w:pPr>
    </w:p>
    <w:p w14:paraId="2F76D3AB">
      <w:pPr>
        <w:keepNext w:val="0"/>
        <w:keepLines w:val="0"/>
        <w:pageBreakBefore w:val="0"/>
        <w:widowControl/>
        <w:kinsoku/>
        <w:wordWrap/>
        <w:overflowPunct/>
        <w:topLinePunct w:val="0"/>
        <w:bidi w:val="0"/>
        <w:spacing w:line="360" w:lineRule="auto"/>
        <w:jc w:val="left"/>
        <w:textAlignment w:val="auto"/>
        <w:rPr>
          <w:rFonts w:ascii="宋体" w:hAnsi="宋体"/>
          <w:color w:val="auto"/>
          <w:kern w:val="0"/>
          <w:sz w:val="24"/>
          <w:highlight w:val="none"/>
        </w:rPr>
      </w:pPr>
      <w:r>
        <w:rPr>
          <w:rFonts w:hint="eastAsia" w:ascii="宋体" w:hAnsi="宋体"/>
          <w:color w:val="auto"/>
          <w:highlight w:val="none"/>
        </w:rPr>
        <w:br w:type="page"/>
      </w:r>
    </w:p>
    <w:p w14:paraId="6A67B618">
      <w:pPr>
        <w:keepNext w:val="0"/>
        <w:keepLines w:val="0"/>
        <w:pageBreakBefore w:val="0"/>
        <w:kinsoku/>
        <w:wordWrap/>
        <w:overflowPunct/>
        <w:topLinePunct w:val="0"/>
        <w:bidi w:val="0"/>
        <w:spacing w:before="1" w:line="360" w:lineRule="auto"/>
        <w:textAlignment w:val="auto"/>
        <w:rPr>
          <w:rFonts w:ascii="宋体" w:hAnsi="宋体"/>
          <w:b/>
          <w:bCs/>
          <w:color w:val="auto"/>
          <w:sz w:val="31"/>
          <w:szCs w:val="31"/>
          <w:highlight w:val="none"/>
        </w:rPr>
      </w:pPr>
    </w:p>
    <w:p w14:paraId="1868A12E">
      <w:pPr>
        <w:keepNext w:val="0"/>
        <w:keepLines w:val="0"/>
        <w:pageBreakBefore w:val="0"/>
        <w:kinsoku/>
        <w:wordWrap/>
        <w:overflowPunct/>
        <w:topLinePunct w:val="0"/>
        <w:bidi w:val="0"/>
        <w:spacing w:line="360" w:lineRule="auto"/>
        <w:jc w:val="center"/>
        <w:textAlignment w:val="auto"/>
        <w:rPr>
          <w:rFonts w:ascii="宋体" w:hAnsi="宋体"/>
          <w:color w:val="auto"/>
          <w:sz w:val="36"/>
          <w:szCs w:val="36"/>
          <w:highlight w:val="none"/>
        </w:rPr>
      </w:pPr>
      <w:r>
        <w:rPr>
          <w:rFonts w:hint="eastAsia" w:ascii="宋体" w:hAnsi="宋体"/>
          <w:b/>
          <w:bCs/>
          <w:color w:val="auto"/>
          <w:sz w:val="36"/>
          <w:szCs w:val="36"/>
          <w:highlight w:val="none"/>
          <w:lang w:val="en-US" w:eastAsia="zh-CN"/>
        </w:rPr>
        <w:t>六、</w:t>
      </w:r>
      <w:r>
        <w:rPr>
          <w:rFonts w:hint="eastAsia" w:ascii="宋体" w:hAnsi="宋体"/>
          <w:b/>
          <w:bCs/>
          <w:color w:val="auto"/>
          <w:sz w:val="36"/>
          <w:szCs w:val="36"/>
          <w:highlight w:val="none"/>
        </w:rPr>
        <w:t>拟参与本项目人员一览表</w:t>
      </w:r>
    </w:p>
    <w:p w14:paraId="27ED433E">
      <w:pPr>
        <w:pStyle w:val="10"/>
        <w:keepNext w:val="0"/>
        <w:keepLines w:val="0"/>
        <w:pageBreakBefore w:val="0"/>
        <w:tabs>
          <w:tab w:val="left" w:pos="5711"/>
        </w:tabs>
        <w:kinsoku/>
        <w:wordWrap/>
        <w:overflowPunct/>
        <w:topLinePunct w:val="0"/>
        <w:bidi w:val="0"/>
        <w:spacing w:before="0" w:line="360" w:lineRule="auto"/>
        <w:ind w:left="0"/>
        <w:jc w:val="left"/>
        <w:textAlignment w:val="auto"/>
        <w:rPr>
          <w:color w:val="auto"/>
          <w:w w:val="95"/>
          <w:highlight w:val="none"/>
        </w:rPr>
      </w:pPr>
    </w:p>
    <w:p w14:paraId="3A9F0CCD">
      <w:pPr>
        <w:pStyle w:val="10"/>
        <w:keepNext w:val="0"/>
        <w:keepLines w:val="0"/>
        <w:pageBreakBefore w:val="0"/>
        <w:tabs>
          <w:tab w:val="left" w:pos="5711"/>
        </w:tabs>
        <w:kinsoku/>
        <w:wordWrap/>
        <w:overflowPunct/>
        <w:topLinePunct w:val="0"/>
        <w:bidi w:val="0"/>
        <w:spacing w:before="0" w:line="360" w:lineRule="auto"/>
        <w:ind w:left="0"/>
        <w:jc w:val="left"/>
        <w:textAlignment w:val="auto"/>
        <w:rPr>
          <w:color w:val="auto"/>
          <w:highlight w:val="none"/>
        </w:rPr>
      </w:pPr>
      <w:r>
        <w:rPr>
          <w:rFonts w:hint="eastAsia"/>
          <w:color w:val="auto"/>
          <w:w w:val="95"/>
          <w:highlight w:val="none"/>
        </w:rPr>
        <w:t>项目名称：</w:t>
      </w:r>
      <w:r>
        <w:rPr>
          <w:rFonts w:hint="eastAsia"/>
          <w:color w:val="auto"/>
          <w:w w:val="95"/>
          <w:highlight w:val="none"/>
        </w:rPr>
        <w:tab/>
      </w:r>
      <w:r>
        <w:rPr>
          <w:rFonts w:hint="eastAsia"/>
          <w:color w:val="auto"/>
          <w:highlight w:val="none"/>
        </w:rPr>
        <w:t>项目编号：</w:t>
      </w:r>
    </w:p>
    <w:p w14:paraId="24173AF8">
      <w:pPr>
        <w:keepNext w:val="0"/>
        <w:keepLines w:val="0"/>
        <w:pageBreakBefore w:val="0"/>
        <w:kinsoku/>
        <w:wordWrap/>
        <w:overflowPunct/>
        <w:topLinePunct w:val="0"/>
        <w:bidi w:val="0"/>
        <w:spacing w:before="1" w:line="360" w:lineRule="auto"/>
        <w:textAlignment w:val="auto"/>
        <w:rPr>
          <w:rFonts w:ascii="宋体" w:hAnsi="宋体"/>
          <w:color w:val="auto"/>
          <w:sz w:val="3"/>
          <w:szCs w:val="3"/>
          <w:highlight w:val="none"/>
        </w:rPr>
      </w:pPr>
    </w:p>
    <w:tbl>
      <w:tblPr>
        <w:tblStyle w:val="24"/>
        <w:tblW w:w="5000" w:type="pct"/>
        <w:jc w:val="center"/>
        <w:tblLayout w:type="autofit"/>
        <w:tblCellMar>
          <w:top w:w="0" w:type="dxa"/>
          <w:left w:w="0" w:type="dxa"/>
          <w:bottom w:w="0" w:type="dxa"/>
          <w:right w:w="0" w:type="dxa"/>
        </w:tblCellMar>
      </w:tblPr>
      <w:tblGrid>
        <w:gridCol w:w="639"/>
        <w:gridCol w:w="1068"/>
        <w:gridCol w:w="790"/>
        <w:gridCol w:w="845"/>
        <w:gridCol w:w="1351"/>
        <w:gridCol w:w="1111"/>
        <w:gridCol w:w="1502"/>
        <w:gridCol w:w="1010"/>
      </w:tblGrid>
      <w:tr w14:paraId="6C1728F1">
        <w:tblPrEx>
          <w:tblCellMar>
            <w:top w:w="0" w:type="dxa"/>
            <w:left w:w="0" w:type="dxa"/>
            <w:bottom w:w="0" w:type="dxa"/>
            <w:right w:w="0" w:type="dxa"/>
          </w:tblCellMar>
        </w:tblPrEx>
        <w:trPr>
          <w:trHeight w:val="1117" w:hRule="exact"/>
          <w:jc w:val="center"/>
        </w:trPr>
        <w:tc>
          <w:tcPr>
            <w:tcW w:w="385" w:type="pct"/>
            <w:tcBorders>
              <w:top w:val="single" w:color="000000" w:sz="4" w:space="0"/>
              <w:left w:val="single" w:color="000000" w:sz="4" w:space="0"/>
              <w:bottom w:val="single" w:color="000000" w:sz="4" w:space="0"/>
              <w:right w:val="single" w:color="000000" w:sz="4" w:space="0"/>
            </w:tcBorders>
            <w:vAlign w:val="center"/>
          </w:tcPr>
          <w:p w14:paraId="27C8CF1A">
            <w:pPr>
              <w:pStyle w:val="33"/>
              <w:keepNext w:val="0"/>
              <w:keepLines w:val="0"/>
              <w:pageBreakBefore w:val="0"/>
              <w:kinsoku/>
              <w:wordWrap/>
              <w:overflowPunct/>
              <w:topLinePunct w:val="0"/>
              <w:bidi w:val="0"/>
              <w:spacing w:line="360" w:lineRule="auto"/>
              <w:ind w:right="157"/>
              <w:jc w:val="center"/>
              <w:textAlignment w:val="auto"/>
              <w:rPr>
                <w:rFonts w:ascii="宋体" w:hAnsi="宋体"/>
                <w:color w:val="auto"/>
                <w:szCs w:val="21"/>
                <w:highlight w:val="none"/>
              </w:rPr>
            </w:pPr>
            <w:r>
              <w:rPr>
                <w:rFonts w:hint="eastAsia" w:ascii="宋体" w:hAnsi="宋体"/>
                <w:b/>
                <w:bCs/>
                <w:color w:val="auto"/>
                <w:szCs w:val="21"/>
                <w:highlight w:val="none"/>
              </w:rPr>
              <w:t>序号</w:t>
            </w:r>
          </w:p>
        </w:tc>
        <w:tc>
          <w:tcPr>
            <w:tcW w:w="642" w:type="pct"/>
            <w:tcBorders>
              <w:top w:val="single" w:color="000000" w:sz="4" w:space="0"/>
              <w:left w:val="single" w:color="000000" w:sz="4" w:space="0"/>
              <w:bottom w:val="single" w:color="000000" w:sz="4" w:space="0"/>
              <w:right w:val="single" w:color="000000" w:sz="4" w:space="0"/>
            </w:tcBorders>
            <w:vAlign w:val="center"/>
          </w:tcPr>
          <w:p w14:paraId="3C58DECD">
            <w:pPr>
              <w:pStyle w:val="33"/>
              <w:keepNext w:val="0"/>
              <w:keepLines w:val="0"/>
              <w:pageBreakBefore w:val="0"/>
              <w:kinsoku/>
              <w:wordWrap/>
              <w:overflowPunct/>
              <w:topLinePunct w:val="0"/>
              <w:bidi w:val="0"/>
              <w:spacing w:line="360" w:lineRule="auto"/>
              <w:jc w:val="center"/>
              <w:textAlignment w:val="auto"/>
              <w:rPr>
                <w:rFonts w:ascii="宋体" w:hAnsi="宋体"/>
                <w:color w:val="auto"/>
                <w:szCs w:val="21"/>
                <w:highlight w:val="none"/>
              </w:rPr>
            </w:pPr>
            <w:r>
              <w:rPr>
                <w:rFonts w:hint="eastAsia" w:ascii="宋体" w:hAnsi="宋体"/>
                <w:b/>
                <w:bCs/>
                <w:color w:val="auto"/>
                <w:szCs w:val="21"/>
                <w:highlight w:val="none"/>
              </w:rPr>
              <w:t>姓名</w:t>
            </w:r>
          </w:p>
        </w:tc>
        <w:tc>
          <w:tcPr>
            <w:tcW w:w="475" w:type="pct"/>
            <w:tcBorders>
              <w:top w:val="single" w:color="000000" w:sz="4" w:space="0"/>
              <w:left w:val="single" w:color="000000" w:sz="4" w:space="0"/>
              <w:bottom w:val="single" w:color="000000" w:sz="4" w:space="0"/>
              <w:right w:val="single" w:color="000000" w:sz="4" w:space="0"/>
            </w:tcBorders>
            <w:vAlign w:val="center"/>
          </w:tcPr>
          <w:p w14:paraId="4EE55E12">
            <w:pPr>
              <w:pStyle w:val="33"/>
              <w:keepNext w:val="0"/>
              <w:keepLines w:val="0"/>
              <w:pageBreakBefore w:val="0"/>
              <w:kinsoku/>
              <w:wordWrap/>
              <w:overflowPunct/>
              <w:topLinePunct w:val="0"/>
              <w:bidi w:val="0"/>
              <w:spacing w:line="360" w:lineRule="auto"/>
              <w:jc w:val="center"/>
              <w:textAlignment w:val="auto"/>
              <w:rPr>
                <w:rFonts w:ascii="宋体" w:hAnsi="宋体"/>
                <w:color w:val="auto"/>
                <w:szCs w:val="21"/>
                <w:highlight w:val="none"/>
              </w:rPr>
            </w:pPr>
            <w:r>
              <w:rPr>
                <w:rFonts w:hint="eastAsia" w:ascii="宋体" w:hAnsi="宋体"/>
                <w:b/>
                <w:bCs/>
                <w:color w:val="auto"/>
                <w:szCs w:val="21"/>
                <w:highlight w:val="none"/>
              </w:rPr>
              <w:t>性别</w:t>
            </w:r>
          </w:p>
        </w:tc>
        <w:tc>
          <w:tcPr>
            <w:tcW w:w="508" w:type="pct"/>
            <w:tcBorders>
              <w:top w:val="single" w:color="000000" w:sz="4" w:space="0"/>
              <w:left w:val="single" w:color="000000" w:sz="4" w:space="0"/>
              <w:bottom w:val="single" w:color="000000" w:sz="4" w:space="0"/>
              <w:right w:val="single" w:color="000000" w:sz="4" w:space="0"/>
            </w:tcBorders>
            <w:vAlign w:val="center"/>
          </w:tcPr>
          <w:p w14:paraId="7120E824">
            <w:pPr>
              <w:pStyle w:val="33"/>
              <w:keepNext w:val="0"/>
              <w:keepLines w:val="0"/>
              <w:pageBreakBefore w:val="0"/>
              <w:kinsoku/>
              <w:wordWrap/>
              <w:overflowPunct/>
              <w:topLinePunct w:val="0"/>
              <w:bidi w:val="0"/>
              <w:spacing w:line="360" w:lineRule="auto"/>
              <w:jc w:val="center"/>
              <w:textAlignment w:val="auto"/>
              <w:rPr>
                <w:rFonts w:ascii="宋体" w:hAnsi="宋体"/>
                <w:b/>
                <w:bCs/>
                <w:color w:val="auto"/>
                <w:szCs w:val="21"/>
                <w:highlight w:val="none"/>
              </w:rPr>
            </w:pPr>
            <w:r>
              <w:rPr>
                <w:rFonts w:hint="eastAsia" w:ascii="宋体" w:hAnsi="宋体"/>
                <w:b/>
                <w:bCs/>
                <w:color w:val="auto"/>
                <w:szCs w:val="21"/>
                <w:highlight w:val="none"/>
              </w:rPr>
              <w:t>年龄</w:t>
            </w:r>
          </w:p>
        </w:tc>
        <w:tc>
          <w:tcPr>
            <w:tcW w:w="812" w:type="pct"/>
            <w:tcBorders>
              <w:top w:val="single" w:color="000000" w:sz="4" w:space="0"/>
              <w:left w:val="single" w:color="000000" w:sz="4" w:space="0"/>
              <w:bottom w:val="single" w:color="000000" w:sz="4" w:space="0"/>
              <w:right w:val="single" w:color="000000" w:sz="4" w:space="0"/>
            </w:tcBorders>
            <w:vAlign w:val="center"/>
          </w:tcPr>
          <w:p w14:paraId="13842B67">
            <w:pPr>
              <w:pStyle w:val="33"/>
              <w:keepNext w:val="0"/>
              <w:keepLines w:val="0"/>
              <w:pageBreakBefore w:val="0"/>
              <w:kinsoku/>
              <w:wordWrap/>
              <w:overflowPunct/>
              <w:topLinePunct w:val="0"/>
              <w:bidi w:val="0"/>
              <w:spacing w:line="360" w:lineRule="auto"/>
              <w:ind w:right="245"/>
              <w:jc w:val="center"/>
              <w:textAlignment w:val="auto"/>
              <w:rPr>
                <w:rFonts w:ascii="宋体" w:hAnsi="宋体"/>
                <w:b/>
                <w:bCs/>
                <w:color w:val="auto"/>
                <w:szCs w:val="21"/>
                <w:highlight w:val="none"/>
              </w:rPr>
            </w:pPr>
            <w:r>
              <w:rPr>
                <w:rFonts w:hint="eastAsia" w:ascii="宋体" w:hAnsi="宋体"/>
                <w:b/>
                <w:bCs/>
                <w:color w:val="auto"/>
                <w:szCs w:val="21"/>
                <w:highlight w:val="none"/>
              </w:rPr>
              <w:t>执业资格</w:t>
            </w:r>
          </w:p>
        </w:tc>
        <w:tc>
          <w:tcPr>
            <w:tcW w:w="668" w:type="pct"/>
            <w:tcBorders>
              <w:top w:val="single" w:color="000000" w:sz="4" w:space="0"/>
              <w:left w:val="single" w:color="000000" w:sz="4" w:space="0"/>
              <w:bottom w:val="single" w:color="000000" w:sz="4" w:space="0"/>
              <w:right w:val="single" w:color="000000" w:sz="4" w:space="0"/>
            </w:tcBorders>
            <w:vAlign w:val="center"/>
          </w:tcPr>
          <w:p w14:paraId="118D79AA">
            <w:pPr>
              <w:pStyle w:val="33"/>
              <w:keepNext w:val="0"/>
              <w:keepLines w:val="0"/>
              <w:pageBreakBefore w:val="0"/>
              <w:kinsoku/>
              <w:wordWrap/>
              <w:overflowPunct/>
              <w:topLinePunct w:val="0"/>
              <w:bidi w:val="0"/>
              <w:spacing w:line="360" w:lineRule="auto"/>
              <w:ind w:right="293"/>
              <w:jc w:val="center"/>
              <w:textAlignment w:val="auto"/>
              <w:rPr>
                <w:rFonts w:ascii="宋体" w:hAnsi="宋体"/>
                <w:color w:val="auto"/>
                <w:szCs w:val="21"/>
                <w:highlight w:val="none"/>
              </w:rPr>
            </w:pPr>
            <w:r>
              <w:rPr>
                <w:rFonts w:hint="eastAsia" w:ascii="宋体" w:hAnsi="宋体"/>
                <w:b/>
                <w:bCs/>
                <w:color w:val="auto"/>
                <w:szCs w:val="21"/>
                <w:highlight w:val="none"/>
              </w:rPr>
              <w:t>技术职称</w:t>
            </w:r>
          </w:p>
        </w:tc>
        <w:tc>
          <w:tcPr>
            <w:tcW w:w="903" w:type="pct"/>
            <w:tcBorders>
              <w:top w:val="single" w:color="000000" w:sz="4" w:space="0"/>
              <w:left w:val="single" w:color="000000" w:sz="4" w:space="0"/>
              <w:bottom w:val="single" w:color="000000" w:sz="4" w:space="0"/>
              <w:right w:val="single" w:color="000000" w:sz="4" w:space="0"/>
            </w:tcBorders>
            <w:vAlign w:val="center"/>
          </w:tcPr>
          <w:p w14:paraId="684368E1">
            <w:pPr>
              <w:pStyle w:val="33"/>
              <w:keepNext w:val="0"/>
              <w:keepLines w:val="0"/>
              <w:pageBreakBefore w:val="0"/>
              <w:kinsoku/>
              <w:wordWrap/>
              <w:overflowPunct/>
              <w:topLinePunct w:val="0"/>
              <w:bidi w:val="0"/>
              <w:spacing w:before="112" w:line="360" w:lineRule="auto"/>
              <w:ind w:left="163" w:right="156"/>
              <w:jc w:val="center"/>
              <w:textAlignment w:val="auto"/>
              <w:rPr>
                <w:rFonts w:ascii="宋体" w:hAnsi="宋体"/>
                <w:color w:val="auto"/>
                <w:szCs w:val="21"/>
                <w:highlight w:val="none"/>
              </w:rPr>
            </w:pPr>
            <w:r>
              <w:rPr>
                <w:rFonts w:hint="eastAsia" w:ascii="宋体" w:hAnsi="宋体"/>
                <w:b/>
                <w:bCs/>
                <w:color w:val="auto"/>
                <w:szCs w:val="21"/>
                <w:highlight w:val="none"/>
              </w:rPr>
              <w:t>拟担任本项目何种工作</w:t>
            </w:r>
          </w:p>
        </w:tc>
        <w:tc>
          <w:tcPr>
            <w:tcW w:w="607" w:type="pct"/>
            <w:tcBorders>
              <w:top w:val="single" w:color="000000" w:sz="4" w:space="0"/>
              <w:left w:val="single" w:color="000000" w:sz="4" w:space="0"/>
              <w:bottom w:val="single" w:color="000000" w:sz="4" w:space="0"/>
              <w:right w:val="single" w:color="000000" w:sz="4" w:space="0"/>
            </w:tcBorders>
            <w:vAlign w:val="center"/>
          </w:tcPr>
          <w:p w14:paraId="3E6D771B">
            <w:pPr>
              <w:pStyle w:val="33"/>
              <w:keepNext w:val="0"/>
              <w:keepLines w:val="0"/>
              <w:pageBreakBefore w:val="0"/>
              <w:kinsoku/>
              <w:wordWrap/>
              <w:overflowPunct/>
              <w:topLinePunct w:val="0"/>
              <w:bidi w:val="0"/>
              <w:spacing w:line="360" w:lineRule="auto"/>
              <w:jc w:val="center"/>
              <w:textAlignment w:val="auto"/>
              <w:rPr>
                <w:rFonts w:ascii="宋体" w:hAnsi="宋体"/>
                <w:color w:val="auto"/>
                <w:szCs w:val="21"/>
                <w:highlight w:val="none"/>
              </w:rPr>
            </w:pPr>
            <w:r>
              <w:rPr>
                <w:rFonts w:hint="eastAsia" w:ascii="宋体" w:hAnsi="宋体"/>
                <w:b/>
                <w:bCs/>
                <w:color w:val="auto"/>
                <w:szCs w:val="21"/>
                <w:highlight w:val="none"/>
              </w:rPr>
              <w:t>备注</w:t>
            </w:r>
          </w:p>
        </w:tc>
      </w:tr>
      <w:tr w14:paraId="088171E7">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4AD38276">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42" w:type="pct"/>
            <w:tcBorders>
              <w:top w:val="single" w:color="000000" w:sz="4" w:space="0"/>
              <w:left w:val="single" w:color="000000" w:sz="4" w:space="0"/>
              <w:bottom w:val="single" w:color="000000" w:sz="4" w:space="0"/>
              <w:right w:val="single" w:color="000000" w:sz="4" w:space="0"/>
            </w:tcBorders>
          </w:tcPr>
          <w:p w14:paraId="4788D3EA">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tcPr>
          <w:p w14:paraId="2C1DA370">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508" w:type="pct"/>
            <w:tcBorders>
              <w:top w:val="single" w:color="000000" w:sz="4" w:space="0"/>
              <w:left w:val="single" w:color="000000" w:sz="4" w:space="0"/>
              <w:bottom w:val="single" w:color="000000" w:sz="4" w:space="0"/>
              <w:right w:val="single" w:color="000000" w:sz="4" w:space="0"/>
            </w:tcBorders>
          </w:tcPr>
          <w:p w14:paraId="47D68CAD">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812" w:type="pct"/>
            <w:tcBorders>
              <w:top w:val="single" w:color="000000" w:sz="4" w:space="0"/>
              <w:left w:val="single" w:color="000000" w:sz="4" w:space="0"/>
              <w:bottom w:val="single" w:color="000000" w:sz="4" w:space="0"/>
              <w:right w:val="single" w:color="000000" w:sz="4" w:space="0"/>
            </w:tcBorders>
          </w:tcPr>
          <w:p w14:paraId="2258CD7E">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tcPr>
          <w:p w14:paraId="08F37CD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903" w:type="pct"/>
            <w:tcBorders>
              <w:top w:val="single" w:color="000000" w:sz="4" w:space="0"/>
              <w:left w:val="single" w:color="000000" w:sz="4" w:space="0"/>
              <w:bottom w:val="single" w:color="000000" w:sz="4" w:space="0"/>
              <w:right w:val="single" w:color="000000" w:sz="4" w:space="0"/>
            </w:tcBorders>
          </w:tcPr>
          <w:p w14:paraId="37FB5CA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07" w:type="pct"/>
            <w:tcBorders>
              <w:top w:val="single" w:color="000000" w:sz="4" w:space="0"/>
              <w:left w:val="single" w:color="000000" w:sz="4" w:space="0"/>
              <w:bottom w:val="single" w:color="000000" w:sz="4" w:space="0"/>
              <w:right w:val="single" w:color="000000" w:sz="4" w:space="0"/>
            </w:tcBorders>
          </w:tcPr>
          <w:p w14:paraId="777AD6D1">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5E999568">
        <w:tblPrEx>
          <w:tblCellMar>
            <w:top w:w="0" w:type="dxa"/>
            <w:left w:w="0" w:type="dxa"/>
            <w:bottom w:w="0" w:type="dxa"/>
            <w:right w:w="0" w:type="dxa"/>
          </w:tblCellMar>
        </w:tblPrEx>
        <w:trPr>
          <w:trHeight w:val="283" w:hRule="exact"/>
          <w:jc w:val="center"/>
        </w:trPr>
        <w:tc>
          <w:tcPr>
            <w:tcW w:w="385" w:type="pct"/>
            <w:tcBorders>
              <w:top w:val="single" w:color="000000" w:sz="4" w:space="0"/>
              <w:left w:val="single" w:color="000000" w:sz="4" w:space="0"/>
              <w:bottom w:val="single" w:color="000000" w:sz="4" w:space="0"/>
              <w:right w:val="single" w:color="000000" w:sz="4" w:space="0"/>
            </w:tcBorders>
          </w:tcPr>
          <w:p w14:paraId="063E34F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42" w:type="pct"/>
            <w:tcBorders>
              <w:top w:val="single" w:color="000000" w:sz="4" w:space="0"/>
              <w:left w:val="single" w:color="000000" w:sz="4" w:space="0"/>
              <w:bottom w:val="single" w:color="000000" w:sz="4" w:space="0"/>
              <w:right w:val="single" w:color="000000" w:sz="4" w:space="0"/>
            </w:tcBorders>
          </w:tcPr>
          <w:p w14:paraId="4A6712E8">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tcPr>
          <w:p w14:paraId="21DA3C44">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508" w:type="pct"/>
            <w:tcBorders>
              <w:top w:val="single" w:color="000000" w:sz="4" w:space="0"/>
              <w:left w:val="single" w:color="000000" w:sz="4" w:space="0"/>
              <w:bottom w:val="single" w:color="000000" w:sz="4" w:space="0"/>
              <w:right w:val="single" w:color="000000" w:sz="4" w:space="0"/>
            </w:tcBorders>
          </w:tcPr>
          <w:p w14:paraId="6D45A597">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812" w:type="pct"/>
            <w:tcBorders>
              <w:top w:val="single" w:color="000000" w:sz="4" w:space="0"/>
              <w:left w:val="single" w:color="000000" w:sz="4" w:space="0"/>
              <w:bottom w:val="single" w:color="000000" w:sz="4" w:space="0"/>
              <w:right w:val="single" w:color="000000" w:sz="4" w:space="0"/>
            </w:tcBorders>
          </w:tcPr>
          <w:p w14:paraId="52EC1CDE">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tcPr>
          <w:p w14:paraId="055EAB2E">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903" w:type="pct"/>
            <w:tcBorders>
              <w:top w:val="single" w:color="000000" w:sz="4" w:space="0"/>
              <w:left w:val="single" w:color="000000" w:sz="4" w:space="0"/>
              <w:bottom w:val="single" w:color="000000" w:sz="4" w:space="0"/>
              <w:right w:val="single" w:color="000000" w:sz="4" w:space="0"/>
            </w:tcBorders>
          </w:tcPr>
          <w:p w14:paraId="6423815E">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07" w:type="pct"/>
            <w:tcBorders>
              <w:top w:val="single" w:color="000000" w:sz="4" w:space="0"/>
              <w:left w:val="single" w:color="000000" w:sz="4" w:space="0"/>
              <w:bottom w:val="single" w:color="000000" w:sz="4" w:space="0"/>
              <w:right w:val="single" w:color="000000" w:sz="4" w:space="0"/>
            </w:tcBorders>
          </w:tcPr>
          <w:p w14:paraId="1D1618F4">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07FA77FB">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0C0D36C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42" w:type="pct"/>
            <w:tcBorders>
              <w:top w:val="single" w:color="000000" w:sz="4" w:space="0"/>
              <w:left w:val="single" w:color="000000" w:sz="4" w:space="0"/>
              <w:bottom w:val="single" w:color="000000" w:sz="4" w:space="0"/>
              <w:right w:val="single" w:color="000000" w:sz="4" w:space="0"/>
            </w:tcBorders>
          </w:tcPr>
          <w:p w14:paraId="454045D8">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tcPr>
          <w:p w14:paraId="4741D041">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508" w:type="pct"/>
            <w:tcBorders>
              <w:top w:val="single" w:color="000000" w:sz="4" w:space="0"/>
              <w:left w:val="single" w:color="000000" w:sz="4" w:space="0"/>
              <w:bottom w:val="single" w:color="000000" w:sz="4" w:space="0"/>
              <w:right w:val="single" w:color="000000" w:sz="4" w:space="0"/>
            </w:tcBorders>
          </w:tcPr>
          <w:p w14:paraId="3B5E1EE1">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812" w:type="pct"/>
            <w:tcBorders>
              <w:top w:val="single" w:color="000000" w:sz="4" w:space="0"/>
              <w:left w:val="single" w:color="000000" w:sz="4" w:space="0"/>
              <w:bottom w:val="single" w:color="000000" w:sz="4" w:space="0"/>
              <w:right w:val="single" w:color="000000" w:sz="4" w:space="0"/>
            </w:tcBorders>
          </w:tcPr>
          <w:p w14:paraId="2473E95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tcPr>
          <w:p w14:paraId="274CAE2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903" w:type="pct"/>
            <w:tcBorders>
              <w:top w:val="single" w:color="000000" w:sz="4" w:space="0"/>
              <w:left w:val="single" w:color="000000" w:sz="4" w:space="0"/>
              <w:bottom w:val="single" w:color="000000" w:sz="4" w:space="0"/>
              <w:right w:val="single" w:color="000000" w:sz="4" w:space="0"/>
            </w:tcBorders>
          </w:tcPr>
          <w:p w14:paraId="61F18EF0">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07" w:type="pct"/>
            <w:tcBorders>
              <w:top w:val="single" w:color="000000" w:sz="4" w:space="0"/>
              <w:left w:val="single" w:color="000000" w:sz="4" w:space="0"/>
              <w:bottom w:val="single" w:color="000000" w:sz="4" w:space="0"/>
              <w:right w:val="single" w:color="000000" w:sz="4" w:space="0"/>
            </w:tcBorders>
          </w:tcPr>
          <w:p w14:paraId="3935CBF3">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4A0CE3A4">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18B8EDB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42" w:type="pct"/>
            <w:tcBorders>
              <w:top w:val="single" w:color="000000" w:sz="4" w:space="0"/>
              <w:left w:val="single" w:color="000000" w:sz="4" w:space="0"/>
              <w:bottom w:val="single" w:color="000000" w:sz="4" w:space="0"/>
              <w:right w:val="single" w:color="000000" w:sz="4" w:space="0"/>
            </w:tcBorders>
          </w:tcPr>
          <w:p w14:paraId="32A5C81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tcPr>
          <w:p w14:paraId="4AB5012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508" w:type="pct"/>
            <w:tcBorders>
              <w:top w:val="single" w:color="000000" w:sz="4" w:space="0"/>
              <w:left w:val="single" w:color="000000" w:sz="4" w:space="0"/>
              <w:bottom w:val="single" w:color="000000" w:sz="4" w:space="0"/>
              <w:right w:val="single" w:color="000000" w:sz="4" w:space="0"/>
            </w:tcBorders>
          </w:tcPr>
          <w:p w14:paraId="58EF9C6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812" w:type="pct"/>
            <w:tcBorders>
              <w:top w:val="single" w:color="000000" w:sz="4" w:space="0"/>
              <w:left w:val="single" w:color="000000" w:sz="4" w:space="0"/>
              <w:bottom w:val="single" w:color="000000" w:sz="4" w:space="0"/>
              <w:right w:val="single" w:color="000000" w:sz="4" w:space="0"/>
            </w:tcBorders>
          </w:tcPr>
          <w:p w14:paraId="145EB6A1">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tcPr>
          <w:p w14:paraId="7AD28220">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903" w:type="pct"/>
            <w:tcBorders>
              <w:top w:val="single" w:color="000000" w:sz="4" w:space="0"/>
              <w:left w:val="single" w:color="000000" w:sz="4" w:space="0"/>
              <w:bottom w:val="single" w:color="000000" w:sz="4" w:space="0"/>
              <w:right w:val="single" w:color="000000" w:sz="4" w:space="0"/>
            </w:tcBorders>
          </w:tcPr>
          <w:p w14:paraId="24B6A6C1">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07" w:type="pct"/>
            <w:tcBorders>
              <w:top w:val="single" w:color="000000" w:sz="4" w:space="0"/>
              <w:left w:val="single" w:color="000000" w:sz="4" w:space="0"/>
              <w:bottom w:val="single" w:color="000000" w:sz="4" w:space="0"/>
              <w:right w:val="single" w:color="000000" w:sz="4" w:space="0"/>
            </w:tcBorders>
          </w:tcPr>
          <w:p w14:paraId="22CE6ECA">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32B0456F">
        <w:tblPrEx>
          <w:tblCellMar>
            <w:top w:w="0" w:type="dxa"/>
            <w:left w:w="0" w:type="dxa"/>
            <w:bottom w:w="0" w:type="dxa"/>
            <w:right w:w="0" w:type="dxa"/>
          </w:tblCellMar>
        </w:tblPrEx>
        <w:trPr>
          <w:trHeight w:val="283" w:hRule="exact"/>
          <w:jc w:val="center"/>
        </w:trPr>
        <w:tc>
          <w:tcPr>
            <w:tcW w:w="385" w:type="pct"/>
            <w:tcBorders>
              <w:top w:val="single" w:color="000000" w:sz="4" w:space="0"/>
              <w:left w:val="single" w:color="000000" w:sz="4" w:space="0"/>
              <w:bottom w:val="single" w:color="000000" w:sz="4" w:space="0"/>
              <w:right w:val="single" w:color="000000" w:sz="4" w:space="0"/>
            </w:tcBorders>
          </w:tcPr>
          <w:p w14:paraId="1BC5D06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42" w:type="pct"/>
            <w:tcBorders>
              <w:top w:val="single" w:color="000000" w:sz="4" w:space="0"/>
              <w:left w:val="single" w:color="000000" w:sz="4" w:space="0"/>
              <w:bottom w:val="single" w:color="000000" w:sz="4" w:space="0"/>
              <w:right w:val="single" w:color="000000" w:sz="4" w:space="0"/>
            </w:tcBorders>
          </w:tcPr>
          <w:p w14:paraId="0B8542F9">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tcPr>
          <w:p w14:paraId="6C712CDE">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508" w:type="pct"/>
            <w:tcBorders>
              <w:top w:val="single" w:color="000000" w:sz="4" w:space="0"/>
              <w:left w:val="single" w:color="000000" w:sz="4" w:space="0"/>
              <w:bottom w:val="single" w:color="000000" w:sz="4" w:space="0"/>
              <w:right w:val="single" w:color="000000" w:sz="4" w:space="0"/>
            </w:tcBorders>
          </w:tcPr>
          <w:p w14:paraId="404CBC4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812" w:type="pct"/>
            <w:tcBorders>
              <w:top w:val="single" w:color="000000" w:sz="4" w:space="0"/>
              <w:left w:val="single" w:color="000000" w:sz="4" w:space="0"/>
              <w:bottom w:val="single" w:color="000000" w:sz="4" w:space="0"/>
              <w:right w:val="single" w:color="000000" w:sz="4" w:space="0"/>
            </w:tcBorders>
          </w:tcPr>
          <w:p w14:paraId="52ED2A5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tcPr>
          <w:p w14:paraId="2E2F797F">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903" w:type="pct"/>
            <w:tcBorders>
              <w:top w:val="single" w:color="000000" w:sz="4" w:space="0"/>
              <w:left w:val="single" w:color="000000" w:sz="4" w:space="0"/>
              <w:bottom w:val="single" w:color="000000" w:sz="4" w:space="0"/>
              <w:right w:val="single" w:color="000000" w:sz="4" w:space="0"/>
            </w:tcBorders>
          </w:tcPr>
          <w:p w14:paraId="478D2200">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07" w:type="pct"/>
            <w:tcBorders>
              <w:top w:val="single" w:color="000000" w:sz="4" w:space="0"/>
              <w:left w:val="single" w:color="000000" w:sz="4" w:space="0"/>
              <w:bottom w:val="single" w:color="000000" w:sz="4" w:space="0"/>
              <w:right w:val="single" w:color="000000" w:sz="4" w:space="0"/>
            </w:tcBorders>
          </w:tcPr>
          <w:p w14:paraId="063F4645">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5EB8FA9E">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1BD81D78">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42" w:type="pct"/>
            <w:tcBorders>
              <w:top w:val="single" w:color="000000" w:sz="4" w:space="0"/>
              <w:left w:val="single" w:color="000000" w:sz="4" w:space="0"/>
              <w:bottom w:val="single" w:color="000000" w:sz="4" w:space="0"/>
              <w:right w:val="single" w:color="000000" w:sz="4" w:space="0"/>
            </w:tcBorders>
          </w:tcPr>
          <w:p w14:paraId="160BDFB0">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tcPr>
          <w:p w14:paraId="4A9761C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508" w:type="pct"/>
            <w:tcBorders>
              <w:top w:val="single" w:color="000000" w:sz="4" w:space="0"/>
              <w:left w:val="single" w:color="000000" w:sz="4" w:space="0"/>
              <w:bottom w:val="single" w:color="000000" w:sz="4" w:space="0"/>
              <w:right w:val="single" w:color="000000" w:sz="4" w:space="0"/>
            </w:tcBorders>
          </w:tcPr>
          <w:p w14:paraId="0A20038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812" w:type="pct"/>
            <w:tcBorders>
              <w:top w:val="single" w:color="000000" w:sz="4" w:space="0"/>
              <w:left w:val="single" w:color="000000" w:sz="4" w:space="0"/>
              <w:bottom w:val="single" w:color="000000" w:sz="4" w:space="0"/>
              <w:right w:val="single" w:color="000000" w:sz="4" w:space="0"/>
            </w:tcBorders>
          </w:tcPr>
          <w:p w14:paraId="43F8F00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tcPr>
          <w:p w14:paraId="49A9310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903" w:type="pct"/>
            <w:tcBorders>
              <w:top w:val="single" w:color="000000" w:sz="4" w:space="0"/>
              <w:left w:val="single" w:color="000000" w:sz="4" w:space="0"/>
              <w:bottom w:val="single" w:color="000000" w:sz="4" w:space="0"/>
              <w:right w:val="single" w:color="000000" w:sz="4" w:space="0"/>
            </w:tcBorders>
          </w:tcPr>
          <w:p w14:paraId="5815D23D">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607" w:type="pct"/>
            <w:tcBorders>
              <w:top w:val="single" w:color="000000" w:sz="4" w:space="0"/>
              <w:left w:val="single" w:color="000000" w:sz="4" w:space="0"/>
              <w:bottom w:val="single" w:color="000000" w:sz="4" w:space="0"/>
              <w:right w:val="single" w:color="000000" w:sz="4" w:space="0"/>
            </w:tcBorders>
          </w:tcPr>
          <w:p w14:paraId="33B253A5">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bl>
    <w:p w14:paraId="2840142F">
      <w:pPr>
        <w:keepNext w:val="0"/>
        <w:keepLines w:val="0"/>
        <w:pageBreakBefore w:val="0"/>
        <w:kinsoku/>
        <w:wordWrap/>
        <w:overflowPunct/>
        <w:topLinePunct w:val="0"/>
        <w:bidi w:val="0"/>
        <w:spacing w:before="2" w:line="360" w:lineRule="auto"/>
        <w:textAlignment w:val="auto"/>
        <w:rPr>
          <w:rFonts w:ascii="宋体" w:hAnsi="宋体"/>
          <w:color w:val="auto"/>
          <w:sz w:val="23"/>
          <w:szCs w:val="23"/>
          <w:highlight w:val="none"/>
        </w:rPr>
      </w:pPr>
    </w:p>
    <w:p w14:paraId="5C85401B">
      <w:pPr>
        <w:pStyle w:val="10"/>
        <w:keepNext w:val="0"/>
        <w:keepLines w:val="0"/>
        <w:pageBreakBefore w:val="0"/>
        <w:tabs>
          <w:tab w:val="left" w:pos="4817"/>
        </w:tabs>
        <w:kinsoku/>
        <w:wordWrap/>
        <w:overflowPunct/>
        <w:topLinePunct w:val="0"/>
        <w:bidi w:val="0"/>
        <w:spacing w:before="34" w:line="360" w:lineRule="auto"/>
        <w:ind w:left="777"/>
        <w:jc w:val="left"/>
        <w:textAlignment w:val="auto"/>
        <w:rPr>
          <w:color w:val="auto"/>
          <w:highlight w:val="none"/>
        </w:rPr>
      </w:pPr>
      <w:r>
        <w:rPr>
          <w:rFonts w:hint="eastAsia"/>
          <w:color w:val="auto"/>
          <w:highlight w:val="none"/>
        </w:rPr>
        <w:t>供应商（盖章）:</w:t>
      </w:r>
      <w:r>
        <w:rPr>
          <w:rFonts w:hint="eastAsia"/>
          <w:color w:val="auto"/>
          <w:highlight w:val="none"/>
          <w:u w:val="single" w:color="000000"/>
        </w:rPr>
        <w:tab/>
      </w:r>
    </w:p>
    <w:p w14:paraId="173023E4">
      <w:pPr>
        <w:keepNext w:val="0"/>
        <w:keepLines w:val="0"/>
        <w:pageBreakBefore w:val="0"/>
        <w:kinsoku/>
        <w:wordWrap/>
        <w:overflowPunct/>
        <w:topLinePunct w:val="0"/>
        <w:bidi w:val="0"/>
        <w:spacing w:before="10" w:line="360" w:lineRule="auto"/>
        <w:textAlignment w:val="auto"/>
        <w:rPr>
          <w:rFonts w:ascii="宋体" w:hAnsi="宋体"/>
          <w:color w:val="auto"/>
          <w:sz w:val="10"/>
          <w:szCs w:val="10"/>
          <w:highlight w:val="none"/>
        </w:rPr>
      </w:pPr>
    </w:p>
    <w:p w14:paraId="4C40DC78">
      <w:pPr>
        <w:pStyle w:val="10"/>
        <w:keepNext w:val="0"/>
        <w:keepLines w:val="0"/>
        <w:pageBreakBefore w:val="0"/>
        <w:tabs>
          <w:tab w:val="left" w:pos="4817"/>
        </w:tabs>
        <w:kinsoku/>
        <w:wordWrap/>
        <w:overflowPunct/>
        <w:topLinePunct w:val="0"/>
        <w:bidi w:val="0"/>
        <w:spacing w:before="34" w:line="360" w:lineRule="auto"/>
        <w:ind w:left="777"/>
        <w:jc w:val="left"/>
        <w:textAlignment w:val="auto"/>
        <w:rPr>
          <w:color w:val="auto"/>
          <w:highlight w:val="none"/>
        </w:rPr>
      </w:pPr>
      <w:r>
        <w:rPr>
          <w:rFonts w:hint="eastAsia"/>
          <w:color w:val="auto"/>
          <w:highlight w:val="none"/>
        </w:rPr>
        <w:t>授权代表（签字）：</w:t>
      </w:r>
      <w:r>
        <w:rPr>
          <w:rFonts w:hint="eastAsia"/>
          <w:color w:val="auto"/>
          <w:highlight w:val="none"/>
          <w:u w:val="single" w:color="000000"/>
        </w:rPr>
        <w:tab/>
      </w:r>
    </w:p>
    <w:p w14:paraId="030D4225">
      <w:pPr>
        <w:keepNext w:val="0"/>
        <w:keepLines w:val="0"/>
        <w:pageBreakBefore w:val="0"/>
        <w:kinsoku/>
        <w:wordWrap/>
        <w:overflowPunct/>
        <w:topLinePunct w:val="0"/>
        <w:bidi w:val="0"/>
        <w:spacing w:before="10" w:line="360" w:lineRule="auto"/>
        <w:textAlignment w:val="auto"/>
        <w:rPr>
          <w:rFonts w:ascii="宋体" w:hAnsi="宋体"/>
          <w:color w:val="auto"/>
          <w:sz w:val="10"/>
          <w:szCs w:val="10"/>
          <w:highlight w:val="none"/>
        </w:rPr>
      </w:pPr>
    </w:p>
    <w:p w14:paraId="00D64FFC">
      <w:pPr>
        <w:pStyle w:val="10"/>
        <w:keepNext w:val="0"/>
        <w:keepLines w:val="0"/>
        <w:pageBreakBefore w:val="0"/>
        <w:tabs>
          <w:tab w:val="left" w:pos="4717"/>
        </w:tabs>
        <w:kinsoku/>
        <w:wordWrap/>
        <w:overflowPunct/>
        <w:topLinePunct w:val="0"/>
        <w:bidi w:val="0"/>
        <w:spacing w:before="34" w:line="360" w:lineRule="auto"/>
        <w:ind w:left="677" w:firstLine="210" w:firstLineChars="100"/>
        <w:jc w:val="left"/>
        <w:textAlignment w:val="auto"/>
        <w:rPr>
          <w:color w:val="auto"/>
          <w:highlight w:val="none"/>
        </w:rPr>
      </w:pPr>
      <w:r>
        <w:rPr>
          <w:rFonts w:hint="eastAsia"/>
          <w:color w:val="auto"/>
          <w:highlight w:val="none"/>
        </w:rPr>
        <w:t>日期：年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C37F392">
      <w:pPr>
        <w:pStyle w:val="10"/>
        <w:keepNext w:val="0"/>
        <w:keepLines w:val="0"/>
        <w:pageBreakBefore w:val="0"/>
        <w:tabs>
          <w:tab w:val="left" w:pos="4717"/>
        </w:tabs>
        <w:kinsoku/>
        <w:wordWrap/>
        <w:overflowPunct/>
        <w:topLinePunct w:val="0"/>
        <w:bidi w:val="0"/>
        <w:spacing w:before="34" w:line="360" w:lineRule="auto"/>
        <w:ind w:left="677"/>
        <w:jc w:val="left"/>
        <w:textAlignment w:val="auto"/>
        <w:rPr>
          <w:color w:val="auto"/>
          <w:highlight w:val="none"/>
        </w:rPr>
      </w:pPr>
    </w:p>
    <w:p w14:paraId="73319E88">
      <w:pPr>
        <w:pStyle w:val="10"/>
        <w:keepNext w:val="0"/>
        <w:keepLines w:val="0"/>
        <w:pageBreakBefore w:val="0"/>
        <w:tabs>
          <w:tab w:val="left" w:pos="4717"/>
        </w:tabs>
        <w:kinsoku/>
        <w:wordWrap/>
        <w:overflowPunct/>
        <w:topLinePunct w:val="0"/>
        <w:bidi w:val="0"/>
        <w:spacing w:before="34" w:line="360" w:lineRule="auto"/>
        <w:ind w:left="677"/>
        <w:jc w:val="left"/>
        <w:textAlignment w:val="auto"/>
        <w:rPr>
          <w:color w:val="auto"/>
          <w:highlight w:val="none"/>
        </w:rPr>
      </w:pPr>
    </w:p>
    <w:p w14:paraId="08A45273">
      <w:pPr>
        <w:pStyle w:val="10"/>
        <w:keepNext w:val="0"/>
        <w:keepLines w:val="0"/>
        <w:pageBreakBefore w:val="0"/>
        <w:tabs>
          <w:tab w:val="left" w:pos="4717"/>
        </w:tabs>
        <w:kinsoku/>
        <w:wordWrap/>
        <w:overflowPunct/>
        <w:topLinePunct w:val="0"/>
        <w:bidi w:val="0"/>
        <w:spacing w:before="34" w:line="360" w:lineRule="auto"/>
        <w:ind w:left="677"/>
        <w:jc w:val="left"/>
        <w:textAlignment w:val="auto"/>
        <w:rPr>
          <w:color w:val="auto"/>
          <w:highlight w:val="none"/>
        </w:rPr>
      </w:pPr>
    </w:p>
    <w:p w14:paraId="2A13BEEA">
      <w:pPr>
        <w:keepNext w:val="0"/>
        <w:keepLines w:val="0"/>
        <w:pageBreakBefore w:val="0"/>
        <w:widowControl/>
        <w:kinsoku/>
        <w:wordWrap/>
        <w:overflowPunct/>
        <w:topLinePunct w:val="0"/>
        <w:bidi w:val="0"/>
        <w:spacing w:line="360" w:lineRule="auto"/>
        <w:jc w:val="left"/>
        <w:textAlignment w:val="auto"/>
        <w:rPr>
          <w:rFonts w:ascii="宋体" w:hAnsi="宋体"/>
          <w:color w:val="auto"/>
          <w:szCs w:val="21"/>
          <w:highlight w:val="none"/>
        </w:rPr>
      </w:pPr>
      <w:r>
        <w:rPr>
          <w:rFonts w:hint="eastAsia" w:ascii="宋体" w:hAnsi="宋体"/>
          <w:color w:val="auto"/>
          <w:highlight w:val="none"/>
        </w:rPr>
        <w:br w:type="page"/>
      </w:r>
    </w:p>
    <w:p w14:paraId="430882F3">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7583ED20">
      <w:pPr>
        <w:keepNext w:val="0"/>
        <w:keepLines w:val="0"/>
        <w:pageBreakBefore w:val="0"/>
        <w:kinsoku/>
        <w:wordWrap/>
        <w:overflowPunct/>
        <w:topLinePunct w:val="0"/>
        <w:bidi w:val="0"/>
        <w:spacing w:line="360" w:lineRule="auto"/>
        <w:ind w:firstLine="2168" w:firstLineChars="600"/>
        <w:jc w:val="left"/>
        <w:textAlignment w:val="auto"/>
        <w:rPr>
          <w:rFonts w:ascii="宋体" w:hAnsi="宋体"/>
          <w:color w:val="auto"/>
          <w:sz w:val="36"/>
          <w:szCs w:val="36"/>
          <w:highlight w:val="none"/>
        </w:rPr>
      </w:pPr>
      <w:r>
        <w:rPr>
          <w:rFonts w:hint="eastAsia" w:ascii="宋体" w:hAnsi="宋体"/>
          <w:b/>
          <w:bCs/>
          <w:color w:val="auto"/>
          <w:sz w:val="36"/>
          <w:szCs w:val="36"/>
          <w:highlight w:val="none"/>
          <w:lang w:val="en-US" w:eastAsia="zh-CN"/>
        </w:rPr>
        <w:t>七、</w:t>
      </w:r>
      <w:r>
        <w:rPr>
          <w:rFonts w:hint="eastAsia" w:ascii="宋体" w:hAnsi="宋体"/>
          <w:b/>
          <w:bCs/>
          <w:color w:val="auto"/>
          <w:sz w:val="36"/>
          <w:szCs w:val="36"/>
          <w:highlight w:val="none"/>
        </w:rPr>
        <w:t>供应商类似业绩情况表</w:t>
      </w:r>
    </w:p>
    <w:p w14:paraId="41EBAE4D">
      <w:pPr>
        <w:keepNext w:val="0"/>
        <w:keepLines w:val="0"/>
        <w:pageBreakBefore w:val="0"/>
        <w:kinsoku/>
        <w:wordWrap/>
        <w:overflowPunct/>
        <w:topLinePunct w:val="0"/>
        <w:bidi w:val="0"/>
        <w:spacing w:before="5" w:line="360" w:lineRule="auto"/>
        <w:textAlignment w:val="auto"/>
        <w:rPr>
          <w:rFonts w:ascii="宋体" w:hAnsi="宋体"/>
          <w:b/>
          <w:bCs/>
          <w:color w:val="auto"/>
          <w:sz w:val="8"/>
          <w:szCs w:val="8"/>
          <w:highlight w:val="none"/>
        </w:rPr>
      </w:pPr>
    </w:p>
    <w:tbl>
      <w:tblPr>
        <w:tblStyle w:val="24"/>
        <w:tblW w:w="8657" w:type="dxa"/>
        <w:jc w:val="center"/>
        <w:tblLayout w:type="fixed"/>
        <w:tblCellMar>
          <w:top w:w="0" w:type="dxa"/>
          <w:left w:w="0" w:type="dxa"/>
          <w:bottom w:w="0" w:type="dxa"/>
          <w:right w:w="0" w:type="dxa"/>
        </w:tblCellMar>
      </w:tblPr>
      <w:tblGrid>
        <w:gridCol w:w="929"/>
        <w:gridCol w:w="2056"/>
        <w:gridCol w:w="1641"/>
        <w:gridCol w:w="1382"/>
        <w:gridCol w:w="1415"/>
        <w:gridCol w:w="1234"/>
      </w:tblGrid>
      <w:tr w14:paraId="7067A9A6">
        <w:tblPrEx>
          <w:tblCellMar>
            <w:top w:w="0" w:type="dxa"/>
            <w:left w:w="0" w:type="dxa"/>
            <w:bottom w:w="0" w:type="dxa"/>
            <w:right w:w="0" w:type="dxa"/>
          </w:tblCellMar>
        </w:tblPrEx>
        <w:trPr>
          <w:trHeight w:val="957" w:hRule="exac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65708A7C">
            <w:pPr>
              <w:pStyle w:val="33"/>
              <w:keepNext w:val="0"/>
              <w:keepLines w:val="0"/>
              <w:pageBreakBefore w:val="0"/>
              <w:kinsoku/>
              <w:wordWrap/>
              <w:overflowPunct/>
              <w:topLinePunct w:val="0"/>
              <w:bidi w:val="0"/>
              <w:spacing w:line="360" w:lineRule="auto"/>
              <w:jc w:val="center"/>
              <w:textAlignment w:val="auto"/>
              <w:rPr>
                <w:rFonts w:ascii="宋体" w:hAnsi="宋体"/>
                <w:b/>
                <w:bCs/>
                <w:color w:val="auto"/>
                <w:szCs w:val="21"/>
                <w:highlight w:val="none"/>
              </w:rPr>
            </w:pPr>
            <w:r>
              <w:rPr>
                <w:rFonts w:hint="eastAsia" w:ascii="宋体" w:hAnsi="宋体"/>
                <w:b/>
                <w:bCs/>
                <w:color w:val="auto"/>
                <w:szCs w:val="21"/>
                <w:highlight w:val="none"/>
              </w:rPr>
              <w:t>序号</w:t>
            </w:r>
          </w:p>
        </w:tc>
        <w:tc>
          <w:tcPr>
            <w:tcW w:w="2056" w:type="dxa"/>
            <w:tcBorders>
              <w:top w:val="single" w:color="000000" w:sz="4" w:space="0"/>
              <w:left w:val="single" w:color="000000" w:sz="4" w:space="0"/>
              <w:bottom w:val="single" w:color="000000" w:sz="4" w:space="0"/>
              <w:right w:val="single" w:color="000000" w:sz="4" w:space="0"/>
            </w:tcBorders>
            <w:vAlign w:val="center"/>
          </w:tcPr>
          <w:p w14:paraId="6B971F66">
            <w:pPr>
              <w:pStyle w:val="33"/>
              <w:keepNext w:val="0"/>
              <w:keepLines w:val="0"/>
              <w:pageBreakBefore w:val="0"/>
              <w:kinsoku/>
              <w:wordWrap/>
              <w:overflowPunct/>
              <w:topLinePunct w:val="0"/>
              <w:bidi w:val="0"/>
              <w:spacing w:line="360" w:lineRule="auto"/>
              <w:jc w:val="center"/>
              <w:textAlignment w:val="auto"/>
              <w:rPr>
                <w:rFonts w:ascii="宋体" w:hAnsi="宋体"/>
                <w:b/>
                <w:bCs/>
                <w:color w:val="auto"/>
                <w:szCs w:val="21"/>
                <w:highlight w:val="none"/>
              </w:rPr>
            </w:pPr>
            <w:r>
              <w:rPr>
                <w:rFonts w:hint="eastAsia" w:ascii="宋体" w:hAnsi="宋体"/>
                <w:b/>
                <w:bCs/>
                <w:color w:val="auto"/>
                <w:szCs w:val="21"/>
                <w:highlight w:val="none"/>
              </w:rPr>
              <w:t>项目名称</w:t>
            </w:r>
          </w:p>
        </w:tc>
        <w:tc>
          <w:tcPr>
            <w:tcW w:w="1641" w:type="dxa"/>
            <w:tcBorders>
              <w:top w:val="single" w:color="000000" w:sz="4" w:space="0"/>
              <w:left w:val="single" w:color="000000" w:sz="4" w:space="0"/>
              <w:bottom w:val="single" w:color="000000" w:sz="4" w:space="0"/>
              <w:right w:val="single" w:color="000000" w:sz="4" w:space="0"/>
            </w:tcBorders>
            <w:vAlign w:val="center"/>
          </w:tcPr>
          <w:p w14:paraId="321EE857">
            <w:pPr>
              <w:pStyle w:val="33"/>
              <w:keepNext w:val="0"/>
              <w:keepLines w:val="0"/>
              <w:pageBreakBefore w:val="0"/>
              <w:kinsoku/>
              <w:wordWrap/>
              <w:overflowPunct/>
              <w:topLinePunct w:val="0"/>
              <w:bidi w:val="0"/>
              <w:spacing w:line="360" w:lineRule="auto"/>
              <w:jc w:val="center"/>
              <w:textAlignment w:val="auto"/>
              <w:rPr>
                <w:rFonts w:ascii="宋体" w:hAnsi="宋体"/>
                <w:b/>
                <w:bCs/>
                <w:color w:val="auto"/>
                <w:szCs w:val="21"/>
                <w:highlight w:val="none"/>
              </w:rPr>
            </w:pPr>
            <w:r>
              <w:rPr>
                <w:rFonts w:hint="eastAsia" w:ascii="宋体" w:hAnsi="宋体"/>
                <w:b/>
                <w:bCs/>
                <w:color w:val="auto"/>
                <w:szCs w:val="21"/>
                <w:highlight w:val="none"/>
              </w:rPr>
              <w:t>业主单位</w:t>
            </w:r>
          </w:p>
        </w:tc>
        <w:tc>
          <w:tcPr>
            <w:tcW w:w="1382" w:type="dxa"/>
            <w:tcBorders>
              <w:top w:val="single" w:color="000000" w:sz="4" w:space="0"/>
              <w:left w:val="single" w:color="000000" w:sz="4" w:space="0"/>
              <w:bottom w:val="single" w:color="000000" w:sz="4" w:space="0"/>
              <w:right w:val="single" w:color="000000" w:sz="4" w:space="0"/>
            </w:tcBorders>
            <w:vAlign w:val="center"/>
          </w:tcPr>
          <w:p w14:paraId="1CB12566">
            <w:pPr>
              <w:pStyle w:val="33"/>
              <w:keepNext w:val="0"/>
              <w:keepLines w:val="0"/>
              <w:pageBreakBefore w:val="0"/>
              <w:kinsoku/>
              <w:wordWrap/>
              <w:overflowPunct/>
              <w:topLinePunct w:val="0"/>
              <w:bidi w:val="0"/>
              <w:spacing w:line="360" w:lineRule="auto"/>
              <w:ind w:right="351"/>
              <w:jc w:val="center"/>
              <w:textAlignment w:val="auto"/>
              <w:rPr>
                <w:rFonts w:ascii="宋体" w:hAnsi="宋体"/>
                <w:b/>
                <w:bCs/>
                <w:color w:val="auto"/>
                <w:szCs w:val="21"/>
                <w:highlight w:val="none"/>
              </w:rPr>
            </w:pPr>
            <w:r>
              <w:rPr>
                <w:rFonts w:hint="eastAsia" w:ascii="宋体" w:hAnsi="宋体"/>
                <w:b/>
                <w:bCs/>
                <w:color w:val="auto"/>
                <w:szCs w:val="21"/>
                <w:highlight w:val="none"/>
              </w:rPr>
              <w:t>工作主要内容</w:t>
            </w:r>
          </w:p>
        </w:tc>
        <w:tc>
          <w:tcPr>
            <w:tcW w:w="1415" w:type="dxa"/>
            <w:tcBorders>
              <w:top w:val="single" w:color="000000" w:sz="4" w:space="0"/>
              <w:left w:val="single" w:color="000000" w:sz="4" w:space="0"/>
              <w:bottom w:val="single" w:color="000000" w:sz="4" w:space="0"/>
              <w:right w:val="single" w:color="000000" w:sz="4" w:space="0"/>
            </w:tcBorders>
            <w:vAlign w:val="center"/>
          </w:tcPr>
          <w:p w14:paraId="6B50C98E">
            <w:pPr>
              <w:pStyle w:val="33"/>
              <w:keepNext w:val="0"/>
              <w:keepLines w:val="0"/>
              <w:pageBreakBefore w:val="0"/>
              <w:kinsoku/>
              <w:wordWrap/>
              <w:overflowPunct/>
              <w:topLinePunct w:val="0"/>
              <w:bidi w:val="0"/>
              <w:spacing w:line="360" w:lineRule="auto"/>
              <w:ind w:left="248" w:right="188"/>
              <w:jc w:val="center"/>
              <w:textAlignment w:val="auto"/>
              <w:rPr>
                <w:rFonts w:ascii="宋体" w:hAnsi="宋体"/>
                <w:b/>
                <w:bCs/>
                <w:color w:val="auto"/>
                <w:szCs w:val="21"/>
                <w:highlight w:val="none"/>
              </w:rPr>
            </w:pPr>
            <w:r>
              <w:rPr>
                <w:rFonts w:hint="eastAsia" w:ascii="宋体" w:hAnsi="宋体"/>
                <w:b/>
                <w:bCs/>
                <w:color w:val="auto"/>
                <w:szCs w:val="21"/>
                <w:highlight w:val="none"/>
              </w:rPr>
              <w:t>合同签订时间</w:t>
            </w:r>
          </w:p>
        </w:tc>
        <w:tc>
          <w:tcPr>
            <w:tcW w:w="1234" w:type="dxa"/>
            <w:tcBorders>
              <w:top w:val="single" w:color="000000" w:sz="4" w:space="0"/>
              <w:left w:val="single" w:color="000000" w:sz="4" w:space="0"/>
              <w:bottom w:val="single" w:color="000000" w:sz="4" w:space="0"/>
              <w:right w:val="single" w:color="000000" w:sz="4" w:space="0"/>
            </w:tcBorders>
            <w:vAlign w:val="center"/>
          </w:tcPr>
          <w:p w14:paraId="12990A61">
            <w:pPr>
              <w:pStyle w:val="33"/>
              <w:keepNext w:val="0"/>
              <w:keepLines w:val="0"/>
              <w:pageBreakBefore w:val="0"/>
              <w:kinsoku/>
              <w:wordWrap/>
              <w:overflowPunct/>
              <w:topLinePunct w:val="0"/>
              <w:bidi w:val="0"/>
              <w:spacing w:line="360" w:lineRule="auto"/>
              <w:jc w:val="center"/>
              <w:textAlignment w:val="auto"/>
              <w:rPr>
                <w:rFonts w:ascii="宋体" w:hAnsi="宋体"/>
                <w:b/>
                <w:bCs/>
                <w:color w:val="auto"/>
                <w:szCs w:val="21"/>
                <w:highlight w:val="none"/>
              </w:rPr>
            </w:pPr>
            <w:r>
              <w:rPr>
                <w:rFonts w:hint="eastAsia" w:ascii="宋体" w:hAnsi="宋体"/>
                <w:b/>
                <w:bCs/>
                <w:color w:val="auto"/>
                <w:szCs w:val="21"/>
                <w:highlight w:val="none"/>
              </w:rPr>
              <w:t>备注</w:t>
            </w:r>
          </w:p>
        </w:tc>
      </w:tr>
      <w:tr w14:paraId="37E7DF78">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7B33E7E1">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56" w:type="dxa"/>
            <w:tcBorders>
              <w:top w:val="single" w:color="000000" w:sz="4" w:space="0"/>
              <w:left w:val="single" w:color="000000" w:sz="4" w:space="0"/>
              <w:bottom w:val="single" w:color="000000" w:sz="4" w:space="0"/>
              <w:right w:val="single" w:color="000000" w:sz="4" w:space="0"/>
            </w:tcBorders>
          </w:tcPr>
          <w:p w14:paraId="650CC50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41" w:type="dxa"/>
            <w:tcBorders>
              <w:top w:val="single" w:color="000000" w:sz="4" w:space="0"/>
              <w:left w:val="single" w:color="000000" w:sz="4" w:space="0"/>
              <w:bottom w:val="single" w:color="000000" w:sz="4" w:space="0"/>
              <w:right w:val="single" w:color="000000" w:sz="4" w:space="0"/>
            </w:tcBorders>
          </w:tcPr>
          <w:p w14:paraId="0BDA9B3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tcPr>
          <w:p w14:paraId="1B234CFB">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tcPr>
          <w:p w14:paraId="799F9648">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1BC4C5B">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4A64F0E0">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4A54E954">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56" w:type="dxa"/>
            <w:tcBorders>
              <w:top w:val="single" w:color="000000" w:sz="4" w:space="0"/>
              <w:left w:val="single" w:color="000000" w:sz="4" w:space="0"/>
              <w:bottom w:val="single" w:color="000000" w:sz="4" w:space="0"/>
              <w:right w:val="single" w:color="000000" w:sz="4" w:space="0"/>
            </w:tcBorders>
          </w:tcPr>
          <w:p w14:paraId="44FFBDA1">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41" w:type="dxa"/>
            <w:tcBorders>
              <w:top w:val="single" w:color="000000" w:sz="4" w:space="0"/>
              <w:left w:val="single" w:color="000000" w:sz="4" w:space="0"/>
              <w:bottom w:val="single" w:color="000000" w:sz="4" w:space="0"/>
              <w:right w:val="single" w:color="000000" w:sz="4" w:space="0"/>
            </w:tcBorders>
          </w:tcPr>
          <w:p w14:paraId="2D870EF7">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tcPr>
          <w:p w14:paraId="770B233D">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tcPr>
          <w:p w14:paraId="4923FE8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451B777E">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426F66A0">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04673B3C">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56" w:type="dxa"/>
            <w:tcBorders>
              <w:top w:val="single" w:color="000000" w:sz="4" w:space="0"/>
              <w:left w:val="single" w:color="000000" w:sz="4" w:space="0"/>
              <w:bottom w:val="single" w:color="000000" w:sz="4" w:space="0"/>
              <w:right w:val="single" w:color="000000" w:sz="4" w:space="0"/>
            </w:tcBorders>
          </w:tcPr>
          <w:p w14:paraId="68175713">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41" w:type="dxa"/>
            <w:tcBorders>
              <w:top w:val="single" w:color="000000" w:sz="4" w:space="0"/>
              <w:left w:val="single" w:color="000000" w:sz="4" w:space="0"/>
              <w:bottom w:val="single" w:color="000000" w:sz="4" w:space="0"/>
              <w:right w:val="single" w:color="000000" w:sz="4" w:space="0"/>
            </w:tcBorders>
          </w:tcPr>
          <w:p w14:paraId="31269FBF">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tcPr>
          <w:p w14:paraId="3A2F10B6">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tcPr>
          <w:p w14:paraId="31C5091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1C198BA2">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6464F402">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6688CC09">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56" w:type="dxa"/>
            <w:tcBorders>
              <w:top w:val="single" w:color="000000" w:sz="4" w:space="0"/>
              <w:left w:val="single" w:color="000000" w:sz="4" w:space="0"/>
              <w:bottom w:val="single" w:color="000000" w:sz="4" w:space="0"/>
              <w:right w:val="single" w:color="000000" w:sz="4" w:space="0"/>
            </w:tcBorders>
          </w:tcPr>
          <w:p w14:paraId="1C57216A">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41" w:type="dxa"/>
            <w:tcBorders>
              <w:top w:val="single" w:color="000000" w:sz="4" w:space="0"/>
              <w:left w:val="single" w:color="000000" w:sz="4" w:space="0"/>
              <w:bottom w:val="single" w:color="000000" w:sz="4" w:space="0"/>
              <w:right w:val="single" w:color="000000" w:sz="4" w:space="0"/>
            </w:tcBorders>
          </w:tcPr>
          <w:p w14:paraId="4C5C21C5">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tcPr>
          <w:p w14:paraId="3B30ADAE">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tcPr>
          <w:p w14:paraId="182A75C9">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1A8BB58F">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r w14:paraId="0C64E0FF">
        <w:tblPrEx>
          <w:tblCellMar>
            <w:top w:w="0" w:type="dxa"/>
            <w:left w:w="0" w:type="dxa"/>
            <w:bottom w:w="0" w:type="dxa"/>
            <w:right w:w="0" w:type="dxa"/>
          </w:tblCellMar>
        </w:tblPrEx>
        <w:trPr>
          <w:trHeight w:val="412" w:hRule="exact"/>
          <w:jc w:val="center"/>
        </w:trPr>
        <w:tc>
          <w:tcPr>
            <w:tcW w:w="929" w:type="dxa"/>
            <w:tcBorders>
              <w:top w:val="single" w:color="000000" w:sz="4" w:space="0"/>
              <w:left w:val="single" w:color="000000" w:sz="4" w:space="0"/>
              <w:bottom w:val="single" w:color="000000" w:sz="4" w:space="0"/>
              <w:right w:val="single" w:color="000000" w:sz="4" w:space="0"/>
            </w:tcBorders>
          </w:tcPr>
          <w:p w14:paraId="7FBE4218">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2056" w:type="dxa"/>
            <w:tcBorders>
              <w:top w:val="single" w:color="000000" w:sz="4" w:space="0"/>
              <w:left w:val="single" w:color="000000" w:sz="4" w:space="0"/>
              <w:bottom w:val="single" w:color="000000" w:sz="4" w:space="0"/>
              <w:right w:val="single" w:color="000000" w:sz="4" w:space="0"/>
            </w:tcBorders>
          </w:tcPr>
          <w:p w14:paraId="3B68D984">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641" w:type="dxa"/>
            <w:tcBorders>
              <w:top w:val="single" w:color="000000" w:sz="4" w:space="0"/>
              <w:left w:val="single" w:color="000000" w:sz="4" w:space="0"/>
              <w:bottom w:val="single" w:color="000000" w:sz="4" w:space="0"/>
              <w:right w:val="single" w:color="000000" w:sz="4" w:space="0"/>
            </w:tcBorders>
          </w:tcPr>
          <w:p w14:paraId="146C8894">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tcPr>
          <w:p w14:paraId="05749602">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tcPr>
          <w:p w14:paraId="7F24FD38">
            <w:pPr>
              <w:keepNext w:val="0"/>
              <w:keepLines w:val="0"/>
              <w:pageBreakBefore w:val="0"/>
              <w:kinsoku/>
              <w:wordWrap/>
              <w:overflowPunct/>
              <w:topLinePunct w:val="0"/>
              <w:bidi w:val="0"/>
              <w:spacing w:line="360" w:lineRule="auto"/>
              <w:textAlignment w:val="auto"/>
              <w:rPr>
                <w:rFonts w:ascii="宋体" w:hAnsi="宋体"/>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0C1A5599">
            <w:pPr>
              <w:keepNext w:val="0"/>
              <w:keepLines w:val="0"/>
              <w:pageBreakBefore w:val="0"/>
              <w:kinsoku/>
              <w:wordWrap/>
              <w:overflowPunct/>
              <w:topLinePunct w:val="0"/>
              <w:bidi w:val="0"/>
              <w:spacing w:line="360" w:lineRule="auto"/>
              <w:textAlignment w:val="auto"/>
              <w:rPr>
                <w:rFonts w:ascii="宋体" w:hAnsi="宋体"/>
                <w:color w:val="auto"/>
                <w:highlight w:val="none"/>
              </w:rPr>
            </w:pPr>
          </w:p>
        </w:tc>
      </w:tr>
    </w:tbl>
    <w:p w14:paraId="7A090CD9">
      <w:pPr>
        <w:keepNext w:val="0"/>
        <w:keepLines w:val="0"/>
        <w:pageBreakBefore w:val="0"/>
        <w:kinsoku/>
        <w:wordWrap/>
        <w:overflowPunct/>
        <w:topLinePunct w:val="0"/>
        <w:bidi w:val="0"/>
        <w:spacing w:before="1" w:line="360" w:lineRule="auto"/>
        <w:textAlignment w:val="auto"/>
        <w:rPr>
          <w:rFonts w:ascii="宋体" w:hAnsi="宋体"/>
          <w:b/>
          <w:bCs/>
          <w:color w:val="auto"/>
          <w:sz w:val="23"/>
          <w:szCs w:val="23"/>
          <w:highlight w:val="none"/>
        </w:rPr>
      </w:pPr>
    </w:p>
    <w:p w14:paraId="645AA59D">
      <w:pPr>
        <w:pStyle w:val="10"/>
        <w:keepNext w:val="0"/>
        <w:keepLines w:val="0"/>
        <w:pageBreakBefore w:val="0"/>
        <w:tabs>
          <w:tab w:val="left" w:pos="4817"/>
        </w:tabs>
        <w:kinsoku/>
        <w:wordWrap/>
        <w:overflowPunct/>
        <w:topLinePunct w:val="0"/>
        <w:bidi w:val="0"/>
        <w:spacing w:before="34" w:line="360" w:lineRule="auto"/>
        <w:ind w:left="0" w:leftChars="0" w:firstLine="0" w:firstLineChars="0"/>
        <w:jc w:val="left"/>
        <w:textAlignment w:val="auto"/>
        <w:rPr>
          <w:color w:val="auto"/>
          <w:highlight w:val="none"/>
        </w:rPr>
      </w:pPr>
      <w:r>
        <w:rPr>
          <w:rFonts w:hint="eastAsia"/>
          <w:color w:val="auto"/>
          <w:highlight w:val="none"/>
        </w:rPr>
        <w:t>供应商（盖章）:</w:t>
      </w:r>
      <w:r>
        <w:rPr>
          <w:rFonts w:hint="eastAsia"/>
          <w:color w:val="auto"/>
          <w:highlight w:val="none"/>
          <w:u w:val="single" w:color="000000"/>
        </w:rPr>
        <w:tab/>
      </w:r>
    </w:p>
    <w:p w14:paraId="400694D0">
      <w:pPr>
        <w:keepNext w:val="0"/>
        <w:keepLines w:val="0"/>
        <w:pageBreakBefore w:val="0"/>
        <w:kinsoku/>
        <w:wordWrap/>
        <w:overflowPunct/>
        <w:topLinePunct w:val="0"/>
        <w:bidi w:val="0"/>
        <w:spacing w:before="10" w:line="360" w:lineRule="auto"/>
        <w:textAlignment w:val="auto"/>
        <w:rPr>
          <w:rFonts w:ascii="宋体" w:hAnsi="宋体"/>
          <w:color w:val="auto"/>
          <w:sz w:val="10"/>
          <w:szCs w:val="10"/>
          <w:highlight w:val="none"/>
        </w:rPr>
      </w:pPr>
    </w:p>
    <w:p w14:paraId="29C51541">
      <w:pPr>
        <w:keepNext w:val="0"/>
        <w:keepLines w:val="0"/>
        <w:pageBreakBefore w:val="0"/>
        <w:widowControl/>
        <w:kinsoku/>
        <w:wordWrap/>
        <w:overflowPunct/>
        <w:topLinePunct w:val="0"/>
        <w:bidi w:val="0"/>
        <w:adjustRightInd w:val="0"/>
        <w:spacing w:line="360" w:lineRule="auto"/>
        <w:jc w:val="left"/>
        <w:textAlignment w:val="auto"/>
        <w:rPr>
          <w:rFonts w:hint="eastAsia" w:ascii="宋体" w:hAnsi="宋体"/>
          <w:color w:val="auto"/>
          <w:kern w:val="0"/>
          <w:szCs w:val="21"/>
          <w:highlight w:val="none"/>
          <w:lang w:val="zh-CN"/>
        </w:rPr>
      </w:pPr>
      <w:r>
        <w:rPr>
          <w:rFonts w:hint="eastAsia" w:ascii="宋体" w:hAnsi="宋体"/>
          <w:color w:val="auto"/>
          <w:kern w:val="0"/>
          <w:szCs w:val="21"/>
          <w:highlight w:val="none"/>
          <w:lang w:val="zh-CN"/>
        </w:rPr>
        <w:t>授权代表（签字）：</w:t>
      </w:r>
    </w:p>
    <w:p w14:paraId="2B251CB3">
      <w:pPr>
        <w:keepNext w:val="0"/>
        <w:keepLines w:val="0"/>
        <w:pageBreakBefore w:val="0"/>
        <w:widowControl/>
        <w:kinsoku/>
        <w:wordWrap/>
        <w:overflowPunct/>
        <w:topLinePunct w:val="0"/>
        <w:bidi w:val="0"/>
        <w:adjustRightInd w:val="0"/>
        <w:spacing w:line="360" w:lineRule="auto"/>
        <w:jc w:val="left"/>
        <w:textAlignment w:val="auto"/>
        <w:rPr>
          <w:rFonts w:hint="eastAsia" w:ascii="宋体" w:hAnsi="宋体"/>
          <w:color w:val="auto"/>
          <w:kern w:val="0"/>
          <w:szCs w:val="21"/>
          <w:highlight w:val="none"/>
          <w:lang w:val="zh-CN"/>
        </w:rPr>
      </w:pPr>
    </w:p>
    <w:p w14:paraId="691AACA0">
      <w:pPr>
        <w:keepNext w:val="0"/>
        <w:keepLines w:val="0"/>
        <w:pageBreakBefore w:val="0"/>
        <w:widowControl/>
        <w:kinsoku/>
        <w:wordWrap/>
        <w:overflowPunct/>
        <w:topLinePunct w:val="0"/>
        <w:bidi w:val="0"/>
        <w:adjustRightInd w:val="0"/>
        <w:spacing w:line="360" w:lineRule="auto"/>
        <w:jc w:val="left"/>
        <w:textAlignment w:val="auto"/>
        <w:rPr>
          <w:rFonts w:ascii="宋体" w:hAnsi="宋体"/>
          <w:color w:val="auto"/>
          <w:kern w:val="0"/>
          <w:szCs w:val="21"/>
          <w:highlight w:val="none"/>
          <w:lang w:val="zh-CN"/>
        </w:rPr>
      </w:pPr>
      <w:r>
        <w:rPr>
          <w:rFonts w:hint="eastAsia" w:ascii="宋体" w:hAnsi="宋体"/>
          <w:color w:val="auto"/>
          <w:kern w:val="0"/>
          <w:szCs w:val="21"/>
          <w:highlight w:val="none"/>
          <w:lang w:val="zh-CN"/>
        </w:rPr>
        <w:t>日</w:t>
      </w:r>
      <w:r>
        <w:rPr>
          <w:rFonts w:hint="eastAsia" w:ascii="宋体" w:hAnsi="宋体"/>
          <w:color w:val="auto"/>
          <w:kern w:val="0"/>
          <w:szCs w:val="21"/>
          <w:highlight w:val="none"/>
          <w:lang w:val="zh-CN"/>
        </w:rPr>
        <w:tab/>
      </w:r>
      <w:r>
        <w:rPr>
          <w:rFonts w:hint="eastAsia" w:ascii="宋体" w:hAnsi="宋体"/>
          <w:color w:val="auto"/>
          <w:kern w:val="0"/>
          <w:szCs w:val="21"/>
          <w:highlight w:val="none"/>
          <w:lang w:val="zh-CN"/>
        </w:rPr>
        <w:t>期：</w:t>
      </w:r>
      <w:r>
        <w:rPr>
          <w:rFonts w:hint="eastAsia" w:ascii="宋体" w:hAnsi="宋体"/>
          <w:color w:val="auto"/>
          <w:kern w:val="0"/>
          <w:szCs w:val="21"/>
          <w:highlight w:val="none"/>
          <w:lang w:val="zh-CN"/>
        </w:rPr>
        <w:tab/>
      </w:r>
      <w:r>
        <w:rPr>
          <w:rFonts w:hint="eastAsia" w:ascii="宋体" w:hAnsi="宋体"/>
          <w:color w:val="auto"/>
          <w:kern w:val="0"/>
          <w:szCs w:val="21"/>
          <w:highlight w:val="none"/>
          <w:lang w:val="zh-CN"/>
        </w:rPr>
        <w:t>年</w:t>
      </w:r>
      <w:r>
        <w:rPr>
          <w:rFonts w:hint="eastAsia" w:ascii="宋体" w:hAnsi="宋体"/>
          <w:color w:val="auto"/>
          <w:kern w:val="0"/>
          <w:szCs w:val="21"/>
          <w:highlight w:val="none"/>
          <w:lang w:val="zh-CN"/>
        </w:rPr>
        <w:tab/>
      </w:r>
      <w:r>
        <w:rPr>
          <w:rFonts w:hint="eastAsia" w:ascii="宋体" w:hAnsi="宋体"/>
          <w:color w:val="auto"/>
          <w:kern w:val="0"/>
          <w:szCs w:val="21"/>
          <w:highlight w:val="none"/>
          <w:lang w:val="zh-CN"/>
        </w:rPr>
        <w:t>月</w:t>
      </w:r>
      <w:r>
        <w:rPr>
          <w:rFonts w:hint="eastAsia" w:ascii="宋体" w:hAnsi="宋体"/>
          <w:color w:val="auto"/>
          <w:kern w:val="0"/>
          <w:szCs w:val="21"/>
          <w:highlight w:val="none"/>
          <w:lang w:val="zh-CN"/>
        </w:rPr>
        <w:tab/>
      </w:r>
      <w:r>
        <w:rPr>
          <w:rFonts w:hint="eastAsia" w:ascii="宋体" w:hAnsi="宋体"/>
          <w:color w:val="auto"/>
          <w:kern w:val="0"/>
          <w:szCs w:val="21"/>
          <w:highlight w:val="none"/>
          <w:lang w:val="zh-CN"/>
        </w:rPr>
        <w:t>日</w:t>
      </w:r>
    </w:p>
    <w:p w14:paraId="005B053B">
      <w:pPr>
        <w:keepNext w:val="0"/>
        <w:keepLines w:val="0"/>
        <w:pageBreakBefore w:val="0"/>
        <w:kinsoku/>
        <w:wordWrap/>
        <w:overflowPunct/>
        <w:topLinePunct w:val="0"/>
        <w:bidi w:val="0"/>
        <w:spacing w:line="360" w:lineRule="auto"/>
        <w:textAlignment w:val="auto"/>
        <w:rPr>
          <w:rFonts w:ascii="宋体" w:hAnsi="宋体"/>
          <w:b/>
          <w:color w:val="auto"/>
          <w:sz w:val="28"/>
          <w:highlight w:val="none"/>
          <w:lang w:val="zh-CN"/>
        </w:rPr>
      </w:pPr>
      <w:bookmarkStart w:id="48" w:name="附件九、企业声明函格式"/>
      <w:bookmarkEnd w:id="48"/>
      <w:r>
        <w:rPr>
          <w:rFonts w:hint="eastAsia" w:ascii="宋体" w:hAnsi="宋体"/>
          <w:b/>
          <w:color w:val="auto"/>
          <w:sz w:val="28"/>
          <w:highlight w:val="none"/>
          <w:lang w:val="zh-CN"/>
        </w:rPr>
        <w:br w:type="page"/>
      </w:r>
    </w:p>
    <w:p w14:paraId="4E89B4F0">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zh-CN"/>
        </w:rPr>
        <w:t>八、企业声明函格式</w:t>
      </w:r>
    </w:p>
    <w:p w14:paraId="1A158682">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B6768E6">
      <w:pPr>
        <w:keepNext w:val="0"/>
        <w:keepLines w:val="0"/>
        <w:pageBreakBefore w:val="0"/>
        <w:kinsoku/>
        <w:wordWrap/>
        <w:overflowPunct/>
        <w:topLinePunct w:val="0"/>
        <w:bidi w:val="0"/>
        <w:adjustRightInd w:val="0"/>
        <w:snapToGrid w:val="0"/>
        <w:spacing w:line="360" w:lineRule="auto"/>
        <w:jc w:val="center"/>
        <w:textAlignment w:val="auto"/>
        <w:rPr>
          <w:rFonts w:ascii="宋体" w:hAnsi="宋体"/>
          <w:color w:val="auto"/>
          <w:sz w:val="32"/>
          <w:szCs w:val="32"/>
          <w:highlight w:val="none"/>
        </w:rPr>
      </w:pPr>
      <w:r>
        <w:rPr>
          <w:rFonts w:hint="eastAsia" w:ascii="宋体" w:hAnsi="宋体"/>
          <w:color w:val="auto"/>
          <w:sz w:val="32"/>
          <w:szCs w:val="32"/>
          <w:highlight w:val="none"/>
        </w:rPr>
        <w:t>中小企业声明函（服务）</w:t>
      </w:r>
    </w:p>
    <w:p w14:paraId="1792E700">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本公司（联合体）郑重声明，根据《政府采购促进中小企业发展管理办法》(财库〔2020〕46号)的规定，本公司（联合体）参加</w:t>
      </w:r>
      <w:r>
        <w:rPr>
          <w:rFonts w:hint="eastAsia" w:ascii="宋体" w:hAnsi="宋体"/>
          <w:color w:val="auto"/>
          <w:sz w:val="24"/>
          <w:highlight w:val="none"/>
          <w:u w:val="single"/>
        </w:rPr>
        <w:t>XXXXXXXXXXXXXXXXXXXXXXXXX</w:t>
      </w:r>
      <w:r>
        <w:rPr>
          <w:rFonts w:hint="eastAsia" w:ascii="宋体" w:hAnsi="宋体"/>
          <w:color w:val="auto"/>
          <w:sz w:val="24"/>
          <w:highlight w:val="none"/>
        </w:rPr>
        <w:t>（单位名称）采购编号为</w:t>
      </w:r>
      <w:r>
        <w:rPr>
          <w:rFonts w:hint="eastAsia" w:ascii="宋体" w:hAnsi="宋体"/>
          <w:color w:val="auto"/>
          <w:sz w:val="24"/>
          <w:highlight w:val="none"/>
          <w:u w:val="single"/>
        </w:rPr>
        <w:t>XXXXXXXXXXXXXXXXXXXXXXXXX</w:t>
      </w:r>
      <w:r>
        <w:rPr>
          <w:rFonts w:hint="eastAsia" w:ascii="宋体" w:hAnsi="宋体"/>
          <w:color w:val="auto"/>
          <w:sz w:val="24"/>
          <w:highlight w:val="none"/>
        </w:rPr>
        <w:t>项目（分包号：</w:t>
      </w:r>
      <w:r>
        <w:rPr>
          <w:rFonts w:hint="eastAsia" w:ascii="宋体" w:hAnsi="宋体"/>
          <w:color w:val="auto"/>
          <w:sz w:val="24"/>
          <w:highlight w:val="none"/>
          <w:u w:val="single"/>
        </w:rPr>
        <w:t>XXX</w:t>
      </w:r>
      <w:r>
        <w:rPr>
          <w:rFonts w:hint="eastAsia" w:ascii="宋体" w:hAnsi="宋体"/>
          <w:color w:val="auto"/>
          <w:sz w:val="24"/>
          <w:highlight w:val="none"/>
        </w:rPr>
        <w:t>）的采购活动，服务全部由符合政策的中小企业承接。根据《工业和信息化部、国家统计局、国家发展和改革委员会、财政部关于印发中小企业划型标准规定的通知》(工信部联企业〔2011〕300号)的规定，相关企业（含联合体中的小微企业、签订分包意向协议的中小企业）的具体情况如下：</w:t>
      </w:r>
    </w:p>
    <w:p w14:paraId="00B642FA">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i/>
          <w:color w:val="auto"/>
          <w:sz w:val="24"/>
          <w:highlight w:val="none"/>
          <w:u w:val="single"/>
        </w:rPr>
      </w:pPr>
      <w:r>
        <w:rPr>
          <w:rFonts w:hint="eastAsia" w:ascii="宋体" w:hAnsi="宋体"/>
          <w:color w:val="auto"/>
          <w:sz w:val="24"/>
          <w:highlight w:val="none"/>
        </w:rPr>
        <w:t>1.（标的名称）属于行业（磋商文件中明确的所属行业）；承接企业为（企业名称），从业人员人，营业收入为万元，资产总额为万元</w:t>
      </w:r>
      <w:r>
        <w:rPr>
          <w:rFonts w:hint="eastAsia" w:ascii="宋体" w:hAnsi="宋体"/>
          <w:color w:val="auto"/>
          <w:sz w:val="24"/>
          <w:highlight w:val="none"/>
          <w:vertAlign w:val="superscript"/>
        </w:rPr>
        <w:t>1</w:t>
      </w:r>
      <w:r>
        <w:rPr>
          <w:rFonts w:hint="eastAsia" w:ascii="宋体" w:hAnsi="宋体"/>
          <w:color w:val="auto"/>
          <w:sz w:val="24"/>
          <w:highlight w:val="none"/>
        </w:rPr>
        <w:t>，属于</w:t>
      </w:r>
      <w:r>
        <w:rPr>
          <w:rFonts w:hint="eastAsia" w:ascii="宋体" w:hAnsi="宋体"/>
          <w:color w:val="auto"/>
          <w:sz w:val="24"/>
          <w:highlight w:val="none"/>
        </w:rPr>
        <w:sym w:font="Wingdings" w:char="00A8"/>
      </w:r>
      <w:r>
        <w:rPr>
          <w:rFonts w:hint="eastAsia" w:ascii="宋体" w:hAnsi="宋体"/>
          <w:color w:val="auto"/>
          <w:sz w:val="24"/>
          <w:highlight w:val="none"/>
        </w:rPr>
        <w:t xml:space="preserve">中型企业 </w:t>
      </w:r>
      <w:r>
        <w:rPr>
          <w:rFonts w:hint="eastAsia" w:ascii="宋体" w:hAnsi="宋体"/>
          <w:color w:val="auto"/>
          <w:sz w:val="24"/>
          <w:highlight w:val="none"/>
        </w:rPr>
        <w:sym w:font="Wingdings" w:char="00A8"/>
      </w:r>
      <w:r>
        <w:rPr>
          <w:rFonts w:hint="eastAsia" w:ascii="宋体" w:hAnsi="宋体"/>
          <w:color w:val="auto"/>
          <w:sz w:val="24"/>
          <w:highlight w:val="none"/>
        </w:rPr>
        <w:t xml:space="preserve">小型企业 </w:t>
      </w:r>
      <w:r>
        <w:rPr>
          <w:rFonts w:hint="eastAsia" w:ascii="宋体" w:hAnsi="宋体"/>
          <w:color w:val="auto"/>
          <w:sz w:val="24"/>
          <w:highlight w:val="none"/>
        </w:rPr>
        <w:sym w:font="Wingdings" w:char="00A8"/>
      </w:r>
      <w:r>
        <w:rPr>
          <w:rFonts w:hint="eastAsia" w:ascii="宋体" w:hAnsi="宋体"/>
          <w:color w:val="auto"/>
          <w:sz w:val="24"/>
          <w:highlight w:val="none"/>
        </w:rPr>
        <w:t>微型企业。</w:t>
      </w:r>
    </w:p>
    <w:p w14:paraId="04E234E9">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i/>
          <w:color w:val="auto"/>
          <w:sz w:val="24"/>
          <w:highlight w:val="none"/>
        </w:rPr>
      </w:pPr>
      <w:r>
        <w:rPr>
          <w:rFonts w:hint="eastAsia" w:ascii="宋体" w:hAnsi="宋体"/>
          <w:color w:val="auto"/>
          <w:sz w:val="24"/>
          <w:highlight w:val="none"/>
        </w:rPr>
        <w:t>2.（标的名称）属于行业（磋商文件中明确的所属行业）；承接企业为（企业名称），从业人员人，营业收入为万元，资产总额为万元</w:t>
      </w:r>
      <w:r>
        <w:rPr>
          <w:rFonts w:hint="eastAsia" w:ascii="宋体" w:hAnsi="宋体"/>
          <w:color w:val="auto"/>
          <w:sz w:val="24"/>
          <w:highlight w:val="none"/>
          <w:vertAlign w:val="superscript"/>
        </w:rPr>
        <w:t>1</w:t>
      </w:r>
      <w:r>
        <w:rPr>
          <w:rFonts w:hint="eastAsia" w:ascii="宋体" w:hAnsi="宋体"/>
          <w:color w:val="auto"/>
          <w:sz w:val="24"/>
          <w:highlight w:val="none"/>
        </w:rPr>
        <w:t>，属于</w:t>
      </w:r>
      <w:r>
        <w:rPr>
          <w:rFonts w:hint="eastAsia" w:ascii="宋体" w:hAnsi="宋体"/>
          <w:color w:val="auto"/>
          <w:sz w:val="24"/>
          <w:highlight w:val="none"/>
        </w:rPr>
        <w:sym w:font="Wingdings" w:char="00A8"/>
      </w:r>
      <w:r>
        <w:rPr>
          <w:rFonts w:hint="eastAsia" w:ascii="宋体" w:hAnsi="宋体"/>
          <w:color w:val="auto"/>
          <w:sz w:val="24"/>
          <w:highlight w:val="none"/>
        </w:rPr>
        <w:t>中型企业</w:t>
      </w:r>
      <w:r>
        <w:rPr>
          <w:rFonts w:hint="eastAsia" w:ascii="宋体" w:hAnsi="宋体"/>
          <w:color w:val="auto"/>
          <w:sz w:val="24"/>
          <w:highlight w:val="none"/>
        </w:rPr>
        <w:sym w:font="Wingdings" w:char="00A8"/>
      </w:r>
      <w:r>
        <w:rPr>
          <w:rFonts w:hint="eastAsia" w:ascii="宋体" w:hAnsi="宋体"/>
          <w:color w:val="auto"/>
          <w:sz w:val="24"/>
          <w:highlight w:val="none"/>
        </w:rPr>
        <w:t xml:space="preserve">小型企业 </w:t>
      </w:r>
      <w:r>
        <w:rPr>
          <w:rFonts w:hint="eastAsia" w:ascii="宋体" w:hAnsi="宋体"/>
          <w:color w:val="auto"/>
          <w:sz w:val="24"/>
          <w:highlight w:val="none"/>
        </w:rPr>
        <w:sym w:font="Wingdings" w:char="00A8"/>
      </w:r>
      <w:r>
        <w:rPr>
          <w:rFonts w:hint="eastAsia" w:ascii="宋体" w:hAnsi="宋体"/>
          <w:color w:val="auto"/>
          <w:sz w:val="24"/>
          <w:highlight w:val="none"/>
        </w:rPr>
        <w:t>微型企业。</w:t>
      </w:r>
    </w:p>
    <w:p w14:paraId="11A0255E">
      <w:pPr>
        <w:keepNext w:val="0"/>
        <w:keepLines w:val="0"/>
        <w:pageBreakBefore w:val="0"/>
        <w:kinsoku/>
        <w:wordWrap/>
        <w:overflowPunct/>
        <w:topLinePunct w:val="0"/>
        <w:bidi w:val="0"/>
        <w:adjustRightInd w:val="0"/>
        <w:snapToGrid w:val="0"/>
        <w:spacing w:line="360" w:lineRule="auto"/>
        <w:ind w:firstLine="360" w:firstLineChars="150"/>
        <w:textAlignment w:val="auto"/>
        <w:rPr>
          <w:rFonts w:ascii="宋体" w:hAnsi="宋体"/>
          <w:color w:val="auto"/>
          <w:sz w:val="24"/>
          <w:highlight w:val="none"/>
        </w:rPr>
      </w:pPr>
      <w:r>
        <w:rPr>
          <w:rFonts w:hint="eastAsia" w:ascii="宋体" w:hAnsi="宋体"/>
          <w:color w:val="auto"/>
          <w:sz w:val="24"/>
          <w:highlight w:val="none"/>
        </w:rPr>
        <w:t>……</w:t>
      </w:r>
    </w:p>
    <w:p w14:paraId="3BE709D2">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41CE780D">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1F5D9728">
      <w:pPr>
        <w:pStyle w:val="57"/>
        <w:keepNext w:val="0"/>
        <w:keepLines w:val="0"/>
        <w:pageBreakBefore w:val="0"/>
        <w:kinsoku/>
        <w:wordWrap/>
        <w:overflowPunct/>
        <w:topLinePunct w:val="0"/>
        <w:bidi w:val="0"/>
        <w:adjustRightInd w:val="0"/>
        <w:snapToGrid w:val="0"/>
        <w:spacing w:line="360" w:lineRule="auto"/>
        <w:textAlignment w:val="auto"/>
        <w:rPr>
          <w:rFonts w:ascii="宋体" w:hAnsi="宋体" w:eastAsia="宋体"/>
          <w:color w:val="auto"/>
          <w:sz w:val="24"/>
          <w:highlight w:val="none"/>
        </w:rPr>
      </w:pPr>
    </w:p>
    <w:p w14:paraId="0ACBF40D">
      <w:pPr>
        <w:keepNext w:val="0"/>
        <w:keepLines w:val="0"/>
        <w:pageBreakBefore w:val="0"/>
        <w:kinsoku/>
        <w:wordWrap/>
        <w:overflowPunct/>
        <w:topLinePunct w:val="0"/>
        <w:bidi w:val="0"/>
        <w:adjustRightInd w:val="0"/>
        <w:snapToGrid w:val="0"/>
        <w:spacing w:line="360" w:lineRule="auto"/>
        <w:textAlignment w:val="auto"/>
        <w:rPr>
          <w:rFonts w:ascii="宋体" w:hAnsi="宋体"/>
          <w:color w:val="auto"/>
          <w:highlight w:val="none"/>
        </w:rPr>
      </w:pPr>
    </w:p>
    <w:p w14:paraId="27717D14">
      <w:pPr>
        <w:keepNext w:val="0"/>
        <w:keepLines w:val="0"/>
        <w:pageBreakBefore w:val="0"/>
        <w:kinsoku/>
        <w:wordWrap/>
        <w:overflowPunct/>
        <w:topLinePunct w:val="0"/>
        <w:bidi w:val="0"/>
        <w:adjustRightInd w:val="0"/>
        <w:snapToGrid w:val="0"/>
        <w:spacing w:line="360" w:lineRule="auto"/>
        <w:ind w:right="180" w:firstLine="360" w:firstLineChars="150"/>
        <w:jc w:val="center"/>
        <w:textAlignment w:val="auto"/>
        <w:rPr>
          <w:rFonts w:ascii="宋体" w:hAnsi="宋体"/>
          <w:color w:val="auto"/>
          <w:sz w:val="24"/>
          <w:highlight w:val="none"/>
        </w:rPr>
      </w:pPr>
      <w:r>
        <w:rPr>
          <w:rFonts w:hint="eastAsia" w:ascii="宋体" w:hAnsi="宋体"/>
          <w:color w:val="auto"/>
          <w:sz w:val="24"/>
          <w:highlight w:val="none"/>
        </w:rPr>
        <w:t xml:space="preserve">                                         企业名称：（加盖电子公章）</w:t>
      </w:r>
    </w:p>
    <w:p w14:paraId="0BD791A7">
      <w:pPr>
        <w:keepNext w:val="0"/>
        <w:keepLines w:val="0"/>
        <w:pageBreakBefore w:val="0"/>
        <w:kinsoku/>
        <w:wordWrap/>
        <w:overflowPunct/>
        <w:topLinePunct w:val="0"/>
        <w:bidi w:val="0"/>
        <w:adjustRightInd w:val="0"/>
        <w:snapToGrid w:val="0"/>
        <w:spacing w:line="360" w:lineRule="auto"/>
        <w:ind w:firstLine="6000" w:firstLineChars="2500"/>
        <w:textAlignment w:val="auto"/>
        <w:rPr>
          <w:rFonts w:ascii="宋体" w:hAnsi="宋体"/>
          <w:color w:val="auto"/>
          <w:sz w:val="24"/>
          <w:highlight w:val="none"/>
        </w:rPr>
      </w:pPr>
      <w:r>
        <w:rPr>
          <w:rFonts w:hint="eastAsia" w:ascii="宋体" w:hAnsi="宋体"/>
          <w:color w:val="auto"/>
          <w:sz w:val="24"/>
          <w:highlight w:val="none"/>
        </w:rPr>
        <w:t>日期：</w:t>
      </w:r>
    </w:p>
    <w:p w14:paraId="72D7DF96">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ascii="宋体" w:hAnsi="宋体"/>
          <w:color w:val="auto"/>
          <w:sz w:val="24"/>
          <w:highlight w:val="none"/>
        </w:rPr>
      </w:pPr>
    </w:p>
    <w:p w14:paraId="3829D80E">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备注：1.从业人员、营业收入、资产总额填报上一年度数据，无上一年度数据的新成立企业可不填报。2.在所属企业类型前的</w:t>
      </w:r>
      <w:r>
        <w:rPr>
          <w:rFonts w:hint="eastAsia" w:ascii="宋体" w:hAnsi="宋体"/>
          <w:color w:val="auto"/>
          <w:sz w:val="24"/>
          <w:highlight w:val="none"/>
        </w:rPr>
        <w:sym w:font="Wingdings" w:char="00A8"/>
      </w:r>
      <w:r>
        <w:rPr>
          <w:rFonts w:hint="eastAsia" w:ascii="宋体" w:hAnsi="宋体"/>
          <w:color w:val="auto"/>
          <w:sz w:val="24"/>
          <w:highlight w:val="none"/>
        </w:rPr>
        <w:t>内打“√”。3.供应商如不提供此声明函，不得参加专门面向中小企业采购项目或者不得享受小微企业价格扣除政策。项目清单中列示的所有服务，供应商须在声明函中逐项列示并明确承接企业的类型，如有缺失将按“不提供声明函”处理。此声明函将随成交结果同时公告，接受社会监督。4.服务采购项目中，服务的承接商应当为中小企业，不对其中涉及的货物的制造商、工程的承建商作出要求。</w:t>
      </w:r>
    </w:p>
    <w:p w14:paraId="5D9512E3">
      <w:pPr>
        <w:pStyle w:val="31"/>
        <w:keepNext w:val="0"/>
        <w:keepLines w:val="0"/>
        <w:pageBreakBefore w:val="0"/>
        <w:kinsoku/>
        <w:wordWrap/>
        <w:overflowPunct/>
        <w:topLinePunct w:val="0"/>
        <w:bidi w:val="0"/>
        <w:spacing w:line="360" w:lineRule="auto"/>
        <w:ind w:firstLine="400"/>
        <w:textAlignment w:val="auto"/>
        <w:rPr>
          <w:color w:val="auto"/>
          <w:sz w:val="20"/>
          <w:szCs w:val="20"/>
          <w:highlight w:val="none"/>
        </w:rPr>
      </w:pPr>
    </w:p>
    <w:p w14:paraId="65B36873">
      <w:pPr>
        <w:keepNext w:val="0"/>
        <w:keepLines w:val="0"/>
        <w:pageBreakBefore w:val="0"/>
        <w:kinsoku/>
        <w:wordWrap/>
        <w:overflowPunct/>
        <w:topLinePunct w:val="0"/>
        <w:bidi w:val="0"/>
        <w:spacing w:line="360" w:lineRule="auto"/>
        <w:ind w:left="2287" w:right="214"/>
        <w:jc w:val="left"/>
        <w:textAlignment w:val="auto"/>
        <w:rPr>
          <w:rFonts w:hint="eastAsia" w:ascii="宋体" w:hAnsi="宋体"/>
          <w:b/>
          <w:bCs/>
          <w:color w:val="auto"/>
          <w:sz w:val="36"/>
          <w:szCs w:val="36"/>
          <w:highlight w:val="none"/>
        </w:rPr>
      </w:pPr>
    </w:p>
    <w:p w14:paraId="74018686">
      <w:pPr>
        <w:keepNext w:val="0"/>
        <w:keepLines w:val="0"/>
        <w:pageBreakBefore w:val="0"/>
        <w:kinsoku/>
        <w:wordWrap/>
        <w:overflowPunct/>
        <w:topLinePunct w:val="0"/>
        <w:bidi w:val="0"/>
        <w:spacing w:line="360" w:lineRule="auto"/>
        <w:ind w:left="2287" w:right="214"/>
        <w:jc w:val="left"/>
        <w:textAlignment w:val="auto"/>
        <w:rPr>
          <w:rFonts w:ascii="宋体" w:hAnsi="宋体"/>
          <w:b/>
          <w:bCs/>
          <w:color w:val="auto"/>
          <w:sz w:val="36"/>
          <w:szCs w:val="36"/>
          <w:highlight w:val="none"/>
        </w:rPr>
      </w:pPr>
      <w:r>
        <w:rPr>
          <w:rFonts w:hint="eastAsia" w:ascii="宋体" w:hAnsi="宋体"/>
          <w:b/>
          <w:bCs/>
          <w:color w:val="auto"/>
          <w:sz w:val="36"/>
          <w:szCs w:val="36"/>
          <w:highlight w:val="none"/>
        </w:rPr>
        <w:t>残疾人福利性单位声明函</w:t>
      </w:r>
    </w:p>
    <w:p w14:paraId="348C594F">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26F20159">
      <w:pPr>
        <w:keepNext w:val="0"/>
        <w:keepLines w:val="0"/>
        <w:pageBreakBefore w:val="0"/>
        <w:kinsoku/>
        <w:wordWrap/>
        <w:overflowPunct/>
        <w:topLinePunct w:val="0"/>
        <w:bidi w:val="0"/>
        <w:spacing w:line="360" w:lineRule="auto"/>
        <w:ind w:firstLine="420"/>
        <w:textAlignment w:val="auto"/>
        <w:rPr>
          <w:rFonts w:ascii="宋体" w:hAnsi="宋体"/>
          <w:color w:val="auto"/>
          <w:sz w:val="22"/>
          <w:szCs w:val="28"/>
          <w:highlight w:val="none"/>
        </w:rPr>
      </w:pPr>
      <w:r>
        <w:rPr>
          <w:rFonts w:hint="eastAsia" w:ascii="宋体" w:hAnsi="宋体"/>
          <w:color w:val="auto"/>
          <w:sz w:val="22"/>
          <w:szCs w:val="28"/>
          <w:highlight w:val="none"/>
        </w:rPr>
        <w:t>本单位郑重声明，根据《财政部民政部中国残疾人联合会关于促进残疾人就业政府采购政策的通知》（财库〔2017〕 141 号）的规定，本单位为符合条件的残疾人福利性单位，且本单位参加</w:t>
      </w:r>
      <w:r>
        <w:rPr>
          <w:rFonts w:hint="eastAsia" w:ascii="宋体" w:hAnsi="宋体"/>
          <w:color w:val="auto"/>
          <w:sz w:val="22"/>
          <w:szCs w:val="28"/>
          <w:highlight w:val="none"/>
          <w:u w:val="single"/>
        </w:rPr>
        <w:tab/>
      </w:r>
      <w:r>
        <w:rPr>
          <w:rFonts w:hint="eastAsia" w:ascii="宋体" w:hAnsi="宋体"/>
          <w:color w:val="auto"/>
          <w:sz w:val="22"/>
          <w:szCs w:val="28"/>
          <w:highlight w:val="none"/>
        </w:rPr>
        <w:t>单位的</w:t>
      </w:r>
      <w:r>
        <w:rPr>
          <w:rFonts w:hint="eastAsia" w:ascii="宋体" w:hAnsi="宋体"/>
          <w:color w:val="auto"/>
          <w:sz w:val="22"/>
          <w:szCs w:val="28"/>
          <w:highlight w:val="none"/>
          <w:u w:val="single"/>
        </w:rPr>
        <w:tab/>
      </w:r>
      <w:r>
        <w:rPr>
          <w:rFonts w:hint="eastAsia" w:ascii="宋体" w:hAnsi="宋体"/>
          <w:color w:val="auto"/>
          <w:sz w:val="22"/>
          <w:szCs w:val="28"/>
          <w:highlight w:val="none"/>
        </w:rPr>
        <w:t>项目采购活动提供本单位制造的货物（由本单位承担工程/提供服务），或者提供其他残疾人福利性单位制造的货物（不包括使用非残疾人福利性单位注册商标的货物）。</w:t>
      </w:r>
    </w:p>
    <w:p w14:paraId="4559ED5C">
      <w:pPr>
        <w:keepNext w:val="0"/>
        <w:keepLines w:val="0"/>
        <w:pageBreakBefore w:val="0"/>
        <w:kinsoku/>
        <w:wordWrap/>
        <w:overflowPunct/>
        <w:topLinePunct w:val="0"/>
        <w:bidi w:val="0"/>
        <w:spacing w:line="360" w:lineRule="auto"/>
        <w:textAlignment w:val="auto"/>
        <w:rPr>
          <w:rFonts w:ascii="宋体" w:hAnsi="宋体"/>
          <w:color w:val="auto"/>
          <w:szCs w:val="21"/>
          <w:highlight w:val="none"/>
        </w:rPr>
      </w:pPr>
      <w:r>
        <w:rPr>
          <w:rFonts w:hint="eastAsia" w:ascii="宋体" w:hAnsi="宋体"/>
          <w:color w:val="auto"/>
          <w:sz w:val="22"/>
          <w:szCs w:val="28"/>
          <w:highlight w:val="none"/>
        </w:rPr>
        <w:t>本单位对上述声明的</w:t>
      </w:r>
    </w:p>
    <w:p w14:paraId="1AD7B284">
      <w:pPr>
        <w:keepNext w:val="0"/>
        <w:keepLines w:val="0"/>
        <w:pageBreakBefore w:val="0"/>
        <w:kinsoku/>
        <w:wordWrap/>
        <w:overflowPunct/>
        <w:topLinePunct w:val="0"/>
        <w:bidi w:val="0"/>
        <w:spacing w:before="2" w:line="360" w:lineRule="auto"/>
        <w:textAlignment w:val="auto"/>
        <w:rPr>
          <w:rFonts w:ascii="宋体" w:hAnsi="宋体"/>
          <w:color w:val="auto"/>
          <w:sz w:val="18"/>
          <w:szCs w:val="18"/>
          <w:highlight w:val="none"/>
        </w:rPr>
      </w:pPr>
    </w:p>
    <w:p w14:paraId="187EA888">
      <w:pPr>
        <w:pStyle w:val="10"/>
        <w:keepNext w:val="0"/>
        <w:keepLines w:val="0"/>
        <w:pageBreakBefore w:val="0"/>
        <w:tabs>
          <w:tab w:val="left" w:pos="8148"/>
        </w:tabs>
        <w:kinsoku/>
        <w:wordWrap/>
        <w:overflowPunct/>
        <w:topLinePunct w:val="0"/>
        <w:bidi w:val="0"/>
        <w:spacing w:before="34" w:line="360" w:lineRule="auto"/>
        <w:ind w:left="4106"/>
        <w:jc w:val="left"/>
        <w:textAlignment w:val="auto"/>
        <w:rPr>
          <w:color w:val="auto"/>
          <w:sz w:val="22"/>
          <w:szCs w:val="22"/>
          <w:highlight w:val="none"/>
        </w:rPr>
      </w:pPr>
      <w:r>
        <w:rPr>
          <w:rFonts w:hint="eastAsia"/>
          <w:color w:val="auto"/>
          <w:sz w:val="22"/>
          <w:szCs w:val="22"/>
          <w:highlight w:val="none"/>
        </w:rPr>
        <w:t>供应商（盖章）:</w:t>
      </w:r>
      <w:r>
        <w:rPr>
          <w:rFonts w:hint="eastAsia"/>
          <w:color w:val="auto"/>
          <w:sz w:val="22"/>
          <w:szCs w:val="22"/>
          <w:highlight w:val="none"/>
          <w:u w:val="single" w:color="000000"/>
        </w:rPr>
        <w:tab/>
      </w:r>
    </w:p>
    <w:p w14:paraId="6588A57F">
      <w:pPr>
        <w:keepNext w:val="0"/>
        <w:keepLines w:val="0"/>
        <w:pageBreakBefore w:val="0"/>
        <w:kinsoku/>
        <w:wordWrap/>
        <w:overflowPunct/>
        <w:topLinePunct w:val="0"/>
        <w:bidi w:val="0"/>
        <w:spacing w:before="10" w:line="360" w:lineRule="auto"/>
        <w:textAlignment w:val="auto"/>
        <w:rPr>
          <w:rFonts w:ascii="宋体" w:hAnsi="宋体"/>
          <w:color w:val="auto"/>
          <w:sz w:val="11"/>
          <w:szCs w:val="11"/>
          <w:highlight w:val="none"/>
        </w:rPr>
      </w:pPr>
    </w:p>
    <w:p w14:paraId="3C8DD5F8">
      <w:pPr>
        <w:pStyle w:val="10"/>
        <w:keepNext w:val="0"/>
        <w:keepLines w:val="0"/>
        <w:pageBreakBefore w:val="0"/>
        <w:tabs>
          <w:tab w:val="left" w:pos="4737"/>
          <w:tab w:val="left" w:pos="5471"/>
          <w:tab w:val="left" w:pos="6100"/>
          <w:tab w:val="left" w:pos="6731"/>
        </w:tabs>
        <w:kinsoku/>
        <w:wordWrap/>
        <w:overflowPunct/>
        <w:topLinePunct w:val="0"/>
        <w:bidi w:val="0"/>
        <w:spacing w:before="34" w:line="360" w:lineRule="auto"/>
        <w:ind w:left="4106"/>
        <w:jc w:val="left"/>
        <w:textAlignment w:val="auto"/>
        <w:rPr>
          <w:color w:val="auto"/>
          <w:sz w:val="22"/>
          <w:szCs w:val="28"/>
          <w:highlight w:val="none"/>
        </w:rPr>
      </w:pPr>
      <w:r>
        <w:rPr>
          <w:rFonts w:hint="eastAsia"/>
          <w:color w:val="auto"/>
          <w:sz w:val="22"/>
          <w:szCs w:val="28"/>
          <w:highlight w:val="none"/>
        </w:rPr>
        <w:t>日</w:t>
      </w:r>
      <w:r>
        <w:rPr>
          <w:rFonts w:hint="eastAsia"/>
          <w:color w:val="auto"/>
          <w:sz w:val="22"/>
          <w:szCs w:val="28"/>
          <w:highlight w:val="none"/>
        </w:rPr>
        <w:tab/>
      </w:r>
      <w:r>
        <w:rPr>
          <w:rFonts w:hint="eastAsia"/>
          <w:color w:val="auto"/>
          <w:sz w:val="22"/>
          <w:szCs w:val="28"/>
          <w:highlight w:val="none"/>
        </w:rPr>
        <w:t>期：</w:t>
      </w:r>
      <w:r>
        <w:rPr>
          <w:rFonts w:hint="eastAsia"/>
          <w:color w:val="auto"/>
          <w:sz w:val="22"/>
          <w:szCs w:val="28"/>
          <w:highlight w:val="none"/>
        </w:rPr>
        <w:tab/>
      </w:r>
      <w:r>
        <w:rPr>
          <w:rFonts w:hint="eastAsia"/>
          <w:color w:val="auto"/>
          <w:sz w:val="22"/>
          <w:szCs w:val="28"/>
          <w:highlight w:val="none"/>
        </w:rPr>
        <w:t>年</w:t>
      </w:r>
      <w:r>
        <w:rPr>
          <w:rFonts w:hint="eastAsia"/>
          <w:color w:val="auto"/>
          <w:sz w:val="22"/>
          <w:szCs w:val="28"/>
          <w:highlight w:val="none"/>
        </w:rPr>
        <w:tab/>
      </w:r>
      <w:r>
        <w:rPr>
          <w:rFonts w:hint="eastAsia"/>
          <w:color w:val="auto"/>
          <w:sz w:val="22"/>
          <w:szCs w:val="28"/>
          <w:highlight w:val="none"/>
        </w:rPr>
        <w:t>月</w:t>
      </w:r>
      <w:r>
        <w:rPr>
          <w:rFonts w:hint="eastAsia"/>
          <w:color w:val="auto"/>
          <w:sz w:val="22"/>
          <w:szCs w:val="28"/>
          <w:highlight w:val="none"/>
        </w:rPr>
        <w:tab/>
      </w:r>
      <w:r>
        <w:rPr>
          <w:rFonts w:hint="eastAsia"/>
          <w:color w:val="auto"/>
          <w:sz w:val="22"/>
          <w:szCs w:val="28"/>
          <w:highlight w:val="none"/>
        </w:rPr>
        <w:t>日</w:t>
      </w:r>
    </w:p>
    <w:p w14:paraId="4B783A5E">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37AFD1CB">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3120FFE2">
      <w:pPr>
        <w:keepNext w:val="0"/>
        <w:keepLines w:val="0"/>
        <w:pageBreakBefore w:val="0"/>
        <w:kinsoku/>
        <w:wordWrap/>
        <w:overflowPunct/>
        <w:topLinePunct w:val="0"/>
        <w:bidi w:val="0"/>
        <w:spacing w:line="360" w:lineRule="auto"/>
        <w:textAlignment w:val="auto"/>
        <w:rPr>
          <w:rFonts w:ascii="宋体" w:hAnsi="宋体"/>
          <w:color w:val="auto"/>
          <w:highlight w:val="none"/>
        </w:rPr>
      </w:pPr>
    </w:p>
    <w:p w14:paraId="5FAC95E8">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zh-CN"/>
        </w:rPr>
        <w:t>属于监狱企业的证明文件</w:t>
      </w:r>
    </w:p>
    <w:p w14:paraId="2D143BCA">
      <w:pPr>
        <w:pStyle w:val="10"/>
        <w:keepNext w:val="0"/>
        <w:keepLines w:val="0"/>
        <w:pageBreakBefore w:val="0"/>
        <w:kinsoku/>
        <w:wordWrap/>
        <w:overflowPunct/>
        <w:topLinePunct w:val="0"/>
        <w:bidi w:val="0"/>
        <w:spacing w:before="157" w:line="360" w:lineRule="auto"/>
        <w:jc w:val="left"/>
        <w:textAlignment w:val="auto"/>
        <w:rPr>
          <w:color w:val="auto"/>
          <w:szCs w:val="24"/>
          <w:highlight w:val="none"/>
        </w:rPr>
      </w:pPr>
      <w:r>
        <w:rPr>
          <w:rFonts w:hint="eastAsia"/>
          <w:color w:val="auto"/>
          <w:szCs w:val="24"/>
          <w:highlight w:val="none"/>
        </w:rPr>
        <w:t>（提供由省级以上监狱管理局、戒毒管理局(含新疆生产建设兵团)出具的属于监狱企业的证明文件）</w:t>
      </w:r>
    </w:p>
    <w:p w14:paraId="7CC7E590">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58997C8A">
      <w:pPr>
        <w:keepNext w:val="0"/>
        <w:keepLines w:val="0"/>
        <w:pageBreakBefore w:val="0"/>
        <w:kinsoku/>
        <w:wordWrap/>
        <w:overflowPunct/>
        <w:topLinePunct w:val="0"/>
        <w:autoSpaceDE w:val="0"/>
        <w:autoSpaceDN w:val="0"/>
        <w:bidi w:val="0"/>
        <w:adjustRightInd w:val="0"/>
        <w:spacing w:line="360" w:lineRule="auto"/>
        <w:textAlignment w:val="auto"/>
        <w:rPr>
          <w:rFonts w:ascii="宋体" w:hAnsi="宋体"/>
          <w:b/>
          <w:color w:val="auto"/>
          <w:sz w:val="28"/>
          <w:highlight w:val="none"/>
          <w:lang w:val="zh-CN"/>
        </w:rPr>
      </w:pPr>
    </w:p>
    <w:p w14:paraId="56885E6F">
      <w:pPr>
        <w:keepNext w:val="0"/>
        <w:keepLines w:val="0"/>
        <w:pageBreakBefore w:val="0"/>
        <w:kinsoku/>
        <w:wordWrap/>
        <w:overflowPunct/>
        <w:topLinePunct w:val="0"/>
        <w:bidi w:val="0"/>
        <w:spacing w:line="360" w:lineRule="auto"/>
        <w:textAlignment w:val="auto"/>
        <w:rPr>
          <w:rFonts w:ascii="宋体" w:hAnsi="宋体"/>
          <w:b/>
          <w:bCs/>
          <w:color w:val="auto"/>
          <w:sz w:val="32"/>
          <w:szCs w:val="32"/>
          <w:highlight w:val="none"/>
        </w:rPr>
      </w:pPr>
      <w:bookmarkStart w:id="49" w:name="附件十、无重大违法记录声明格式"/>
      <w:bookmarkEnd w:id="49"/>
      <w:r>
        <w:rPr>
          <w:rFonts w:hint="eastAsia" w:ascii="宋体" w:hAnsi="宋体"/>
          <w:b/>
          <w:color w:val="auto"/>
          <w:sz w:val="28"/>
          <w:highlight w:val="none"/>
          <w:lang w:val="zh-CN"/>
        </w:rPr>
        <w:br w:type="page"/>
      </w:r>
    </w:p>
    <w:p w14:paraId="0300977B">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en-US" w:eastAsia="zh-CN"/>
        </w:rPr>
        <w:t>九、</w:t>
      </w:r>
      <w:r>
        <w:rPr>
          <w:rFonts w:hint="eastAsia" w:ascii="宋体" w:hAnsi="宋体"/>
          <w:b/>
          <w:color w:val="auto"/>
          <w:sz w:val="28"/>
          <w:highlight w:val="none"/>
          <w:lang w:val="zh-CN"/>
        </w:rPr>
        <w:t>无重大违法记录声明</w:t>
      </w:r>
    </w:p>
    <w:p w14:paraId="3B34E1B0">
      <w:pPr>
        <w:keepNext w:val="0"/>
        <w:keepLines w:val="0"/>
        <w:pageBreakBefore w:val="0"/>
        <w:kinsoku/>
        <w:wordWrap/>
        <w:overflowPunct/>
        <w:topLinePunct w:val="0"/>
        <w:bidi w:val="0"/>
        <w:spacing w:before="2" w:line="360" w:lineRule="auto"/>
        <w:textAlignment w:val="auto"/>
        <w:rPr>
          <w:rFonts w:ascii="宋体" w:hAnsi="宋体"/>
          <w:color w:val="auto"/>
          <w:sz w:val="20"/>
          <w:szCs w:val="20"/>
          <w:highlight w:val="none"/>
        </w:rPr>
      </w:pPr>
    </w:p>
    <w:p w14:paraId="1113C1C0">
      <w:pPr>
        <w:keepNext w:val="0"/>
        <w:keepLines w:val="0"/>
        <w:pageBreakBefore w:val="0"/>
        <w:kinsoku/>
        <w:wordWrap/>
        <w:overflowPunct/>
        <w:topLinePunct w:val="0"/>
        <w:bidi w:val="0"/>
        <w:spacing w:line="360" w:lineRule="auto"/>
        <w:textAlignment w:val="auto"/>
        <w:rPr>
          <w:rFonts w:ascii="宋体" w:hAnsi="宋体"/>
          <w:b/>
          <w:bCs/>
          <w:color w:val="auto"/>
          <w:sz w:val="24"/>
          <w:szCs w:val="32"/>
          <w:highlight w:val="none"/>
        </w:rPr>
      </w:pPr>
      <w:r>
        <w:rPr>
          <w:rFonts w:hint="eastAsia" w:ascii="宋体" w:hAnsi="宋体"/>
          <w:b/>
          <w:bCs/>
          <w:color w:val="auto"/>
          <w:sz w:val="24"/>
          <w:szCs w:val="32"/>
          <w:highlight w:val="none"/>
          <w:lang w:eastAsia="zh-CN"/>
        </w:rPr>
        <w:t>南京江北新区环保与水务服务中心</w:t>
      </w:r>
      <w:r>
        <w:rPr>
          <w:rFonts w:hint="eastAsia" w:ascii="宋体" w:hAnsi="宋体"/>
          <w:b/>
          <w:bCs/>
          <w:color w:val="auto"/>
          <w:sz w:val="24"/>
          <w:szCs w:val="32"/>
          <w:highlight w:val="none"/>
        </w:rPr>
        <w:t>：</w:t>
      </w:r>
    </w:p>
    <w:p w14:paraId="3D83C91C">
      <w:pPr>
        <w:keepNext w:val="0"/>
        <w:keepLines w:val="0"/>
        <w:pageBreakBefore w:val="0"/>
        <w:kinsoku/>
        <w:wordWrap/>
        <w:overflowPunct/>
        <w:topLinePunct w:val="0"/>
        <w:bidi w:val="0"/>
        <w:spacing w:line="360" w:lineRule="auto"/>
        <w:ind w:firstLine="420"/>
        <w:textAlignment w:val="auto"/>
        <w:rPr>
          <w:rFonts w:ascii="宋体" w:hAnsi="宋体"/>
          <w:color w:val="auto"/>
          <w:sz w:val="24"/>
          <w:szCs w:val="32"/>
          <w:highlight w:val="none"/>
        </w:rPr>
      </w:pPr>
      <w:r>
        <w:rPr>
          <w:rFonts w:hint="eastAsia" w:ascii="宋体" w:hAnsi="宋体"/>
          <w:color w:val="auto"/>
          <w:sz w:val="24"/>
          <w:szCs w:val="32"/>
          <w:highlight w:val="none"/>
        </w:rPr>
        <w:t>我单位（供应商名称）宣布声明和承诺如下：</w:t>
      </w:r>
    </w:p>
    <w:p w14:paraId="297A9C06">
      <w:pPr>
        <w:keepNext w:val="0"/>
        <w:keepLines w:val="0"/>
        <w:pageBreakBefore w:val="0"/>
        <w:kinsoku/>
        <w:wordWrap/>
        <w:overflowPunct/>
        <w:topLinePunct w:val="0"/>
        <w:bidi w:val="0"/>
        <w:spacing w:line="360" w:lineRule="auto"/>
        <w:ind w:firstLine="420"/>
        <w:textAlignment w:val="auto"/>
        <w:rPr>
          <w:rFonts w:ascii="宋体" w:hAnsi="宋体"/>
          <w:color w:val="auto"/>
          <w:sz w:val="24"/>
          <w:szCs w:val="32"/>
          <w:highlight w:val="none"/>
        </w:rPr>
      </w:pPr>
      <w:r>
        <w:rPr>
          <w:rFonts w:hint="eastAsia" w:ascii="宋体" w:hAnsi="宋体"/>
          <w:color w:val="auto"/>
          <w:sz w:val="24"/>
          <w:szCs w:val="32"/>
          <w:highlight w:val="none"/>
        </w:rPr>
        <w:t>我单位参加本次采购活动前3年内在经营活动中没有重大违法记录，且不是失信被执行人、重大税收违法案件当事人名单、政府采购严重违法失信行为记录名单的供应商。</w:t>
      </w:r>
    </w:p>
    <w:p w14:paraId="0233B043">
      <w:pPr>
        <w:keepNext w:val="0"/>
        <w:keepLines w:val="0"/>
        <w:pageBreakBefore w:val="0"/>
        <w:kinsoku/>
        <w:wordWrap/>
        <w:overflowPunct/>
        <w:topLinePunct w:val="0"/>
        <w:bidi w:val="0"/>
        <w:spacing w:line="360" w:lineRule="auto"/>
        <w:ind w:firstLine="420"/>
        <w:textAlignment w:val="auto"/>
        <w:rPr>
          <w:rFonts w:ascii="宋体" w:hAnsi="宋体"/>
          <w:color w:val="auto"/>
          <w:sz w:val="24"/>
          <w:szCs w:val="32"/>
          <w:highlight w:val="none"/>
        </w:rPr>
      </w:pPr>
      <w:r>
        <w:rPr>
          <w:rFonts w:hint="eastAsia" w:ascii="宋体" w:hAnsi="宋体"/>
          <w:color w:val="auto"/>
          <w:sz w:val="24"/>
          <w:szCs w:val="32"/>
          <w:highlight w:val="none"/>
        </w:rPr>
        <w:t>（说明：政府采购法第二十二条第一款第五项所称重大违法记录，是指供应商因违法经营受到刑事处罚或者责令停产停业、吊销许可证或者执照、较大数额罚款等行政处罚。）</w:t>
      </w:r>
    </w:p>
    <w:p w14:paraId="447A7736">
      <w:pPr>
        <w:keepNext w:val="0"/>
        <w:keepLines w:val="0"/>
        <w:pageBreakBefore w:val="0"/>
        <w:kinsoku/>
        <w:wordWrap/>
        <w:overflowPunct/>
        <w:topLinePunct w:val="0"/>
        <w:bidi w:val="0"/>
        <w:spacing w:line="360" w:lineRule="auto"/>
        <w:ind w:firstLine="420"/>
        <w:textAlignment w:val="auto"/>
        <w:rPr>
          <w:rFonts w:ascii="宋体" w:hAnsi="宋体"/>
          <w:color w:val="auto"/>
          <w:sz w:val="24"/>
          <w:szCs w:val="32"/>
          <w:highlight w:val="none"/>
        </w:rPr>
      </w:pPr>
    </w:p>
    <w:p w14:paraId="6C6DE716">
      <w:pPr>
        <w:keepNext w:val="0"/>
        <w:keepLines w:val="0"/>
        <w:pageBreakBefore w:val="0"/>
        <w:kinsoku/>
        <w:wordWrap/>
        <w:overflowPunct/>
        <w:topLinePunct w:val="0"/>
        <w:bidi w:val="0"/>
        <w:spacing w:line="360" w:lineRule="auto"/>
        <w:ind w:firstLine="420"/>
        <w:textAlignment w:val="auto"/>
        <w:rPr>
          <w:rFonts w:ascii="宋体" w:hAnsi="宋体"/>
          <w:color w:val="auto"/>
          <w:sz w:val="24"/>
          <w:szCs w:val="32"/>
          <w:highlight w:val="none"/>
        </w:rPr>
      </w:pPr>
    </w:p>
    <w:p w14:paraId="6B153AA8">
      <w:pPr>
        <w:keepNext w:val="0"/>
        <w:keepLines w:val="0"/>
        <w:pageBreakBefore w:val="0"/>
        <w:kinsoku/>
        <w:wordWrap/>
        <w:overflowPunct/>
        <w:topLinePunct w:val="0"/>
        <w:bidi w:val="0"/>
        <w:spacing w:line="360" w:lineRule="auto"/>
        <w:ind w:firstLine="420"/>
        <w:textAlignment w:val="auto"/>
        <w:rPr>
          <w:rFonts w:ascii="宋体" w:hAnsi="宋体"/>
          <w:color w:val="auto"/>
          <w:sz w:val="24"/>
          <w:szCs w:val="32"/>
          <w:highlight w:val="none"/>
        </w:rPr>
      </w:pPr>
    </w:p>
    <w:p w14:paraId="4BD7318B">
      <w:pPr>
        <w:keepNext w:val="0"/>
        <w:keepLines w:val="0"/>
        <w:pageBreakBefore w:val="0"/>
        <w:kinsoku/>
        <w:wordWrap/>
        <w:overflowPunct/>
        <w:topLinePunct w:val="0"/>
        <w:bidi w:val="0"/>
        <w:spacing w:line="360" w:lineRule="auto"/>
        <w:ind w:firstLine="420"/>
        <w:jc w:val="right"/>
        <w:textAlignment w:val="auto"/>
        <w:rPr>
          <w:rFonts w:ascii="宋体" w:hAnsi="宋体"/>
          <w:color w:val="auto"/>
          <w:sz w:val="24"/>
          <w:szCs w:val="32"/>
          <w:highlight w:val="none"/>
        </w:rPr>
      </w:pPr>
    </w:p>
    <w:p w14:paraId="733CA8C6">
      <w:pPr>
        <w:keepNext w:val="0"/>
        <w:keepLines w:val="0"/>
        <w:pageBreakBefore w:val="0"/>
        <w:kinsoku/>
        <w:wordWrap/>
        <w:overflowPunct/>
        <w:topLinePunct w:val="0"/>
        <w:bidi w:val="0"/>
        <w:spacing w:line="360" w:lineRule="auto"/>
        <w:ind w:firstLine="420"/>
        <w:jc w:val="center"/>
        <w:textAlignment w:val="auto"/>
        <w:rPr>
          <w:rFonts w:ascii="宋体" w:hAnsi="宋体"/>
          <w:color w:val="auto"/>
          <w:sz w:val="24"/>
          <w:szCs w:val="32"/>
          <w:highlight w:val="none"/>
        </w:rPr>
      </w:pPr>
      <w:r>
        <w:rPr>
          <w:rFonts w:hint="eastAsia" w:ascii="宋体" w:hAnsi="宋体"/>
          <w:color w:val="auto"/>
          <w:sz w:val="24"/>
          <w:szCs w:val="32"/>
          <w:highlight w:val="none"/>
        </w:rPr>
        <w:t>声明人：（公章）</w:t>
      </w:r>
    </w:p>
    <w:p w14:paraId="252A71AD">
      <w:pPr>
        <w:keepNext w:val="0"/>
        <w:keepLines w:val="0"/>
        <w:pageBreakBefore w:val="0"/>
        <w:kinsoku/>
        <w:wordWrap/>
        <w:overflowPunct/>
        <w:topLinePunct w:val="0"/>
        <w:bidi w:val="0"/>
        <w:spacing w:line="360" w:lineRule="auto"/>
        <w:ind w:firstLine="420"/>
        <w:jc w:val="center"/>
        <w:textAlignment w:val="auto"/>
        <w:rPr>
          <w:rFonts w:ascii="宋体" w:hAnsi="宋体"/>
          <w:color w:val="auto"/>
          <w:sz w:val="24"/>
          <w:szCs w:val="32"/>
          <w:highlight w:val="none"/>
        </w:rPr>
      </w:pPr>
      <w:r>
        <w:rPr>
          <w:rFonts w:hint="eastAsia" w:ascii="宋体" w:hAnsi="宋体"/>
          <w:color w:val="auto"/>
          <w:sz w:val="24"/>
          <w:szCs w:val="32"/>
          <w:highlight w:val="none"/>
        </w:rPr>
        <w:t>日期：</w:t>
      </w:r>
      <w:r>
        <w:rPr>
          <w:rFonts w:hint="eastAsia" w:ascii="宋体" w:hAnsi="宋体"/>
          <w:color w:val="auto"/>
          <w:sz w:val="24"/>
          <w:szCs w:val="32"/>
          <w:highlight w:val="none"/>
        </w:rPr>
        <w:tab/>
      </w:r>
      <w:r>
        <w:rPr>
          <w:rFonts w:hint="eastAsia" w:ascii="宋体" w:hAnsi="宋体"/>
          <w:color w:val="auto"/>
          <w:sz w:val="24"/>
          <w:szCs w:val="32"/>
          <w:highlight w:val="none"/>
        </w:rPr>
        <w:t>年</w:t>
      </w:r>
      <w:r>
        <w:rPr>
          <w:rFonts w:hint="eastAsia" w:ascii="宋体" w:hAnsi="宋体"/>
          <w:color w:val="auto"/>
          <w:sz w:val="24"/>
          <w:szCs w:val="32"/>
          <w:highlight w:val="none"/>
        </w:rPr>
        <w:tab/>
      </w:r>
      <w:r>
        <w:rPr>
          <w:rFonts w:hint="eastAsia" w:ascii="宋体" w:hAnsi="宋体"/>
          <w:color w:val="auto"/>
          <w:sz w:val="24"/>
          <w:szCs w:val="32"/>
          <w:highlight w:val="none"/>
        </w:rPr>
        <w:t>月</w:t>
      </w:r>
      <w:r>
        <w:rPr>
          <w:rFonts w:hint="eastAsia" w:ascii="宋体" w:hAnsi="宋体"/>
          <w:color w:val="auto"/>
          <w:sz w:val="24"/>
          <w:szCs w:val="32"/>
          <w:highlight w:val="none"/>
          <w:lang w:val="en-US" w:eastAsia="zh-CN"/>
        </w:rPr>
        <w:t xml:space="preserve">  </w:t>
      </w:r>
      <w:r>
        <w:rPr>
          <w:rFonts w:hint="eastAsia" w:ascii="宋体" w:hAnsi="宋体"/>
          <w:color w:val="auto"/>
          <w:sz w:val="24"/>
          <w:szCs w:val="32"/>
          <w:highlight w:val="none"/>
        </w:rPr>
        <w:t>日</w:t>
      </w:r>
    </w:p>
    <w:p w14:paraId="3F60A4D7">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35D179C2">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7732D4EE">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51C354B5">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2395F710">
      <w:pPr>
        <w:keepNext w:val="0"/>
        <w:keepLines w:val="0"/>
        <w:pageBreakBefore w:val="0"/>
        <w:kinsoku/>
        <w:wordWrap/>
        <w:overflowPunct/>
        <w:topLinePunct w:val="0"/>
        <w:bidi w:val="0"/>
        <w:spacing w:line="360" w:lineRule="auto"/>
        <w:textAlignment w:val="auto"/>
        <w:rPr>
          <w:rFonts w:ascii="宋体" w:hAnsi="宋体"/>
          <w:color w:val="auto"/>
          <w:sz w:val="20"/>
          <w:szCs w:val="20"/>
          <w:highlight w:val="none"/>
        </w:rPr>
      </w:pPr>
    </w:p>
    <w:p w14:paraId="02FFED83">
      <w:pPr>
        <w:keepNext w:val="0"/>
        <w:keepLines w:val="0"/>
        <w:pageBreakBefore w:val="0"/>
        <w:kinsoku/>
        <w:wordWrap/>
        <w:overflowPunct/>
        <w:topLinePunct w:val="0"/>
        <w:bidi w:val="0"/>
        <w:spacing w:before="3" w:line="360" w:lineRule="auto"/>
        <w:textAlignment w:val="auto"/>
        <w:rPr>
          <w:rFonts w:ascii="宋体" w:hAnsi="宋体"/>
          <w:color w:val="auto"/>
          <w:sz w:val="17"/>
          <w:szCs w:val="17"/>
          <w:highlight w:val="none"/>
        </w:rPr>
      </w:pPr>
    </w:p>
    <w:p w14:paraId="280A23E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b/>
          <w:color w:val="auto"/>
          <w:sz w:val="28"/>
          <w:highlight w:val="none"/>
          <w:lang w:val="zh-CN"/>
        </w:rPr>
      </w:pPr>
      <w:bookmarkStart w:id="50" w:name="附件十一、_资格资信证明文件"/>
      <w:bookmarkEnd w:id="50"/>
    </w:p>
    <w:p w14:paraId="6150F85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b/>
          <w:color w:val="auto"/>
          <w:sz w:val="28"/>
          <w:highlight w:val="none"/>
          <w:lang w:val="zh-CN"/>
        </w:rPr>
      </w:pPr>
    </w:p>
    <w:p w14:paraId="4452E79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b/>
          <w:color w:val="auto"/>
          <w:sz w:val="28"/>
          <w:highlight w:val="none"/>
          <w:lang w:val="zh-CN"/>
        </w:rPr>
      </w:pPr>
    </w:p>
    <w:p w14:paraId="722ADFB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b/>
          <w:color w:val="auto"/>
          <w:sz w:val="28"/>
          <w:highlight w:val="none"/>
          <w:lang w:val="zh-CN"/>
        </w:rPr>
      </w:pPr>
    </w:p>
    <w:p w14:paraId="4FC054C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b/>
          <w:color w:val="auto"/>
          <w:sz w:val="28"/>
          <w:highlight w:val="none"/>
          <w:lang w:val="zh-CN"/>
        </w:rPr>
      </w:pPr>
    </w:p>
    <w:p w14:paraId="01EA10FA">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zh-CN"/>
        </w:rPr>
        <w:t>十、资格资信证明文件</w:t>
      </w:r>
      <w:bookmarkStart w:id="51" w:name="附件十二、项目技术说明或实施方案"/>
      <w:bookmarkEnd w:id="51"/>
    </w:p>
    <w:p w14:paraId="7DB9DB39">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p w14:paraId="436E0C37">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zh-CN"/>
        </w:rPr>
        <w:t>十一、项目技术说明或实施方案</w:t>
      </w:r>
    </w:p>
    <w:p w14:paraId="2DBBFFC7">
      <w:pPr>
        <w:keepNext w:val="0"/>
        <w:keepLines w:val="0"/>
        <w:pageBreakBefore w:val="0"/>
        <w:kinsoku/>
        <w:wordWrap/>
        <w:overflowPunct/>
        <w:topLinePunct w:val="0"/>
        <w:bidi w:val="0"/>
        <w:spacing w:line="360" w:lineRule="auto"/>
        <w:jc w:val="center"/>
        <w:textAlignment w:val="auto"/>
        <w:rPr>
          <w:rFonts w:ascii="宋体" w:hAnsi="宋体"/>
          <w:color w:val="auto"/>
          <w:highlight w:val="none"/>
        </w:rPr>
      </w:pPr>
    </w:p>
    <w:p w14:paraId="2AC6B976">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bookmarkStart w:id="52" w:name="附件十三、联合体协议及联合体授权委托书（如允许联合体）"/>
      <w:bookmarkEnd w:id="52"/>
      <w:r>
        <w:rPr>
          <w:rFonts w:hint="eastAsia" w:ascii="宋体" w:hAnsi="宋体"/>
          <w:b/>
          <w:color w:val="auto"/>
          <w:sz w:val="28"/>
          <w:highlight w:val="none"/>
          <w:lang w:val="zh-CN"/>
        </w:rPr>
        <w:t>十二、联合体协议及联合体授权委托书（如允许联合体）</w:t>
      </w:r>
      <w:bookmarkStart w:id="53" w:name="附件十四、《南京市政府采购供应商信用记录表》"/>
      <w:bookmarkEnd w:id="53"/>
    </w:p>
    <w:p w14:paraId="0C8C9AA3">
      <w:pPr>
        <w:rPr>
          <w:rFonts w:hint="eastAsia" w:ascii="宋体" w:hAnsi="宋体"/>
          <w:b/>
          <w:color w:val="auto"/>
          <w:sz w:val="28"/>
          <w:highlight w:val="none"/>
          <w:lang w:val="zh-CN"/>
        </w:rPr>
      </w:pPr>
      <w:r>
        <w:rPr>
          <w:rFonts w:hint="eastAsia" w:ascii="宋体" w:hAnsi="宋体"/>
          <w:b/>
          <w:color w:val="auto"/>
          <w:sz w:val="28"/>
          <w:highlight w:val="none"/>
          <w:lang w:val="zh-CN"/>
        </w:rPr>
        <w:br w:type="page"/>
      </w:r>
    </w:p>
    <w:p w14:paraId="32D48EAF">
      <w:pPr>
        <w:keepNext w:val="0"/>
        <w:keepLines w:val="0"/>
        <w:pageBreakBefore w:val="0"/>
        <w:kinsoku/>
        <w:wordWrap/>
        <w:overflowPunct/>
        <w:topLinePunct w:val="0"/>
        <w:autoSpaceDE w:val="0"/>
        <w:autoSpaceDN w:val="0"/>
        <w:bidi w:val="0"/>
        <w:adjustRightInd w:val="0"/>
        <w:spacing w:line="360" w:lineRule="auto"/>
        <w:jc w:val="center"/>
        <w:textAlignment w:val="auto"/>
        <w:rPr>
          <w:rFonts w:ascii="宋体" w:hAnsi="宋体"/>
          <w:b/>
          <w:color w:val="auto"/>
          <w:sz w:val="28"/>
          <w:highlight w:val="none"/>
          <w:lang w:val="zh-CN"/>
        </w:rPr>
      </w:pPr>
      <w:r>
        <w:rPr>
          <w:rFonts w:hint="eastAsia" w:ascii="宋体" w:hAnsi="宋体"/>
          <w:b/>
          <w:color w:val="auto"/>
          <w:sz w:val="28"/>
          <w:highlight w:val="none"/>
          <w:lang w:val="zh-CN"/>
        </w:rPr>
        <w:t>十三、《南京市政府采购供应商信用记录表暨信用承诺书》</w:t>
      </w:r>
    </w:p>
    <w:p w14:paraId="5E870925">
      <w:pPr>
        <w:keepNext w:val="0"/>
        <w:keepLines w:val="0"/>
        <w:pageBreakBefore w:val="0"/>
        <w:kinsoku/>
        <w:wordWrap/>
        <w:overflowPunct/>
        <w:topLinePunct w:val="0"/>
        <w:bidi w:val="0"/>
        <w:spacing w:line="360" w:lineRule="auto"/>
        <w:jc w:val="center"/>
        <w:textAlignment w:val="auto"/>
        <w:rPr>
          <w:rFonts w:ascii="宋体" w:hAnsi="宋体"/>
          <w:color w:val="auto"/>
          <w:szCs w:val="21"/>
          <w:highlight w:val="none"/>
        </w:rPr>
      </w:pPr>
      <w:r>
        <w:rPr>
          <w:rFonts w:hint="eastAsia" w:ascii="宋体" w:hAnsi="宋体"/>
          <w:color w:val="auto"/>
          <w:spacing w:val="-21"/>
          <w:kern w:val="0"/>
          <w:sz w:val="24"/>
          <w:highlight w:val="none"/>
        </w:rPr>
        <w:t>（仅为示范格式，直接填写无效，需至“南京政府采购供应商诚信档案管理系统”在线打印）</w:t>
      </w:r>
    </w:p>
    <w:p w14:paraId="4A850468">
      <w:pPr>
        <w:keepNext w:val="0"/>
        <w:keepLines w:val="0"/>
        <w:pageBreakBefore w:val="0"/>
        <w:kinsoku/>
        <w:wordWrap/>
        <w:overflowPunct/>
        <w:topLinePunct w:val="0"/>
        <w:bidi w:val="0"/>
        <w:spacing w:line="360" w:lineRule="auto"/>
        <w:ind w:left="855"/>
        <w:jc w:val="right"/>
        <w:textAlignment w:val="auto"/>
        <w:rPr>
          <w:rFonts w:ascii="宋体" w:hAnsi="宋体"/>
          <w:color w:val="auto"/>
          <w:spacing w:val="-21"/>
          <w:w w:val="110"/>
          <w:kern w:val="0"/>
          <w:sz w:val="34"/>
          <w:szCs w:val="34"/>
          <w:highlight w:val="none"/>
        </w:rPr>
      </w:pPr>
      <w:r>
        <w:rPr>
          <w:rFonts w:hint="eastAsia" w:ascii="宋体" w:hAnsi="宋体"/>
          <w:color w:val="auto"/>
          <w:spacing w:val="-21"/>
          <w:w w:val="110"/>
          <w:kern w:val="0"/>
          <w:sz w:val="28"/>
          <w:szCs w:val="34"/>
          <w:highlight w:val="none"/>
        </w:rPr>
        <w:t>年 月 日</w:t>
      </w:r>
    </w:p>
    <w:tbl>
      <w:tblPr>
        <w:tblStyle w:val="2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260"/>
        <w:gridCol w:w="1985"/>
        <w:gridCol w:w="1984"/>
      </w:tblGrid>
      <w:tr w14:paraId="6EB9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76B49E94">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r>
              <w:rPr>
                <w:rFonts w:hint="eastAsia" w:ascii="宋体" w:hAnsi="宋体"/>
                <w:color w:val="auto"/>
                <w:sz w:val="24"/>
                <w:szCs w:val="22"/>
                <w:highlight w:val="none"/>
              </w:rPr>
              <w:t>单位名称</w:t>
            </w:r>
          </w:p>
        </w:tc>
        <w:tc>
          <w:tcPr>
            <w:tcW w:w="3260" w:type="dxa"/>
            <w:vAlign w:val="center"/>
          </w:tcPr>
          <w:p w14:paraId="3C0BFA34">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p>
        </w:tc>
        <w:tc>
          <w:tcPr>
            <w:tcW w:w="1985" w:type="dxa"/>
            <w:vAlign w:val="center"/>
          </w:tcPr>
          <w:p w14:paraId="71CAB83F">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r>
              <w:rPr>
                <w:rFonts w:hint="eastAsia" w:ascii="宋体" w:hAnsi="宋体"/>
                <w:color w:val="auto"/>
                <w:szCs w:val="22"/>
                <w:highlight w:val="none"/>
              </w:rPr>
              <w:t>统一社会信用代码</w:t>
            </w:r>
          </w:p>
        </w:tc>
        <w:tc>
          <w:tcPr>
            <w:tcW w:w="1984" w:type="dxa"/>
            <w:vAlign w:val="center"/>
          </w:tcPr>
          <w:p w14:paraId="27ADB82C">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p>
        </w:tc>
      </w:tr>
      <w:tr w14:paraId="1F8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03EE0DA5">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r>
              <w:rPr>
                <w:rFonts w:hint="eastAsia" w:ascii="宋体" w:hAnsi="宋体"/>
                <w:color w:val="auto"/>
                <w:sz w:val="24"/>
                <w:szCs w:val="22"/>
                <w:highlight w:val="none"/>
              </w:rPr>
              <w:t>法定代表人</w:t>
            </w:r>
          </w:p>
        </w:tc>
        <w:tc>
          <w:tcPr>
            <w:tcW w:w="3260" w:type="dxa"/>
            <w:vAlign w:val="center"/>
          </w:tcPr>
          <w:p w14:paraId="5E72D949">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p>
        </w:tc>
        <w:tc>
          <w:tcPr>
            <w:tcW w:w="1985" w:type="dxa"/>
            <w:vAlign w:val="center"/>
          </w:tcPr>
          <w:p w14:paraId="07B33866">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r>
              <w:rPr>
                <w:rFonts w:hint="eastAsia" w:ascii="宋体" w:hAnsi="宋体"/>
                <w:color w:val="auto"/>
                <w:szCs w:val="22"/>
                <w:highlight w:val="none"/>
              </w:rPr>
              <w:t>联系人</w:t>
            </w:r>
          </w:p>
        </w:tc>
        <w:tc>
          <w:tcPr>
            <w:tcW w:w="1984" w:type="dxa"/>
            <w:vAlign w:val="center"/>
          </w:tcPr>
          <w:p w14:paraId="6BF90E34">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p>
        </w:tc>
      </w:tr>
      <w:tr w14:paraId="7E3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383AA06E">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r>
              <w:rPr>
                <w:rFonts w:hint="eastAsia" w:ascii="宋体" w:hAnsi="宋体"/>
                <w:color w:val="auto"/>
                <w:sz w:val="24"/>
                <w:szCs w:val="22"/>
                <w:highlight w:val="none"/>
              </w:rPr>
              <w:t>联系地址</w:t>
            </w:r>
          </w:p>
        </w:tc>
        <w:tc>
          <w:tcPr>
            <w:tcW w:w="3260" w:type="dxa"/>
            <w:vAlign w:val="center"/>
          </w:tcPr>
          <w:p w14:paraId="3AA04D9F">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p>
        </w:tc>
        <w:tc>
          <w:tcPr>
            <w:tcW w:w="1985" w:type="dxa"/>
            <w:vAlign w:val="center"/>
          </w:tcPr>
          <w:p w14:paraId="6F928A28">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r>
              <w:rPr>
                <w:rFonts w:hint="eastAsia" w:ascii="宋体" w:hAnsi="宋体"/>
                <w:color w:val="auto"/>
                <w:szCs w:val="22"/>
                <w:highlight w:val="none"/>
              </w:rPr>
              <w:t>联系电话</w:t>
            </w:r>
          </w:p>
        </w:tc>
        <w:tc>
          <w:tcPr>
            <w:tcW w:w="1984" w:type="dxa"/>
            <w:vAlign w:val="center"/>
          </w:tcPr>
          <w:p w14:paraId="729E63E0">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p>
        </w:tc>
      </w:tr>
      <w:tr w14:paraId="32EA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6268735D">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r>
              <w:rPr>
                <w:rFonts w:hint="eastAsia" w:ascii="宋体" w:hAnsi="宋体"/>
                <w:color w:val="auto"/>
                <w:sz w:val="24"/>
                <w:szCs w:val="22"/>
                <w:highlight w:val="none"/>
              </w:rPr>
              <w:t>信用得分</w:t>
            </w:r>
          </w:p>
        </w:tc>
        <w:tc>
          <w:tcPr>
            <w:tcW w:w="3260" w:type="dxa"/>
            <w:vAlign w:val="center"/>
          </w:tcPr>
          <w:p w14:paraId="66AD7BBA">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p>
        </w:tc>
        <w:tc>
          <w:tcPr>
            <w:tcW w:w="1985" w:type="dxa"/>
            <w:vAlign w:val="center"/>
          </w:tcPr>
          <w:p w14:paraId="111FDB10">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r>
              <w:rPr>
                <w:rFonts w:hint="eastAsia" w:ascii="宋体" w:hAnsi="宋体"/>
                <w:color w:val="auto"/>
                <w:szCs w:val="22"/>
                <w:highlight w:val="none"/>
              </w:rPr>
              <w:t>星级</w:t>
            </w:r>
          </w:p>
        </w:tc>
        <w:tc>
          <w:tcPr>
            <w:tcW w:w="1984" w:type="dxa"/>
            <w:vAlign w:val="center"/>
          </w:tcPr>
          <w:p w14:paraId="3252F844">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p>
        </w:tc>
      </w:tr>
      <w:tr w14:paraId="54AB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2269" w:type="dxa"/>
            <w:vAlign w:val="center"/>
          </w:tcPr>
          <w:p w14:paraId="70AF08E2">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r>
              <w:rPr>
                <w:rFonts w:hint="eastAsia" w:ascii="宋体" w:hAnsi="宋体"/>
                <w:color w:val="auto"/>
                <w:sz w:val="24"/>
                <w:szCs w:val="22"/>
                <w:highlight w:val="none"/>
              </w:rPr>
              <w:t>诚信档案记录情况</w:t>
            </w:r>
          </w:p>
        </w:tc>
        <w:tc>
          <w:tcPr>
            <w:tcW w:w="7229" w:type="dxa"/>
            <w:gridSpan w:val="3"/>
          </w:tcPr>
          <w:p w14:paraId="60CEB587">
            <w:pPr>
              <w:keepNext w:val="0"/>
              <w:keepLines w:val="0"/>
              <w:pageBreakBefore w:val="0"/>
              <w:kinsoku/>
              <w:wordWrap/>
              <w:overflowPunct/>
              <w:topLinePunct w:val="0"/>
              <w:bidi w:val="0"/>
              <w:spacing w:line="360" w:lineRule="auto"/>
              <w:textAlignment w:val="auto"/>
              <w:rPr>
                <w:rFonts w:ascii="宋体" w:hAnsi="宋体"/>
                <w:color w:val="auto"/>
                <w:sz w:val="24"/>
                <w:szCs w:val="22"/>
                <w:highlight w:val="none"/>
              </w:rPr>
            </w:pPr>
          </w:p>
        </w:tc>
      </w:tr>
      <w:tr w14:paraId="2238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269" w:type="dxa"/>
            <w:vAlign w:val="center"/>
          </w:tcPr>
          <w:p w14:paraId="58143AD5">
            <w:pPr>
              <w:keepNext w:val="0"/>
              <w:keepLines w:val="0"/>
              <w:pageBreakBefore w:val="0"/>
              <w:kinsoku/>
              <w:wordWrap/>
              <w:overflowPunct/>
              <w:topLinePunct w:val="0"/>
              <w:bidi w:val="0"/>
              <w:spacing w:line="360" w:lineRule="auto"/>
              <w:jc w:val="center"/>
              <w:textAlignment w:val="auto"/>
              <w:rPr>
                <w:rFonts w:ascii="宋体" w:hAnsi="宋体"/>
                <w:color w:val="auto"/>
                <w:szCs w:val="22"/>
                <w:highlight w:val="none"/>
              </w:rPr>
            </w:pPr>
            <w:r>
              <w:rPr>
                <w:rFonts w:hint="eastAsia" w:ascii="宋体" w:hAnsi="宋体"/>
                <w:color w:val="auto"/>
                <w:sz w:val="28"/>
                <w:szCs w:val="22"/>
                <w:highlight w:val="none"/>
              </w:rPr>
              <w:t>信用承诺</w:t>
            </w:r>
          </w:p>
        </w:tc>
        <w:tc>
          <w:tcPr>
            <w:tcW w:w="7229" w:type="dxa"/>
            <w:gridSpan w:val="3"/>
          </w:tcPr>
          <w:p w14:paraId="6C858CAD">
            <w:pPr>
              <w:keepNext w:val="0"/>
              <w:keepLines w:val="0"/>
              <w:pageBreakBefore w:val="0"/>
              <w:kinsoku/>
              <w:wordWrap/>
              <w:overflowPunct/>
              <w:topLinePunct w:val="0"/>
              <w:bidi w:val="0"/>
              <w:spacing w:line="360" w:lineRule="auto"/>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我公司自愿参加贵中心（公司）组织的本次采购活动，严格遵守 《中华人民政府采购法》及相关法律法规，坚守公开、公平、公正和诚实信用的原则，依法诚信经营，无条件遵守本次政府采购活动的各项规定。我们郑重承诺，本公司符合《政府采购法》 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0B1AF202">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p>
          <w:p w14:paraId="4F73A34D">
            <w:pPr>
              <w:keepNext w:val="0"/>
              <w:keepLines w:val="0"/>
              <w:pageBreakBefore w:val="0"/>
              <w:kinsoku/>
              <w:wordWrap/>
              <w:overflowPunct/>
              <w:topLinePunct w:val="0"/>
              <w:bidi w:val="0"/>
              <w:spacing w:line="360" w:lineRule="auto"/>
              <w:textAlignment w:val="auto"/>
              <w:rPr>
                <w:rFonts w:ascii="宋体" w:hAnsi="宋体"/>
                <w:color w:val="auto"/>
                <w:szCs w:val="22"/>
                <w:highlight w:val="none"/>
              </w:rPr>
            </w:pPr>
          </w:p>
          <w:p w14:paraId="37FF3C67">
            <w:pPr>
              <w:keepNext w:val="0"/>
              <w:keepLines w:val="0"/>
              <w:pageBreakBefore w:val="0"/>
              <w:kinsoku/>
              <w:wordWrap/>
              <w:overflowPunct/>
              <w:topLinePunct w:val="0"/>
              <w:bidi w:val="0"/>
              <w:spacing w:line="360" w:lineRule="auto"/>
              <w:ind w:firstLine="3570" w:firstLineChars="1700"/>
              <w:textAlignment w:val="auto"/>
              <w:rPr>
                <w:rFonts w:ascii="宋体" w:hAnsi="宋体"/>
                <w:color w:val="auto"/>
                <w:szCs w:val="22"/>
                <w:highlight w:val="none"/>
              </w:rPr>
            </w:pPr>
            <w:r>
              <w:rPr>
                <w:rFonts w:hint="eastAsia" w:ascii="宋体" w:hAnsi="宋体"/>
                <w:color w:val="auto"/>
                <w:szCs w:val="22"/>
                <w:highlight w:val="none"/>
              </w:rPr>
              <w:t xml:space="preserve">供应商名称（盖章）： </w:t>
            </w:r>
          </w:p>
          <w:p w14:paraId="1F659FC4">
            <w:pPr>
              <w:keepNext w:val="0"/>
              <w:keepLines w:val="0"/>
              <w:pageBreakBefore w:val="0"/>
              <w:kinsoku/>
              <w:wordWrap/>
              <w:overflowPunct/>
              <w:topLinePunct w:val="0"/>
              <w:bidi w:val="0"/>
              <w:spacing w:line="360" w:lineRule="auto"/>
              <w:ind w:firstLine="3570" w:firstLineChars="1700"/>
              <w:textAlignment w:val="auto"/>
              <w:rPr>
                <w:rFonts w:ascii="宋体" w:hAnsi="宋体"/>
                <w:color w:val="auto"/>
                <w:szCs w:val="22"/>
                <w:highlight w:val="none"/>
              </w:rPr>
            </w:pPr>
            <w:r>
              <w:rPr>
                <w:rFonts w:hint="eastAsia" w:ascii="宋体" w:hAnsi="宋体"/>
                <w:color w:val="auto"/>
                <w:szCs w:val="22"/>
                <w:highlight w:val="none"/>
              </w:rPr>
              <w:t xml:space="preserve">法定代表人（签字）： </w:t>
            </w:r>
          </w:p>
          <w:p w14:paraId="4560825D">
            <w:pPr>
              <w:keepNext w:val="0"/>
              <w:keepLines w:val="0"/>
              <w:pageBreakBefore w:val="0"/>
              <w:kinsoku/>
              <w:wordWrap/>
              <w:overflowPunct/>
              <w:topLinePunct w:val="0"/>
              <w:bidi w:val="0"/>
              <w:spacing w:line="360" w:lineRule="auto"/>
              <w:ind w:firstLine="4410" w:firstLineChars="2100"/>
              <w:textAlignment w:val="auto"/>
              <w:rPr>
                <w:rFonts w:ascii="宋体" w:hAnsi="宋体"/>
                <w:color w:val="auto"/>
                <w:szCs w:val="22"/>
                <w:highlight w:val="none"/>
              </w:rPr>
            </w:pPr>
            <w:r>
              <w:rPr>
                <w:rFonts w:hint="eastAsia" w:ascii="宋体" w:hAnsi="宋体"/>
                <w:color w:val="auto"/>
                <w:szCs w:val="22"/>
                <w:highlight w:val="none"/>
              </w:rPr>
              <w:t xml:space="preserve">    年    月   日</w:t>
            </w:r>
          </w:p>
        </w:tc>
      </w:tr>
    </w:tbl>
    <w:p w14:paraId="647D2A90">
      <w:pPr>
        <w:keepNext w:val="0"/>
        <w:keepLines w:val="0"/>
        <w:pageBreakBefore w:val="0"/>
        <w:kinsoku/>
        <w:wordWrap/>
        <w:overflowPunct/>
        <w:topLinePunct w:val="0"/>
        <w:bidi w:val="0"/>
        <w:spacing w:line="360" w:lineRule="auto"/>
        <w:textAlignment w:val="auto"/>
        <w:rPr>
          <w:rFonts w:ascii="宋体" w:hAnsi="宋体"/>
          <w:color w:val="auto"/>
          <w:highlight w:val="none"/>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NLe">
    <w:altName w:val="Times New Roman"/>
    <w:panose1 w:val="00000000000000000000"/>
    <w:charset w:val="00"/>
    <w:family w:val="auto"/>
    <w:pitch w:val="default"/>
    <w:sig w:usb0="00000000" w:usb1="00000000" w:usb2="00000000" w:usb3="00000000" w:csb0="00040001" w:csb1="00000000"/>
  </w:font>
  <w:font w:name=":ZL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0370">
    <w:pPr>
      <w:pStyle w:val="17"/>
      <w:jc w:val="center"/>
    </w:pPr>
    <w:r>
      <w:fldChar w:fldCharType="begin"/>
    </w:r>
    <w:r>
      <w:instrText xml:space="preserve">PAGE   \* MERGEFORMAT</w:instrText>
    </w:r>
    <w:r>
      <w:fldChar w:fldCharType="separate"/>
    </w:r>
    <w:r>
      <w:rPr>
        <w:lang w:val="zh-CN"/>
      </w:rPr>
      <w:t>7</w:t>
    </w:r>
    <w:r>
      <w:rPr>
        <w:lang w:val="zh-CN"/>
      </w:rPr>
      <w:fldChar w:fldCharType="end"/>
    </w:r>
  </w:p>
  <w:p w14:paraId="25CB9BFA">
    <w:pPr>
      <w:pStyle w:val="17"/>
    </w:pPr>
  </w:p>
  <w:p w14:paraId="0C76A2D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F5FC7"/>
    <w:multiLevelType w:val="singleLevel"/>
    <w:tmpl w:val="843F5FC7"/>
    <w:lvl w:ilvl="0" w:tentative="0">
      <w:start w:val="1"/>
      <w:numFmt w:val="decimal"/>
      <w:lvlText w:val="(%1)"/>
      <w:lvlJc w:val="left"/>
      <w:pPr>
        <w:ind w:left="425" w:hanging="425"/>
      </w:pPr>
      <w:rPr>
        <w:rFonts w:hint="default"/>
      </w:rPr>
    </w:lvl>
  </w:abstractNum>
  <w:abstractNum w:abstractNumId="1">
    <w:nsid w:val="D9BAF74E"/>
    <w:multiLevelType w:val="singleLevel"/>
    <w:tmpl w:val="D9BAF74E"/>
    <w:lvl w:ilvl="0" w:tentative="0">
      <w:start w:val="1"/>
      <w:numFmt w:val="decimal"/>
      <w:lvlText w:val="(%1)"/>
      <w:lvlJc w:val="left"/>
      <w:pPr>
        <w:ind w:left="425" w:hanging="425"/>
      </w:pPr>
      <w:rPr>
        <w:rFonts w:hint="default"/>
      </w:rPr>
    </w:lvl>
  </w:abstractNum>
  <w:abstractNum w:abstractNumId="2">
    <w:nsid w:val="3C0587B5"/>
    <w:multiLevelType w:val="singleLevel"/>
    <w:tmpl w:val="3C0587B5"/>
    <w:lvl w:ilvl="0" w:tentative="0">
      <w:start w:val="1"/>
      <w:numFmt w:val="decimal"/>
      <w:lvlText w:val="(%1)"/>
      <w:lvlJc w:val="left"/>
      <w:pPr>
        <w:ind w:left="425" w:hanging="425"/>
      </w:pPr>
      <w:rPr>
        <w:rFonts w:hint="default"/>
      </w:rPr>
    </w:lvl>
  </w:abstractNum>
  <w:abstractNum w:abstractNumId="3">
    <w:nsid w:val="41A42BAD"/>
    <w:multiLevelType w:val="singleLevel"/>
    <w:tmpl w:val="41A42BA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TJiZmYwMjEzMDc0NmIzYjI2ZGVkMDc5NzdhOTkifQ=="/>
    <w:docVar w:name="KGWebUrl" w:val="http://jszfcg.jscz.gov.cn/jszc/gateWay/joffice/office?access_token=c1c4fb67-8ad9-4172-bcfe-857dba5279f6"/>
  </w:docVars>
  <w:rsids>
    <w:rsidRoot w:val="00395022"/>
    <w:rsid w:val="00001D6B"/>
    <w:rsid w:val="0000271D"/>
    <w:rsid w:val="00010F48"/>
    <w:rsid w:val="00013115"/>
    <w:rsid w:val="00021AAA"/>
    <w:rsid w:val="00022FDA"/>
    <w:rsid w:val="0002613B"/>
    <w:rsid w:val="0002639F"/>
    <w:rsid w:val="00035DE9"/>
    <w:rsid w:val="000468BF"/>
    <w:rsid w:val="000510CD"/>
    <w:rsid w:val="00052F48"/>
    <w:rsid w:val="00065405"/>
    <w:rsid w:val="00067BC8"/>
    <w:rsid w:val="00081701"/>
    <w:rsid w:val="000A3328"/>
    <w:rsid w:val="000B1E85"/>
    <w:rsid w:val="000B3506"/>
    <w:rsid w:val="000C094B"/>
    <w:rsid w:val="000C3394"/>
    <w:rsid w:val="000F1A36"/>
    <w:rsid w:val="000F4FB7"/>
    <w:rsid w:val="00104C3A"/>
    <w:rsid w:val="00113A63"/>
    <w:rsid w:val="001238AC"/>
    <w:rsid w:val="001247C7"/>
    <w:rsid w:val="001262B0"/>
    <w:rsid w:val="0013140C"/>
    <w:rsid w:val="00133076"/>
    <w:rsid w:val="00141C41"/>
    <w:rsid w:val="00151A4C"/>
    <w:rsid w:val="00152923"/>
    <w:rsid w:val="00154857"/>
    <w:rsid w:val="00161B87"/>
    <w:rsid w:val="00164FB2"/>
    <w:rsid w:val="00167D15"/>
    <w:rsid w:val="001715E1"/>
    <w:rsid w:val="00176967"/>
    <w:rsid w:val="00181E89"/>
    <w:rsid w:val="00183D8A"/>
    <w:rsid w:val="001936A0"/>
    <w:rsid w:val="00196487"/>
    <w:rsid w:val="00196E11"/>
    <w:rsid w:val="001A10B3"/>
    <w:rsid w:val="001A3DDE"/>
    <w:rsid w:val="001B0697"/>
    <w:rsid w:val="001B19AA"/>
    <w:rsid w:val="001B46C9"/>
    <w:rsid w:val="001B7894"/>
    <w:rsid w:val="001D1656"/>
    <w:rsid w:val="001D72EB"/>
    <w:rsid w:val="001E10C1"/>
    <w:rsid w:val="001E7540"/>
    <w:rsid w:val="001F2E20"/>
    <w:rsid w:val="001F3F3F"/>
    <w:rsid w:val="002030D5"/>
    <w:rsid w:val="00215E39"/>
    <w:rsid w:val="00221A55"/>
    <w:rsid w:val="00221CF2"/>
    <w:rsid w:val="00224E93"/>
    <w:rsid w:val="00227D3C"/>
    <w:rsid w:val="002542C3"/>
    <w:rsid w:val="00263304"/>
    <w:rsid w:val="002638B8"/>
    <w:rsid w:val="00265FEE"/>
    <w:rsid w:val="0027247E"/>
    <w:rsid w:val="00275152"/>
    <w:rsid w:val="00277855"/>
    <w:rsid w:val="00294D54"/>
    <w:rsid w:val="002A3527"/>
    <w:rsid w:val="002A43EF"/>
    <w:rsid w:val="002A691A"/>
    <w:rsid w:val="002B5511"/>
    <w:rsid w:val="002B5BFB"/>
    <w:rsid w:val="002C4BBE"/>
    <w:rsid w:val="002C4CD5"/>
    <w:rsid w:val="002D0F68"/>
    <w:rsid w:val="002D653B"/>
    <w:rsid w:val="002D7291"/>
    <w:rsid w:val="002E1B71"/>
    <w:rsid w:val="002E3A89"/>
    <w:rsid w:val="002E5267"/>
    <w:rsid w:val="002F054D"/>
    <w:rsid w:val="002F4B57"/>
    <w:rsid w:val="002F54CD"/>
    <w:rsid w:val="002F5D50"/>
    <w:rsid w:val="002F746F"/>
    <w:rsid w:val="00300821"/>
    <w:rsid w:val="00320BC0"/>
    <w:rsid w:val="003234A2"/>
    <w:rsid w:val="00323C42"/>
    <w:rsid w:val="00336FF7"/>
    <w:rsid w:val="00341F34"/>
    <w:rsid w:val="00344914"/>
    <w:rsid w:val="00355453"/>
    <w:rsid w:val="00355796"/>
    <w:rsid w:val="00356DA0"/>
    <w:rsid w:val="0037066A"/>
    <w:rsid w:val="00371262"/>
    <w:rsid w:val="00371BC6"/>
    <w:rsid w:val="00374E18"/>
    <w:rsid w:val="003776FF"/>
    <w:rsid w:val="00380A64"/>
    <w:rsid w:val="00385166"/>
    <w:rsid w:val="00394BF6"/>
    <w:rsid w:val="00395022"/>
    <w:rsid w:val="003A24C6"/>
    <w:rsid w:val="003A5B6F"/>
    <w:rsid w:val="003B6E3C"/>
    <w:rsid w:val="003B78A2"/>
    <w:rsid w:val="003B7F23"/>
    <w:rsid w:val="003C0613"/>
    <w:rsid w:val="003C0AA9"/>
    <w:rsid w:val="003C2FC5"/>
    <w:rsid w:val="003C5A41"/>
    <w:rsid w:val="003E196F"/>
    <w:rsid w:val="003E3889"/>
    <w:rsid w:val="003E38A2"/>
    <w:rsid w:val="003E4FF1"/>
    <w:rsid w:val="003F43F5"/>
    <w:rsid w:val="0040560B"/>
    <w:rsid w:val="00405A2E"/>
    <w:rsid w:val="004157C2"/>
    <w:rsid w:val="00420572"/>
    <w:rsid w:val="00425544"/>
    <w:rsid w:val="00457339"/>
    <w:rsid w:val="0046289A"/>
    <w:rsid w:val="00465AF1"/>
    <w:rsid w:val="0047260D"/>
    <w:rsid w:val="0047296E"/>
    <w:rsid w:val="004760B8"/>
    <w:rsid w:val="00476B73"/>
    <w:rsid w:val="00484330"/>
    <w:rsid w:val="00484427"/>
    <w:rsid w:val="00485FDF"/>
    <w:rsid w:val="00496DDB"/>
    <w:rsid w:val="004973B5"/>
    <w:rsid w:val="004976D7"/>
    <w:rsid w:val="004C724E"/>
    <w:rsid w:val="004D7A75"/>
    <w:rsid w:val="004E11A3"/>
    <w:rsid w:val="004E23B7"/>
    <w:rsid w:val="004E4024"/>
    <w:rsid w:val="004E4AF5"/>
    <w:rsid w:val="004E50BC"/>
    <w:rsid w:val="004F23A1"/>
    <w:rsid w:val="004F348A"/>
    <w:rsid w:val="004F4FBB"/>
    <w:rsid w:val="00504395"/>
    <w:rsid w:val="0050660B"/>
    <w:rsid w:val="0052422E"/>
    <w:rsid w:val="0052592B"/>
    <w:rsid w:val="0052789C"/>
    <w:rsid w:val="00531616"/>
    <w:rsid w:val="00536D48"/>
    <w:rsid w:val="00540520"/>
    <w:rsid w:val="00544757"/>
    <w:rsid w:val="00570B47"/>
    <w:rsid w:val="00572B8C"/>
    <w:rsid w:val="00572C3F"/>
    <w:rsid w:val="0057318C"/>
    <w:rsid w:val="0057727F"/>
    <w:rsid w:val="00587C0A"/>
    <w:rsid w:val="005922E2"/>
    <w:rsid w:val="00593892"/>
    <w:rsid w:val="00596B75"/>
    <w:rsid w:val="005C701C"/>
    <w:rsid w:val="005D1096"/>
    <w:rsid w:val="005D2073"/>
    <w:rsid w:val="005E3C5C"/>
    <w:rsid w:val="005E7B1E"/>
    <w:rsid w:val="005F02E2"/>
    <w:rsid w:val="005F5830"/>
    <w:rsid w:val="006203AA"/>
    <w:rsid w:val="00625356"/>
    <w:rsid w:val="00652BBB"/>
    <w:rsid w:val="006635E4"/>
    <w:rsid w:val="00671D47"/>
    <w:rsid w:val="00692B4D"/>
    <w:rsid w:val="0069325C"/>
    <w:rsid w:val="00695149"/>
    <w:rsid w:val="006A6E0A"/>
    <w:rsid w:val="006A7E5D"/>
    <w:rsid w:val="006B5441"/>
    <w:rsid w:val="006D1109"/>
    <w:rsid w:val="006D3493"/>
    <w:rsid w:val="006D4166"/>
    <w:rsid w:val="006E33D7"/>
    <w:rsid w:val="006E44CE"/>
    <w:rsid w:val="00707237"/>
    <w:rsid w:val="00712FE9"/>
    <w:rsid w:val="0071302D"/>
    <w:rsid w:val="00727221"/>
    <w:rsid w:val="00731513"/>
    <w:rsid w:val="007317A3"/>
    <w:rsid w:val="00737047"/>
    <w:rsid w:val="00737347"/>
    <w:rsid w:val="0074281C"/>
    <w:rsid w:val="0074424D"/>
    <w:rsid w:val="007443C6"/>
    <w:rsid w:val="00751DF0"/>
    <w:rsid w:val="00762D71"/>
    <w:rsid w:val="00774AA9"/>
    <w:rsid w:val="00792ED1"/>
    <w:rsid w:val="00794480"/>
    <w:rsid w:val="007946CC"/>
    <w:rsid w:val="00796E64"/>
    <w:rsid w:val="00797E38"/>
    <w:rsid w:val="00797FF1"/>
    <w:rsid w:val="007A0AE3"/>
    <w:rsid w:val="007A1CBB"/>
    <w:rsid w:val="007B0C10"/>
    <w:rsid w:val="007B66C8"/>
    <w:rsid w:val="007C501D"/>
    <w:rsid w:val="007C7C71"/>
    <w:rsid w:val="007D1D71"/>
    <w:rsid w:val="007E5B32"/>
    <w:rsid w:val="007F0175"/>
    <w:rsid w:val="007F03E4"/>
    <w:rsid w:val="007F220A"/>
    <w:rsid w:val="007F6CF7"/>
    <w:rsid w:val="0080545F"/>
    <w:rsid w:val="00807950"/>
    <w:rsid w:val="00816301"/>
    <w:rsid w:val="00823DA9"/>
    <w:rsid w:val="00831ADE"/>
    <w:rsid w:val="008346F7"/>
    <w:rsid w:val="0083737B"/>
    <w:rsid w:val="00841D73"/>
    <w:rsid w:val="0086509B"/>
    <w:rsid w:val="00867295"/>
    <w:rsid w:val="00876885"/>
    <w:rsid w:val="00884190"/>
    <w:rsid w:val="00897065"/>
    <w:rsid w:val="008A04BB"/>
    <w:rsid w:val="008A54FE"/>
    <w:rsid w:val="008B3B17"/>
    <w:rsid w:val="008B7B60"/>
    <w:rsid w:val="008C137F"/>
    <w:rsid w:val="008D019C"/>
    <w:rsid w:val="008D3E15"/>
    <w:rsid w:val="008E21F8"/>
    <w:rsid w:val="008E58C0"/>
    <w:rsid w:val="0090569C"/>
    <w:rsid w:val="009219D9"/>
    <w:rsid w:val="0092293F"/>
    <w:rsid w:val="00923E89"/>
    <w:rsid w:val="009311C5"/>
    <w:rsid w:val="00936E44"/>
    <w:rsid w:val="00953C79"/>
    <w:rsid w:val="009548FE"/>
    <w:rsid w:val="00955E04"/>
    <w:rsid w:val="00956F34"/>
    <w:rsid w:val="00970B5A"/>
    <w:rsid w:val="0098608A"/>
    <w:rsid w:val="00992D41"/>
    <w:rsid w:val="00993CC4"/>
    <w:rsid w:val="009946AD"/>
    <w:rsid w:val="00995F4C"/>
    <w:rsid w:val="009A40CA"/>
    <w:rsid w:val="009A700C"/>
    <w:rsid w:val="009B2992"/>
    <w:rsid w:val="009B5ADE"/>
    <w:rsid w:val="009B665A"/>
    <w:rsid w:val="009C2B7E"/>
    <w:rsid w:val="009C2E3C"/>
    <w:rsid w:val="009C528E"/>
    <w:rsid w:val="009D67D2"/>
    <w:rsid w:val="009E384C"/>
    <w:rsid w:val="009E5FEC"/>
    <w:rsid w:val="009F0CE4"/>
    <w:rsid w:val="00A10E6E"/>
    <w:rsid w:val="00A1176B"/>
    <w:rsid w:val="00A127E2"/>
    <w:rsid w:val="00A1754A"/>
    <w:rsid w:val="00A33E78"/>
    <w:rsid w:val="00A45C8B"/>
    <w:rsid w:val="00A50B3C"/>
    <w:rsid w:val="00A510ED"/>
    <w:rsid w:val="00A54F77"/>
    <w:rsid w:val="00A65077"/>
    <w:rsid w:val="00A8007D"/>
    <w:rsid w:val="00AA5D78"/>
    <w:rsid w:val="00AB6416"/>
    <w:rsid w:val="00AC30A7"/>
    <w:rsid w:val="00AC3CA0"/>
    <w:rsid w:val="00AC68BF"/>
    <w:rsid w:val="00AD380D"/>
    <w:rsid w:val="00AE164C"/>
    <w:rsid w:val="00AF5901"/>
    <w:rsid w:val="00AF5F39"/>
    <w:rsid w:val="00B02191"/>
    <w:rsid w:val="00B02F67"/>
    <w:rsid w:val="00B033E3"/>
    <w:rsid w:val="00B06805"/>
    <w:rsid w:val="00B137BD"/>
    <w:rsid w:val="00B218F1"/>
    <w:rsid w:val="00B3003D"/>
    <w:rsid w:val="00B3096B"/>
    <w:rsid w:val="00B31482"/>
    <w:rsid w:val="00B35CDC"/>
    <w:rsid w:val="00B40686"/>
    <w:rsid w:val="00B53584"/>
    <w:rsid w:val="00B54DBC"/>
    <w:rsid w:val="00B56AE2"/>
    <w:rsid w:val="00B66CEA"/>
    <w:rsid w:val="00B76F7A"/>
    <w:rsid w:val="00B81FA1"/>
    <w:rsid w:val="00BA4882"/>
    <w:rsid w:val="00BA7BE1"/>
    <w:rsid w:val="00BB3280"/>
    <w:rsid w:val="00BB46CE"/>
    <w:rsid w:val="00BD0621"/>
    <w:rsid w:val="00BE0FED"/>
    <w:rsid w:val="00BE40B1"/>
    <w:rsid w:val="00BE49FF"/>
    <w:rsid w:val="00C01AD4"/>
    <w:rsid w:val="00C039D3"/>
    <w:rsid w:val="00C07EEE"/>
    <w:rsid w:val="00C1011C"/>
    <w:rsid w:val="00C144ED"/>
    <w:rsid w:val="00C157BD"/>
    <w:rsid w:val="00C24AA7"/>
    <w:rsid w:val="00C33EC6"/>
    <w:rsid w:val="00C37526"/>
    <w:rsid w:val="00C42806"/>
    <w:rsid w:val="00C440E5"/>
    <w:rsid w:val="00C7030B"/>
    <w:rsid w:val="00C77AB9"/>
    <w:rsid w:val="00C80EE5"/>
    <w:rsid w:val="00C83732"/>
    <w:rsid w:val="00C83D60"/>
    <w:rsid w:val="00C85621"/>
    <w:rsid w:val="00C93F9B"/>
    <w:rsid w:val="00CA21AC"/>
    <w:rsid w:val="00CA6D27"/>
    <w:rsid w:val="00CB2FD1"/>
    <w:rsid w:val="00CB7F92"/>
    <w:rsid w:val="00CD0691"/>
    <w:rsid w:val="00CD66F8"/>
    <w:rsid w:val="00CE3210"/>
    <w:rsid w:val="00CE6CDD"/>
    <w:rsid w:val="00CF52E9"/>
    <w:rsid w:val="00D041B2"/>
    <w:rsid w:val="00D0798E"/>
    <w:rsid w:val="00D107F8"/>
    <w:rsid w:val="00D14FC7"/>
    <w:rsid w:val="00D212DB"/>
    <w:rsid w:val="00D26FE4"/>
    <w:rsid w:val="00D433B0"/>
    <w:rsid w:val="00D53E7B"/>
    <w:rsid w:val="00D7309A"/>
    <w:rsid w:val="00D75B12"/>
    <w:rsid w:val="00D77031"/>
    <w:rsid w:val="00D77C2C"/>
    <w:rsid w:val="00D8035B"/>
    <w:rsid w:val="00D867AB"/>
    <w:rsid w:val="00D93BB6"/>
    <w:rsid w:val="00D94A5D"/>
    <w:rsid w:val="00DA36FC"/>
    <w:rsid w:val="00DA548F"/>
    <w:rsid w:val="00DB363B"/>
    <w:rsid w:val="00DB50D3"/>
    <w:rsid w:val="00DD3987"/>
    <w:rsid w:val="00DD7C7C"/>
    <w:rsid w:val="00DE05DF"/>
    <w:rsid w:val="00DE46EB"/>
    <w:rsid w:val="00DE5478"/>
    <w:rsid w:val="00DF7B20"/>
    <w:rsid w:val="00E1162E"/>
    <w:rsid w:val="00E23B1E"/>
    <w:rsid w:val="00E268B6"/>
    <w:rsid w:val="00E277E9"/>
    <w:rsid w:val="00E36CD4"/>
    <w:rsid w:val="00E41E85"/>
    <w:rsid w:val="00E46476"/>
    <w:rsid w:val="00E47458"/>
    <w:rsid w:val="00E51D48"/>
    <w:rsid w:val="00E55110"/>
    <w:rsid w:val="00E609A2"/>
    <w:rsid w:val="00E61BAF"/>
    <w:rsid w:val="00E6473B"/>
    <w:rsid w:val="00E67F4C"/>
    <w:rsid w:val="00E82426"/>
    <w:rsid w:val="00E9533F"/>
    <w:rsid w:val="00EA7DE0"/>
    <w:rsid w:val="00EB14C4"/>
    <w:rsid w:val="00EB304F"/>
    <w:rsid w:val="00EB3C64"/>
    <w:rsid w:val="00EC2957"/>
    <w:rsid w:val="00EC2A67"/>
    <w:rsid w:val="00EE1882"/>
    <w:rsid w:val="00F02A91"/>
    <w:rsid w:val="00F02C4D"/>
    <w:rsid w:val="00F04459"/>
    <w:rsid w:val="00F059F5"/>
    <w:rsid w:val="00F245BB"/>
    <w:rsid w:val="00F43EA3"/>
    <w:rsid w:val="00F44BFB"/>
    <w:rsid w:val="00F47F74"/>
    <w:rsid w:val="00F51309"/>
    <w:rsid w:val="00F5670A"/>
    <w:rsid w:val="00F63088"/>
    <w:rsid w:val="00F641ED"/>
    <w:rsid w:val="00F6699C"/>
    <w:rsid w:val="00F70FC2"/>
    <w:rsid w:val="00F72547"/>
    <w:rsid w:val="00F80220"/>
    <w:rsid w:val="00F82642"/>
    <w:rsid w:val="00F829F7"/>
    <w:rsid w:val="00F91FCE"/>
    <w:rsid w:val="00F96065"/>
    <w:rsid w:val="00FB1711"/>
    <w:rsid w:val="00FC2F9E"/>
    <w:rsid w:val="00FD1171"/>
    <w:rsid w:val="00FD2CF0"/>
    <w:rsid w:val="00FF155D"/>
    <w:rsid w:val="00FF25C3"/>
    <w:rsid w:val="00FF312E"/>
    <w:rsid w:val="04441E2E"/>
    <w:rsid w:val="046E3B42"/>
    <w:rsid w:val="04850275"/>
    <w:rsid w:val="04B20E6F"/>
    <w:rsid w:val="04C738AC"/>
    <w:rsid w:val="062D71EF"/>
    <w:rsid w:val="06A0494E"/>
    <w:rsid w:val="081C4913"/>
    <w:rsid w:val="0ADE6149"/>
    <w:rsid w:val="0B9510F4"/>
    <w:rsid w:val="0BED0F30"/>
    <w:rsid w:val="0C272216"/>
    <w:rsid w:val="0C6B26C0"/>
    <w:rsid w:val="0CEA283D"/>
    <w:rsid w:val="0DEF7A0D"/>
    <w:rsid w:val="0E060087"/>
    <w:rsid w:val="0E7A0B5A"/>
    <w:rsid w:val="0F611154"/>
    <w:rsid w:val="108C6F6A"/>
    <w:rsid w:val="11A9269F"/>
    <w:rsid w:val="122412F1"/>
    <w:rsid w:val="13586C56"/>
    <w:rsid w:val="13900717"/>
    <w:rsid w:val="15AA6A49"/>
    <w:rsid w:val="17152233"/>
    <w:rsid w:val="182018ED"/>
    <w:rsid w:val="183105E3"/>
    <w:rsid w:val="1B0F0922"/>
    <w:rsid w:val="1BBA2374"/>
    <w:rsid w:val="1C497DA3"/>
    <w:rsid w:val="1E6B2A02"/>
    <w:rsid w:val="204C6109"/>
    <w:rsid w:val="205A245C"/>
    <w:rsid w:val="20AA6855"/>
    <w:rsid w:val="213D1C09"/>
    <w:rsid w:val="2266300A"/>
    <w:rsid w:val="22C04851"/>
    <w:rsid w:val="23502079"/>
    <w:rsid w:val="243766C2"/>
    <w:rsid w:val="251B70ED"/>
    <w:rsid w:val="26D13C11"/>
    <w:rsid w:val="27AC5EFA"/>
    <w:rsid w:val="2971038C"/>
    <w:rsid w:val="2ABC34C5"/>
    <w:rsid w:val="2C0E683B"/>
    <w:rsid w:val="2C3016CB"/>
    <w:rsid w:val="2C464F97"/>
    <w:rsid w:val="2CC94FF9"/>
    <w:rsid w:val="2DA71974"/>
    <w:rsid w:val="2F45680A"/>
    <w:rsid w:val="2FDB147C"/>
    <w:rsid w:val="2FF975F4"/>
    <w:rsid w:val="30045DA6"/>
    <w:rsid w:val="30F93072"/>
    <w:rsid w:val="321510B6"/>
    <w:rsid w:val="33E81C0C"/>
    <w:rsid w:val="3493476B"/>
    <w:rsid w:val="362A5FE2"/>
    <w:rsid w:val="37BB5E2D"/>
    <w:rsid w:val="382746D6"/>
    <w:rsid w:val="387C0200"/>
    <w:rsid w:val="38D155B2"/>
    <w:rsid w:val="38E42B66"/>
    <w:rsid w:val="39CD0B3A"/>
    <w:rsid w:val="3C8673C4"/>
    <w:rsid w:val="3C9123B0"/>
    <w:rsid w:val="3CCA2970"/>
    <w:rsid w:val="3E5F3C1F"/>
    <w:rsid w:val="3F60315F"/>
    <w:rsid w:val="40770789"/>
    <w:rsid w:val="408B256E"/>
    <w:rsid w:val="40AD420F"/>
    <w:rsid w:val="40C77C97"/>
    <w:rsid w:val="41532274"/>
    <w:rsid w:val="41886A2A"/>
    <w:rsid w:val="42C96C1E"/>
    <w:rsid w:val="43664E65"/>
    <w:rsid w:val="436A2168"/>
    <w:rsid w:val="441F3676"/>
    <w:rsid w:val="44811D9C"/>
    <w:rsid w:val="45797855"/>
    <w:rsid w:val="469C1DB0"/>
    <w:rsid w:val="48A81372"/>
    <w:rsid w:val="4B35377F"/>
    <w:rsid w:val="4BF722AF"/>
    <w:rsid w:val="4CBF3D00"/>
    <w:rsid w:val="4CCF230B"/>
    <w:rsid w:val="4D10183F"/>
    <w:rsid w:val="4D7D31BB"/>
    <w:rsid w:val="4DA41DF9"/>
    <w:rsid w:val="4F9B508F"/>
    <w:rsid w:val="53041617"/>
    <w:rsid w:val="54882B71"/>
    <w:rsid w:val="571123FF"/>
    <w:rsid w:val="57B91294"/>
    <w:rsid w:val="57DD1426"/>
    <w:rsid w:val="584B284F"/>
    <w:rsid w:val="58B101BD"/>
    <w:rsid w:val="5AF42FD2"/>
    <w:rsid w:val="5AF96A82"/>
    <w:rsid w:val="5BC76675"/>
    <w:rsid w:val="5CA00681"/>
    <w:rsid w:val="5D746389"/>
    <w:rsid w:val="5EB153BA"/>
    <w:rsid w:val="60FE1334"/>
    <w:rsid w:val="61390342"/>
    <w:rsid w:val="63266032"/>
    <w:rsid w:val="638F37FC"/>
    <w:rsid w:val="652C3B9D"/>
    <w:rsid w:val="653F727C"/>
    <w:rsid w:val="65C15EE3"/>
    <w:rsid w:val="65F10FAC"/>
    <w:rsid w:val="661D4897"/>
    <w:rsid w:val="67036F33"/>
    <w:rsid w:val="682545EE"/>
    <w:rsid w:val="68AA4AFC"/>
    <w:rsid w:val="68F50E71"/>
    <w:rsid w:val="68FB11F8"/>
    <w:rsid w:val="6AC73EDE"/>
    <w:rsid w:val="6C982AF6"/>
    <w:rsid w:val="709B701C"/>
    <w:rsid w:val="751B4C2F"/>
    <w:rsid w:val="75A02FF1"/>
    <w:rsid w:val="76DF78AA"/>
    <w:rsid w:val="770F1364"/>
    <w:rsid w:val="7753351B"/>
    <w:rsid w:val="79814731"/>
    <w:rsid w:val="7A7C31D8"/>
    <w:rsid w:val="7C42265A"/>
    <w:rsid w:val="7CFA5550"/>
    <w:rsid w:val="7D812B1D"/>
    <w:rsid w:val="7E27189B"/>
    <w:rsid w:val="7EE10B64"/>
    <w:rsid w:val="7F370CC2"/>
    <w:rsid w:val="7FFB0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1"/>
    <w:pPr>
      <w:outlineLvl w:val="0"/>
    </w:pPr>
    <w:rPr>
      <w:rFonts w:ascii="宋体" w:hAnsi="宋体"/>
      <w:b/>
      <w:bCs/>
      <w:sz w:val="44"/>
      <w:szCs w:val="44"/>
    </w:rPr>
  </w:style>
  <w:style w:type="paragraph" w:styleId="3">
    <w:name w:val="heading 2"/>
    <w:basedOn w:val="1"/>
    <w:next w:val="1"/>
    <w:qFormat/>
    <w:uiPriority w:val="0"/>
    <w:pPr>
      <w:spacing w:before="100" w:beforeAutospacing="1" w:after="100" w:afterAutospacing="1"/>
      <w:outlineLvl w:val="1"/>
    </w:pPr>
    <w:rPr>
      <w:rFonts w:ascii="宋体"/>
      <w:b/>
      <w:kern w:val="0"/>
      <w:sz w:val="36"/>
      <w:szCs w:val="36"/>
    </w:rPr>
  </w:style>
  <w:style w:type="paragraph" w:styleId="4">
    <w:name w:val="heading 3"/>
    <w:basedOn w:val="1"/>
    <w:next w:val="1"/>
    <w:qFormat/>
    <w:uiPriority w:val="1"/>
    <w:pPr>
      <w:outlineLvl w:val="2"/>
    </w:pPr>
    <w:rPr>
      <w:rFonts w:ascii="宋体" w:hAnsi="宋体"/>
      <w:b/>
      <w:bCs/>
      <w:sz w:val="36"/>
      <w:szCs w:val="36"/>
    </w:rPr>
  </w:style>
  <w:style w:type="paragraph" w:styleId="5">
    <w:name w:val="heading 4"/>
    <w:basedOn w:val="1"/>
    <w:next w:val="1"/>
    <w:qFormat/>
    <w:uiPriority w:val="0"/>
    <w:pPr>
      <w:keepNext/>
      <w:keepLines/>
      <w:spacing w:before="120" w:after="120"/>
      <w:outlineLvl w:val="3"/>
    </w:pPr>
    <w:rPr>
      <w:rFonts w:ascii="Arial" w:hAnsi="Arial" w:eastAsia="黑体"/>
      <w:b/>
      <w:sz w:val="28"/>
    </w:rPr>
  </w:style>
  <w:style w:type="paragraph" w:styleId="6">
    <w:name w:val="heading 5"/>
    <w:basedOn w:val="1"/>
    <w:next w:val="1"/>
    <w:qFormat/>
    <w:uiPriority w:val="1"/>
    <w:pPr>
      <w:ind w:left="998"/>
      <w:outlineLvl w:val="4"/>
    </w:pPr>
    <w:rPr>
      <w:rFonts w:ascii="黑体" w:hAnsi="黑体" w:eastAsia="黑体"/>
      <w:sz w:val="28"/>
      <w:szCs w:val="28"/>
    </w:rPr>
  </w:style>
  <w:style w:type="paragraph" w:styleId="7">
    <w:name w:val="heading 6"/>
    <w:basedOn w:val="1"/>
    <w:next w:val="1"/>
    <w:qFormat/>
    <w:uiPriority w:val="1"/>
    <w:pPr>
      <w:ind w:left="537"/>
      <w:outlineLvl w:val="5"/>
    </w:pPr>
    <w:rPr>
      <w:rFonts w:ascii="宋体" w:hAnsi="宋体"/>
      <w:b/>
      <w:bCs/>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spacing w:after="120"/>
      <w:ind w:firstLine="420"/>
    </w:pPr>
  </w:style>
  <w:style w:type="paragraph" w:styleId="9">
    <w:name w:val="annotation text"/>
    <w:basedOn w:val="1"/>
    <w:link w:val="45"/>
    <w:qFormat/>
    <w:uiPriority w:val="0"/>
    <w:pPr>
      <w:jc w:val="left"/>
    </w:pPr>
    <w:rPr>
      <w:szCs w:val="20"/>
    </w:rPr>
  </w:style>
  <w:style w:type="paragraph" w:styleId="10">
    <w:name w:val="Body Text"/>
    <w:basedOn w:val="1"/>
    <w:qFormat/>
    <w:uiPriority w:val="1"/>
    <w:pPr>
      <w:spacing w:before="159"/>
      <w:ind w:left="117"/>
    </w:pPr>
    <w:rPr>
      <w:rFonts w:ascii="宋体" w:hAnsi="宋体"/>
      <w:szCs w:val="21"/>
    </w:rPr>
  </w:style>
  <w:style w:type="paragraph" w:styleId="11">
    <w:name w:val="Body Text Indent"/>
    <w:basedOn w:val="1"/>
    <w:next w:val="12"/>
    <w:qFormat/>
    <w:uiPriority w:val="0"/>
    <w:rPr>
      <w:rFonts w:ascii="楷体_GB2312" w:eastAsia="楷体_GB2312"/>
      <w:sz w:val="32"/>
      <w:szCs w:val="20"/>
    </w:rPr>
  </w:style>
  <w:style w:type="paragraph" w:styleId="12">
    <w:name w:val="envelope return"/>
    <w:basedOn w:val="1"/>
    <w:autoRedefine/>
    <w:unhideWhenUsed/>
    <w:qFormat/>
    <w:uiPriority w:val="99"/>
    <w:rPr>
      <w:rFonts w:ascii="Cambria" w:hAnsi="Cambria" w:cs="Times New Roman"/>
    </w:rPr>
  </w:style>
  <w:style w:type="paragraph" w:styleId="13">
    <w:name w:val="index 4"/>
    <w:basedOn w:val="1"/>
    <w:next w:val="1"/>
    <w:qFormat/>
    <w:uiPriority w:val="0"/>
    <w:pPr>
      <w:ind w:left="600" w:leftChars="600"/>
    </w:pPr>
  </w:style>
  <w:style w:type="paragraph" w:styleId="14">
    <w:name w:val="toc 3"/>
    <w:basedOn w:val="1"/>
    <w:next w:val="1"/>
    <w:autoRedefine/>
    <w:qFormat/>
    <w:uiPriority w:val="39"/>
    <w:pPr>
      <w:ind w:left="840" w:leftChars="400"/>
    </w:pPr>
  </w:style>
  <w:style w:type="paragraph" w:styleId="15">
    <w:name w:val="Plain Text"/>
    <w:basedOn w:val="1"/>
    <w:qFormat/>
    <w:uiPriority w:val="99"/>
    <w:rPr>
      <w:rFonts w:ascii="宋体" w:hAnsi="Courier New"/>
    </w:rPr>
  </w:style>
  <w:style w:type="paragraph" w:styleId="16">
    <w:name w:val="Balloon Text"/>
    <w:basedOn w:val="1"/>
    <w:link w:val="48"/>
    <w:autoRedefine/>
    <w:qFormat/>
    <w:uiPriority w:val="0"/>
    <w:rPr>
      <w:sz w:val="18"/>
      <w:szCs w:val="18"/>
    </w:rPr>
  </w:style>
  <w:style w:type="paragraph" w:styleId="17">
    <w:name w:val="footer"/>
    <w:basedOn w:val="1"/>
    <w:link w:val="50"/>
    <w:autoRedefine/>
    <w:qFormat/>
    <w:uiPriority w:val="99"/>
    <w:pPr>
      <w:tabs>
        <w:tab w:val="center" w:pos="4153"/>
        <w:tab w:val="right" w:pos="8306"/>
      </w:tabs>
      <w:snapToGrid w:val="0"/>
      <w:jc w:val="left"/>
    </w:pPr>
    <w:rPr>
      <w:kern w:val="0"/>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120" w:after="120"/>
      <w:jc w:val="left"/>
    </w:pPr>
    <w:rPr>
      <w:b/>
      <w:caps/>
      <w:sz w:val="20"/>
    </w:rPr>
  </w:style>
  <w:style w:type="paragraph" w:styleId="20">
    <w:name w:val="Subtitle"/>
    <w:basedOn w:val="1"/>
    <w:next w:val="1"/>
    <w:autoRedefine/>
    <w:qFormat/>
    <w:uiPriority w:val="0"/>
    <w:pPr>
      <w:spacing w:line="560" w:lineRule="exact"/>
      <w:ind w:firstLine="200" w:firstLineChars="200"/>
      <w:outlineLvl w:val="1"/>
    </w:pPr>
    <w:rPr>
      <w:rFonts w:ascii="Cambria" w:hAnsi="Cambria"/>
      <w:b/>
      <w:bCs/>
      <w:color w:val="000000"/>
      <w:kern w:val="28"/>
      <w:sz w:val="24"/>
      <w:szCs w:val="32"/>
    </w:rPr>
  </w:style>
  <w:style w:type="paragraph" w:styleId="21">
    <w:name w:val="Normal (Web)"/>
    <w:basedOn w:val="1"/>
    <w:autoRedefine/>
    <w:qFormat/>
    <w:uiPriority w:val="0"/>
    <w:pPr>
      <w:widowControl/>
      <w:jc w:val="left"/>
    </w:pPr>
    <w:rPr>
      <w:rFonts w:ascii="Times New Roman" w:hAnsi="Times New Roman"/>
      <w:kern w:val="0"/>
      <w:sz w:val="24"/>
    </w:rPr>
  </w:style>
  <w:style w:type="paragraph" w:styleId="22">
    <w:name w:val="annotation subject"/>
    <w:basedOn w:val="9"/>
    <w:next w:val="9"/>
    <w:link w:val="46"/>
    <w:autoRedefine/>
    <w:qFormat/>
    <w:uiPriority w:val="0"/>
    <w:rPr>
      <w:b/>
      <w:bCs/>
      <w:szCs w:val="24"/>
    </w:rPr>
  </w:style>
  <w:style w:type="paragraph" w:styleId="23">
    <w:name w:val="Body Text First Indent 2"/>
    <w:basedOn w:val="11"/>
    <w:next w:val="1"/>
    <w:autoRedefine/>
    <w:semiHidden/>
    <w:unhideWhenUsed/>
    <w:qFormat/>
    <w:uiPriority w:val="99"/>
    <w:pPr>
      <w:ind w:firstLine="42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Emphasis"/>
    <w:basedOn w:val="26"/>
    <w:autoRedefine/>
    <w:qFormat/>
    <w:uiPriority w:val="0"/>
    <w:rPr>
      <w:i/>
    </w:rPr>
  </w:style>
  <w:style w:type="character" w:styleId="28">
    <w:name w:val="Hyperlink"/>
    <w:autoRedefine/>
    <w:qFormat/>
    <w:uiPriority w:val="0"/>
    <w:rPr>
      <w:color w:val="0000FF"/>
      <w:u w:val="single"/>
    </w:rPr>
  </w:style>
  <w:style w:type="character" w:styleId="29">
    <w:name w:val="annotation reference"/>
    <w:basedOn w:val="26"/>
    <w:autoRedefine/>
    <w:qFormat/>
    <w:uiPriority w:val="0"/>
    <w:rPr>
      <w:sz w:val="21"/>
      <w:szCs w:val="21"/>
    </w:rPr>
  </w:style>
  <w:style w:type="paragraph" w:customStyle="1" w:styleId="30">
    <w:name w:val="正文1"/>
    <w:next w:val="1"/>
    <w:qFormat/>
    <w:uiPriority w:val="0"/>
    <w:pPr>
      <w:widowControl w:val="0"/>
      <w:jc w:val="both"/>
    </w:pPr>
    <w:rPr>
      <w:rFonts w:ascii="Times New Roman" w:hAnsi="Times New Roman" w:eastAsia="宋体" w:cs="Times New Roman"/>
      <w:lang w:val="en-US" w:eastAsia="zh-CN" w:bidi="ar-SA"/>
    </w:rPr>
  </w:style>
  <w:style w:type="paragraph" w:customStyle="1" w:styleId="31">
    <w:name w:val="首行缩进"/>
    <w:basedOn w:val="1"/>
    <w:autoRedefine/>
    <w:qFormat/>
    <w:uiPriority w:val="0"/>
    <w:pPr>
      <w:spacing w:line="360" w:lineRule="auto"/>
      <w:ind w:firstLine="480" w:firstLineChars="200"/>
    </w:pPr>
    <w:rPr>
      <w:rFonts w:ascii="宋体" w:hAnsi="宋体"/>
      <w:kern w:val="0"/>
      <w:sz w:val="24"/>
    </w:rPr>
  </w:style>
  <w:style w:type="paragraph" w:customStyle="1" w:styleId="32">
    <w:name w:val="列表段落1"/>
    <w:basedOn w:val="1"/>
    <w:qFormat/>
    <w:uiPriority w:val="34"/>
    <w:pPr>
      <w:ind w:firstLine="420" w:firstLineChars="200"/>
    </w:pPr>
    <w:rPr>
      <w:szCs w:val="20"/>
    </w:rPr>
  </w:style>
  <w:style w:type="paragraph" w:customStyle="1" w:styleId="33">
    <w:name w:val="Table Paragraph"/>
    <w:basedOn w:val="1"/>
    <w:qFormat/>
    <w:uiPriority w:val="1"/>
  </w:style>
  <w:style w:type="paragraph" w:customStyle="1" w:styleId="34">
    <w:name w:val="TOC 标题1"/>
    <w:basedOn w:val="2"/>
    <w:next w:val="1"/>
    <w:autoRedefine/>
    <w:qFormat/>
    <w:uiPriority w:val="39"/>
    <w:pPr>
      <w:spacing w:line="576" w:lineRule="auto"/>
      <w:outlineLvl w:val="9"/>
    </w:pPr>
    <w:rPr>
      <w:rFonts w:ascii="Times New Roman"/>
    </w:rPr>
  </w:style>
  <w:style w:type="character" w:customStyle="1" w:styleId="35">
    <w:name w:val="HTML Markup"/>
    <w:autoRedefine/>
    <w:qFormat/>
    <w:uiPriority w:val="0"/>
    <w:rPr>
      <w:vanish/>
      <w:color w:val="FF0000"/>
    </w:rPr>
  </w:style>
  <w:style w:type="paragraph" w:customStyle="1" w:styleId="36">
    <w:name w:val="正文11"/>
    <w:qFormat/>
    <w:uiPriority w:val="0"/>
    <w:rPr>
      <w:rFonts w:ascii="Times New Roman" w:hAnsi="Times New Roman" w:eastAsia="宋体" w:cs="Times New Roman"/>
      <w:lang w:val="en-US" w:eastAsia="zh-CN" w:bidi="ar-SA"/>
    </w:rPr>
  </w:style>
  <w:style w:type="paragraph" w:customStyle="1" w:styleId="37">
    <w:name w:val="正文文本1"/>
    <w:basedOn w:val="36"/>
    <w:qFormat/>
    <w:uiPriority w:val="0"/>
    <w:pPr>
      <w:tabs>
        <w:tab w:val="left" w:pos="0"/>
        <w:tab w:val="left" w:pos="993"/>
        <w:tab w:val="left" w:pos="1134"/>
      </w:tabs>
      <w:spacing w:line="500" w:lineRule="exact"/>
      <w:jc w:val="both"/>
    </w:pPr>
    <w:rPr>
      <w:rFonts w:ascii="宋体" w:hAnsi="Calibri"/>
      <w:sz w:val="28"/>
    </w:rPr>
  </w:style>
  <w:style w:type="character" w:customStyle="1" w:styleId="38">
    <w:name w:val="rvts28"/>
    <w:qFormat/>
    <w:uiPriority w:val="0"/>
    <w:rPr>
      <w:rFonts w:hint="default" w:ascii="KNLe" w:hAnsi="KNLe"/>
      <w:color w:val="0000FF"/>
      <w:u w:val="single"/>
    </w:rPr>
  </w:style>
  <w:style w:type="character" w:customStyle="1" w:styleId="39">
    <w:name w:val="rvts57"/>
    <w:autoRedefine/>
    <w:qFormat/>
    <w:uiPriority w:val="0"/>
    <w:rPr>
      <w:rFonts w:hint="default" w:ascii=":ZLe" w:hAnsi=":ZLe" w:eastAsia=":ZLe" w:cs=":ZLe"/>
      <w:b/>
      <w:sz w:val="24"/>
      <w:szCs w:val="24"/>
    </w:rPr>
  </w:style>
  <w:style w:type="character" w:customStyle="1" w:styleId="40">
    <w:name w:val="rvts31"/>
    <w:qFormat/>
    <w:uiPriority w:val="0"/>
    <w:rPr>
      <w:rFonts w:hint="default" w:ascii="KNLe" w:hAnsi="KNLe"/>
      <w:b/>
      <w:bCs/>
      <w:sz w:val="24"/>
      <w:szCs w:val="24"/>
    </w:rPr>
  </w:style>
  <w:style w:type="paragraph" w:customStyle="1" w:styleId="41">
    <w:name w:val="rvps1"/>
    <w:basedOn w:val="1"/>
    <w:autoRedefine/>
    <w:qFormat/>
    <w:uiPriority w:val="0"/>
    <w:pPr>
      <w:widowControl/>
      <w:jc w:val="center"/>
    </w:pPr>
    <w:rPr>
      <w:rFonts w:ascii="Times New Roman" w:hAnsi="Times New Roman"/>
      <w:kern w:val="0"/>
      <w:sz w:val="24"/>
    </w:rPr>
  </w:style>
  <w:style w:type="character" w:customStyle="1" w:styleId="42">
    <w:name w:val="rvts58"/>
    <w:qFormat/>
    <w:uiPriority w:val="0"/>
    <w:rPr>
      <w:rFonts w:hint="default" w:ascii="KNLe" w:hAnsi="KNLe" w:eastAsia="KNLe" w:cs="KNLe"/>
      <w:b/>
      <w:sz w:val="28"/>
      <w:szCs w:val="28"/>
    </w:rPr>
  </w:style>
  <w:style w:type="character" w:customStyle="1" w:styleId="43">
    <w:name w:val="rvts46"/>
    <w:qFormat/>
    <w:uiPriority w:val="0"/>
    <w:rPr>
      <w:rFonts w:hint="default" w:ascii="KNLe" w:hAnsi="KNLe"/>
      <w:b/>
      <w:bCs/>
      <w:color w:val="000000"/>
      <w:sz w:val="24"/>
      <w:szCs w:val="24"/>
    </w:rPr>
  </w:style>
  <w:style w:type="character" w:customStyle="1" w:styleId="44">
    <w:name w:val="rvts59"/>
    <w:autoRedefine/>
    <w:qFormat/>
    <w:uiPriority w:val="0"/>
    <w:rPr>
      <w:rFonts w:hint="default" w:ascii="Times New Roman" w:hAnsi="Times New Roman" w:cs="Times New Roman"/>
    </w:rPr>
  </w:style>
  <w:style w:type="character" w:customStyle="1" w:styleId="45">
    <w:name w:val="批注文字 Char"/>
    <w:basedOn w:val="26"/>
    <w:link w:val="9"/>
    <w:qFormat/>
    <w:uiPriority w:val="0"/>
    <w:rPr>
      <w:rFonts w:ascii="Calibri" w:hAnsi="Calibri" w:eastAsia="宋体" w:cs="宋体"/>
      <w:kern w:val="2"/>
      <w:sz w:val="21"/>
    </w:rPr>
  </w:style>
  <w:style w:type="character" w:customStyle="1" w:styleId="46">
    <w:name w:val="批注主题 Char"/>
    <w:basedOn w:val="45"/>
    <w:link w:val="22"/>
    <w:autoRedefine/>
    <w:qFormat/>
    <w:uiPriority w:val="0"/>
    <w:rPr>
      <w:rFonts w:ascii="Calibri" w:hAnsi="Calibri" w:eastAsia="宋体" w:cs="宋体"/>
      <w:b/>
      <w:bCs/>
      <w:kern w:val="2"/>
      <w:sz w:val="21"/>
      <w:szCs w:val="24"/>
    </w:rPr>
  </w:style>
  <w:style w:type="paragraph" w:customStyle="1" w:styleId="47">
    <w:name w:val="Revision_1302cdd3-4ee0-42fa-9c0f-32186aa32436"/>
    <w:qFormat/>
    <w:uiPriority w:val="99"/>
    <w:rPr>
      <w:rFonts w:ascii="Calibri" w:hAnsi="Calibri" w:eastAsia="宋体" w:cs="宋体"/>
      <w:kern w:val="2"/>
      <w:sz w:val="21"/>
      <w:szCs w:val="24"/>
      <w:lang w:val="en-US" w:eastAsia="zh-CN" w:bidi="ar-SA"/>
    </w:rPr>
  </w:style>
  <w:style w:type="character" w:customStyle="1" w:styleId="48">
    <w:name w:val="批注框文本 Char"/>
    <w:basedOn w:val="26"/>
    <w:link w:val="16"/>
    <w:qFormat/>
    <w:uiPriority w:val="0"/>
    <w:rPr>
      <w:rFonts w:ascii="Calibri" w:hAnsi="Calibri" w:eastAsia="宋体" w:cs="宋体"/>
      <w:kern w:val="2"/>
      <w:sz w:val="18"/>
      <w:szCs w:val="18"/>
    </w:rPr>
  </w:style>
  <w:style w:type="paragraph" w:customStyle="1" w:styleId="49">
    <w:name w:val="列出段落1"/>
    <w:basedOn w:val="1"/>
    <w:autoRedefine/>
    <w:qFormat/>
    <w:uiPriority w:val="34"/>
    <w:pPr>
      <w:spacing w:line="360" w:lineRule="auto"/>
      <w:jc w:val="left"/>
    </w:pPr>
    <w:rPr>
      <w:rFonts w:ascii="Times New Roman" w:hAnsi="Times New Roman" w:cs="Times New Roman"/>
      <w:szCs w:val="20"/>
    </w:rPr>
  </w:style>
  <w:style w:type="character" w:customStyle="1" w:styleId="50">
    <w:name w:val="页脚 Char"/>
    <w:basedOn w:val="26"/>
    <w:link w:val="17"/>
    <w:autoRedefine/>
    <w:qFormat/>
    <w:uiPriority w:val="99"/>
    <w:rPr>
      <w:rFonts w:ascii="Calibri" w:hAnsi="Calibri" w:eastAsia="宋体" w:cs="宋体"/>
      <w:sz w:val="18"/>
      <w:szCs w:val="18"/>
    </w:rPr>
  </w:style>
  <w:style w:type="paragraph" w:styleId="51">
    <w:name w:val="List Paragraph"/>
    <w:basedOn w:val="1"/>
    <w:autoRedefine/>
    <w:qFormat/>
    <w:uiPriority w:val="0"/>
    <w:pPr>
      <w:spacing w:line="360" w:lineRule="auto"/>
      <w:ind w:left="420"/>
      <w:contextualSpacing/>
      <w:jc w:val="left"/>
    </w:pPr>
    <w:rPr>
      <w:rFonts w:ascii="宋体" w:hAnsi="宋体"/>
      <w:bCs/>
      <w:sz w:val="24"/>
    </w:rPr>
  </w:style>
  <w:style w:type="paragraph" w:customStyle="1" w:styleId="52">
    <w:name w:val="p01"/>
    <w:basedOn w:val="1"/>
    <w:autoRedefine/>
    <w:qFormat/>
    <w:uiPriority w:val="0"/>
    <w:pPr>
      <w:widowControl/>
      <w:spacing w:before="75" w:after="75" w:line="480" w:lineRule="auto"/>
      <w:jc w:val="left"/>
    </w:pPr>
    <w:rPr>
      <w:rFonts w:ascii="宋体" w:hAnsi="宋体"/>
      <w:kern w:val="0"/>
      <w:sz w:val="24"/>
    </w:rPr>
  </w:style>
  <w:style w:type="character" w:customStyle="1" w:styleId="53">
    <w:name w:val="未处理的提及1"/>
    <w:basedOn w:val="26"/>
    <w:semiHidden/>
    <w:unhideWhenUsed/>
    <w:qFormat/>
    <w:uiPriority w:val="99"/>
    <w:rPr>
      <w:color w:val="605E5C"/>
      <w:shd w:val="clear" w:color="auto" w:fill="E1DFDD"/>
    </w:rPr>
  </w:style>
  <w:style w:type="paragraph" w:customStyle="1" w:styleId="54">
    <w:name w:val="Table Text"/>
    <w:basedOn w:val="1"/>
    <w:semiHidden/>
    <w:qFormat/>
    <w:uiPriority w:val="0"/>
    <w:pPr>
      <w:widowControl/>
      <w:kinsoku w:val="0"/>
      <w:autoSpaceDE w:val="0"/>
      <w:autoSpaceDN w:val="0"/>
      <w:adjustRightInd w:val="0"/>
      <w:snapToGrid w:val="0"/>
      <w:jc w:val="left"/>
      <w:textAlignment w:val="baseline"/>
    </w:pPr>
    <w:rPr>
      <w:rFonts w:ascii="宋体" w:hAnsi="宋体"/>
      <w:snapToGrid w:val="0"/>
      <w:color w:val="000000"/>
      <w:kern w:val="0"/>
      <w:szCs w:val="21"/>
      <w:lang w:eastAsia="en-US"/>
    </w:rPr>
  </w:style>
  <w:style w:type="character" w:customStyle="1" w:styleId="55">
    <w:name w:val="NormalCharacter"/>
    <w:autoRedefine/>
    <w:semiHidden/>
    <w:qFormat/>
    <w:uiPriority w:val="0"/>
  </w:style>
  <w:style w:type="paragraph" w:customStyle="1" w:styleId="56">
    <w:name w:val="列出段落2"/>
    <w:basedOn w:val="1"/>
    <w:qFormat/>
    <w:uiPriority w:val="34"/>
    <w:pPr>
      <w:ind w:firstLine="420"/>
    </w:pPr>
    <w:rPr>
      <w:rFonts w:ascii="华文中宋" w:hAnsi="华文中宋" w:eastAsia="Courier New" w:cs="华文中宋"/>
    </w:rPr>
  </w:style>
  <w:style w:type="paragraph" w:customStyle="1" w:styleId="57">
    <w:name w:val="索引 41"/>
    <w:basedOn w:val="1"/>
    <w:next w:val="1"/>
    <w:semiHidden/>
    <w:qFormat/>
    <w:uiPriority w:val="0"/>
    <w:pPr>
      <w:ind w:left="1260"/>
    </w:pPr>
    <w:rPr>
      <w:rFonts w:eastAsia="Calibri"/>
      <w:sz w:val="20"/>
      <w:lang w:val="zh-CN"/>
    </w:rPr>
  </w:style>
  <w:style w:type="paragraph" w:customStyle="1" w:styleId="58">
    <w:name w:val="正文首行缩进 21"/>
    <w:basedOn w:val="59"/>
    <w:next w:val="1"/>
    <w:qFormat/>
    <w:uiPriority w:val="0"/>
    <w:pPr>
      <w:spacing w:after="0" w:line="360" w:lineRule="auto"/>
      <w:ind w:left="0" w:firstLine="420"/>
    </w:pPr>
    <w:rPr>
      <w:rFonts w:ascii="宋体" w:hAnsi="宋体" w:cs="Times New Roman"/>
      <w:szCs w:val="20"/>
    </w:rPr>
  </w:style>
  <w:style w:type="paragraph" w:customStyle="1" w:styleId="59">
    <w:name w:val="正文文本缩进11"/>
    <w:basedOn w:val="1"/>
    <w:next w:val="60"/>
    <w:unhideWhenUsed/>
    <w:qFormat/>
    <w:uiPriority w:val="0"/>
    <w:pPr>
      <w:spacing w:after="120"/>
      <w:ind w:left="420"/>
    </w:pPr>
  </w:style>
  <w:style w:type="paragraph" w:customStyle="1" w:styleId="60">
    <w:name w:val="寄信人地址1"/>
    <w:basedOn w:val="1"/>
    <w:qFormat/>
    <w:uiPriority w:val="0"/>
    <w:rPr>
      <w:rFonts w:ascii="Arial" w:hAnsi="Arial"/>
    </w:rPr>
  </w:style>
  <w:style w:type="character" w:customStyle="1" w:styleId="61">
    <w:name w:val="font101"/>
    <w:basedOn w:val="26"/>
    <w:qFormat/>
    <w:uiPriority w:val="0"/>
    <w:rPr>
      <w:rFonts w:ascii="方正仿宋_GBK" w:hAnsi="方正仿宋_GBK" w:eastAsia="方正仿宋_GBK" w:cs="方正仿宋_GBK"/>
      <w:b/>
      <w:bCs/>
      <w:color w:val="000000"/>
      <w:sz w:val="32"/>
      <w:szCs w:val="32"/>
      <w:u w:val="none"/>
    </w:rPr>
  </w:style>
  <w:style w:type="character" w:customStyle="1" w:styleId="62">
    <w:name w:val="font131"/>
    <w:basedOn w:val="26"/>
    <w:qFormat/>
    <w:uiPriority w:val="0"/>
    <w:rPr>
      <w:rFonts w:ascii="黑体" w:hAnsi="宋体" w:eastAsia="黑体" w:cs="黑体"/>
      <w:color w:val="000000"/>
      <w:sz w:val="20"/>
      <w:szCs w:val="20"/>
      <w:u w:val="none"/>
    </w:rPr>
  </w:style>
  <w:style w:type="character" w:customStyle="1" w:styleId="63">
    <w:name w:val="font141"/>
    <w:basedOn w:val="26"/>
    <w:qFormat/>
    <w:uiPriority w:val="0"/>
    <w:rPr>
      <w:rFonts w:hint="eastAsia" w:ascii="黑体" w:hAnsi="宋体" w:eastAsia="黑体" w:cs="黑体"/>
      <w:b/>
      <w:bCs/>
      <w:color w:val="000000"/>
      <w:sz w:val="20"/>
      <w:szCs w:val="20"/>
      <w:u w:val="none"/>
    </w:rPr>
  </w:style>
  <w:style w:type="character" w:customStyle="1" w:styleId="64">
    <w:name w:val="font51"/>
    <w:basedOn w:val="26"/>
    <w:qFormat/>
    <w:uiPriority w:val="0"/>
    <w:rPr>
      <w:rFonts w:hint="default" w:ascii="Times New Roman" w:hAnsi="Times New Roman" w:cs="Times New Roman"/>
      <w:b/>
      <w:bCs/>
      <w:color w:val="000000"/>
      <w:sz w:val="20"/>
      <w:szCs w:val="20"/>
      <w:u w:val="none"/>
    </w:rPr>
  </w:style>
  <w:style w:type="character" w:customStyle="1" w:styleId="65">
    <w:name w:val="font81"/>
    <w:basedOn w:val="26"/>
    <w:qFormat/>
    <w:uiPriority w:val="0"/>
    <w:rPr>
      <w:rFonts w:hint="eastAsia" w:ascii="宋体" w:hAnsi="宋体" w:eastAsia="宋体" w:cs="宋体"/>
      <w:color w:val="000000"/>
      <w:sz w:val="20"/>
      <w:szCs w:val="20"/>
      <w:u w:val="none"/>
    </w:rPr>
  </w:style>
  <w:style w:type="character" w:customStyle="1" w:styleId="66">
    <w:name w:val="font71"/>
    <w:basedOn w:val="26"/>
    <w:qFormat/>
    <w:uiPriority w:val="0"/>
    <w:rPr>
      <w:rFonts w:hint="default" w:ascii="Times New Roman" w:hAnsi="Times New Roman" w:cs="Times New Roman"/>
      <w:color w:val="000000"/>
      <w:sz w:val="20"/>
      <w:szCs w:val="20"/>
      <w:u w:val="none"/>
    </w:rPr>
  </w:style>
  <w:style w:type="character" w:customStyle="1" w:styleId="67">
    <w:name w:val="font151"/>
    <w:basedOn w:val="26"/>
    <w:qFormat/>
    <w:uiPriority w:val="0"/>
    <w:rPr>
      <w:rFonts w:hint="eastAsia" w:ascii="宋体" w:hAnsi="宋体" w:eastAsia="宋体" w:cs="宋体"/>
      <w:color w:val="000000"/>
      <w:sz w:val="22"/>
      <w:szCs w:val="22"/>
      <w:u w:val="none"/>
    </w:rPr>
  </w:style>
  <w:style w:type="character" w:customStyle="1" w:styleId="68">
    <w:name w:val="font91"/>
    <w:basedOn w:val="26"/>
    <w:qFormat/>
    <w:uiPriority w:val="0"/>
    <w:rPr>
      <w:rFonts w:ascii="黑体" w:hAnsi="宋体" w:eastAsia="黑体" w:cs="黑体"/>
      <w:color w:val="000000"/>
      <w:sz w:val="20"/>
      <w:szCs w:val="20"/>
      <w:u w:val="none"/>
    </w:rPr>
  </w:style>
  <w:style w:type="paragraph" w:customStyle="1" w:styleId="69">
    <w:name w:val="文件正文"/>
    <w:basedOn w:val="1"/>
    <w:qFormat/>
    <w:uiPriority w:val="0"/>
    <w:pPr>
      <w:spacing w:line="360" w:lineRule="auto"/>
      <w:ind w:firstLine="560"/>
      <w:jc w:val="both"/>
    </w:pPr>
    <w:rPr>
      <w:rFonts w:ascii="仿宋_GB2312" w:eastAsia="仿宋_GB2312" w:cs="宋体"/>
      <w:sz w:val="28"/>
      <w:szCs w:val="28"/>
    </w:rPr>
  </w:style>
  <w:style w:type="character" w:customStyle="1" w:styleId="70">
    <w:name w:val="a_p_1"/>
    <w:basedOn w:val="26"/>
    <w:qFormat/>
    <w:uiPriority w:val="0"/>
    <w:rPr>
      <w:sz w:val="27"/>
      <w:szCs w:val="27"/>
    </w:rPr>
  </w:style>
  <w:style w:type="character" w:customStyle="1" w:styleId="71">
    <w:name w:val="a_p_3"/>
    <w:basedOn w:val="26"/>
    <w:qFormat/>
    <w:uiPriority w:val="0"/>
    <w:rPr>
      <w:sz w:val="27"/>
      <w:szCs w:val="27"/>
    </w:rPr>
  </w:style>
  <w:style w:type="character" w:customStyle="1" w:styleId="72">
    <w:name w:val="a_p_2"/>
    <w:basedOn w:val="26"/>
    <w:qFormat/>
    <w:uiPriority w:val="0"/>
    <w:rPr>
      <w:sz w:val="27"/>
      <w:szCs w:val="27"/>
    </w:rPr>
  </w:style>
  <w:style w:type="character" w:customStyle="1" w:styleId="73">
    <w:name w:val="a_p_21"/>
    <w:basedOn w:val="26"/>
    <w:qFormat/>
    <w:uiPriority w:val="0"/>
  </w:style>
  <w:style w:type="character" w:customStyle="1" w:styleId="74">
    <w:name w:val="ul_li_a_1"/>
    <w:basedOn w:val="26"/>
    <w:qFormat/>
    <w:uiPriority w:val="0"/>
    <w:rPr>
      <w:b/>
      <w:bCs/>
      <w:color w:val="FFFFFF"/>
    </w:rPr>
  </w:style>
  <w:style w:type="character" w:customStyle="1" w:styleId="75">
    <w:name w:val="exap"/>
    <w:basedOn w:val="26"/>
    <w:qFormat/>
    <w:uiPriority w:val="0"/>
    <w:rPr>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F7E4-569D-4389-9C4C-5636184F2DEC}">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7457</Words>
  <Characters>7845</Characters>
  <Lines>149</Lines>
  <Paragraphs>42</Paragraphs>
  <TotalTime>263</TotalTime>
  <ScaleCrop>false</ScaleCrop>
  <LinksUpToDate>false</LinksUpToDate>
  <CharactersWithSpaces>7910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2025-12-09T07:22:00Z</dcterms:created>
  <dc:creator>41361</dc:creator>
  <cp:lastModifiedBy>xu</cp:lastModifiedBy>
  <cp:lastPrinted>2026-03-12T09:31:00Z</cp:lastPrinted>
  <dcterms:modified xsi:type="dcterms:W3CDTF">2026-04-29T01:57:38Z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56C6BDDD26A742968AD366C88E418C91_13</vt:lpwstr>
  </property>
  <property fmtid="{D5CDD505-2E9C-101B-9397-08002B2CF9AE}" pid="4" name="KSOTemplateDocerSaveRecord">
    <vt:lpwstr>eyJoZGlkIjoiYjU0YTJiZmYwMjEzMDc0NmIzYjI2ZGVkMDc5NzdhOTkiLCJ1c2VySWQiOiIxNTE4MjU5MDIxIn0=</vt:lpwstr>
  </property>
</Properties>
</file>