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7"/>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7"/>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7"/>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MLES202603006</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7"/>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秣陵街道宣传教育活动</w:t>
      </w:r>
    </w:p>
    <w:p w14:paraId="62606A4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21F005B0">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7"/>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7"/>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7"/>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三</w:t>
      </w:r>
      <w:r>
        <w:rPr>
          <w:rFonts w:hint="eastAsia" w:ascii="华文仿宋" w:hAnsi="华文仿宋" w:eastAsia="华文仿宋" w:cs="仿宋"/>
          <w:color w:val="000000" w:themeColor="text1"/>
          <w:sz w:val="44"/>
          <w:highlight w:val="none"/>
          <w14:textFill>
            <w14:solidFill>
              <w14:schemeClr w14:val="tx1"/>
            </w14:solidFill>
          </w14:textFill>
        </w:rPr>
        <w:t>月</w:t>
      </w:r>
    </w:p>
    <w:p w14:paraId="0586B7DD">
      <w:pPr>
        <w:pStyle w:val="7"/>
        <w:rPr>
          <w:rFonts w:hint="eastAsia" w:ascii="华文仿宋" w:hAnsi="华文仿宋" w:eastAsia="华文仿宋" w:cs="仿宋"/>
          <w:color w:val="000000" w:themeColor="text1"/>
          <w:sz w:val="36"/>
          <w:highlight w:val="none"/>
          <w14:textFill>
            <w14:solidFill>
              <w14:schemeClr w14:val="tx1"/>
            </w14:solidFill>
          </w14:textFill>
        </w:rPr>
      </w:pPr>
    </w:p>
    <w:p w14:paraId="10062A74">
      <w:pPr>
        <w:pStyle w:val="7"/>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21"/>
          <w:szCs w:val="22"/>
          <w:highlight w:val="none"/>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rPr>
              <w:highlight w:val="none"/>
            </w:rPr>
          </w:pPr>
          <w:bookmarkStart w:id="0" w:name="第一章__竞争性磋商邀请"/>
          <w:bookmarkEnd w:id="0"/>
          <w:r>
            <w:rPr>
              <w:rFonts w:ascii="宋体" w:hAnsi="宋体" w:eastAsia="宋体"/>
              <w:sz w:val="21"/>
              <w:highlight w:val="none"/>
            </w:rPr>
            <w:t>目录</w:t>
          </w:r>
        </w:p>
        <w:p w14:paraId="00DF1659">
          <w:pPr>
            <w:pStyle w:val="11"/>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rPr>
              <w:highlight w:val="none"/>
            </w:rPr>
            <w:tab/>
          </w:r>
          <w:r>
            <w:rPr>
              <w:highlight w:val="none"/>
            </w:rPr>
            <w:fldChar w:fldCharType="begin"/>
          </w:r>
          <w:r>
            <w:rPr>
              <w:highlight w:val="none"/>
            </w:rPr>
            <w:instrText xml:space="preserve"> PAGEREF _Toc10599 \h </w:instrText>
          </w:r>
          <w:r>
            <w:rPr>
              <w:highlight w:val="none"/>
            </w:rPr>
            <w:fldChar w:fldCharType="separate"/>
          </w:r>
          <w:r>
            <w:rPr>
              <w:highlight w:val="none"/>
            </w:rPr>
            <w:t>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1"/>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rPr>
              <w:highlight w:val="none"/>
            </w:rPr>
            <w:tab/>
          </w:r>
          <w:r>
            <w:rPr>
              <w:highlight w:val="none"/>
            </w:rPr>
            <w:fldChar w:fldCharType="begin"/>
          </w:r>
          <w:r>
            <w:rPr>
              <w:highlight w:val="none"/>
            </w:rPr>
            <w:instrText xml:space="preserve"> PAGEREF _Toc18718 \h </w:instrText>
          </w:r>
          <w:r>
            <w:rPr>
              <w:highlight w:val="none"/>
            </w:rPr>
            <w:fldChar w:fldCharType="separate"/>
          </w:r>
          <w:r>
            <w:rPr>
              <w:highlight w:val="none"/>
            </w:rPr>
            <w:t>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rPr>
              <w:highlight w:val="none"/>
            </w:rPr>
            <w:tab/>
          </w:r>
          <w:r>
            <w:rPr>
              <w:highlight w:val="none"/>
            </w:rPr>
            <w:fldChar w:fldCharType="begin"/>
          </w:r>
          <w:r>
            <w:rPr>
              <w:highlight w:val="none"/>
            </w:rPr>
            <w:instrText xml:space="preserve"> PAGEREF _Toc16574 \h </w:instrText>
          </w:r>
          <w:r>
            <w:rPr>
              <w:highlight w:val="none"/>
            </w:rPr>
            <w:fldChar w:fldCharType="separate"/>
          </w:r>
          <w:r>
            <w:rPr>
              <w:highlight w:val="none"/>
            </w:rPr>
            <w:t>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13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rPr>
              <w:highlight w:val="none"/>
            </w:rPr>
            <w:tab/>
          </w:r>
          <w:r>
            <w:rPr>
              <w:highlight w:val="none"/>
            </w:rPr>
            <w:fldChar w:fldCharType="begin"/>
          </w:r>
          <w:r>
            <w:rPr>
              <w:highlight w:val="none"/>
            </w:rPr>
            <w:instrText xml:space="preserve"> PAGEREF _Toc13442 \h </w:instrText>
          </w:r>
          <w:r>
            <w:rPr>
              <w:highlight w:val="none"/>
            </w:rPr>
            <w:fldChar w:fldCharType="separate"/>
          </w:r>
          <w:r>
            <w:rPr>
              <w:highlight w:val="none"/>
            </w:rPr>
            <w:t>15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16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18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rPr>
              <w:highlight w:val="none"/>
            </w:rPr>
            <w:tab/>
          </w:r>
          <w:r>
            <w:rPr>
              <w:highlight w:val="none"/>
            </w:rPr>
            <w:fldChar w:fldCharType="begin"/>
          </w:r>
          <w:r>
            <w:rPr>
              <w:highlight w:val="none"/>
            </w:rPr>
            <w:instrText xml:space="preserve"> PAGEREF _Toc11243 \h </w:instrText>
          </w:r>
          <w:r>
            <w:rPr>
              <w:highlight w:val="none"/>
            </w:rPr>
            <w:fldChar w:fldCharType="separate"/>
          </w:r>
          <w:r>
            <w:rPr>
              <w:highlight w:val="none"/>
            </w:rPr>
            <w:t>20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rPr>
              <w:highlight w:val="none"/>
            </w:rPr>
            <w:tab/>
          </w:r>
          <w:r>
            <w:rPr>
              <w:highlight w:val="none"/>
            </w:rPr>
            <w:fldChar w:fldCharType="begin"/>
          </w:r>
          <w:r>
            <w:rPr>
              <w:highlight w:val="none"/>
            </w:rPr>
            <w:instrText xml:space="preserve"> PAGEREF _Toc5503 \h </w:instrText>
          </w:r>
          <w:r>
            <w:rPr>
              <w:highlight w:val="none"/>
            </w:rPr>
            <w:fldChar w:fldCharType="separate"/>
          </w:r>
          <w:r>
            <w:rPr>
              <w:highlight w:val="none"/>
            </w:rPr>
            <w:t>26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rPr>
              <w:highlight w:val="none"/>
            </w:rPr>
            <w:tab/>
          </w:r>
          <w:r>
            <w:rPr>
              <w:highlight w:val="none"/>
            </w:rPr>
            <w:fldChar w:fldCharType="begin"/>
          </w:r>
          <w:r>
            <w:rPr>
              <w:highlight w:val="none"/>
            </w:rPr>
            <w:instrText xml:space="preserve"> PAGEREF _Toc22106 \h </w:instrText>
          </w:r>
          <w:r>
            <w:rPr>
              <w:highlight w:val="none"/>
            </w:rPr>
            <w:fldChar w:fldCharType="separate"/>
          </w:r>
          <w:r>
            <w:rPr>
              <w:highlight w:val="none"/>
            </w:rPr>
            <w:t>30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rPr>
              <w:highlight w:val="none"/>
            </w:rPr>
            <w:tab/>
          </w:r>
          <w:r>
            <w:rPr>
              <w:highlight w:val="none"/>
            </w:rPr>
            <w:fldChar w:fldCharType="begin"/>
          </w:r>
          <w:r>
            <w:rPr>
              <w:highlight w:val="none"/>
            </w:rPr>
            <w:instrText xml:space="preserve"> PAGEREF _Toc14069 \h </w:instrText>
          </w:r>
          <w:r>
            <w:rPr>
              <w:highlight w:val="none"/>
            </w:rPr>
            <w:fldChar w:fldCharType="separate"/>
          </w:r>
          <w:r>
            <w:rPr>
              <w:highlight w:val="none"/>
            </w:rPr>
            <w:t>31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highlight w:val="none"/>
            </w:rPr>
            <w:t xml:space="preserve">一、 </w:t>
          </w:r>
          <w:r>
            <w:rPr>
              <w:rFonts w:hint="eastAsia" w:ascii="华文仿宋" w:hAnsi="华文仿宋" w:eastAsia="华文仿宋" w:cs="仿宋"/>
              <w:highlight w:val="none"/>
            </w:rPr>
            <w:t>磋商申请及声明</w:t>
          </w:r>
          <w:r>
            <w:rPr>
              <w:highlight w:val="none"/>
            </w:rPr>
            <w:tab/>
          </w:r>
          <w:r>
            <w:rPr>
              <w:highlight w:val="none"/>
            </w:rPr>
            <w:fldChar w:fldCharType="begin"/>
          </w:r>
          <w:r>
            <w:rPr>
              <w:highlight w:val="none"/>
            </w:rPr>
            <w:instrText xml:space="preserve"> PAGEREF _Toc6092 \h </w:instrText>
          </w:r>
          <w:r>
            <w:rPr>
              <w:highlight w:val="none"/>
            </w:rPr>
            <w:fldChar w:fldCharType="separate"/>
          </w:r>
          <w:r>
            <w:rPr>
              <w:highlight w:val="none"/>
            </w:rPr>
            <w:t>37</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rPr>
              <w:highlight w:val="none"/>
            </w:rPr>
            <w:tab/>
          </w:r>
          <w:r>
            <w:rPr>
              <w:highlight w:val="none"/>
            </w:rPr>
            <w:fldChar w:fldCharType="begin"/>
          </w:r>
          <w:r>
            <w:rPr>
              <w:highlight w:val="none"/>
            </w:rPr>
            <w:instrText xml:space="preserve"> PAGEREF _Toc26814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rPr>
              <w:highlight w:val="none"/>
            </w:rPr>
            <w:tab/>
          </w:r>
          <w:r>
            <w:rPr>
              <w:highlight w:val="none"/>
            </w:rPr>
            <w:fldChar w:fldCharType="begin"/>
          </w:r>
          <w:r>
            <w:rPr>
              <w:highlight w:val="none"/>
            </w:rPr>
            <w:instrText xml:space="preserve"> PAGEREF _Toc26930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rPr>
              <w:highlight w:val="none"/>
            </w:rPr>
            <w:tab/>
          </w:r>
          <w:r>
            <w:rPr>
              <w:highlight w:val="none"/>
            </w:rPr>
            <w:fldChar w:fldCharType="begin"/>
          </w:r>
          <w:r>
            <w:rPr>
              <w:highlight w:val="none"/>
            </w:rPr>
            <w:instrText xml:space="preserve"> PAGEREF _Toc25837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rPr>
              <w:highlight w:val="none"/>
            </w:rPr>
            <w:tab/>
          </w:r>
          <w:r>
            <w:rPr>
              <w:highlight w:val="none"/>
            </w:rPr>
            <w:fldChar w:fldCharType="begin"/>
          </w:r>
          <w:r>
            <w:rPr>
              <w:highlight w:val="none"/>
            </w:rPr>
            <w:instrText xml:space="preserve"> PAGEREF _Toc13740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rPr>
              <w:highlight w:val="none"/>
            </w:rPr>
            <w:tab/>
          </w:r>
          <w:r>
            <w:rPr>
              <w:highlight w:val="none"/>
            </w:rPr>
            <w:fldChar w:fldCharType="begin"/>
          </w:r>
          <w:r>
            <w:rPr>
              <w:highlight w:val="none"/>
            </w:rPr>
            <w:instrText xml:space="preserve"> PAGEREF _Toc1548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rPr>
              <w:highlight w:val="none"/>
            </w:rPr>
            <w:tab/>
          </w:r>
          <w:r>
            <w:rPr>
              <w:highlight w:val="none"/>
            </w:rPr>
            <w:fldChar w:fldCharType="begin"/>
          </w:r>
          <w:r>
            <w:rPr>
              <w:highlight w:val="none"/>
            </w:rPr>
            <w:instrText xml:space="preserve"> PAGEREF _Toc25029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_Toc27138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rPr>
              <w:highlight w:val="none"/>
            </w:rPr>
            <w:tab/>
          </w:r>
          <w:r>
            <w:rPr>
              <w:highlight w:val="none"/>
            </w:rPr>
            <w:fldChar w:fldCharType="begin"/>
          </w:r>
          <w:r>
            <w:rPr>
              <w:highlight w:val="none"/>
            </w:rPr>
            <w:instrText xml:space="preserve"> PAGEREF _Toc14657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rPr>
              <w:highlight w:val="none"/>
            </w:rPr>
            <w:tab/>
          </w:r>
          <w:r>
            <w:rPr>
              <w:highlight w:val="none"/>
            </w:rPr>
            <w:fldChar w:fldCharType="begin"/>
          </w:r>
          <w:r>
            <w:rPr>
              <w:highlight w:val="none"/>
            </w:rPr>
            <w:instrText xml:space="preserve"> PAGEREF _Toc9491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_Toc24734 \h </w:instrText>
          </w:r>
          <w:r>
            <w:rPr>
              <w:highlight w:val="none"/>
            </w:rPr>
            <w:fldChar w:fldCharType="separate"/>
          </w:r>
          <w:r>
            <w:rPr>
              <w:highlight w:val="none"/>
            </w:rPr>
            <w:t>43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rPr>
              <w:highlight w:val="none"/>
            </w:rPr>
            <w:tab/>
          </w:r>
          <w:r>
            <w:rPr>
              <w:highlight w:val="none"/>
            </w:rPr>
            <w:fldChar w:fldCharType="begin"/>
          </w:r>
          <w:r>
            <w:rPr>
              <w:highlight w:val="none"/>
            </w:rPr>
            <w:instrText xml:space="preserve"> PAGEREF _Toc19942 \h </w:instrText>
          </w:r>
          <w:r>
            <w:rPr>
              <w:highlight w:val="none"/>
            </w:rPr>
            <w:fldChar w:fldCharType="separate"/>
          </w:r>
          <w:r>
            <w:rPr>
              <w:highlight w:val="none"/>
            </w:rPr>
            <w:t>43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_Toc3973 \h </w:instrText>
          </w:r>
          <w:r>
            <w:rPr>
              <w:highlight w:val="none"/>
            </w:rPr>
            <w:fldChar w:fldCharType="separate"/>
          </w:r>
          <w:r>
            <w:rPr>
              <w:highlight w:val="none"/>
            </w:rPr>
            <w:t>44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2"/>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_Toc12981 \h </w:instrText>
          </w:r>
          <w:r>
            <w:rPr>
              <w:highlight w:val="none"/>
            </w:rPr>
            <w:fldChar w:fldCharType="separate"/>
          </w:r>
          <w:r>
            <w:rPr>
              <w:highlight w:val="none"/>
            </w:rPr>
            <w:t>45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6"/>
        <w:rPr>
          <w:rFonts w:hint="eastAsia"/>
          <w:highlight w:val="none"/>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3"/>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5FA9B169">
      <w:pPr>
        <w:pStyle w:val="7"/>
        <w:spacing w:before="1"/>
        <w:rPr>
          <w:rFonts w:hint="eastAsia" w:ascii="华文仿宋" w:hAnsi="华文仿宋" w:eastAsia="华文仿宋" w:cs="仿宋"/>
          <w:color w:val="000000" w:themeColor="text1"/>
          <w:sz w:val="23"/>
          <w:highlight w:val="none"/>
          <w14:textFill>
            <w14:solidFill>
              <w14:schemeClr w14:val="tx1"/>
            </w14:solidFill>
          </w14:textFill>
        </w:rPr>
      </w:pPr>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MLES202603006</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tabs>
          <w:tab w:val="left" w:pos="2640"/>
        </w:tabs>
        <w:ind w:firstLine="560" w:firstLineChars="200"/>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秣陵街道宣传教育活动</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2026年4月9日14：00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spacing w:before="240" w:beforeLines="100" w:line="360" w:lineRule="auto"/>
        <w:outlineLvl w:val="9"/>
        <w:rPr>
          <w:rFonts w:hint="eastAsia" w:ascii="华文仿宋" w:hAnsi="华文仿宋" w:eastAsia="华文仿宋"/>
          <w:bCs w:val="0"/>
          <w:sz w:val="28"/>
          <w:szCs w:val="28"/>
          <w:highlight w:val="none"/>
        </w:rPr>
      </w:pPr>
      <w:bookmarkStart w:id="2" w:name="_Toc35393798"/>
      <w:bookmarkStart w:id="3" w:name="_Toc28359089"/>
      <w:bookmarkStart w:id="4" w:name="_Toc35393629"/>
      <w:bookmarkStart w:id="5" w:name="_Toc28359012"/>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MLES202603006</w:t>
      </w:r>
      <w:r>
        <w:rPr>
          <w:rFonts w:hint="eastAsia" w:ascii="华文仿宋" w:hAnsi="华文仿宋" w:eastAsia="华文仿宋"/>
          <w:color w:val="0000FF"/>
          <w:sz w:val="28"/>
          <w:szCs w:val="28"/>
          <w:highlight w:val="none"/>
        </w:rPr>
        <w:t xml:space="preserve"> </w:t>
      </w:r>
    </w:p>
    <w:p w14:paraId="69506429">
      <w:pPr>
        <w:ind w:firstLine="560" w:firstLineChars="200"/>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秣陵街道宣传教育活动</w:t>
      </w:r>
    </w:p>
    <w:p w14:paraId="11C9ED90">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ind w:firstLine="560" w:firstLineChars="2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19万元</w:t>
      </w:r>
    </w:p>
    <w:p w14:paraId="41994294">
      <w:pPr>
        <w:ind w:firstLine="560" w:firstLineChars="200"/>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w:t>
      </w:r>
      <w:bookmarkStart w:id="92" w:name="_GoBack"/>
      <w:r>
        <w:rPr>
          <w:rFonts w:hint="eastAsia" w:ascii="华文仿宋" w:hAnsi="华文仿宋" w:eastAsia="华文仿宋"/>
          <w:sz w:val="28"/>
          <w:szCs w:val="28"/>
          <w:highlight w:val="none"/>
          <w:lang w:eastAsia="zh-CN"/>
        </w:rPr>
        <w:t>177700</w:t>
      </w:r>
      <w:bookmarkEnd w:id="92"/>
      <w:r>
        <w:rPr>
          <w:rFonts w:hint="eastAsia" w:ascii="华文仿宋" w:hAnsi="华文仿宋" w:eastAsia="华文仿宋"/>
          <w:sz w:val="28"/>
          <w:szCs w:val="28"/>
          <w:highlight w:val="none"/>
        </w:rPr>
        <w:t>元，超过最高限价作无效标处理。</w:t>
      </w:r>
    </w:p>
    <w:p w14:paraId="25B7329B">
      <w:pPr>
        <w:ind w:firstLine="560" w:firstLineChars="200"/>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秣陵街道宣传教育活动</w:t>
      </w:r>
      <w:r>
        <w:rPr>
          <w:rFonts w:hint="eastAsia" w:ascii="华文仿宋" w:hAnsi="华文仿宋" w:eastAsia="华文仿宋" w:cs="Times New Roman"/>
          <w:color w:val="0000FF"/>
          <w:sz w:val="28"/>
          <w:szCs w:val="28"/>
          <w:highlight w:val="none"/>
          <w:u w:val="single"/>
          <w:lang w:val="en-US"/>
        </w:rPr>
        <w:t>，详见竞争性磋商文件。</w:t>
      </w:r>
    </w:p>
    <w:p w14:paraId="71EA0B61">
      <w:pPr>
        <w:ind w:firstLine="560" w:firstLineChars="200"/>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1年</w:t>
      </w:r>
    </w:p>
    <w:p w14:paraId="1B23ACF2">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spacing w:line="360" w:lineRule="auto"/>
        <w:outlineLvl w:val="9"/>
        <w:rPr>
          <w:rFonts w:hint="eastAsia" w:ascii="华文仿宋" w:hAnsi="华文仿宋" w:eastAsia="华文仿宋"/>
          <w:bCs w:val="0"/>
          <w:sz w:val="28"/>
          <w:szCs w:val="28"/>
          <w:highlight w:val="none"/>
        </w:rPr>
      </w:pPr>
      <w:bookmarkStart w:id="6" w:name="_Toc28359013"/>
      <w:bookmarkStart w:id="7" w:name="_Toc35393630"/>
      <w:bookmarkStart w:id="8" w:name="_Toc35393799"/>
      <w:bookmarkStart w:id="9" w:name="_Toc28359090"/>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3"/>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bookmarkStart w:id="10" w:name="_Toc28359014"/>
      <w:bookmarkStart w:id="11" w:name="_Toc28359091"/>
      <w:r>
        <w:rPr>
          <w:rFonts w:hint="eastAsia" w:ascii="华文仿宋" w:hAnsi="华文仿宋" w:eastAsia="华文仿宋"/>
          <w:b/>
          <w:bCs/>
          <w:kern w:val="2"/>
          <w:sz w:val="28"/>
          <w:szCs w:val="28"/>
          <w:highlight w:val="none"/>
          <w:lang w:val="en-US" w:bidi="ar-SA"/>
        </w:rPr>
        <w:t>2.1 应具备规定的条件:</w:t>
      </w:r>
    </w:p>
    <w:p w14:paraId="4600F7AF">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spacing w:before="0" w:beforeAutospacing="0" w:after="0" w:afterAutospacing="0" w:line="300" w:lineRule="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1A12BD57">
      <w:pPr>
        <w:pStyle w:val="13"/>
        <w:spacing w:before="75" w:beforeAutospacing="0" w:after="75" w:afterAutospacing="0" w:line="30" w:lineRule="atLeast"/>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 xml:space="preserve">无； </w:t>
      </w:r>
    </w:p>
    <w:p w14:paraId="6B5B868E">
      <w:pPr>
        <w:pStyle w:val="13"/>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3"/>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3"/>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spacing w:before="0" w:beforeAutospacing="0" w:after="0" w:afterAutospacing="0" w:line="276" w:lineRule="auto"/>
        <w:ind w:firstLine="560" w:firstLineChars="200"/>
        <w:rPr>
          <w:rFonts w:hint="eastAsia" w:ascii="华文仿宋" w:hAnsi="华文仿宋" w:eastAsia="华文仿宋"/>
          <w:color w:val="000000"/>
          <w:sz w:val="28"/>
          <w:szCs w:val="28"/>
          <w:highlight w:val="none"/>
        </w:rPr>
      </w:pPr>
      <w:bookmarkStart w:id="12" w:name="_Toc35393800"/>
      <w:bookmarkStart w:id="13" w:name="_Toc35393631"/>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spacing w:before="0" w:beforeAutospacing="0" w:after="0" w:afterAutospacing="0" w:line="276" w:lineRule="auto"/>
        <w:rPr>
          <w:rFonts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5A7B9C8E">
      <w:pPr>
        <w:pStyle w:val="13"/>
        <w:spacing w:before="75" w:beforeAutospacing="0" w:after="75" w:afterAutospacing="0" w:line="30" w:lineRule="atLeast"/>
        <w:rPr>
          <w:rFonts w:hint="eastAsia" w:ascii="华文仿宋" w:hAnsi="华文仿宋" w:eastAsia="华文仿宋" w:cs="仿宋"/>
          <w:b/>
          <w:bCs/>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lang w:val="en-US" w:eastAsia="zh-CN"/>
          <w14:textFill>
            <w14:solidFill>
              <w14:schemeClr w14:val="tx1"/>
            </w14:solidFill>
          </w14:textFill>
        </w:rPr>
        <w:t>2.5 本项目按照采用以下第（1）种方式落实政府采购促进中小企业发展的要求：</w:t>
      </w:r>
    </w:p>
    <w:p w14:paraId="5C0E9C24">
      <w:pPr>
        <w:pStyle w:val="23"/>
        <w:shd w:val="clear"/>
        <w:spacing w:before="0" w:beforeAutospacing="0" w:after="0" w:afterAutospacing="0" w:line="276" w:lineRule="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（1）本项目整体专门面向中小企业采购服务。（供应商应为中小微企业、监狱企业、残疾人福利性单位,提供相应的声明函及其附件（如有附件））</w:t>
      </w:r>
    </w:p>
    <w:p w14:paraId="7AF41D07">
      <w:pPr>
        <w:pStyle w:val="23"/>
        <w:shd w:val="clear"/>
        <w:spacing w:before="0" w:beforeAutospacing="0" w:after="0" w:afterAutospacing="0" w:line="276" w:lineRule="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3"/>
        <w:shd w:val="clear"/>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3"/>
        <w:shd w:val="clear"/>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3"/>
        <w:shd w:val="clear"/>
        <w:spacing w:before="0" w:beforeAutospacing="0" w:after="0" w:afterAutospacing="0" w:line="276"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3740FC89">
      <w:pPr>
        <w:pStyle w:val="23"/>
        <w:shd w:val="clear"/>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4070B549">
      <w:pPr>
        <w:spacing w:before="120" w:beforeLines="50" w:line="360" w:lineRule="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spacing w:line="360" w:lineRule="auto"/>
        <w:ind w:firstLine="540"/>
        <w:rPr>
          <w:rFonts w:hint="eastAsia" w:ascii="华文仿宋" w:hAnsi="华文仿宋" w:eastAsia="华文仿宋"/>
          <w:sz w:val="28"/>
          <w:szCs w:val="28"/>
          <w:highlight w:val="none"/>
        </w:rPr>
      </w:pPr>
      <w:bookmarkStart w:id="14" w:name="_Toc35393632"/>
      <w:bookmarkStart w:id="15" w:name="_Toc35393801"/>
      <w:bookmarkStart w:id="16" w:name="_Toc28359092"/>
      <w:bookmarkStart w:id="17" w:name="_Toc28359015"/>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2026年3月26日至2026年4月2日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07E55140">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1、投标申请人的法定代表人或其授权的委托代理人的个人有效身份证复印件，加盖公章。</w:t>
      </w:r>
    </w:p>
    <w:p w14:paraId="6C915E7D">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2、法人资格证明或单位授权委托书加盖公章后原件。(须明确写明参与项目的项目名称)</w:t>
      </w:r>
    </w:p>
    <w:p w14:paraId="4F961000">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（2）邮箱获取</w:t>
      </w:r>
    </w:p>
    <w:p w14:paraId="653B65B0">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1、投标申请人的法定代表人或其授权的委托代理人的个人有效身份证复印件，加盖公章的扫描件。</w:t>
      </w:r>
    </w:p>
    <w:p w14:paraId="1E21D925">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2、法人资格证明或单位授权委托书加盖公章后原件的扫描件。(须明确写明参与项目的名称）</w:t>
      </w:r>
    </w:p>
    <w:p w14:paraId="59A89941">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3、《采购文件领取登记表》填写完整并加盖公章的扫描件。（《采购文件</w:t>
      </w:r>
      <w:r>
        <w:rPr>
          <w:rFonts w:hint="eastAsia" w:ascii="华文仿宋" w:hAnsi="华文仿宋" w:eastAsia="华文仿宋"/>
          <w:sz w:val="28"/>
          <w:szCs w:val="28"/>
          <w:highlight w:val="none"/>
          <w:lang w:val="en-US"/>
        </w:rPr>
        <w:tab/>
      </w:r>
      <w:r>
        <w:rPr>
          <w:rFonts w:hint="eastAsia" w:ascii="华文仿宋" w:hAnsi="华文仿宋" w:eastAsia="华文仿宋"/>
          <w:sz w:val="28"/>
          <w:szCs w:val="28"/>
          <w:highlight w:val="none"/>
          <w:lang w:val="en-US"/>
        </w:rPr>
        <w:t>领取登记表》见附件）</w:t>
      </w:r>
    </w:p>
    <w:p w14:paraId="10D108B8">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4F9008A4">
      <w:pPr>
        <w:numPr>
          <w:ilvl w:val="0"/>
          <w:numId w:val="0"/>
        </w:numPr>
        <w:spacing w:line="360" w:lineRule="auto"/>
        <w:ind w:left="880" w:leftChars="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p>
    <w:p w14:paraId="15E8E44E">
      <w:pPr>
        <w:spacing w:line="360" w:lineRule="auto"/>
        <w:ind w:left="0" w:firstLine="280" w:firstLineChars="100"/>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spacing w:line="360" w:lineRule="auto"/>
        <w:ind w:firstLine="560" w:firstLineChars="200"/>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2026年4月9日14：00</w:t>
      </w:r>
      <w:r>
        <w:rPr>
          <w:rFonts w:hint="eastAsia" w:ascii="华文仿宋" w:hAnsi="华文仿宋" w:eastAsia="华文仿宋"/>
          <w:bCs/>
          <w:sz w:val="28"/>
          <w:szCs w:val="28"/>
          <w:highlight w:val="none"/>
        </w:rPr>
        <w:t>（北京时间）</w:t>
      </w:r>
    </w:p>
    <w:p w14:paraId="20441DBB">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spacing w:line="360" w:lineRule="auto"/>
        <w:outlineLvl w:val="9"/>
        <w:rPr>
          <w:rFonts w:hint="eastAsia" w:ascii="华文仿宋" w:hAnsi="华文仿宋" w:eastAsia="华文仿宋"/>
          <w:bCs w:val="0"/>
          <w:sz w:val="28"/>
          <w:szCs w:val="28"/>
          <w:highlight w:val="none"/>
        </w:rPr>
      </w:pPr>
      <w:bookmarkStart w:id="18" w:name="_Toc35393633"/>
      <w:bookmarkStart w:id="19" w:name="_Toc35393802"/>
      <w:bookmarkStart w:id="20" w:name="_Toc28359093"/>
      <w:bookmarkStart w:id="21" w:name="_Toc28359016"/>
      <w:r>
        <w:rPr>
          <w:rFonts w:hint="eastAsia" w:ascii="华文仿宋" w:hAnsi="华文仿宋" w:eastAsia="华文仿宋"/>
          <w:bCs w:val="0"/>
          <w:sz w:val="28"/>
          <w:szCs w:val="28"/>
          <w:highlight w:val="none"/>
        </w:rPr>
        <w:t>五、开启</w:t>
      </w:r>
      <w:bookmarkEnd w:id="18"/>
      <w:bookmarkEnd w:id="19"/>
      <w:bookmarkEnd w:id="20"/>
      <w:bookmarkEnd w:id="21"/>
    </w:p>
    <w:p w14:paraId="6656FC5D">
      <w:pPr>
        <w:spacing w:line="360" w:lineRule="auto"/>
        <w:ind w:firstLine="560" w:firstLineChars="200"/>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2026年4月9日14：00</w:t>
      </w:r>
      <w:r>
        <w:rPr>
          <w:rFonts w:hint="eastAsia" w:ascii="华文仿宋" w:hAnsi="华文仿宋" w:eastAsia="华文仿宋"/>
          <w:bCs/>
          <w:sz w:val="28"/>
          <w:szCs w:val="28"/>
          <w:highlight w:val="none"/>
        </w:rPr>
        <w:t>（北京时间）</w:t>
      </w:r>
    </w:p>
    <w:p w14:paraId="28A028F4">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spacing w:line="360" w:lineRule="auto"/>
        <w:outlineLvl w:val="9"/>
        <w:rPr>
          <w:rFonts w:hint="eastAsia" w:ascii="华文仿宋" w:hAnsi="华文仿宋" w:eastAsia="华文仿宋"/>
          <w:bCs w:val="0"/>
          <w:sz w:val="28"/>
          <w:szCs w:val="28"/>
          <w:highlight w:val="none"/>
        </w:rPr>
      </w:pPr>
      <w:bookmarkStart w:id="22" w:name="_Toc35393634"/>
      <w:bookmarkStart w:id="23" w:name="_Toc28359017"/>
      <w:bookmarkStart w:id="24" w:name="_Toc35393803"/>
      <w:bookmarkStart w:id="25" w:name="_Toc28359094"/>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spacing w:line="360" w:lineRule="auto"/>
        <w:outlineLvl w:val="9"/>
        <w:rPr>
          <w:rFonts w:hint="eastAsia" w:ascii="华文仿宋" w:hAnsi="华文仿宋" w:eastAsia="华文仿宋"/>
          <w:bCs w:val="0"/>
          <w:sz w:val="28"/>
          <w:szCs w:val="28"/>
          <w:highlight w:val="none"/>
        </w:rPr>
      </w:pPr>
      <w:bookmarkStart w:id="26" w:name="_Toc35393635"/>
      <w:bookmarkStart w:id="27" w:name="_Toc35393804"/>
      <w:r>
        <w:rPr>
          <w:rFonts w:hint="eastAsia" w:ascii="华文仿宋" w:hAnsi="华文仿宋" w:eastAsia="华文仿宋"/>
          <w:bCs w:val="0"/>
          <w:sz w:val="28"/>
          <w:szCs w:val="28"/>
          <w:highlight w:val="none"/>
        </w:rPr>
        <w:t>七、其他补充事宜</w:t>
      </w:r>
      <w:bookmarkEnd w:id="26"/>
      <w:bookmarkEnd w:id="27"/>
    </w:p>
    <w:p w14:paraId="2C0D30F6">
      <w:pPr>
        <w:pStyle w:val="13"/>
        <w:spacing w:before="75" w:beforeAutospacing="0" w:after="75" w:afterAutospacing="0" w:line="360" w:lineRule="auto"/>
        <w:ind w:firstLine="560" w:firstLineChars="200"/>
        <w:rPr>
          <w:rFonts w:hint="eastAsia" w:ascii="华文仿宋" w:hAnsi="华文仿宋" w:eastAsia="华文仿宋"/>
          <w:kern w:val="2"/>
          <w:sz w:val="28"/>
          <w:szCs w:val="28"/>
          <w:highlight w:val="none"/>
          <w:lang w:val="en-US" w:bidi="ar-SA"/>
        </w:rPr>
      </w:pPr>
      <w:bookmarkStart w:id="28" w:name="_Toc28359018"/>
      <w:bookmarkStart w:id="29" w:name="_Toc35393805"/>
      <w:bookmarkStart w:id="30" w:name="_Toc28359095"/>
      <w:bookmarkStart w:id="31" w:name="_Toc35393636"/>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spacing w:line="360" w:lineRule="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spacing w:line="360" w:lineRule="auto"/>
        <w:ind w:firstLine="840" w:firstLineChars="300"/>
        <w:outlineLvl w:val="9"/>
        <w:rPr>
          <w:rFonts w:hint="eastAsia" w:ascii="华文仿宋" w:hAnsi="华文仿宋" w:eastAsia="华文仿宋"/>
          <w:b w:val="0"/>
          <w:sz w:val="28"/>
          <w:szCs w:val="28"/>
          <w:highlight w:val="none"/>
        </w:rPr>
      </w:pPr>
      <w:bookmarkStart w:id="32" w:name="_Toc35393806"/>
      <w:bookmarkStart w:id="33" w:name="_Toc35393637"/>
      <w:bookmarkStart w:id="34" w:name="_Toc28359019"/>
      <w:bookmarkStart w:id="35" w:name="_Toc28359096"/>
      <w:r>
        <w:rPr>
          <w:rFonts w:hint="eastAsia" w:ascii="华文仿宋" w:hAnsi="华文仿宋" w:eastAsia="华文仿宋"/>
          <w:b w:val="0"/>
          <w:sz w:val="28"/>
          <w:szCs w:val="28"/>
          <w:highlight w:val="none"/>
        </w:rPr>
        <w:t>1.采购人信息</w:t>
      </w:r>
      <w:bookmarkEnd w:id="32"/>
      <w:bookmarkEnd w:id="33"/>
      <w:bookmarkEnd w:id="34"/>
      <w:bookmarkEnd w:id="35"/>
    </w:p>
    <w:p w14:paraId="0C716E11">
      <w:pPr>
        <w:spacing w:line="360" w:lineRule="auto"/>
        <w:ind w:left="1166" w:leftChars="371" w:hanging="350" w:hangingChars="125"/>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spacing w:line="360" w:lineRule="auto"/>
        <w:ind w:left="1166" w:leftChars="371" w:hanging="350" w:hangingChars="125"/>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spacing w:line="360" w:lineRule="auto"/>
        <w:ind w:left="1166" w:leftChars="371" w:hanging="350" w:hangingChars="125"/>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spacing w:line="360" w:lineRule="auto"/>
        <w:ind w:left="1166" w:leftChars="371" w:hanging="350" w:hangingChars="125"/>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spacing w:line="360" w:lineRule="auto"/>
        <w:ind w:firstLine="840" w:firstLineChars="300"/>
        <w:outlineLvl w:val="9"/>
        <w:rPr>
          <w:rFonts w:hint="eastAsia" w:ascii="华文仿宋" w:hAnsi="华文仿宋" w:eastAsia="华文仿宋"/>
          <w:b w:val="0"/>
          <w:sz w:val="28"/>
          <w:szCs w:val="28"/>
          <w:highlight w:val="none"/>
        </w:rPr>
      </w:pPr>
      <w:bookmarkStart w:id="36" w:name="_Toc35393807"/>
      <w:bookmarkStart w:id="37" w:name="_Toc28359020"/>
      <w:bookmarkStart w:id="38" w:name="_Toc35393638"/>
      <w:bookmarkStart w:id="39" w:name="_Toc2835909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spacing w:line="360" w:lineRule="auto"/>
        <w:ind w:firstLine="840" w:firstLineChars="300"/>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spacing w:line="360" w:lineRule="auto"/>
        <w:ind w:firstLine="840" w:firstLineChars="300"/>
        <w:outlineLvl w:val="9"/>
        <w:rPr>
          <w:rFonts w:hint="eastAsia" w:ascii="华文仿宋" w:hAnsi="华文仿宋" w:eastAsia="华文仿宋"/>
          <w:b w:val="0"/>
          <w:sz w:val="28"/>
          <w:szCs w:val="28"/>
          <w:highlight w:val="none"/>
        </w:rPr>
      </w:pPr>
      <w:bookmarkStart w:id="40" w:name="_Toc35393808"/>
      <w:bookmarkStart w:id="41" w:name="_Toc28359098"/>
      <w:bookmarkStart w:id="42" w:name="_Toc28359021"/>
      <w:bookmarkStart w:id="43" w:name="_Toc35393639"/>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8"/>
        <w:spacing w:line="360" w:lineRule="auto"/>
        <w:ind w:firstLine="840" w:firstLineChars="3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spacing w:line="360" w:lineRule="auto"/>
        <w:ind w:firstLine="840" w:firstLineChars="300"/>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3EE26A9E">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812C5D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0DEEFFF1">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FFDE5AB">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090083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55E15A5">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4BB794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7"/>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秣陵街道宣传教育活动</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4"/>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MLES202603006</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秣陵街道宣传教育活动</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项目预算</w:t>
            </w:r>
          </w:p>
        </w:tc>
        <w:tc>
          <w:tcPr>
            <w:tcW w:w="7058" w:type="dxa"/>
            <w:gridSpan w:val="2"/>
            <w:vAlign w:val="center"/>
          </w:tcPr>
          <w:p w14:paraId="2D35DACE">
            <w:pPr>
              <w:pStyle w:val="20"/>
              <w:spacing w:before="21" w:line="360" w:lineRule="auto"/>
              <w:ind w:left="107"/>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项目预算</w:t>
            </w:r>
            <w:r>
              <w:rPr>
                <w:rFonts w:hint="eastAsia" w:ascii="华文仿宋" w:hAnsi="华文仿宋" w:eastAsia="华文仿宋" w:cs="仿宋"/>
                <w:sz w:val="21"/>
                <w:highlight w:val="none"/>
                <w:lang w:eastAsia="zh-CN"/>
              </w:rPr>
              <w:t>：19万元</w:t>
            </w:r>
          </w:p>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控制价：177700元，超过最高限价作无效标处理。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64FA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shd w:val="clear" w:color="auto" w:fill="auto"/>
            <w:vAlign w:val="center"/>
          </w:tcPr>
          <w:p w14:paraId="2FA998BB">
            <w:pPr>
              <w:pStyle w:val="20"/>
              <w:spacing w:before="20"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7</w:t>
            </w:r>
          </w:p>
        </w:tc>
        <w:tc>
          <w:tcPr>
            <w:tcW w:w="2122" w:type="dxa"/>
            <w:gridSpan w:val="2"/>
            <w:shd w:val="clear" w:color="auto" w:fill="auto"/>
            <w:vAlign w:val="center"/>
          </w:tcPr>
          <w:p w14:paraId="3162AE70">
            <w:pPr>
              <w:pStyle w:val="20"/>
              <w:spacing w:before="20" w:line="360" w:lineRule="auto"/>
              <w:jc w:val="center"/>
              <w:rPr>
                <w:rFonts w:hint="eastAsia" w:ascii="华文仿宋" w:hAnsi="华文仿宋" w:eastAsia="华文仿宋" w:cs="仿宋"/>
                <w:sz w:val="21"/>
                <w:highlight w:val="none"/>
                <w:lang w:val="zh-CN" w:eastAsia="zh-CN"/>
              </w:rPr>
            </w:pPr>
            <w:r>
              <w:rPr>
                <w:rFonts w:hint="eastAsia" w:ascii="华文仿宋" w:hAnsi="华文仿宋" w:eastAsia="华文仿宋" w:cs="仿宋"/>
                <w:sz w:val="21"/>
                <w:highlight w:val="none"/>
              </w:rPr>
              <w:t>本项目所属行业</w:t>
            </w:r>
          </w:p>
        </w:tc>
        <w:tc>
          <w:tcPr>
            <w:tcW w:w="7058" w:type="dxa"/>
            <w:gridSpan w:val="2"/>
            <w:shd w:val="clear" w:color="auto" w:fill="auto"/>
            <w:vAlign w:val="center"/>
          </w:tcPr>
          <w:p w14:paraId="2FC4D8F4">
            <w:pPr>
              <w:pStyle w:val="20"/>
              <w:spacing w:before="20" w:line="360" w:lineRule="auto"/>
              <w:ind w:firstLine="210" w:firstLineChars="100"/>
              <w:jc w:val="left"/>
              <w:rPr>
                <w:rFonts w:hint="eastAsia"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其他未列明行业</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8</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2026年4月9日13</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9</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2026年4月9日14：00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10</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3257CD1F">
      <w:pPr>
        <w:pStyle w:val="2"/>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4"/>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2"/>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2"/>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2"/>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2"/>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2"/>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2"/>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2"/>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2"/>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2"/>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2"/>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2"/>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2"/>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7"/>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2"/>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2"/>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2"/>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7"/>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2"/>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2"/>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2"/>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5C4EF184">
      <w:pPr>
        <w:pStyle w:val="2"/>
        <w:numPr>
          <w:ilvl w:val="1"/>
          <w:numId w:val="4"/>
        </w:numPr>
        <w:tabs>
          <w:tab w:val="left" w:pos="1008"/>
        </w:tabs>
        <w:spacing w:before="43" w:line="360" w:lineRule="auto"/>
        <w:ind w:right="281" w:firstLine="42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应具备规定的条件并</w:t>
      </w:r>
      <w:r>
        <w:rPr>
          <w:rFonts w:hint="eastAsia" w:ascii="华文仿宋" w:hAnsi="华文仿宋" w:eastAsia="华文仿宋" w:cs="仿宋"/>
          <w:bCs/>
          <w:color w:val="000000" w:themeColor="text1"/>
          <w:spacing w:val="-7"/>
          <w:sz w:val="21"/>
          <w:highlight w:val="none"/>
          <w14:textFill>
            <w14:solidFill>
              <w14:schemeClr w14:val="tx1"/>
            </w14:solidFill>
          </w14:textFill>
        </w:rPr>
        <w:t>提供材料：</w:t>
      </w:r>
    </w:p>
    <w:p w14:paraId="25E82B2A">
      <w:pPr>
        <w:pStyle w:val="2"/>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（1）具有独立承担民事责任的能力（提供法人或者其他组织的营业执照，自然人的身份证明，等证明性材料）</w:t>
      </w:r>
    </w:p>
    <w:p w14:paraId="1FEE8C66">
      <w:pPr>
        <w:pStyle w:val="2"/>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（2）具有良好的商业信誉和健全的财务会计制度（提供上一年度的财务审计报告或采购公告前近半年内（至少一个月）财务报表）</w:t>
      </w:r>
    </w:p>
    <w:p w14:paraId="7311B621">
      <w:pPr>
        <w:pStyle w:val="2"/>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（3）具有履行合同所必需的设备和专业技术能力（根据项目需求提供履行合同所必需的设备和专业技术能力的证明材料或书面声明）；</w:t>
      </w:r>
    </w:p>
    <w:p w14:paraId="271F58D1">
      <w:pPr>
        <w:pStyle w:val="2"/>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382A3A25">
      <w:pPr>
        <w:pStyle w:val="2"/>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（5）参加政府采购活动前三年内，在经营活动中没有重大违法记录（提供参加本次政府采购活动前 3 年内在经营活动中没有重大违法记录的书面声明）；</w:t>
      </w:r>
    </w:p>
    <w:p w14:paraId="6B3B2EC4">
      <w:pPr>
        <w:pStyle w:val="2"/>
        <w:tabs>
          <w:tab w:val="left" w:pos="1008"/>
        </w:tabs>
        <w:spacing w:before="43" w:line="360" w:lineRule="auto"/>
        <w:ind w:left="743" w:right="281" w:firstLine="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华文仿宋"/>
          <w:bCs/>
          <w:kern w:val="2"/>
          <w:sz w:val="21"/>
          <w:szCs w:val="21"/>
          <w:highlight w:val="none"/>
          <w:lang w:val="en-US" w:bidi="ar-SA"/>
        </w:rPr>
        <w:t>（6）法律、行政法规规定的其他条件。</w:t>
      </w:r>
    </w:p>
    <w:p w14:paraId="774B7878">
      <w:pPr>
        <w:pStyle w:val="2"/>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采购人根据采购项目的特殊要求规定的特定条件：</w:t>
      </w:r>
    </w:p>
    <w:p w14:paraId="497BE91F">
      <w:pPr>
        <w:pStyle w:val="2"/>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lang w:val="en-US" w:eastAsia="zh-CN"/>
          <w14:textFill>
            <w14:solidFill>
              <w14:schemeClr w14:val="tx1"/>
            </w14:solidFill>
          </w14:textFill>
        </w:rPr>
        <w:t>无</w:t>
      </w:r>
      <w:r>
        <w:rPr>
          <w:rFonts w:hint="eastAsia" w:ascii="华文仿宋" w:hAnsi="华文仿宋" w:eastAsia="华文仿宋" w:cs="仿宋"/>
          <w:bCs/>
          <w:color w:val="000000" w:themeColor="text1"/>
          <w:spacing w:val="-3"/>
          <w:sz w:val="21"/>
          <w:highlight w:val="none"/>
          <w14:textFill>
            <w14:solidFill>
              <w14:schemeClr w14:val="tx1"/>
            </w14:solidFill>
          </w14:textFill>
        </w:rPr>
        <w:t>；</w:t>
      </w:r>
    </w:p>
    <w:p w14:paraId="0AA73465">
      <w:pPr>
        <w:pStyle w:val="2"/>
        <w:numPr>
          <w:ilvl w:val="1"/>
          <w:numId w:val="4"/>
        </w:numPr>
        <w:tabs>
          <w:tab w:val="left" w:pos="1166"/>
        </w:tabs>
        <w:spacing w:line="360" w:lineRule="auto"/>
        <w:ind w:left="1165" w:hanging="423"/>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拒绝下述供应商参加本次采购活</w:t>
      </w:r>
      <w:r>
        <w:rPr>
          <w:rFonts w:hint="eastAsia" w:ascii="华文仿宋" w:hAnsi="华文仿宋" w:eastAsia="华文仿宋" w:cs="仿宋"/>
          <w:bCs/>
          <w:color w:val="000000" w:themeColor="text1"/>
          <w:sz w:val="21"/>
          <w:highlight w:val="none"/>
          <w:lang w:val="en-US"/>
          <w14:textFill>
            <w14:solidFill>
              <w14:schemeClr w14:val="tx1"/>
            </w14:solidFill>
          </w14:textFill>
        </w:rPr>
        <w:t>动</w:t>
      </w:r>
    </w:p>
    <w:p w14:paraId="4564A175">
      <w:pPr>
        <w:pStyle w:val="2"/>
        <w:numPr>
          <w:ilvl w:val="0"/>
          <w:numId w:val="7"/>
        </w:numPr>
        <w:tabs>
          <w:tab w:val="left" w:pos="1270"/>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是否接受联合体投标：不接受。</w:t>
      </w:r>
    </w:p>
    <w:p w14:paraId="0644A4AC">
      <w:pPr>
        <w:pStyle w:val="2"/>
        <w:numPr>
          <w:ilvl w:val="0"/>
          <w:numId w:val="7"/>
        </w:numPr>
        <w:tabs>
          <w:tab w:val="left" w:pos="1270"/>
        </w:tabs>
        <w:spacing w:before="43" w:line="360" w:lineRule="auto"/>
        <w:ind w:left="323" w:right="312"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供应商单位负责人为同一人或者存在直接控股、管理关系的不同供应商，不得参加同一合同项下的采购活动。（提供承诺书，格式自拟）</w:t>
      </w:r>
    </w:p>
    <w:p w14:paraId="6557C395">
      <w:pPr>
        <w:pStyle w:val="2"/>
        <w:numPr>
          <w:ilvl w:val="0"/>
          <w:numId w:val="7"/>
        </w:numPr>
        <w:tabs>
          <w:tab w:val="left" w:pos="1270"/>
        </w:tabs>
        <w:spacing w:line="360" w:lineRule="auto"/>
        <w:ind w:left="323" w:right="315"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5"/>
          <w:w w:val="95"/>
          <w:sz w:val="21"/>
          <w:highlight w:val="none"/>
          <w14:textFill>
            <w14:solidFill>
              <w14:schemeClr w14:val="tx1"/>
            </w14:solidFill>
          </w14:textFill>
        </w:rPr>
        <w:t>凡为采购项目提供整体设计、规范编制或者项目管理、监理、检测等服务的供应商，不得再参</w:t>
      </w:r>
      <w:r>
        <w:rPr>
          <w:rFonts w:hint="eastAsia" w:ascii="华文仿宋" w:hAnsi="华文仿宋" w:eastAsia="华文仿宋" w:cs="仿宋"/>
          <w:bCs/>
          <w:color w:val="000000" w:themeColor="text1"/>
          <w:spacing w:val="-5"/>
          <w:sz w:val="21"/>
          <w:highlight w:val="none"/>
          <w14:textFill>
            <w14:solidFill>
              <w14:schemeClr w14:val="tx1"/>
            </w14:solidFill>
          </w14:textFill>
        </w:rPr>
        <w:t>加本项目的采购活动。</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E5086A1">
      <w:pPr>
        <w:pStyle w:val="2"/>
        <w:numPr>
          <w:ilvl w:val="0"/>
          <w:numId w:val="7"/>
        </w:numPr>
        <w:tabs>
          <w:tab w:val="left" w:pos="1270"/>
        </w:tabs>
        <w:spacing w:line="360" w:lineRule="auto"/>
        <w:ind w:left="323" w:right="311"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0"/>
          <w:sz w:val="21"/>
          <w:highlight w:val="none"/>
          <w14:textFill>
            <w14:solidFill>
              <w14:schemeClr w14:val="tx1"/>
            </w14:solidFill>
          </w14:textFill>
        </w:rPr>
        <w:t>供应商被“信用中国”网站</w:t>
      </w:r>
      <w:r>
        <w:rPr>
          <w:rFonts w:hint="eastAsia" w:ascii="华文仿宋" w:hAnsi="华文仿宋" w:eastAsia="华文仿宋" w:cs="仿宋"/>
          <w:bCs/>
          <w:color w:val="000000" w:themeColor="text1"/>
          <w:spacing w:val="-18"/>
          <w:sz w:val="21"/>
          <w:highlight w:val="none"/>
          <w14:textFill>
            <w14:solidFill>
              <w14:schemeClr w14:val="tx1"/>
            </w14:solidFill>
          </w14:textFill>
        </w:rPr>
        <w:t>、“中国政府采购网"列入失信被执行人、重大税收违法案件当事人名单、政府采购严重违法失信行为记录名单。</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10D0679">
      <w:pPr>
        <w:pStyle w:val="2"/>
        <w:numPr>
          <w:ilvl w:val="1"/>
          <w:numId w:val="4"/>
        </w:numPr>
        <w:tabs>
          <w:tab w:val="left" w:pos="1063"/>
        </w:tabs>
        <w:spacing w:line="360" w:lineRule="auto"/>
        <w:ind w:left="1062" w:hanging="320"/>
        <w:rPr>
          <w:rFonts w:hint="eastAsia" w:ascii="华文仿宋" w:hAnsi="华文仿宋" w:eastAsia="华文仿宋" w:cs="仿宋"/>
          <w:bCs/>
          <w:color w:val="000000" w:themeColor="text1"/>
          <w:sz w:val="21"/>
          <w:szCs w:val="21"/>
          <w:highlight w:val="none"/>
          <w14:textFill>
            <w14:solidFill>
              <w14:schemeClr w14:val="tx1"/>
            </w14:solidFill>
          </w14:textFill>
        </w:rPr>
      </w:pPr>
      <w:r>
        <w:rPr>
          <w:rFonts w:hint="eastAsia" w:ascii="华文仿宋" w:hAnsi="华文仿宋" w:eastAsia="华文仿宋" w:cs="仿宋"/>
          <w:bCs/>
          <w:color w:val="000000" w:themeColor="text1"/>
          <w:sz w:val="21"/>
          <w:szCs w:val="21"/>
          <w:highlight w:val="none"/>
          <w14:textFill>
            <w14:solidFill>
              <w14:schemeClr w14:val="tx1"/>
            </w14:solidFill>
          </w14:textFill>
        </w:rPr>
        <w:t>南京市政府采购供应商信用记录表暨信用承诺书</w:t>
      </w:r>
    </w:p>
    <w:p w14:paraId="752C5A9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w:t>
      </w:r>
      <w:r>
        <w:rPr>
          <w:rFonts w:hint="eastAsia" w:ascii="华文仿宋" w:hAnsi="华文仿宋" w:eastAsia="华文仿宋" w:cs="仿宋"/>
          <w:bCs/>
          <w:color w:val="000000" w:themeColor="text1"/>
          <w:spacing w:val="-2"/>
          <w:sz w:val="18"/>
          <w:szCs w:val="18"/>
          <w:highlight w:val="none"/>
          <w14:textFill>
            <w14:solidFill>
              <w14:schemeClr w14:val="tx1"/>
            </w14:solidFill>
          </w14:textFill>
        </w:rPr>
        <w:t>（http://180.101.238.212:8280/hodeframe2018_cxda/index.action;jsessionid=769BA9C8E1729422E7173B991C8EC1E5）</w:t>
      </w:r>
      <w:r>
        <w:rPr>
          <w:rFonts w:hint="eastAsia" w:ascii="华文仿宋" w:hAnsi="华文仿宋" w:eastAsia="华文仿宋" w:cs="仿宋"/>
          <w:bCs/>
          <w:color w:val="000000" w:themeColor="text1"/>
          <w:spacing w:val="-2"/>
          <w:szCs w:val="22"/>
          <w:highlight w:val="none"/>
          <w14:textFill>
            <w14:solidFill>
              <w14:schemeClr w14:val="tx1"/>
            </w14:solidFill>
          </w14:textFill>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3ACC4AD">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在资格审查环节，供应商只需提供书面《南京市政府采购供应商信用记录表暨信用承诺书》，即可替代以下证明材料： </w:t>
      </w:r>
    </w:p>
    <w:p w14:paraId="7BC44264">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（1）符合国家相关规定的财务状况报告； </w:t>
      </w:r>
    </w:p>
    <w:p w14:paraId="7384ED24">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（2）依法缴纳税收的证明材料； </w:t>
      </w:r>
    </w:p>
    <w:p w14:paraId="4A65CCE0">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（3）依法缴纳社会保障资金的证明材料； </w:t>
      </w:r>
    </w:p>
    <w:p w14:paraId="29409BD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（4）具备履行合同所必需的设备和专业技术能力的证明材料； </w:t>
      </w:r>
    </w:p>
    <w:p w14:paraId="599A85B1">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（5）参加采购活动前三年内在经营活动中没有重大违法记录的证明材料； </w:t>
      </w:r>
    </w:p>
    <w:p w14:paraId="0B32D767">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（6）未被列入失信被执行人、重大税收违法失信主体、政府采购严重违法失信行为记录名单的证明材料。 </w:t>
      </w:r>
    </w:p>
    <w:p w14:paraId="2BC1286F">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供应商在中标（成交）后，应按采购文件要求，将上述由信用承诺书替代的证明材料提交采购人或采购代理机构核验。经核验无误后，由采购人或采购代理机构发出中标（成交）通知书。 </w:t>
      </w:r>
    </w:p>
    <w:p w14:paraId="70C7A5D1">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供应商涉及以下情形的，不适用信用承诺： </w:t>
      </w:r>
    </w:p>
    <w:p w14:paraId="0BE81AE9">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（1）供应商被列入严重失信主体名单； </w:t>
      </w:r>
    </w:p>
    <w:p w14:paraId="291BB6F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（2）被相关监管部门作出行政处罚且尚在处罚有效期内； </w:t>
      </w:r>
    </w:p>
    <w:p w14:paraId="24B02E35">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（3）其他法律、行政法规规定的不适用信用承诺的情形。 </w:t>
      </w:r>
    </w:p>
    <w:p w14:paraId="268B0EDA">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供应商对信用承诺内容的真实性、合法性、有效性负责。如作出虚假信用承诺，视同为“提供虚假材料谋取中标、成交”的违法行为。</w:t>
      </w:r>
    </w:p>
    <w:p w14:paraId="6566C0DC">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lang w:val="en-US" w:eastAsia="zh-CN"/>
          <w14:textFill>
            <w14:solidFill>
              <w14:schemeClr w14:val="tx1"/>
            </w14:solidFill>
          </w14:textFill>
        </w:rPr>
        <w:t>4</w:t>
      </w:r>
      <w:r>
        <w:rPr>
          <w:rFonts w:hint="eastAsia" w:ascii="华文仿宋" w:hAnsi="华文仿宋" w:eastAsia="华文仿宋" w:cs="仿宋"/>
          <w:bCs/>
          <w:color w:val="000000" w:themeColor="text1"/>
          <w:spacing w:val="-2"/>
          <w:szCs w:val="22"/>
          <w:highlight w:val="none"/>
          <w14:textFill>
            <w14:solidFill>
              <w14:schemeClr w14:val="tx1"/>
            </w14:solidFill>
          </w14:textFill>
        </w:rPr>
        <w:t>.5 本项目按照采用以下第（1）种方式落实政府采购促进中小企业发展的要求：</w:t>
      </w:r>
    </w:p>
    <w:p w14:paraId="1D909F0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（1）本项目整体专门面向中小企业采购服务。（供应商应为中小微企业、监狱企业、残疾人福利性单位,提供相应的声明函及其附件（如有附件））</w:t>
      </w:r>
    </w:p>
    <w:p w14:paraId="35FDA1D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（2）本项目整体专门面向小微企业采购服务。（供应商应为小微企业、监狱企业、残疾人福利性单位）</w:t>
      </w:r>
    </w:p>
    <w:p w14:paraId="7E97B7EA">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（3）本项目通过以下第（）种方式预留部分采购份额采购中小企业服务：</w:t>
      </w:r>
    </w:p>
    <w:p w14:paraId="6FC108E8">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①本项目要求供应商以联合体形式参加，中小企业合同金额应当达到的比例为＿%。</w:t>
      </w:r>
    </w:p>
    <w:p w14:paraId="0A866A62">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②本项目要求供应商进行合同分包，中小企业合同金额应当达到的比例为＿%。</w:t>
      </w:r>
    </w:p>
    <w:p w14:paraId="625BE406">
      <w:pPr>
        <w:pStyle w:val="7"/>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（4）本项目为非预留份额的采购项目或采购包，执行价格扣除优惠政策，具体详见评分标准。</w:t>
      </w:r>
    </w:p>
    <w:p w14:paraId="6FE3C56F">
      <w:pPr>
        <w:pStyle w:val="2"/>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2"/>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2"/>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2"/>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2"/>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2"/>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2"/>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2"/>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2"/>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2"/>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2"/>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2"/>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2"/>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2"/>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2"/>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2"/>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2"/>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2"/>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2"/>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2"/>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2"/>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2"/>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2"/>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2"/>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2"/>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2"/>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2"/>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2"/>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2"/>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不足</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000元的项目以固定金额</w:t>
      </w:r>
      <w:r>
        <w:rPr>
          <w:rFonts w:hint="eastAsia" w:ascii="华文仿宋" w:hAnsi="华文仿宋" w:eastAsia="华文仿宋" w:cs="仿宋"/>
          <w:bCs/>
          <w:color w:val="000000" w:themeColor="text1"/>
          <w:spacing w:val="4"/>
          <w:w w:val="95"/>
          <w:sz w:val="21"/>
          <w:highlight w:val="none"/>
          <w:lang w:val="en-US" w:eastAsia="zh-CN"/>
          <w14:textFill>
            <w14:solidFill>
              <w14:schemeClr w14:val="tx1"/>
            </w14:solidFill>
          </w14:textFill>
        </w:rPr>
        <w:t>3</w:t>
      </w:r>
      <w:r>
        <w:rPr>
          <w:rFonts w:hint="eastAsia" w:ascii="华文仿宋" w:hAnsi="华文仿宋" w:eastAsia="华文仿宋" w:cs="仿宋"/>
          <w:bCs/>
          <w:color w:val="000000" w:themeColor="text1"/>
          <w:spacing w:val="4"/>
          <w:w w:val="95"/>
          <w:sz w:val="21"/>
          <w:highlight w:val="none"/>
          <w:lang w:val="zh-CN" w:eastAsia="zh-CN"/>
          <w14:textFill>
            <w14:solidFill>
              <w14:schemeClr w14:val="tx1"/>
            </w14:solidFill>
          </w14:textFill>
        </w:rPr>
        <w:t>000元计取</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。无论是否将以上费用在报价中列明，均视为已含在投标价格中。这部分费用由中标单位在领取中标通知书时一次性支付</w:t>
      </w:r>
      <w:r>
        <w:rPr>
          <w:rFonts w:hint="eastAsia" w:ascii="华文仿宋" w:hAnsi="华文仿宋" w:eastAsia="华文仿宋" w:cs="华文仿宋"/>
          <w:bCs/>
          <w:sz w:val="21"/>
          <w:highlight w:val="none"/>
        </w:rPr>
        <w:t>。</w:t>
      </w:r>
    </w:p>
    <w:p w14:paraId="3D8D6841">
      <w:pPr>
        <w:pStyle w:val="4"/>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2"/>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2"/>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2"/>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2"/>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2"/>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2"/>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2"/>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7"/>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2"/>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2"/>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7"/>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2"/>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2"/>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2"/>
        <w:numPr>
          <w:ilvl w:val="0"/>
          <w:numId w:val="8"/>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2"/>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2"/>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2"/>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2"/>
        <w:numPr>
          <w:ilvl w:val="0"/>
          <w:numId w:val="8"/>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2"/>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2"/>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2"/>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2"/>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7"/>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2"/>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2"/>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2"/>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2"/>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2"/>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2"/>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2"/>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2"/>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2"/>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2"/>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2"/>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2"/>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2"/>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2"/>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2"/>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2"/>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2"/>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2"/>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2"/>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2"/>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2"/>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2"/>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2"/>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2"/>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2"/>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2"/>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2"/>
        <w:numPr>
          <w:ilvl w:val="1"/>
          <w:numId w:val="10"/>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2"/>
        <w:numPr>
          <w:ilvl w:val="1"/>
          <w:numId w:val="10"/>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2"/>
        <w:numPr>
          <w:ilvl w:val="1"/>
          <w:numId w:val="11"/>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2"/>
        <w:numPr>
          <w:ilvl w:val="1"/>
          <w:numId w:val="11"/>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2"/>
        <w:numPr>
          <w:ilvl w:val="1"/>
          <w:numId w:val="11"/>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2"/>
        <w:numPr>
          <w:ilvl w:val="1"/>
          <w:numId w:val="11"/>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2"/>
        <w:numPr>
          <w:ilvl w:val="1"/>
          <w:numId w:val="11"/>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2"/>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2"/>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2"/>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2"/>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2"/>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2"/>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2"/>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2"/>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2"/>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2"/>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2"/>
        <w:numPr>
          <w:ilvl w:val="1"/>
          <w:numId w:val="11"/>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2"/>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2"/>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2"/>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2"/>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2"/>
        <w:numPr>
          <w:ilvl w:val="0"/>
          <w:numId w:val="12"/>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2"/>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2"/>
        <w:numPr>
          <w:ilvl w:val="1"/>
          <w:numId w:val="13"/>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2"/>
        <w:numPr>
          <w:ilvl w:val="1"/>
          <w:numId w:val="13"/>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2"/>
        <w:numPr>
          <w:ilvl w:val="1"/>
          <w:numId w:val="13"/>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2"/>
        <w:numPr>
          <w:ilvl w:val="1"/>
          <w:numId w:val="14"/>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2"/>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2"/>
        <w:numPr>
          <w:ilvl w:val="1"/>
          <w:numId w:val="14"/>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2"/>
        <w:numPr>
          <w:ilvl w:val="1"/>
          <w:numId w:val="14"/>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2"/>
        <w:numPr>
          <w:ilvl w:val="1"/>
          <w:numId w:val="14"/>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2"/>
        <w:numPr>
          <w:ilvl w:val="1"/>
          <w:numId w:val="14"/>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2"/>
        <w:numPr>
          <w:ilvl w:val="1"/>
          <w:numId w:val="14"/>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7"/>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7"/>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2"/>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2"/>
        <w:numPr>
          <w:ilvl w:val="1"/>
          <w:numId w:val="15"/>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2"/>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2"/>
        <w:numPr>
          <w:ilvl w:val="1"/>
          <w:numId w:val="15"/>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4"/>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2"/>
        <w:numPr>
          <w:ilvl w:val="1"/>
          <w:numId w:val="16"/>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2"/>
        <w:numPr>
          <w:ilvl w:val="1"/>
          <w:numId w:val="16"/>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2"/>
        <w:numPr>
          <w:ilvl w:val="1"/>
          <w:numId w:val="16"/>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2"/>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2"/>
        <w:numPr>
          <w:ilvl w:val="0"/>
          <w:numId w:val="1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2"/>
        <w:numPr>
          <w:ilvl w:val="0"/>
          <w:numId w:val="17"/>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2"/>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2"/>
        <w:numPr>
          <w:ilvl w:val="0"/>
          <w:numId w:val="17"/>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2"/>
        <w:numPr>
          <w:ilvl w:val="1"/>
          <w:numId w:val="16"/>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2"/>
        <w:numPr>
          <w:ilvl w:val="1"/>
          <w:numId w:val="16"/>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7"/>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7"/>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2"/>
        <w:rPr>
          <w:rFonts w:hint="eastAsia" w:ascii="华文仿宋" w:hAnsi="华文仿宋" w:eastAsia="华文仿宋"/>
          <w:highlight w:val="none"/>
        </w:rPr>
      </w:pPr>
    </w:p>
    <w:p w14:paraId="472CA127">
      <w:pPr>
        <w:rPr>
          <w:rFonts w:hint="eastAsia" w:ascii="华文仿宋" w:hAnsi="华文仿宋" w:eastAsia="华文仿宋"/>
          <w:highlight w:val="none"/>
        </w:rPr>
      </w:pPr>
    </w:p>
    <w:p w14:paraId="383A5562">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p>
    <w:p w14:paraId="24ED52E8">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504A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C63E2D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63E1CC">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2E4E7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B924E7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E6DA8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CD30E9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E24C8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DC57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A48B06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8716A1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B21EFC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BA67DFE">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2"/>
        <w:rPr>
          <w:rFonts w:hint="eastAsia" w:ascii="华文仿宋" w:hAnsi="华文仿宋" w:eastAsia="华文仿宋"/>
          <w:highlight w:val="none"/>
        </w:rPr>
      </w:pPr>
    </w:p>
    <w:p w14:paraId="3874CFFE">
      <w:pPr>
        <w:spacing w:before="82" w:line="360" w:lineRule="auto"/>
        <w:ind w:right="3668"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秣陵街道宣传教育活动</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1年</w:t>
      </w:r>
    </w:p>
    <w:p w14:paraId="7E8AB83E">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三、项目目的和主要服务内容：</w:t>
      </w:r>
    </w:p>
    <w:p w14:paraId="6DD67780">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（一）、指导思想</w:t>
      </w:r>
    </w:p>
    <w:p w14:paraId="0B349B16">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坚持以习近平新时代中国特色社会主义思想为指导，全面贯彻落实党的二十大和二十届二中、三中全会精神，深入学习贯彻习近平文化思想，紧扣“争当表率、争做示范、走在前列”使命要求，聚焦举旗帜、聚民心、育新人、兴文化、展形象的使命任务，着眼壮大主流思想舆论、凝聚改革发展共识，围绕“学习体验、主题宣讲、先进模范学习宣传、红色文化宣传教育、青少年教育实践、网上主题宣传、群众性文化活动”等重点内容，持续深化拓展新时代文明实践所（站）建设，推动党的创新理论“飞入寻常百姓家”，为秣陵街道现代化建设提供坚强思想保证和强大精神力量。</w:t>
      </w:r>
    </w:p>
    <w:p w14:paraId="0953FDE6">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（二）、主要任务</w:t>
      </w:r>
    </w:p>
    <w:p w14:paraId="372B7983">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1.深化学习体验，推动党的创新理论入心见行</w:t>
      </w:r>
    </w:p>
    <w:p w14:paraId="4F324705">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依托新时代文明实践所（站）、理论宣讲工作室、党群服务中心等阵地，创新学习形式，增强理论学习的互动性与体验感。组织党员干部、居民群众走进红色教育基地、改革发展一线、乡村振兴示范点，开展沉浸式、体验式学习活动。结合“板凳课堂”“田间课堂”等特色载体，运用情景党课、知识竞答等方式，让理论学习更加生动鲜活。</w:t>
      </w:r>
    </w:p>
    <w:p w14:paraId="28AF6CD1">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2.开展主题宣讲，凝聚改革发展广泛共识</w:t>
      </w:r>
    </w:p>
    <w:p w14:paraId="6F7CC5B9">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围绕党中央重大决策部署、重要会议精神、民生热点政策，组建由领导干部、专家学者、百姓名嘴构成的宣讲团，深入社区、企业、学校、网格开展分众化、互动式主题宣讲。重点讲好新时代发展成就、秣陵奋斗故事，把政策讲透彻、把道理讲明白。全年培育本土宣讲骨干不少于10名，推动“名师带名嘴、名嘴带骨干”机制走深走实。</w:t>
      </w:r>
    </w:p>
    <w:p w14:paraId="1EB424A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3.强化先进模范学习宣传，发挥典型示范引领作用</w:t>
      </w:r>
    </w:p>
    <w:p w14:paraId="792666F3">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深化社会主义核心价值观宣传教育，健全道德典型选树、关爱、宣传机制。广泛开展“好婆媳”“好邻里”“文明家庭”“最美江宁人”“优秀志愿者”等评选活动，用身边事教育身边人。依托善行义举榜、道德讲堂、短视频等载体，常态化宣传先进模范事迹，营造崇德向善、见贤思齐的浓厚氛围。全年组织评选表彰活动不少于2次。</w:t>
      </w:r>
    </w:p>
    <w:p w14:paraId="2FB09B3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4.传承红色文化，加强爱国主义教育</w:t>
      </w:r>
    </w:p>
    <w:p w14:paraId="24198310">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深入挖掘本地红色资源，组织开展红色故事宣讲、红色电影展播、红色歌曲传唱、红色足迹寻访等活动。依托烈士陵园、革命纪念馆等阵地，开展“清明祭英烈”“国庆敬国旗”等主题教育，引导干部群众赓续红色血脉。结合“七一”“八一”等节点，举办军民共建、国防教育等活动。全年开展红色文化宣传教育活动不少于4场，覆盖各年龄段人群。</w:t>
      </w:r>
    </w:p>
    <w:p w14:paraId="526C12F3">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5.深化青少年教育实践，培育担当民族复兴大任的时代新人</w:t>
      </w:r>
    </w:p>
    <w:p w14:paraId="2D0DFC96">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用好社区家长学校、未成年人活动室、网格资源，组织青少年参与“我们的节日”、传统文化体验、模拟法庭、小小志愿者等实践活动。培育扶持一批公益性青少年互助组织，开展科普启蒙、书法绘画、非遗传承等公益课堂。推动校地共建，引导大学生志愿者进社区开展课业辅导、心理疏导等服务。全年开展青少年主题教育实践活动不少于6场。</w:t>
      </w:r>
    </w:p>
    <w:p w14:paraId="69ABB173">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6.拓展网上主题宣传，营造清朗网络空间</w:t>
      </w:r>
    </w:p>
    <w:p w14:paraId="37D8570C">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用好“学习强国”学习平台、秣陵在线、文明江宁等新媒体资源，推出“新时代文明实践所（站）巡礼”系列报道，展示各社区文明实践特色品牌。制作推送理论宣讲微视频、活动精彩瞬间短视频、文明小知识图文等，增强网上宣传的吸引力和影响力。开展网络文明传播志愿服务，引导网民文明上网、理性表达。</w:t>
      </w:r>
    </w:p>
    <w:p w14:paraId="67E993B7">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7.丰富群众性文化活动，提升居民幸福感获得感</w:t>
      </w:r>
    </w:p>
    <w:p w14:paraId="4B1FD13A">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广泛开展群众乐于参与、便于参与的文化体育活动，如广场舞大赛、地方戏曲展演、太极健身、民俗舞龙、社区运动会等。深化“我们的节日”主题活动，结合春节、端午、中秋等传统节日，举办邻里节、百家宴、民俗体验等活动。推进“送戏下乡”“公益电影展映”“文艺辅导进社区”等文化惠民项目，让群众在家门口享受优质文化服务。全年开展群众性文化活动不少于30场，实现社区全覆盖。</w:t>
      </w:r>
    </w:p>
    <w:p w14:paraId="1C57935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（三）、重点项目</w:t>
      </w:r>
    </w:p>
    <w:p w14:paraId="04E7A8B4">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1.理论宣讲阵地队伍品牌“三提升”</w:t>
      </w:r>
    </w:p>
    <w:p w14:paraId="023D91B0">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持续提档升级双金“板凳课堂”、下墟“邻里讲堂”、牛首“车间课堂”等特色宣讲阵地，打造可复制、可推广的宣讲样板。建强街道—社区两级宣讲队伍，完善“名师—名嘴—骨干—草根”培育链条。结合“学习体验”任务，开发“行走的党课”线路，让宣讲阵地动起来、活起来。</w:t>
      </w:r>
    </w:p>
    <w:p w14:paraId="6B283982">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2.搭建“七传播七践行”载体</w:t>
      </w:r>
    </w:p>
    <w:p w14:paraId="217D67E9">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围绕传播红色文化、公共服务理念、节能理念、好人精神、健康生活、科普知识、文明风尚等七大主题，开展系列志愿服务活动。精准对接群众需求，推动志愿服务项目化、常态化。</w:t>
      </w:r>
    </w:p>
    <w:p w14:paraId="69A4448B">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3.培育“十大文明好习惯”</w:t>
      </w:r>
    </w:p>
    <w:p w14:paraId="17B0D998">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持续深化文明用餐、出行等十大习惯养成行动，联合下墟社区“好食光”面点工作室，推动文明就餐新“食”尚。同步开展公益宣传、主题活动及积分兑换，引导居民从点滴做起，让诚信守法、勤俭节约等新风尚融入日常。</w:t>
      </w:r>
    </w:p>
    <w:p w14:paraId="4E4675B4">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4.常态化开展“农家书屋”主题活动</w:t>
      </w:r>
    </w:p>
    <w:p w14:paraId="2EDFC86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发挥农家书屋阵地作用，定期开放并举办阅读分享会、农技讲座、亲子阅读等活动。结合乡村振兴，补充农业技术、科普健康、文学经典等书籍，满足农民阅读需求。</w:t>
      </w:r>
    </w:p>
    <w:p w14:paraId="1A00024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5.“文明与文化同行”志愿服务项目</w:t>
      </w:r>
    </w:p>
    <w:p w14:paraId="40FA2D07">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街道实践所统筹，各社区实践站组建固定志愿服务队，每月深入自然村组、居民小区开展理论宣讲、文化文艺、卫生环保、助老服务、文明礼仪等志愿服务活动。让群众感受到秣陵独特的文化魅力，做文明有礼秣陵人。</w:t>
      </w:r>
    </w:p>
    <w:p w14:paraId="4B54BBE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6.相关平台主题实践活动</w:t>
      </w:r>
    </w:p>
    <w:p w14:paraId="3B4953B6">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根据上级部门相关要求，依托理论宣讲、科技科普、文化体育、教育服务、健康促进、法律服务、卫生环保、扶弱帮困等相关平台，全面推进新时代文明实践工作，提升基层思想政治工作和文明建设水平，打通宣传群众、教育群众、关心群众、服务群众的“最后一公里”。</w:t>
      </w:r>
    </w:p>
    <w:p w14:paraId="35DBA3B5">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（四）、工作要求</w:t>
      </w:r>
    </w:p>
    <w:p w14:paraId="16674867">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1.学习实践科学理论</w:t>
      </w:r>
    </w:p>
    <w:p w14:paraId="1D3095DD">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紧贴居民群众生活实际，紧扣居民群众所思所想所盼，搭建科学理论与居民群众连通桥梁。把习近平新时代中国特色社会主义思想讲清楚，讲明白，让老百姓听得懂、能领会。</w:t>
      </w:r>
    </w:p>
    <w:p w14:paraId="41F846C9">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2.宣传宣讲党的政策</w:t>
      </w:r>
    </w:p>
    <w:p w14:paraId="6E77BE28">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帮助居民群众了解政府政策方针、掌握政策，特别是围绕实施文明城市创建，把民生保障、生态环保、卫生健康、扶弱帮困等与居民群众密切相关的政策讲清楚讲明白。把工作做到居民群众身边，温暖送到居民群众心坎。</w:t>
      </w:r>
    </w:p>
    <w:p w14:paraId="659E6022">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3.培育践行主流价值</w:t>
      </w:r>
    </w:p>
    <w:p w14:paraId="66A3A7A9">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广泛开展中国特色社会主义和中国梦宣传教育，深入推进社会主义核心价值观宣传教育，深入实施公民道德建设工程，深入开展爱国主义教育，引导居民坚定理想信念，大力弘扬中华传统美德，大力倡导社会主义道德，广泛开展学习社会主义核心价值观，如开展社会主义核心价值观大家说、诗歌里的主流价值、时代楷模、道德模范、最美人物、创建文明社区、创建文明家庭等活动。</w:t>
      </w:r>
    </w:p>
    <w:p w14:paraId="1D0E12B8">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4.丰富活跃文化生活</w:t>
      </w:r>
    </w:p>
    <w:p w14:paraId="27B188B2">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挖掘地域文化特色，创新活动形式，鼓励群众自办文化，支持社区文艺团队发展，让文化阵地“活”起来、群众生活“乐”起来。</w:t>
      </w:r>
    </w:p>
    <w:p w14:paraId="04B33A89">
      <w:pPr>
        <w:pStyle w:val="2"/>
        <w:shd w:val="clear"/>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5.持续深入移风易俗</w:t>
      </w:r>
    </w:p>
    <w:p w14:paraId="10DE8EBC">
      <w:pPr>
        <w:pStyle w:val="2"/>
        <w:shd w:val="clear"/>
        <w:spacing w:line="480" w:lineRule="auto"/>
        <w:rPr>
          <w:rFonts w:hint="default"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大力开展移风易俗、弘扬时代新风行动，破除陈规陋习，传播文明理念。倡导婚事新办、丧事简办、小事不办。宣传文明礼仪规范、立定规矩、制定村规民约、市民公约，引导群众自觉遵守。</w:t>
      </w:r>
    </w:p>
    <w:p w14:paraId="7C2B8C07">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四、付款方式：</w:t>
      </w:r>
    </w:p>
    <w:p w14:paraId="05761448">
      <w:pPr>
        <w:pStyle w:val="2"/>
        <w:spacing w:line="48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按季付款，服务结束并达到考核要求后支付合同价款95%，余款一年后付清</w:t>
      </w:r>
    </w:p>
    <w:p w14:paraId="1B15E17E">
      <w:pPr>
        <w:pStyle w:val="2"/>
        <w:spacing w:line="360" w:lineRule="auto"/>
        <w:rPr>
          <w:rFonts w:hint="eastAsia" w:ascii="华文仿宋" w:hAnsi="华文仿宋" w:eastAsia="华文仿宋" w:cs="宋体"/>
          <w:sz w:val="21"/>
          <w:szCs w:val="21"/>
          <w:highlight w:val="none"/>
          <w:lang w:val="en-US" w:eastAsia="zh-CN"/>
        </w:rPr>
      </w:pPr>
    </w:p>
    <w:p w14:paraId="3D61A20A">
      <w:pPr>
        <w:numPr>
          <w:ilvl w:val="0"/>
          <w:numId w:val="18"/>
        </w:numPr>
        <w:spacing w:before="82" w:line="360" w:lineRule="auto"/>
        <w:ind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报价要求：</w:t>
      </w:r>
    </w:p>
    <w:tbl>
      <w:tblPr>
        <w:tblStyle w:val="14"/>
        <w:tblW w:w="10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8"/>
        <w:gridCol w:w="1873"/>
        <w:gridCol w:w="2053"/>
        <w:gridCol w:w="768"/>
        <w:gridCol w:w="540"/>
        <w:gridCol w:w="993"/>
        <w:gridCol w:w="1006"/>
        <w:gridCol w:w="2310"/>
      </w:tblGrid>
      <w:tr w14:paraId="3497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B4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1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A0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服务内容</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93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3C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2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81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22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B8C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B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维系志愿服务队伍</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维系街道一支综合性志愿者服务团队</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8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076B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D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3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志愿者培训</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专题志愿者培训（应急救护、防灾减灾、心理健康等）</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E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5AE1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年度常规化网上主题文明宣传</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年度网上主题宣传内容制作</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A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5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3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18B2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文明评选主题活动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A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文明家庭、优秀志愿者等评选活动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E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0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4C36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4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A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社区治理主题活动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5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我们的节日、传统文化体验、小小志愿者等社区治理活动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A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8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7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7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25EC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主题服务活动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E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青少年主题教育实践活动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D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397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新时代文明实践活动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新时代文明实践八大平台活动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745F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文明城市宣传活动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文明城市宣传活动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5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7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F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79AC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C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农家书屋主题活动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C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农家书屋主题活动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9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D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7CDE5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8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学习体验主题活动</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D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组织党员群众开展红色教育等体现学习的活动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5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2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7972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9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项目总结年刊</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项目总结年刊</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0029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A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全职项目社工1名（含工资、社保、公积金、福利待遇等一切费用）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5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E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5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1AD0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0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4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1A1D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0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项目督导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F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6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此价格包含规费、税金、不可预见的风险费用等与此项目有关所产生的一切费用。</w:t>
            </w:r>
          </w:p>
        </w:tc>
      </w:tr>
      <w:tr w14:paraId="2AB7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96E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8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3730">
            <w:pPr>
              <w:rPr>
                <w:rFonts w:hint="eastAsia" w:ascii="宋体" w:hAnsi="宋体" w:eastAsia="宋体" w:cs="宋体"/>
                <w:b/>
                <w:bCs/>
                <w:i w:val="0"/>
                <w:iCs w:val="0"/>
                <w:color w:val="000000"/>
                <w:sz w:val="22"/>
                <w:szCs w:val="22"/>
                <w:u w:val="none"/>
              </w:rPr>
            </w:pPr>
          </w:p>
        </w:tc>
      </w:tr>
      <w:tr w14:paraId="66A6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591" w:type="dxa"/>
            <w:gridSpan w:val="8"/>
            <w:tcBorders>
              <w:top w:val="nil"/>
              <w:left w:val="nil"/>
              <w:bottom w:val="nil"/>
              <w:right w:val="nil"/>
            </w:tcBorders>
            <w:shd w:val="clear" w:color="auto" w:fill="auto"/>
            <w:noWrap/>
            <w:vAlign w:val="center"/>
          </w:tcPr>
          <w:p w14:paraId="5A240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备注：以上费用含税金等一切所需费用</w:t>
            </w:r>
          </w:p>
        </w:tc>
      </w:tr>
    </w:tbl>
    <w:p w14:paraId="0826642C">
      <w:pPr>
        <w:numPr>
          <w:ilvl w:val="0"/>
          <w:numId w:val="0"/>
        </w:numPr>
        <w:spacing w:before="82" w:line="360" w:lineRule="auto"/>
        <w:ind w:right="3668" w:rightChars="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11467993">
      <w:pPr>
        <w:numPr>
          <w:ilvl w:val="0"/>
          <w:numId w:val="18"/>
        </w:numPr>
        <w:spacing w:before="82" w:line="360" w:lineRule="auto"/>
        <w:ind w:left="0" w:leftChars="0"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考核方法：</w:t>
      </w:r>
    </w:p>
    <w:p w14:paraId="34B13D72">
      <w:pPr>
        <w:pStyle w:val="6"/>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6C1CCDBC">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项目编号</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5E6CEB86">
      <w:pPr>
        <w:spacing w:line="360" w:lineRule="auto"/>
        <w:rPr>
          <w:rFonts w:hint="default" w:asciiTheme="minorEastAsia" w:hAnsiTheme="minorEastAsia" w:cstheme="minorEastAsia"/>
          <w:sz w:val="28"/>
          <w:szCs w:val="28"/>
          <w:u w:val="single"/>
          <w:lang w:val="en-US" w:eastAsia="zh-CN"/>
        </w:rPr>
      </w:pPr>
      <w:r>
        <w:rPr>
          <w:rFonts w:hint="eastAsia" w:asciiTheme="minorEastAsia" w:hAnsiTheme="minorEastAsia" w:cstheme="minorEastAsia"/>
          <w:b/>
          <w:bCs/>
          <w:sz w:val="28"/>
          <w:szCs w:val="28"/>
        </w:rPr>
        <w:t>项目名称</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161BF2AB">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考核起止</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56E6D945">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中标单位</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7DEF0A98">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秣陵街道群众性宣传教育主题活动</w:t>
      </w:r>
      <w:r>
        <w:rPr>
          <w:rFonts w:hint="eastAsia" w:asciiTheme="minorEastAsia" w:hAnsiTheme="minorEastAsia" w:cstheme="minorEastAsia"/>
          <w:b/>
          <w:bCs/>
          <w:sz w:val="36"/>
          <w:szCs w:val="36"/>
        </w:rPr>
        <w:t>（验收）评分表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8207"/>
        <w:gridCol w:w="993"/>
        <w:gridCol w:w="991"/>
      </w:tblGrid>
      <w:tr w14:paraId="250F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682A7B5B">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序号</w:t>
            </w:r>
          </w:p>
        </w:tc>
        <w:tc>
          <w:tcPr>
            <w:tcW w:w="3669" w:type="pct"/>
          </w:tcPr>
          <w:p w14:paraId="3262329A">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内容</w:t>
            </w:r>
          </w:p>
        </w:tc>
        <w:tc>
          <w:tcPr>
            <w:tcW w:w="443" w:type="pct"/>
          </w:tcPr>
          <w:p w14:paraId="7E8C2947">
            <w:pPr>
              <w:spacing w:line="360" w:lineRule="auto"/>
              <w:jc w:val="center"/>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总分</w:t>
            </w:r>
          </w:p>
        </w:tc>
        <w:tc>
          <w:tcPr>
            <w:tcW w:w="443" w:type="pct"/>
          </w:tcPr>
          <w:p w14:paraId="470E1DFD">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得分</w:t>
            </w:r>
          </w:p>
        </w:tc>
      </w:tr>
      <w:tr w14:paraId="33FA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78C7F30E">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w:t>
            </w:r>
          </w:p>
        </w:tc>
        <w:tc>
          <w:tcPr>
            <w:tcW w:w="3669" w:type="pct"/>
            <w:vAlign w:val="center"/>
          </w:tcPr>
          <w:p w14:paraId="13E5BD0A">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按照合同要求，人员到岗到位，职责明确</w:t>
            </w:r>
          </w:p>
        </w:tc>
        <w:tc>
          <w:tcPr>
            <w:tcW w:w="443" w:type="pct"/>
            <w:vAlign w:val="center"/>
          </w:tcPr>
          <w:p w14:paraId="3E6D723C">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20</w:t>
            </w:r>
          </w:p>
        </w:tc>
        <w:tc>
          <w:tcPr>
            <w:tcW w:w="443" w:type="pct"/>
          </w:tcPr>
          <w:p w14:paraId="4C9ECBF2">
            <w:pPr>
              <w:spacing w:line="360" w:lineRule="auto"/>
              <w:jc w:val="center"/>
              <w:rPr>
                <w:rFonts w:hint="default" w:ascii="Times New Roman" w:hAnsi="Times New Roman" w:eastAsia="方正仿宋简体" w:cs="Times New Roman"/>
                <w:color w:val="auto"/>
                <w:sz w:val="24"/>
                <w:szCs w:val="24"/>
                <w:lang w:val="en-US" w:eastAsia="zh-CN"/>
              </w:rPr>
            </w:pPr>
          </w:p>
        </w:tc>
      </w:tr>
      <w:tr w14:paraId="376C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0104B7B">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2</w:t>
            </w:r>
          </w:p>
        </w:tc>
        <w:tc>
          <w:tcPr>
            <w:tcW w:w="3669" w:type="pct"/>
            <w:vAlign w:val="center"/>
          </w:tcPr>
          <w:p w14:paraId="15F0EAE2">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按时提交季度服务计划，内容清晰、可执行</w:t>
            </w:r>
          </w:p>
        </w:tc>
        <w:tc>
          <w:tcPr>
            <w:tcW w:w="443" w:type="pct"/>
            <w:vAlign w:val="center"/>
          </w:tcPr>
          <w:p w14:paraId="66E0EF22">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20</w:t>
            </w:r>
          </w:p>
        </w:tc>
        <w:tc>
          <w:tcPr>
            <w:tcW w:w="443" w:type="pct"/>
          </w:tcPr>
          <w:p w14:paraId="76DE5CBE">
            <w:pPr>
              <w:spacing w:line="360" w:lineRule="auto"/>
              <w:jc w:val="center"/>
              <w:rPr>
                <w:rFonts w:hint="default" w:ascii="Times New Roman" w:hAnsi="Times New Roman" w:eastAsia="方正仿宋简体" w:cs="Times New Roman"/>
                <w:color w:val="auto"/>
                <w:sz w:val="24"/>
                <w:szCs w:val="24"/>
                <w:lang w:val="en-US" w:eastAsia="zh-CN"/>
              </w:rPr>
            </w:pPr>
          </w:p>
        </w:tc>
      </w:tr>
      <w:tr w14:paraId="45DE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68C3102">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3</w:t>
            </w:r>
          </w:p>
        </w:tc>
        <w:tc>
          <w:tcPr>
            <w:tcW w:w="3669" w:type="pct"/>
            <w:vAlign w:val="center"/>
          </w:tcPr>
          <w:p w14:paraId="47E22E36">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按照合同及计划正常开展服务活动，活动有记录</w:t>
            </w:r>
          </w:p>
        </w:tc>
        <w:tc>
          <w:tcPr>
            <w:tcW w:w="443" w:type="pct"/>
            <w:vAlign w:val="center"/>
          </w:tcPr>
          <w:p w14:paraId="49A47133">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728657CB">
            <w:pPr>
              <w:spacing w:line="360" w:lineRule="auto"/>
              <w:jc w:val="center"/>
              <w:rPr>
                <w:rFonts w:hint="default" w:ascii="Times New Roman" w:hAnsi="Times New Roman" w:eastAsia="方正仿宋简体" w:cs="Times New Roman"/>
                <w:color w:val="auto"/>
                <w:sz w:val="24"/>
                <w:szCs w:val="24"/>
                <w:lang w:val="en-US" w:eastAsia="zh-CN"/>
              </w:rPr>
            </w:pPr>
          </w:p>
        </w:tc>
      </w:tr>
      <w:tr w14:paraId="4F0B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C5473A4">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4</w:t>
            </w:r>
          </w:p>
        </w:tc>
        <w:tc>
          <w:tcPr>
            <w:tcW w:w="3669" w:type="pct"/>
            <w:vAlign w:val="center"/>
          </w:tcPr>
          <w:p w14:paraId="043825A2">
            <w:pPr>
              <w:spacing w:line="360" w:lineRule="auto"/>
              <w:jc w:val="center"/>
              <w:rPr>
                <w:rFonts w:hint="default" w:ascii="Times New Roman" w:hAnsi="Times New Roman" w:eastAsia="方正仿宋简体" w:cs="Times New Roman"/>
                <w:color w:val="auto"/>
                <w:sz w:val="24"/>
                <w:szCs w:val="24"/>
                <w:lang w:val="en-US"/>
              </w:rPr>
            </w:pPr>
            <w:r>
              <w:rPr>
                <w:rFonts w:hint="default" w:ascii="Times New Roman" w:hAnsi="Times New Roman" w:eastAsia="方正仿宋简体" w:cs="Times New Roman"/>
                <w:color w:val="auto"/>
                <w:sz w:val="24"/>
                <w:szCs w:val="24"/>
                <w:vertAlign w:val="baseline"/>
                <w:lang w:val="en-US" w:eastAsia="zh-CN"/>
              </w:rPr>
              <w:t>按时反馈服务开展情况，提交活动台账等资料</w:t>
            </w:r>
          </w:p>
        </w:tc>
        <w:tc>
          <w:tcPr>
            <w:tcW w:w="443" w:type="pct"/>
            <w:vAlign w:val="center"/>
          </w:tcPr>
          <w:p w14:paraId="630C8752">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716B1F6C">
            <w:pPr>
              <w:spacing w:line="360" w:lineRule="auto"/>
              <w:jc w:val="center"/>
              <w:rPr>
                <w:rFonts w:hint="default" w:ascii="Times New Roman" w:hAnsi="Times New Roman" w:eastAsia="方正仿宋简体" w:cs="Times New Roman"/>
                <w:color w:val="auto"/>
                <w:sz w:val="24"/>
                <w:szCs w:val="24"/>
                <w:lang w:val="en-US" w:eastAsia="zh-CN"/>
              </w:rPr>
            </w:pPr>
          </w:p>
        </w:tc>
      </w:tr>
      <w:tr w14:paraId="7BF8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43" w:type="pct"/>
            <w:vAlign w:val="center"/>
          </w:tcPr>
          <w:p w14:paraId="5F8ADC94">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5</w:t>
            </w:r>
          </w:p>
        </w:tc>
        <w:tc>
          <w:tcPr>
            <w:tcW w:w="3669" w:type="pct"/>
            <w:vAlign w:val="center"/>
          </w:tcPr>
          <w:p w14:paraId="0F015BF3">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与街道保持紧密联系，积极配合街道日常事务</w:t>
            </w:r>
          </w:p>
        </w:tc>
        <w:tc>
          <w:tcPr>
            <w:tcW w:w="443" w:type="pct"/>
            <w:vAlign w:val="center"/>
          </w:tcPr>
          <w:p w14:paraId="7EBB5848">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5909A4F8">
            <w:pPr>
              <w:spacing w:line="360" w:lineRule="auto"/>
              <w:jc w:val="center"/>
              <w:rPr>
                <w:rFonts w:hint="default" w:ascii="Times New Roman" w:hAnsi="Times New Roman" w:eastAsia="方正仿宋简体" w:cs="Times New Roman"/>
                <w:color w:val="auto"/>
                <w:sz w:val="24"/>
                <w:szCs w:val="24"/>
                <w:lang w:val="en-US" w:eastAsia="zh-CN"/>
              </w:rPr>
            </w:pPr>
          </w:p>
        </w:tc>
      </w:tr>
      <w:tr w14:paraId="1800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A5D2D8A">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6</w:t>
            </w:r>
          </w:p>
        </w:tc>
        <w:tc>
          <w:tcPr>
            <w:tcW w:w="3669" w:type="pct"/>
            <w:vAlign w:val="center"/>
          </w:tcPr>
          <w:p w14:paraId="10A7AF20">
            <w:pPr>
              <w:spacing w:line="360" w:lineRule="auto"/>
              <w:jc w:val="center"/>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vertAlign w:val="baseline"/>
                <w:lang w:val="en-US" w:eastAsia="zh-CN"/>
              </w:rPr>
              <w:t>注重服务总结，持续优化下季度服务内容</w:t>
            </w:r>
          </w:p>
        </w:tc>
        <w:tc>
          <w:tcPr>
            <w:tcW w:w="443" w:type="pct"/>
            <w:vAlign w:val="center"/>
          </w:tcPr>
          <w:p w14:paraId="1434A088">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617DEB3D">
            <w:pPr>
              <w:spacing w:line="360" w:lineRule="auto"/>
              <w:jc w:val="center"/>
              <w:rPr>
                <w:rFonts w:hint="default" w:ascii="Times New Roman" w:hAnsi="Times New Roman" w:eastAsia="方正仿宋简体" w:cs="Times New Roman"/>
                <w:color w:val="auto"/>
                <w:sz w:val="24"/>
                <w:szCs w:val="24"/>
                <w:lang w:val="en-US" w:eastAsia="zh-CN"/>
              </w:rPr>
            </w:pPr>
          </w:p>
        </w:tc>
      </w:tr>
      <w:tr w14:paraId="43A5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pct"/>
            <w:gridSpan w:val="3"/>
          </w:tcPr>
          <w:p w14:paraId="2393FA98">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总得分</w:t>
            </w:r>
          </w:p>
        </w:tc>
        <w:tc>
          <w:tcPr>
            <w:tcW w:w="443" w:type="pct"/>
          </w:tcPr>
          <w:p w14:paraId="740F8B88">
            <w:pPr>
              <w:spacing w:line="360" w:lineRule="auto"/>
              <w:jc w:val="center"/>
              <w:rPr>
                <w:rFonts w:hint="default" w:ascii="Times New Roman" w:hAnsi="Times New Roman" w:eastAsia="方正仿宋简体" w:cs="Times New Roman"/>
                <w:color w:val="auto"/>
                <w:sz w:val="24"/>
                <w:szCs w:val="24"/>
                <w:lang w:val="en-US" w:eastAsia="zh-CN"/>
              </w:rPr>
            </w:pPr>
          </w:p>
        </w:tc>
      </w:tr>
    </w:tbl>
    <w:p w14:paraId="0F6A3CB3">
      <w:pPr>
        <w:spacing w:line="360" w:lineRule="auto"/>
        <w:rPr>
          <w:rFonts w:hint="eastAsia" w:asciiTheme="minorEastAsia" w:hAnsiTheme="minorEastAsia" w:cstheme="minorEastAsia"/>
          <w:sz w:val="28"/>
          <w:szCs w:val="28"/>
          <w:u w:val="single"/>
          <w:lang w:val="en-US" w:eastAsia="zh-CN"/>
        </w:rPr>
      </w:pPr>
    </w:p>
    <w:p w14:paraId="6C2F485F">
      <w:pPr>
        <w:numPr>
          <w:ilvl w:val="0"/>
          <w:numId w:val="0"/>
        </w:numPr>
        <w:spacing w:before="82" w:line="360" w:lineRule="auto"/>
        <w:ind w:leftChars="100" w:right="3668" w:rightChars="0"/>
        <w:rPr>
          <w:rFonts w:hint="default"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Theme="minorEastAsia" w:hAnsiTheme="minorEastAsia" w:cstheme="minorEastAsia"/>
          <w:sz w:val="28"/>
          <w:szCs w:val="28"/>
          <w:u w:val="single"/>
          <w:lang w:val="en-US" w:eastAsia="zh-CN"/>
        </w:rPr>
        <w:t xml:space="preserve">管理人员签字：                                                 </w:t>
      </w:r>
    </w:p>
    <w:p w14:paraId="582B1DEE">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9" w:name="_Toc5503"/>
    </w:p>
    <w:p w14:paraId="2C841149">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F092F78">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64B3C47">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5F74B3C">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A780230">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8ED762B">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1D96ACEA">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7"/>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2C65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8B417FF">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序号</w:t>
            </w:r>
          </w:p>
        </w:tc>
        <w:tc>
          <w:tcPr>
            <w:tcW w:w="1855" w:type="dxa"/>
            <w:vAlign w:val="center"/>
          </w:tcPr>
          <w:p w14:paraId="4E53F83E">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评分因素</w:t>
            </w:r>
          </w:p>
        </w:tc>
        <w:tc>
          <w:tcPr>
            <w:tcW w:w="5328" w:type="dxa"/>
            <w:vAlign w:val="center"/>
          </w:tcPr>
          <w:p w14:paraId="287AEA92">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评审标准</w:t>
            </w:r>
          </w:p>
        </w:tc>
        <w:tc>
          <w:tcPr>
            <w:tcW w:w="888" w:type="dxa"/>
            <w:vAlign w:val="center"/>
          </w:tcPr>
          <w:p w14:paraId="4FDE8DF1">
            <w:pPr>
              <w:spacing w:line="360" w:lineRule="auto"/>
              <w:jc w:val="center"/>
              <w:rPr>
                <w:rFonts w:hint="eastAsia" w:ascii="微软雅黑" w:hAnsi="微软雅黑" w:eastAsia="微软雅黑" w:cs="仿宋"/>
                <w:b/>
                <w:bCs/>
                <w:szCs w:val="21"/>
              </w:rPr>
            </w:pPr>
            <w:r>
              <w:rPr>
                <w:rFonts w:hint="eastAsia" w:ascii="微软雅黑" w:hAnsi="微软雅黑" w:eastAsia="微软雅黑" w:cs="仿宋"/>
                <w:b/>
                <w:szCs w:val="21"/>
              </w:rPr>
              <w:t>分值</w:t>
            </w:r>
          </w:p>
        </w:tc>
      </w:tr>
      <w:tr w14:paraId="6DDA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129A05A">
            <w:pPr>
              <w:spacing w:line="360" w:lineRule="auto"/>
              <w:jc w:val="center"/>
              <w:rPr>
                <w:rFonts w:hint="eastAsia" w:ascii="微软雅黑" w:hAnsi="微软雅黑" w:eastAsia="微软雅黑" w:cs="仿宋"/>
                <w:szCs w:val="21"/>
              </w:rPr>
            </w:pPr>
            <w:r>
              <w:rPr>
                <w:rFonts w:hint="eastAsia" w:ascii="微软雅黑" w:hAnsi="微软雅黑" w:eastAsia="微软雅黑" w:cs="仿宋"/>
                <w:szCs w:val="21"/>
              </w:rPr>
              <w:t>1</w:t>
            </w:r>
          </w:p>
        </w:tc>
        <w:tc>
          <w:tcPr>
            <w:tcW w:w="1855" w:type="dxa"/>
            <w:vAlign w:val="center"/>
          </w:tcPr>
          <w:p w14:paraId="4E847239">
            <w:pPr>
              <w:spacing w:line="360" w:lineRule="auto"/>
              <w:jc w:val="center"/>
              <w:rPr>
                <w:rFonts w:hint="eastAsia" w:ascii="微软雅黑" w:hAnsi="微软雅黑" w:eastAsia="微软雅黑" w:cs="仿宋"/>
                <w:bCs/>
                <w:szCs w:val="21"/>
                <w:lang w:val="en-US"/>
              </w:rPr>
            </w:pPr>
            <w:r>
              <w:rPr>
                <w:rFonts w:hint="eastAsia" w:ascii="微软雅黑" w:hAnsi="微软雅黑" w:eastAsia="微软雅黑" w:cs="仿宋"/>
                <w:bCs/>
                <w:szCs w:val="21"/>
              </w:rPr>
              <w:t>价格</w:t>
            </w:r>
          </w:p>
        </w:tc>
        <w:tc>
          <w:tcPr>
            <w:tcW w:w="5328" w:type="dxa"/>
            <w:vAlign w:val="center"/>
          </w:tcPr>
          <w:p w14:paraId="65F616FD">
            <w:pPr>
              <w:pStyle w:val="8"/>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lang w:val="en-US"/>
              </w:rPr>
              <w:t>1、</w:t>
            </w:r>
            <w:r>
              <w:rPr>
                <w:rFonts w:hint="eastAsia" w:ascii="微软雅黑" w:hAnsi="微软雅黑" w:eastAsia="微软雅黑" w:cs="仿宋"/>
                <w:sz w:val="21"/>
              </w:rPr>
              <w:t>评标基准分：</w:t>
            </w:r>
            <w:r>
              <w:rPr>
                <w:rFonts w:hint="eastAsia" w:ascii="微软雅黑" w:hAnsi="微软雅黑" w:eastAsia="微软雅黑" w:cs="仿宋"/>
                <w:sz w:val="21"/>
                <w:lang w:val="en-US"/>
              </w:rPr>
              <w:t>10</w:t>
            </w:r>
            <w:r>
              <w:rPr>
                <w:rFonts w:hint="eastAsia" w:ascii="微软雅黑" w:hAnsi="微软雅黑" w:eastAsia="微软雅黑" w:cs="仿宋"/>
                <w:sz w:val="21"/>
              </w:rPr>
              <w:t>分</w:t>
            </w:r>
          </w:p>
          <w:p w14:paraId="651D2C2C">
            <w:pPr>
              <w:pStyle w:val="8"/>
              <w:adjustRightInd w:val="0"/>
              <w:snapToGrid w:val="0"/>
              <w:spacing w:line="360" w:lineRule="auto"/>
              <w:rPr>
                <w:rFonts w:hint="eastAsia" w:ascii="微软雅黑" w:hAnsi="微软雅黑" w:eastAsia="微软雅黑" w:cs="仿宋"/>
                <w:sz w:val="21"/>
              </w:rPr>
            </w:pPr>
            <w:r>
              <w:rPr>
                <w:rFonts w:hint="eastAsia" w:ascii="微软雅黑" w:hAnsi="微软雅黑" w:eastAsia="微软雅黑" w:cs="仿宋"/>
                <w:sz w:val="21"/>
              </w:rPr>
              <w:t>评标基准价：满足招标文件要求且投标价格最低的投标报价为评标基准价，其价格分为满分（</w:t>
            </w:r>
            <w:r>
              <w:rPr>
                <w:rFonts w:hint="eastAsia" w:ascii="微软雅黑" w:hAnsi="微软雅黑" w:eastAsia="微软雅黑" w:cs="仿宋"/>
                <w:sz w:val="21"/>
                <w:lang w:val="en-US"/>
              </w:rPr>
              <w:t>10</w:t>
            </w:r>
            <w:r>
              <w:rPr>
                <w:rFonts w:hint="eastAsia" w:ascii="微软雅黑" w:hAnsi="微软雅黑" w:eastAsia="微软雅黑" w:cs="仿宋"/>
                <w:sz w:val="21"/>
              </w:rPr>
              <w:t>分）。</w:t>
            </w:r>
          </w:p>
          <w:p w14:paraId="516AC7F0">
            <w:pPr>
              <w:pStyle w:val="8"/>
              <w:adjustRightInd w:val="0"/>
              <w:snapToGrid w:val="0"/>
              <w:spacing w:line="360" w:lineRule="auto"/>
              <w:rPr>
                <w:rFonts w:hint="eastAsia" w:ascii="微软雅黑" w:hAnsi="微软雅黑" w:eastAsia="微软雅黑" w:cs="仿宋"/>
                <w:sz w:val="21"/>
                <w:lang w:val="en-US"/>
              </w:rPr>
            </w:pPr>
            <w:r>
              <w:rPr>
                <w:rFonts w:hint="eastAsia" w:ascii="微软雅黑" w:hAnsi="微软雅黑" w:eastAsia="微软雅黑" w:cs="仿宋"/>
                <w:sz w:val="21"/>
              </w:rPr>
              <w:t>其他投标人报价得分：（评标基准价/投标报价）×评标基准分。</w:t>
            </w:r>
          </w:p>
        </w:tc>
        <w:tc>
          <w:tcPr>
            <w:tcW w:w="888" w:type="dxa"/>
            <w:vAlign w:val="center"/>
          </w:tcPr>
          <w:p w14:paraId="55DCA708">
            <w:pPr>
              <w:pStyle w:val="8"/>
              <w:adjustRightInd w:val="0"/>
              <w:snapToGrid w:val="0"/>
              <w:spacing w:line="360" w:lineRule="auto"/>
              <w:jc w:val="center"/>
              <w:rPr>
                <w:rFonts w:hint="eastAsia" w:ascii="微软雅黑" w:hAnsi="微软雅黑" w:eastAsia="微软雅黑" w:cs="仿宋"/>
                <w:sz w:val="21"/>
                <w:lang w:val="en-US"/>
              </w:rPr>
            </w:pPr>
            <w:r>
              <w:rPr>
                <w:rFonts w:hint="eastAsia" w:ascii="微软雅黑" w:hAnsi="微软雅黑" w:eastAsia="微软雅黑" w:cs="仿宋"/>
                <w:sz w:val="21"/>
                <w:lang w:val="en-US"/>
              </w:rPr>
              <w:t>10分</w:t>
            </w:r>
          </w:p>
        </w:tc>
      </w:tr>
      <w:tr w14:paraId="5B33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40" w:type="dxa"/>
            <w:vMerge w:val="restart"/>
            <w:vAlign w:val="center"/>
          </w:tcPr>
          <w:p w14:paraId="06D835B1">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2</w:t>
            </w:r>
          </w:p>
          <w:p w14:paraId="07D1352D">
            <w:pPr>
              <w:spacing w:line="360" w:lineRule="auto"/>
              <w:jc w:val="center"/>
              <w:rPr>
                <w:rFonts w:hint="eastAsia" w:ascii="微软雅黑" w:hAnsi="微软雅黑" w:eastAsia="微软雅黑" w:cs="仿宋"/>
                <w:szCs w:val="21"/>
              </w:rPr>
            </w:pPr>
          </w:p>
        </w:tc>
        <w:tc>
          <w:tcPr>
            <w:tcW w:w="1855" w:type="dxa"/>
            <w:vMerge w:val="restart"/>
            <w:vAlign w:val="center"/>
          </w:tcPr>
          <w:p w14:paraId="031D3BA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服务方案、人员配置及管理措施</w:t>
            </w:r>
          </w:p>
        </w:tc>
        <w:tc>
          <w:tcPr>
            <w:tcW w:w="5328" w:type="dxa"/>
          </w:tcPr>
          <w:p w14:paraId="5E87836F">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w:t>
            </w:r>
            <w:r>
              <w:rPr>
                <w:rFonts w:ascii="微软雅黑" w:hAnsi="微软雅黑" w:eastAsia="微软雅黑" w:cs="仿宋"/>
                <w:color w:val="000000" w:themeColor="text1"/>
                <w:szCs w:val="21"/>
                <w:lang w:val="en-US"/>
                <w14:textFill>
                  <w14:solidFill>
                    <w14:schemeClr w14:val="tx1"/>
                  </w14:solidFill>
                </w14:textFill>
              </w:rPr>
              <w:t>1</w:t>
            </w:r>
            <w:r>
              <w:rPr>
                <w:rFonts w:hint="eastAsia" w:ascii="微软雅黑" w:hAnsi="微软雅黑" w:eastAsia="微软雅黑" w:cs="仿宋"/>
                <w:color w:val="000000" w:themeColor="text1"/>
                <w:szCs w:val="21"/>
                <w:lang w:val="en-US"/>
                <w14:textFill>
                  <w14:solidFill>
                    <w14:schemeClr w14:val="tx1"/>
                  </w14:solidFill>
                </w14:textFill>
              </w:rPr>
              <w:t>、对项目的认识、服务定位及整体设想：</w:t>
            </w:r>
          </w:p>
          <w:p w14:paraId="7EA34EB8">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1、服务设想周到全面，服务起点高，定位明确，针对性强的，得</w:t>
            </w:r>
            <w:r>
              <w:rPr>
                <w:rFonts w:ascii="微软雅黑" w:hAnsi="微软雅黑" w:eastAsia="微软雅黑" w:cs="仿宋"/>
                <w:color w:val="000000" w:themeColor="text1"/>
                <w:szCs w:val="21"/>
                <w:lang w:val="en-US"/>
                <w14:textFill>
                  <w14:solidFill>
                    <w14:schemeClr w14:val="tx1"/>
                  </w14:solidFill>
                </w14:textFill>
              </w:rPr>
              <w:t>15</w:t>
            </w:r>
            <w:r>
              <w:rPr>
                <w:rFonts w:hint="eastAsia" w:ascii="微软雅黑" w:hAnsi="微软雅黑" w:eastAsia="微软雅黑" w:cs="仿宋"/>
                <w:color w:val="000000" w:themeColor="text1"/>
                <w:szCs w:val="21"/>
                <w:lang w:val="en-US"/>
                <w14:textFill>
                  <w14:solidFill>
                    <w14:schemeClr w14:val="tx1"/>
                  </w14:solidFill>
                </w14:textFill>
              </w:rPr>
              <w:t>分；</w:t>
            </w:r>
          </w:p>
          <w:p w14:paraId="49837E26">
            <w:pPr>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2、服务设想全面，定位明确，针对性强的，得</w:t>
            </w:r>
            <w:r>
              <w:rPr>
                <w:rFonts w:ascii="微软雅黑" w:hAnsi="微软雅黑" w:eastAsia="微软雅黑" w:cs="仿宋"/>
                <w:color w:val="000000" w:themeColor="text1"/>
                <w:szCs w:val="21"/>
                <w:lang w:val="en-US"/>
                <w14:textFill>
                  <w14:solidFill>
                    <w14:schemeClr w14:val="tx1"/>
                  </w14:solidFill>
                </w14:textFill>
              </w:rPr>
              <w:t>12</w:t>
            </w:r>
            <w:r>
              <w:rPr>
                <w:rFonts w:hint="eastAsia" w:ascii="微软雅黑" w:hAnsi="微软雅黑" w:eastAsia="微软雅黑" w:cs="仿宋"/>
                <w:color w:val="000000" w:themeColor="text1"/>
                <w:szCs w:val="21"/>
                <w:lang w:val="en-US"/>
                <w14:textFill>
                  <w14:solidFill>
                    <w14:schemeClr w14:val="tx1"/>
                  </w14:solidFill>
                </w14:textFill>
              </w:rPr>
              <w:t>分；</w:t>
            </w:r>
          </w:p>
          <w:p w14:paraId="5CC0B812">
            <w:pPr>
              <w:pStyle w:val="6"/>
              <w:spacing w:line="240" w:lineRule="auto"/>
              <w:rPr>
                <w:rFonts w:hint="eastAsia" w:ascii="微软雅黑" w:hAnsi="微软雅黑" w:eastAsia="微软雅黑" w:cs="仿宋"/>
                <w:b w:val="0"/>
                <w:bCs w:val="0"/>
                <w:color w:val="000000" w:themeColor="text1"/>
                <w:sz w:val="22"/>
                <w:szCs w:val="21"/>
                <w:lang w:val="en-US"/>
                <w14:textFill>
                  <w14:solidFill>
                    <w14:schemeClr w14:val="tx1"/>
                  </w14:solidFill>
                </w14:textFill>
              </w:rPr>
            </w:pPr>
            <w:r>
              <w:rPr>
                <w:rFonts w:hint="eastAsia" w:ascii="微软雅黑" w:hAnsi="微软雅黑" w:eastAsia="微软雅黑" w:cs="仿宋"/>
                <w:b w:val="0"/>
                <w:bCs w:val="0"/>
                <w:color w:val="000000" w:themeColor="text1"/>
                <w:sz w:val="22"/>
                <w:szCs w:val="21"/>
                <w:lang w:val="en-US"/>
                <w14:textFill>
                  <w14:solidFill>
                    <w14:schemeClr w14:val="tx1"/>
                  </w14:solidFill>
                </w14:textFill>
              </w:rPr>
              <w:t>3、服务设想较全面，定位较明确，针对性不强的，得</w:t>
            </w:r>
            <w:r>
              <w:rPr>
                <w:rFonts w:ascii="微软雅黑" w:hAnsi="微软雅黑" w:eastAsia="微软雅黑" w:cs="仿宋"/>
                <w:b w:val="0"/>
                <w:bCs w:val="0"/>
                <w:color w:val="000000" w:themeColor="text1"/>
                <w:sz w:val="22"/>
                <w:szCs w:val="21"/>
                <w:lang w:val="en-US"/>
                <w14:textFill>
                  <w14:solidFill>
                    <w14:schemeClr w14:val="tx1"/>
                  </w14:solidFill>
                </w14:textFill>
              </w:rPr>
              <w:t>9</w:t>
            </w:r>
            <w:r>
              <w:rPr>
                <w:rFonts w:hint="eastAsia" w:ascii="微软雅黑" w:hAnsi="微软雅黑" w:eastAsia="微软雅黑" w:cs="仿宋"/>
                <w:b w:val="0"/>
                <w:bCs w:val="0"/>
                <w:color w:val="000000" w:themeColor="text1"/>
                <w:sz w:val="22"/>
                <w:szCs w:val="21"/>
                <w:lang w:val="en-US"/>
                <w14:textFill>
                  <w14:solidFill>
                    <w14:schemeClr w14:val="tx1"/>
                  </w14:solidFill>
                </w14:textFill>
              </w:rPr>
              <w:t>分；</w:t>
            </w:r>
          </w:p>
          <w:p w14:paraId="71C79997">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4</w:t>
            </w:r>
            <w:r>
              <w:rPr>
                <w:rFonts w:hint="eastAsia" w:ascii="微软雅黑" w:hAnsi="微软雅黑" w:eastAsia="微软雅黑" w:cs="仿宋"/>
                <w:color w:val="000000" w:themeColor="text1"/>
                <w:szCs w:val="21"/>
                <w:lang w:val="en-US"/>
                <w14:textFill>
                  <w14:solidFill>
                    <w14:schemeClr w14:val="tx1"/>
                  </w14:solidFill>
                </w14:textFill>
              </w:rPr>
              <w:t>、服务设想不全面，或设想没有针对性，或设想不明确的，得</w:t>
            </w:r>
            <w:r>
              <w:rPr>
                <w:rFonts w:ascii="微软雅黑" w:hAnsi="微软雅黑" w:eastAsia="微软雅黑" w:cs="仿宋"/>
                <w:color w:val="000000" w:themeColor="text1"/>
                <w:szCs w:val="21"/>
                <w:lang w:val="en-US"/>
                <w14:textFill>
                  <w14:solidFill>
                    <w14:schemeClr w14:val="tx1"/>
                  </w14:solidFill>
                </w14:textFill>
              </w:rPr>
              <w:t>6</w:t>
            </w:r>
            <w:r>
              <w:rPr>
                <w:rFonts w:hint="eastAsia" w:ascii="微软雅黑" w:hAnsi="微软雅黑" w:eastAsia="微软雅黑" w:cs="仿宋"/>
                <w:color w:val="000000" w:themeColor="text1"/>
                <w:szCs w:val="21"/>
                <w:lang w:val="en-US"/>
                <w14:textFill>
                  <w14:solidFill>
                    <w14:schemeClr w14:val="tx1"/>
                  </w14:solidFill>
                </w14:textFill>
              </w:rPr>
              <w:t>分；</w:t>
            </w:r>
          </w:p>
          <w:p w14:paraId="62D04C9D">
            <w:pPr>
              <w:pStyle w:val="28"/>
              <w:spacing w:line="360" w:lineRule="auto"/>
              <w:ind w:firstLine="0" w:firstLineChars="0"/>
              <w:rPr>
                <w:rFonts w:hint="eastAsia" w:ascii="微软雅黑" w:hAnsi="微软雅黑" w:eastAsia="微软雅黑" w:cs="仿宋"/>
                <w:color w:val="000000" w:themeColor="text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5</w:t>
            </w:r>
            <w:r>
              <w:rPr>
                <w:rFonts w:hint="eastAsia" w:ascii="微软雅黑" w:hAnsi="微软雅黑" w:eastAsia="微软雅黑" w:cs="仿宋"/>
                <w:color w:val="000000" w:themeColor="text1"/>
                <w:szCs w:val="21"/>
                <w:lang w:val="en-US"/>
                <w14:textFill>
                  <w14:solidFill>
                    <w14:schemeClr w14:val="tx1"/>
                  </w14:solidFill>
                </w14:textFill>
              </w:rPr>
              <w:t>、未提供方案不得分。</w:t>
            </w:r>
          </w:p>
        </w:tc>
        <w:tc>
          <w:tcPr>
            <w:tcW w:w="888" w:type="dxa"/>
            <w:vAlign w:val="center"/>
          </w:tcPr>
          <w:p w14:paraId="3E0DBCC9">
            <w:pPr>
              <w:pStyle w:val="8"/>
              <w:adjustRightInd w:val="0"/>
              <w:snapToGrid w:val="0"/>
              <w:spacing w:line="360" w:lineRule="auto"/>
              <w:jc w:val="center"/>
              <w:rPr>
                <w:rFonts w:hint="eastAsia" w:ascii="微软雅黑" w:hAnsi="微软雅黑" w:eastAsia="微软雅黑" w:cs="仿宋"/>
                <w:color w:val="000000"/>
                <w:szCs w:val="22"/>
                <w:lang w:val="en-US" w:bidi="ar-SA"/>
              </w:rPr>
            </w:pPr>
            <w:r>
              <w:rPr>
                <w:rFonts w:ascii="微软雅黑" w:hAnsi="微软雅黑" w:eastAsia="微软雅黑" w:cs="仿宋"/>
                <w:lang w:val="en-US"/>
              </w:rPr>
              <w:t>15</w:t>
            </w:r>
            <w:r>
              <w:rPr>
                <w:rFonts w:hint="eastAsia" w:ascii="微软雅黑" w:hAnsi="微软雅黑" w:eastAsia="微软雅黑" w:cs="仿宋"/>
                <w:lang w:val="en-US"/>
              </w:rPr>
              <w:t>分</w:t>
            </w:r>
          </w:p>
        </w:tc>
      </w:tr>
      <w:tr w14:paraId="59E6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6ABF6423">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20322C17">
            <w:pPr>
              <w:spacing w:line="360" w:lineRule="auto"/>
              <w:jc w:val="center"/>
              <w:rPr>
                <w:rFonts w:hint="eastAsia" w:ascii="微软雅黑" w:hAnsi="微软雅黑" w:eastAsia="微软雅黑" w:cs="仿宋"/>
                <w:bCs/>
                <w:szCs w:val="21"/>
              </w:rPr>
            </w:pPr>
          </w:p>
        </w:tc>
        <w:tc>
          <w:tcPr>
            <w:tcW w:w="5328" w:type="dxa"/>
            <w:vAlign w:val="center"/>
          </w:tcPr>
          <w:p w14:paraId="169873F0">
            <w:pPr>
              <w:pStyle w:val="28"/>
              <w:spacing w:line="360" w:lineRule="auto"/>
              <w:ind w:firstLine="0" w:firstLineChars="0"/>
              <w:rPr>
                <w:rFonts w:hint="eastAsia" w:ascii="微软雅黑" w:hAnsi="微软雅黑" w:eastAsia="微软雅黑" w:cs="仿宋"/>
              </w:rPr>
            </w:pPr>
            <w:r>
              <w:rPr>
                <w:rFonts w:hint="eastAsia" w:ascii="微软雅黑" w:hAnsi="微软雅黑" w:eastAsia="微软雅黑" w:cs="仿宋"/>
                <w:lang w:val="en-US"/>
              </w:rPr>
              <w:t>2.</w:t>
            </w:r>
            <w:r>
              <w:rPr>
                <w:rFonts w:ascii="微软雅黑" w:hAnsi="微软雅黑" w:eastAsia="微软雅黑" w:cs="仿宋"/>
                <w:lang w:val="en-US"/>
              </w:rPr>
              <w:t>2</w:t>
            </w:r>
            <w:r>
              <w:rPr>
                <w:rFonts w:hint="eastAsia" w:ascii="微软雅黑" w:hAnsi="微软雅黑" w:eastAsia="微软雅黑" w:cs="仿宋"/>
                <w:lang w:val="en-US"/>
              </w:rPr>
              <w:t>、</w:t>
            </w:r>
            <w:r>
              <w:rPr>
                <w:rFonts w:hint="eastAsia" w:ascii="微软雅黑" w:hAnsi="微软雅黑" w:eastAsia="微软雅黑" w:cs="仿宋"/>
              </w:rPr>
              <w:t>重难点</w:t>
            </w:r>
            <w:r>
              <w:rPr>
                <w:rFonts w:hint="eastAsia" w:ascii="微软雅黑" w:hAnsi="微软雅黑" w:eastAsia="微软雅黑" w:cs="仿宋"/>
                <w:lang w:val="en-US"/>
              </w:rPr>
              <w:t>分析</w:t>
            </w:r>
            <w:r>
              <w:rPr>
                <w:rFonts w:hint="eastAsia" w:ascii="微软雅黑" w:hAnsi="微软雅黑" w:eastAsia="微软雅黑" w:cs="仿宋"/>
              </w:rPr>
              <w:t>说明：</w:t>
            </w:r>
          </w:p>
          <w:p w14:paraId="5D912F16">
            <w:pPr>
              <w:pStyle w:val="28"/>
              <w:numPr>
                <w:ilvl w:val="0"/>
                <w:numId w:val="19"/>
              </w:numPr>
              <w:spacing w:line="360" w:lineRule="auto"/>
              <w:ind w:firstLine="0" w:firstLineChars="0"/>
              <w:rPr>
                <w:rFonts w:hint="eastAsia" w:ascii="微软雅黑" w:hAnsi="微软雅黑" w:eastAsia="微软雅黑" w:cs="仿宋"/>
                <w:color w:val="000000"/>
              </w:rPr>
            </w:pPr>
            <w:r>
              <w:rPr>
                <w:rFonts w:hint="eastAsia" w:ascii="微软雅黑" w:hAnsi="微软雅黑" w:eastAsia="微软雅黑" w:cs="仿宋"/>
                <w:color w:val="000000"/>
                <w:lang w:val="en-US"/>
              </w:rPr>
              <w:t>内容</w:t>
            </w:r>
            <w:r>
              <w:rPr>
                <w:rFonts w:hint="eastAsia" w:ascii="微软雅黑" w:hAnsi="微软雅黑" w:eastAsia="微软雅黑" w:cs="仿宋"/>
                <w:color w:val="000000"/>
              </w:rPr>
              <w:t>合理可行且具有针对性的，得</w:t>
            </w:r>
            <w:r>
              <w:rPr>
                <w:rFonts w:ascii="微软雅黑" w:hAnsi="微软雅黑" w:eastAsia="微软雅黑" w:cs="仿宋"/>
                <w:color w:val="000000"/>
                <w:lang w:val="en-US"/>
              </w:rPr>
              <w:t>12</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640ED1FC">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color w:val="000000"/>
                <w:lang w:val="en-US"/>
              </w:rPr>
              <w:t>内容</w:t>
            </w:r>
            <w:r>
              <w:rPr>
                <w:rFonts w:hint="eastAsia" w:ascii="微软雅黑" w:hAnsi="微软雅黑" w:eastAsia="微软雅黑" w:cs="仿宋"/>
                <w:color w:val="000000"/>
              </w:rPr>
              <w:t>合理可行但针对性不强的，得</w:t>
            </w:r>
            <w:r>
              <w:rPr>
                <w:rFonts w:ascii="微软雅黑" w:hAnsi="微软雅黑" w:eastAsia="微软雅黑" w:cs="仿宋"/>
                <w:color w:val="000000"/>
                <w:lang w:val="en-US"/>
              </w:rPr>
              <w:t>9</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0B445458">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color w:val="000000"/>
                <w:lang w:val="en-US"/>
              </w:rPr>
              <w:t>内容合理性一般，</w:t>
            </w:r>
            <w:r>
              <w:rPr>
                <w:rFonts w:hint="eastAsia" w:ascii="微软雅黑" w:hAnsi="微软雅黑" w:eastAsia="微软雅黑" w:cs="仿宋"/>
                <w:color w:val="000000"/>
              </w:rPr>
              <w:t>针对性不强的，得</w:t>
            </w:r>
            <w:r>
              <w:rPr>
                <w:rFonts w:ascii="微软雅黑" w:hAnsi="微软雅黑" w:eastAsia="微软雅黑" w:cs="仿宋"/>
                <w:color w:val="000000"/>
                <w:lang w:val="en-US"/>
              </w:rPr>
              <w:t>6</w:t>
            </w:r>
            <w:r>
              <w:rPr>
                <w:rFonts w:hint="eastAsia" w:ascii="微软雅黑" w:hAnsi="微软雅黑" w:eastAsia="微软雅黑" w:cs="仿宋"/>
                <w:color w:val="000000"/>
              </w:rPr>
              <w:t>分</w:t>
            </w:r>
            <w:r>
              <w:rPr>
                <w:rFonts w:hint="eastAsia" w:ascii="微软雅黑" w:hAnsi="微软雅黑" w:eastAsia="微软雅黑" w:cs="仿宋"/>
                <w:color w:val="000000"/>
                <w:lang w:val="en-US"/>
              </w:rPr>
              <w:t>；</w:t>
            </w:r>
          </w:p>
          <w:p w14:paraId="347900BF">
            <w:pPr>
              <w:pStyle w:val="28"/>
              <w:numPr>
                <w:ilvl w:val="0"/>
                <w:numId w:val="19"/>
              </w:numPr>
              <w:spacing w:line="360" w:lineRule="auto"/>
              <w:ind w:firstLine="0" w:firstLineChars="0"/>
              <w:rPr>
                <w:rFonts w:hint="eastAsia" w:ascii="微软雅黑" w:hAnsi="微软雅黑" w:eastAsia="微软雅黑" w:cs="仿宋"/>
              </w:rPr>
            </w:pPr>
            <w:r>
              <w:rPr>
                <w:rFonts w:hint="eastAsia" w:ascii="微软雅黑" w:hAnsi="微软雅黑" w:eastAsia="微软雅黑" w:cs="仿宋"/>
                <w:lang w:val="en-US"/>
              </w:rPr>
              <w:t>内容分析无重点，表述不明确，得</w:t>
            </w:r>
            <w:r>
              <w:rPr>
                <w:rFonts w:ascii="微软雅黑" w:hAnsi="微软雅黑" w:eastAsia="微软雅黑" w:cs="仿宋"/>
                <w:lang w:val="en-US"/>
              </w:rPr>
              <w:t>3</w:t>
            </w:r>
            <w:r>
              <w:rPr>
                <w:rFonts w:hint="eastAsia" w:ascii="微软雅黑" w:hAnsi="微软雅黑" w:eastAsia="微软雅黑" w:cs="仿宋"/>
                <w:lang w:val="en-US"/>
              </w:rPr>
              <w:t>分；</w:t>
            </w:r>
          </w:p>
          <w:p w14:paraId="3CFAD095">
            <w:pPr>
              <w:pStyle w:val="28"/>
              <w:spacing w:line="360" w:lineRule="auto"/>
              <w:ind w:firstLine="0" w:firstLineChars="0"/>
              <w:rPr>
                <w:rFonts w:hint="eastAsia" w:ascii="微软雅黑" w:hAnsi="微软雅黑" w:eastAsia="微软雅黑" w:cs="仿宋"/>
                <w:lang w:val="en-US"/>
              </w:rPr>
            </w:pPr>
            <w:r>
              <w:rPr>
                <w:rFonts w:hint="eastAsia" w:ascii="微软雅黑" w:hAnsi="微软雅黑" w:eastAsia="微软雅黑" w:cs="仿宋"/>
                <w:color w:val="000000"/>
                <w:lang w:val="en-US" w:eastAsia="zh-CN"/>
              </w:rPr>
              <w:t>5、</w:t>
            </w:r>
            <w:r>
              <w:rPr>
                <w:rFonts w:hint="eastAsia" w:ascii="微软雅黑" w:hAnsi="微软雅黑" w:eastAsia="微软雅黑" w:cs="仿宋"/>
                <w:color w:val="000000"/>
              </w:rPr>
              <w:t>未</w:t>
            </w:r>
            <w:r>
              <w:rPr>
                <w:rFonts w:hint="eastAsia" w:ascii="微软雅黑" w:hAnsi="微软雅黑" w:eastAsia="微软雅黑" w:cs="仿宋"/>
                <w:color w:val="000000"/>
                <w:lang w:val="en-US"/>
              </w:rPr>
              <w:t>作分析的</w:t>
            </w:r>
            <w:r>
              <w:rPr>
                <w:rFonts w:hint="eastAsia" w:ascii="微软雅黑" w:hAnsi="微软雅黑" w:eastAsia="微软雅黑" w:cs="仿宋"/>
                <w:color w:val="000000"/>
              </w:rPr>
              <w:t>不得分。</w:t>
            </w:r>
          </w:p>
        </w:tc>
        <w:tc>
          <w:tcPr>
            <w:tcW w:w="888" w:type="dxa"/>
            <w:vAlign w:val="center"/>
          </w:tcPr>
          <w:p w14:paraId="429E0C50">
            <w:pPr>
              <w:pStyle w:val="8"/>
              <w:adjustRightInd w:val="0"/>
              <w:snapToGrid w:val="0"/>
              <w:spacing w:line="360" w:lineRule="auto"/>
              <w:jc w:val="center"/>
              <w:rPr>
                <w:rFonts w:hint="eastAsia" w:ascii="微软雅黑" w:hAnsi="微软雅黑" w:eastAsia="微软雅黑" w:cs="仿宋"/>
                <w:color w:val="000000"/>
                <w:szCs w:val="22"/>
                <w:lang w:val="en-US" w:bidi="ar-SA"/>
              </w:rPr>
            </w:pPr>
            <w:r>
              <w:rPr>
                <w:rFonts w:ascii="微软雅黑" w:hAnsi="微软雅黑" w:eastAsia="微软雅黑" w:cs="仿宋"/>
                <w:color w:val="000000"/>
                <w:szCs w:val="22"/>
                <w:lang w:val="en-US" w:bidi="ar-SA"/>
              </w:rPr>
              <w:t>12</w:t>
            </w:r>
            <w:r>
              <w:rPr>
                <w:rFonts w:hint="eastAsia" w:ascii="微软雅黑" w:hAnsi="微软雅黑" w:eastAsia="微软雅黑" w:cs="仿宋"/>
                <w:color w:val="000000"/>
                <w:szCs w:val="22"/>
                <w:lang w:val="en-US" w:bidi="ar-SA"/>
              </w:rPr>
              <w:t>分</w:t>
            </w:r>
          </w:p>
        </w:tc>
      </w:tr>
      <w:tr w14:paraId="53A8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0" w:type="dxa"/>
            <w:vMerge w:val="continue"/>
            <w:vAlign w:val="center"/>
          </w:tcPr>
          <w:p w14:paraId="228A9599">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6AEC9A95">
            <w:pPr>
              <w:spacing w:line="360" w:lineRule="auto"/>
              <w:jc w:val="center"/>
              <w:rPr>
                <w:rFonts w:hint="eastAsia" w:ascii="微软雅黑" w:hAnsi="微软雅黑" w:eastAsia="微软雅黑" w:cs="仿宋"/>
                <w:bCs/>
                <w:szCs w:val="21"/>
              </w:rPr>
            </w:pPr>
          </w:p>
        </w:tc>
        <w:tc>
          <w:tcPr>
            <w:tcW w:w="5328" w:type="dxa"/>
          </w:tcPr>
          <w:p w14:paraId="6A6D60A6">
            <w:pPr>
              <w:spacing w:line="360" w:lineRule="auto"/>
              <w:rPr>
                <w:rFonts w:hint="eastAsia" w:ascii="微软雅黑" w:hAnsi="微软雅黑" w:eastAsia="微软雅黑" w:cs="仿宋"/>
                <w:sz w:val="21"/>
                <w:szCs w:val="21"/>
              </w:rPr>
            </w:pPr>
            <w:r>
              <w:rPr>
                <w:rFonts w:hint="eastAsia" w:ascii="微软雅黑" w:hAnsi="微软雅黑" w:eastAsia="微软雅黑" w:cs="仿宋"/>
                <w:color w:val="000000" w:themeColor="text1"/>
                <w:szCs w:val="21"/>
                <w:lang w:val="en-US"/>
                <w14:textFill>
                  <w14:solidFill>
                    <w14:schemeClr w14:val="tx1"/>
                  </w14:solidFill>
                </w14:textFill>
              </w:rPr>
              <w:t>2.</w:t>
            </w:r>
            <w:r>
              <w:rPr>
                <w:rFonts w:ascii="微软雅黑" w:hAnsi="微软雅黑" w:eastAsia="微软雅黑" w:cs="仿宋"/>
                <w:color w:val="000000" w:themeColor="text1"/>
                <w:szCs w:val="21"/>
                <w:lang w:val="en-US"/>
                <w14:textFill>
                  <w14:solidFill>
                    <w14:schemeClr w14:val="tx1"/>
                  </w14:solidFill>
                </w14:textFill>
              </w:rPr>
              <w:t>3</w:t>
            </w:r>
            <w:r>
              <w:rPr>
                <w:rFonts w:hint="eastAsia" w:ascii="微软雅黑" w:hAnsi="微软雅黑" w:eastAsia="微软雅黑" w:cs="仿宋"/>
                <w:color w:val="000000" w:themeColor="text1"/>
                <w:szCs w:val="21"/>
                <w:lang w:val="en-US"/>
                <w14:textFill>
                  <w14:solidFill>
                    <w14:schemeClr w14:val="tx1"/>
                  </w14:solidFill>
                </w14:textFill>
              </w:rPr>
              <w:t>、服务</w:t>
            </w:r>
            <w:r>
              <w:rPr>
                <w:rFonts w:hint="eastAsia" w:ascii="微软雅黑" w:hAnsi="微软雅黑" w:eastAsia="微软雅黑" w:cs="仿宋"/>
                <w:sz w:val="21"/>
                <w:szCs w:val="21"/>
              </w:rPr>
              <w:t>质量保证措施：</w:t>
            </w:r>
          </w:p>
          <w:p w14:paraId="0DB2945D">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1、</w:t>
            </w:r>
            <w:r>
              <w:rPr>
                <w:rFonts w:hint="eastAsia" w:ascii="微软雅黑" w:hAnsi="微软雅黑" w:eastAsia="微软雅黑" w:cs="仿宋"/>
                <w:sz w:val="21"/>
                <w:szCs w:val="21"/>
              </w:rPr>
              <w:t>内容贴合采购人需求，详尽合理、针对性强的，</w:t>
            </w:r>
            <w:r>
              <w:rPr>
                <w:rFonts w:hint="eastAsia" w:ascii="微软雅黑" w:hAnsi="微软雅黑" w:eastAsia="微软雅黑" w:cs="仿宋"/>
                <w:sz w:val="21"/>
                <w:szCs w:val="21"/>
                <w:lang w:val="en-US"/>
              </w:rPr>
              <w:t>得</w:t>
            </w:r>
            <w:r>
              <w:rPr>
                <w:rFonts w:ascii="微软雅黑" w:hAnsi="微软雅黑" w:eastAsia="微软雅黑" w:cs="仿宋"/>
                <w:sz w:val="21"/>
                <w:szCs w:val="21"/>
                <w:lang w:val="en-US"/>
              </w:rPr>
              <w:t>12</w:t>
            </w:r>
            <w:r>
              <w:rPr>
                <w:rFonts w:hint="eastAsia" w:ascii="微软雅黑" w:hAnsi="微软雅黑" w:eastAsia="微软雅黑" w:cs="仿宋"/>
                <w:sz w:val="21"/>
                <w:szCs w:val="21"/>
              </w:rPr>
              <w:t>分；</w:t>
            </w:r>
          </w:p>
          <w:p w14:paraId="031F3C9E">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2、</w:t>
            </w:r>
            <w:r>
              <w:rPr>
                <w:rFonts w:hint="eastAsia" w:ascii="微软雅黑" w:hAnsi="微软雅黑" w:eastAsia="微软雅黑" w:cs="仿宋"/>
                <w:sz w:val="21"/>
                <w:szCs w:val="21"/>
              </w:rPr>
              <w:t>内容基本贴合采购人需求、具备较强的针对性和可操作性的，</w:t>
            </w:r>
            <w:r>
              <w:rPr>
                <w:rFonts w:hint="eastAsia" w:ascii="微软雅黑" w:hAnsi="微软雅黑" w:eastAsia="微软雅黑" w:cs="仿宋"/>
                <w:sz w:val="21"/>
                <w:szCs w:val="21"/>
                <w:lang w:val="en-US"/>
              </w:rPr>
              <w:t>得</w:t>
            </w:r>
            <w:r>
              <w:rPr>
                <w:rFonts w:ascii="微软雅黑" w:hAnsi="微软雅黑" w:eastAsia="微软雅黑" w:cs="仿宋"/>
                <w:sz w:val="21"/>
                <w:szCs w:val="21"/>
                <w:lang w:val="en-US"/>
              </w:rPr>
              <w:t>9</w:t>
            </w:r>
            <w:r>
              <w:rPr>
                <w:rFonts w:hint="eastAsia" w:ascii="微软雅黑" w:hAnsi="微软雅黑" w:eastAsia="微软雅黑" w:cs="仿宋"/>
                <w:sz w:val="21"/>
                <w:szCs w:val="21"/>
                <w:lang w:val="en-US"/>
              </w:rPr>
              <w:t>分</w:t>
            </w:r>
            <w:r>
              <w:rPr>
                <w:rFonts w:hint="eastAsia" w:ascii="微软雅黑" w:hAnsi="微软雅黑" w:eastAsia="微软雅黑" w:cs="仿宋"/>
                <w:sz w:val="21"/>
                <w:szCs w:val="21"/>
              </w:rPr>
              <w:t>；</w:t>
            </w:r>
          </w:p>
          <w:p w14:paraId="421A41DE">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3、</w:t>
            </w:r>
            <w:r>
              <w:rPr>
                <w:rFonts w:hint="eastAsia" w:ascii="微软雅黑" w:hAnsi="微软雅黑" w:eastAsia="微软雅黑" w:cs="仿宋"/>
                <w:sz w:val="21"/>
                <w:szCs w:val="21"/>
              </w:rPr>
              <w:t>内容一般，针对性和可操作性一般的，</w:t>
            </w:r>
            <w:r>
              <w:rPr>
                <w:rFonts w:hint="eastAsia" w:ascii="微软雅黑" w:hAnsi="微软雅黑" w:eastAsia="微软雅黑" w:cs="仿宋"/>
                <w:sz w:val="21"/>
                <w:szCs w:val="21"/>
                <w:lang w:val="en-US"/>
              </w:rPr>
              <w:t>得</w:t>
            </w:r>
            <w:r>
              <w:rPr>
                <w:rFonts w:ascii="微软雅黑" w:hAnsi="微软雅黑" w:eastAsia="微软雅黑" w:cs="仿宋"/>
                <w:sz w:val="21"/>
                <w:szCs w:val="21"/>
                <w:lang w:val="en-US"/>
              </w:rPr>
              <w:t>6</w:t>
            </w:r>
            <w:r>
              <w:rPr>
                <w:rFonts w:hint="eastAsia" w:ascii="微软雅黑" w:hAnsi="微软雅黑" w:eastAsia="微软雅黑" w:cs="仿宋"/>
                <w:sz w:val="21"/>
                <w:szCs w:val="21"/>
                <w:lang w:val="en-US"/>
              </w:rPr>
              <w:t>分</w:t>
            </w:r>
            <w:r>
              <w:rPr>
                <w:rFonts w:hint="eastAsia" w:ascii="微软雅黑" w:hAnsi="微软雅黑" w:eastAsia="微软雅黑" w:cs="仿宋"/>
                <w:sz w:val="21"/>
                <w:szCs w:val="21"/>
              </w:rPr>
              <w:t>；</w:t>
            </w:r>
          </w:p>
          <w:p w14:paraId="6A377970">
            <w:pPr>
              <w:spacing w:line="360" w:lineRule="auto"/>
              <w:rPr>
                <w:rFonts w:hint="eastAsia" w:ascii="微软雅黑" w:hAnsi="微软雅黑" w:eastAsia="微软雅黑" w:cs="仿宋"/>
                <w:sz w:val="21"/>
                <w:szCs w:val="21"/>
              </w:rPr>
            </w:pPr>
            <w:r>
              <w:rPr>
                <w:rFonts w:hint="eastAsia" w:ascii="微软雅黑" w:hAnsi="微软雅黑" w:eastAsia="微软雅黑" w:cs="仿宋"/>
                <w:sz w:val="21"/>
                <w:szCs w:val="21"/>
                <w:lang w:val="en-US"/>
              </w:rPr>
              <w:t>4、</w:t>
            </w:r>
            <w:r>
              <w:rPr>
                <w:rFonts w:hint="eastAsia" w:ascii="微软雅黑" w:hAnsi="微软雅黑" w:eastAsia="微软雅黑" w:cs="仿宋"/>
                <w:sz w:val="21"/>
                <w:szCs w:val="21"/>
              </w:rPr>
              <w:t>内容较差，无针对性和可操作性</w:t>
            </w:r>
            <w:r>
              <w:rPr>
                <w:rFonts w:hint="eastAsia" w:ascii="微软雅黑" w:hAnsi="微软雅黑" w:eastAsia="微软雅黑" w:cs="仿宋"/>
                <w:sz w:val="21"/>
                <w:szCs w:val="21"/>
                <w:lang w:val="en-US"/>
              </w:rPr>
              <w:t>的，得</w:t>
            </w:r>
            <w:r>
              <w:rPr>
                <w:rFonts w:ascii="微软雅黑" w:hAnsi="微软雅黑" w:eastAsia="微软雅黑" w:cs="仿宋"/>
                <w:sz w:val="21"/>
                <w:szCs w:val="21"/>
                <w:lang w:val="en-US"/>
              </w:rPr>
              <w:t>3</w:t>
            </w:r>
            <w:r>
              <w:rPr>
                <w:rFonts w:hint="eastAsia" w:ascii="微软雅黑" w:hAnsi="微软雅黑" w:eastAsia="微软雅黑" w:cs="仿宋"/>
                <w:sz w:val="21"/>
                <w:szCs w:val="21"/>
              </w:rPr>
              <w:t>分</w:t>
            </w:r>
          </w:p>
          <w:p w14:paraId="6FE662F9">
            <w:pPr>
              <w:pStyle w:val="28"/>
              <w:spacing w:line="360" w:lineRule="auto"/>
              <w:ind w:firstLine="0" w:firstLineChars="0"/>
              <w:rPr>
                <w:rFonts w:hint="eastAsia" w:ascii="微软雅黑" w:hAnsi="微软雅黑" w:eastAsia="微软雅黑" w:cs="仿宋"/>
                <w:lang w:val="en-US"/>
              </w:rPr>
            </w:pPr>
            <w:r>
              <w:rPr>
                <w:rFonts w:hint="eastAsia" w:ascii="微软雅黑" w:hAnsi="微软雅黑" w:eastAsia="微软雅黑" w:cs="仿宋"/>
                <w:sz w:val="21"/>
                <w:szCs w:val="21"/>
                <w:lang w:val="en-US"/>
              </w:rPr>
              <w:t>5、</w:t>
            </w:r>
            <w:r>
              <w:rPr>
                <w:rFonts w:hint="eastAsia" w:ascii="微软雅黑" w:hAnsi="微软雅黑" w:eastAsia="微软雅黑" w:cs="仿宋"/>
                <w:sz w:val="21"/>
                <w:szCs w:val="21"/>
              </w:rPr>
              <w:t>无不得分。</w:t>
            </w:r>
          </w:p>
        </w:tc>
        <w:tc>
          <w:tcPr>
            <w:tcW w:w="888" w:type="dxa"/>
            <w:vAlign w:val="center"/>
          </w:tcPr>
          <w:p w14:paraId="62DE31AB">
            <w:pPr>
              <w:pStyle w:val="8"/>
              <w:adjustRightInd w:val="0"/>
              <w:snapToGrid w:val="0"/>
              <w:spacing w:line="360" w:lineRule="auto"/>
              <w:jc w:val="center"/>
              <w:rPr>
                <w:rFonts w:hint="eastAsia" w:ascii="微软雅黑" w:hAnsi="微软雅黑" w:eastAsia="微软雅黑" w:cs="仿宋"/>
                <w:color w:val="000000"/>
                <w:szCs w:val="22"/>
                <w:lang w:val="en-US" w:bidi="ar-SA"/>
              </w:rPr>
            </w:pPr>
            <w:r>
              <w:rPr>
                <w:rFonts w:ascii="微软雅黑" w:hAnsi="微软雅黑" w:eastAsia="微软雅黑" w:cs="仿宋"/>
                <w:lang w:val="en-US"/>
              </w:rPr>
              <w:t>12</w:t>
            </w:r>
            <w:r>
              <w:rPr>
                <w:rFonts w:hint="eastAsia" w:ascii="微软雅黑" w:hAnsi="微软雅黑" w:eastAsia="微软雅黑" w:cs="仿宋"/>
                <w:lang w:val="en-US"/>
              </w:rPr>
              <w:t>分</w:t>
            </w:r>
          </w:p>
        </w:tc>
      </w:tr>
      <w:tr w14:paraId="0C5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40" w:type="dxa"/>
            <w:vMerge w:val="continue"/>
            <w:vAlign w:val="center"/>
          </w:tcPr>
          <w:p w14:paraId="71170A32">
            <w:pPr>
              <w:spacing w:line="360" w:lineRule="auto"/>
              <w:jc w:val="center"/>
              <w:rPr>
                <w:rFonts w:hint="eastAsia" w:ascii="微软雅黑" w:hAnsi="微软雅黑" w:eastAsia="微软雅黑" w:cs="仿宋"/>
                <w:szCs w:val="21"/>
              </w:rPr>
            </w:pPr>
          </w:p>
        </w:tc>
        <w:tc>
          <w:tcPr>
            <w:tcW w:w="1855" w:type="dxa"/>
            <w:vMerge w:val="continue"/>
            <w:vAlign w:val="center"/>
          </w:tcPr>
          <w:p w14:paraId="1B2D34EC">
            <w:pPr>
              <w:spacing w:line="360" w:lineRule="auto"/>
              <w:jc w:val="center"/>
              <w:rPr>
                <w:rFonts w:hint="eastAsia" w:ascii="微软雅黑" w:hAnsi="微软雅黑" w:eastAsia="微软雅黑" w:cs="仿宋"/>
                <w:szCs w:val="21"/>
              </w:rPr>
            </w:pPr>
          </w:p>
        </w:tc>
        <w:tc>
          <w:tcPr>
            <w:tcW w:w="5328" w:type="dxa"/>
          </w:tcPr>
          <w:p w14:paraId="3F2FBE27">
            <w:pPr>
              <w:pStyle w:val="28"/>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2.</w:t>
            </w:r>
            <w:r>
              <w:rPr>
                <w:rFonts w:ascii="微软雅黑" w:hAnsi="微软雅黑" w:eastAsia="微软雅黑" w:cs="仿宋"/>
                <w:color w:val="000000"/>
                <w:szCs w:val="21"/>
                <w:lang w:val="en-US"/>
              </w:rPr>
              <w:t>4</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培训计划：</w:t>
            </w:r>
          </w:p>
          <w:p w14:paraId="75F35917">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员工的培训（技能、服务等）、现场管理人员的培训（管理、领导力等）有完整的培训计划和实施举措的，得</w:t>
            </w:r>
            <w:r>
              <w:rPr>
                <w:rFonts w:ascii="微软雅黑" w:hAnsi="微软雅黑" w:eastAsia="微软雅黑" w:cs="仿宋"/>
                <w:color w:val="000000"/>
                <w:szCs w:val="21"/>
                <w:lang w:val="en-US"/>
              </w:rPr>
              <w:t>12</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44DA0EE">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员工的培训（技能、服务等）、现场管理人员的培训（管理、领导力等）有</w:t>
            </w:r>
            <w:r>
              <w:rPr>
                <w:rFonts w:hint="eastAsia" w:ascii="微软雅黑" w:hAnsi="微软雅黑" w:eastAsia="微软雅黑" w:cs="仿宋"/>
                <w:color w:val="000000"/>
                <w:szCs w:val="21"/>
                <w:lang w:val="en-US"/>
              </w:rPr>
              <w:t>较完善的</w:t>
            </w:r>
            <w:r>
              <w:rPr>
                <w:rFonts w:hint="eastAsia" w:ascii="微软雅黑" w:hAnsi="微软雅黑" w:eastAsia="微软雅黑" w:cs="仿宋"/>
                <w:color w:val="000000"/>
                <w:szCs w:val="21"/>
              </w:rPr>
              <w:t>计划和举措的，得</w:t>
            </w:r>
            <w:r>
              <w:rPr>
                <w:rFonts w:ascii="微软雅黑" w:hAnsi="微软雅黑" w:eastAsia="微软雅黑" w:cs="仿宋"/>
                <w:color w:val="000000"/>
                <w:szCs w:val="21"/>
                <w:lang w:val="en-US"/>
              </w:rPr>
              <w:t>9</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5C1D4FCC">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rPr>
              <w:t>针对</w:t>
            </w:r>
            <w:r>
              <w:rPr>
                <w:rFonts w:hint="eastAsia" w:ascii="微软雅黑" w:hAnsi="微软雅黑" w:eastAsia="微软雅黑" w:cs="仿宋"/>
                <w:color w:val="000000"/>
                <w:szCs w:val="21"/>
                <w:lang w:val="en-US"/>
              </w:rPr>
              <w:t>人员配置及</w:t>
            </w:r>
            <w:r>
              <w:rPr>
                <w:rFonts w:hint="eastAsia" w:ascii="微软雅黑" w:hAnsi="微软雅黑" w:eastAsia="微软雅黑" w:cs="仿宋"/>
                <w:color w:val="000000"/>
                <w:szCs w:val="21"/>
              </w:rPr>
              <w:t>员工的培训（技能、服务等）、现场管理人员的培训（管理、领导力等）</w:t>
            </w:r>
            <w:r>
              <w:rPr>
                <w:rFonts w:hint="eastAsia" w:ascii="微软雅黑" w:hAnsi="微软雅黑" w:eastAsia="微软雅黑" w:cs="仿宋"/>
                <w:color w:val="000000"/>
                <w:szCs w:val="21"/>
                <w:lang w:val="en-US"/>
              </w:rPr>
              <w:t>不全面，内容无针对性</w:t>
            </w:r>
            <w:r>
              <w:rPr>
                <w:rFonts w:hint="eastAsia" w:ascii="微软雅黑" w:hAnsi="微软雅黑" w:eastAsia="微软雅黑" w:cs="仿宋"/>
                <w:color w:val="000000"/>
                <w:szCs w:val="21"/>
              </w:rPr>
              <w:t>的，得</w:t>
            </w:r>
            <w:r>
              <w:rPr>
                <w:rFonts w:ascii="微软雅黑" w:hAnsi="微软雅黑" w:eastAsia="微软雅黑" w:cs="仿宋"/>
                <w:color w:val="000000"/>
                <w:szCs w:val="21"/>
                <w:lang w:val="en-US"/>
              </w:rPr>
              <w:t>6</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5FCC3565">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人员配置、</w:t>
            </w:r>
            <w:r>
              <w:rPr>
                <w:rFonts w:hint="eastAsia" w:ascii="微软雅黑" w:hAnsi="微软雅黑" w:eastAsia="微软雅黑" w:cs="仿宋"/>
                <w:color w:val="000000"/>
                <w:szCs w:val="21"/>
              </w:rPr>
              <w:t>培训方案有漏项，或留用人员安置不合理的，得</w:t>
            </w:r>
            <w:r>
              <w:rPr>
                <w:rFonts w:ascii="微软雅黑" w:hAnsi="微软雅黑" w:eastAsia="微软雅黑" w:cs="仿宋"/>
                <w:color w:val="000000"/>
                <w:szCs w:val="21"/>
                <w:lang w:val="en-US"/>
              </w:rPr>
              <w:t>3</w:t>
            </w:r>
            <w:r>
              <w:rPr>
                <w:rFonts w:hint="eastAsia" w:ascii="微软雅黑" w:hAnsi="微软雅黑" w:eastAsia="微软雅黑" w:cs="仿宋"/>
                <w:color w:val="000000"/>
                <w:szCs w:val="21"/>
                <w:lang w:val="en-US"/>
              </w:rPr>
              <w:t>分；</w:t>
            </w:r>
          </w:p>
          <w:p w14:paraId="1A378F13">
            <w:pPr>
              <w:pStyle w:val="28"/>
              <w:numPr>
                <w:ilvl w:val="0"/>
                <w:numId w:val="20"/>
              </w:numPr>
              <w:spacing w:line="360" w:lineRule="auto"/>
              <w:ind w:firstLine="0" w:firstLineChars="0"/>
              <w:jc w:val="both"/>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无培训计划不得分。</w:t>
            </w:r>
          </w:p>
        </w:tc>
        <w:tc>
          <w:tcPr>
            <w:tcW w:w="888" w:type="dxa"/>
            <w:vAlign w:val="center"/>
          </w:tcPr>
          <w:p w14:paraId="4645FAC7">
            <w:pPr>
              <w:pStyle w:val="8"/>
              <w:adjustRightInd w:val="0"/>
              <w:snapToGrid w:val="0"/>
              <w:spacing w:line="360" w:lineRule="auto"/>
              <w:jc w:val="center"/>
              <w:rPr>
                <w:rFonts w:hint="eastAsia" w:ascii="微软雅黑" w:hAnsi="微软雅黑" w:eastAsia="微软雅黑" w:cs="仿宋"/>
                <w:color w:val="000000"/>
                <w:sz w:val="21"/>
                <w:lang w:val="en-US" w:bidi="ar-SA"/>
              </w:rPr>
            </w:pPr>
            <w:r>
              <w:rPr>
                <w:rFonts w:ascii="微软雅黑" w:hAnsi="微软雅黑" w:eastAsia="微软雅黑" w:cs="仿宋"/>
                <w:color w:val="000000"/>
                <w:sz w:val="21"/>
                <w:lang w:val="en-US" w:bidi="ar-SA"/>
              </w:rPr>
              <w:t>12</w:t>
            </w:r>
            <w:r>
              <w:rPr>
                <w:rFonts w:hint="eastAsia" w:ascii="微软雅黑" w:hAnsi="微软雅黑" w:eastAsia="微软雅黑" w:cs="仿宋"/>
                <w:color w:val="000000"/>
                <w:sz w:val="21"/>
                <w:lang w:val="en-US" w:bidi="ar-SA"/>
              </w:rPr>
              <w:t>分</w:t>
            </w:r>
          </w:p>
        </w:tc>
      </w:tr>
      <w:tr w14:paraId="5E1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316C8ECD">
            <w:pPr>
              <w:spacing w:line="360" w:lineRule="auto"/>
              <w:jc w:val="center"/>
              <w:rPr>
                <w:rFonts w:hint="eastAsia" w:ascii="微软雅黑" w:hAnsi="微软雅黑" w:eastAsia="微软雅黑" w:cs="仿宋"/>
                <w:szCs w:val="21"/>
              </w:rPr>
            </w:pPr>
          </w:p>
        </w:tc>
        <w:tc>
          <w:tcPr>
            <w:tcW w:w="1855" w:type="dxa"/>
            <w:vMerge w:val="continue"/>
            <w:vAlign w:val="center"/>
          </w:tcPr>
          <w:p w14:paraId="30EFE3C7">
            <w:pPr>
              <w:spacing w:line="360" w:lineRule="auto"/>
              <w:jc w:val="center"/>
              <w:rPr>
                <w:rFonts w:hint="eastAsia" w:ascii="微软雅黑" w:hAnsi="微软雅黑" w:eastAsia="微软雅黑" w:cs="仿宋"/>
                <w:szCs w:val="21"/>
              </w:rPr>
            </w:pPr>
          </w:p>
        </w:tc>
        <w:tc>
          <w:tcPr>
            <w:tcW w:w="5328" w:type="dxa"/>
          </w:tcPr>
          <w:p w14:paraId="4EB63129">
            <w:pPr>
              <w:spacing w:line="360" w:lineRule="auto"/>
              <w:rPr>
                <w:rFonts w:hint="eastAsia" w:ascii="微软雅黑" w:hAnsi="微软雅黑" w:eastAsia="微软雅黑" w:cs="仿宋"/>
                <w:color w:val="000000"/>
                <w:szCs w:val="21"/>
              </w:rPr>
            </w:pPr>
            <w:r>
              <w:rPr>
                <w:rFonts w:hint="eastAsia" w:ascii="微软雅黑" w:hAnsi="微软雅黑" w:eastAsia="微软雅黑" w:cs="仿宋"/>
                <w:color w:val="000000"/>
                <w:szCs w:val="21"/>
                <w:lang w:val="en-US"/>
              </w:rPr>
              <w:t>2.</w:t>
            </w:r>
            <w:r>
              <w:rPr>
                <w:rFonts w:ascii="微软雅黑" w:hAnsi="微软雅黑" w:eastAsia="微软雅黑" w:cs="仿宋"/>
                <w:color w:val="000000"/>
                <w:szCs w:val="21"/>
                <w:lang w:val="en-US"/>
              </w:rPr>
              <w:t>5</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突发事件应急处理预案：</w:t>
            </w:r>
          </w:p>
          <w:p w14:paraId="3AE1811E">
            <w:pPr>
              <w:numPr>
                <w:ilvl w:val="0"/>
                <w:numId w:val="21"/>
              </w:numPr>
              <w:spacing w:line="360" w:lineRule="auto"/>
              <w:rPr>
                <w:rFonts w:hint="eastAsia" w:ascii="微软雅黑" w:hAnsi="微软雅黑" w:eastAsia="微软雅黑" w:cs="仿宋"/>
                <w:color w:val="000000"/>
                <w:szCs w:val="21"/>
              </w:rPr>
            </w:pPr>
            <w:r>
              <w:rPr>
                <w:rFonts w:hint="eastAsia" w:ascii="微软雅黑" w:hAnsi="微软雅黑" w:eastAsia="微软雅黑" w:cs="仿宋"/>
                <w:color w:val="000000"/>
                <w:szCs w:val="21"/>
              </w:rPr>
              <w:t>突发事件应急处理预案完备健全，对本项目针对性强，具有实际可操作性的，得</w:t>
            </w:r>
            <w:r>
              <w:rPr>
                <w:rFonts w:ascii="微软雅黑" w:hAnsi="微软雅黑" w:eastAsia="微软雅黑" w:cs="仿宋"/>
                <w:color w:val="000000"/>
                <w:szCs w:val="21"/>
                <w:lang w:val="en-US"/>
              </w:rPr>
              <w:t>12</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F2D74A9">
            <w:pPr>
              <w:numPr>
                <w:ilvl w:val="0"/>
                <w:numId w:val="21"/>
              </w:numPr>
              <w:spacing w:line="360" w:lineRule="auto"/>
              <w:rPr>
                <w:rFonts w:hint="eastAsia" w:ascii="微软雅黑" w:hAnsi="微软雅黑" w:eastAsia="微软雅黑" w:cs="仿宋"/>
                <w:color w:val="000000"/>
                <w:szCs w:val="21"/>
                <w:lang w:val="en-US"/>
              </w:rPr>
            </w:pPr>
            <w:r>
              <w:rPr>
                <w:rFonts w:hint="eastAsia" w:ascii="微软雅黑" w:hAnsi="微软雅黑" w:eastAsia="微软雅黑" w:cs="仿宋"/>
                <w:color w:val="000000"/>
                <w:szCs w:val="21"/>
              </w:rPr>
              <w:t>突发事件应急处理预案</w:t>
            </w:r>
            <w:r>
              <w:rPr>
                <w:rFonts w:hint="eastAsia" w:ascii="微软雅黑" w:hAnsi="微软雅黑" w:eastAsia="微软雅黑" w:cs="仿宋"/>
                <w:color w:val="000000"/>
                <w:szCs w:val="21"/>
                <w:lang w:val="en-US"/>
              </w:rPr>
              <w:t>较</w:t>
            </w:r>
            <w:r>
              <w:rPr>
                <w:rFonts w:hint="eastAsia" w:ascii="微软雅黑" w:hAnsi="微软雅黑" w:eastAsia="微软雅黑" w:cs="仿宋"/>
                <w:color w:val="000000"/>
                <w:szCs w:val="21"/>
              </w:rPr>
              <w:t>完备，对本项目针对性</w:t>
            </w:r>
            <w:r>
              <w:rPr>
                <w:rFonts w:hint="eastAsia" w:ascii="微软雅黑" w:hAnsi="微软雅黑" w:eastAsia="微软雅黑" w:cs="仿宋"/>
                <w:color w:val="000000"/>
                <w:szCs w:val="21"/>
                <w:lang w:val="en-US"/>
              </w:rPr>
              <w:t>较强</w:t>
            </w:r>
            <w:r>
              <w:rPr>
                <w:rFonts w:hint="eastAsia" w:ascii="微软雅黑" w:hAnsi="微软雅黑" w:eastAsia="微软雅黑" w:cs="仿宋"/>
                <w:color w:val="000000"/>
                <w:szCs w:val="21"/>
              </w:rPr>
              <w:t>，具有可操作性的，得</w:t>
            </w:r>
            <w:r>
              <w:rPr>
                <w:rFonts w:ascii="微软雅黑" w:hAnsi="微软雅黑" w:eastAsia="微软雅黑" w:cs="仿宋"/>
                <w:color w:val="000000"/>
                <w:szCs w:val="21"/>
                <w:lang w:val="en-US"/>
              </w:rPr>
              <w:t>9</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EA5FC47">
            <w:pPr>
              <w:numPr>
                <w:ilvl w:val="0"/>
                <w:numId w:val="21"/>
              </w:numPr>
              <w:spacing w:line="360" w:lineRule="auto"/>
              <w:rPr>
                <w:rFonts w:hint="eastAsia" w:ascii="微软雅黑" w:hAnsi="微软雅黑" w:eastAsia="微软雅黑"/>
                <w:lang w:val="en-US"/>
              </w:rPr>
            </w:pPr>
            <w:r>
              <w:rPr>
                <w:rFonts w:hint="eastAsia" w:ascii="微软雅黑" w:hAnsi="微软雅黑" w:eastAsia="微软雅黑" w:cs="仿宋"/>
                <w:color w:val="000000"/>
                <w:szCs w:val="21"/>
              </w:rPr>
              <w:t>突发事件应急处理预案</w:t>
            </w:r>
            <w:r>
              <w:rPr>
                <w:rFonts w:hint="eastAsia" w:ascii="微软雅黑" w:hAnsi="微软雅黑" w:eastAsia="微软雅黑" w:cs="仿宋"/>
                <w:color w:val="000000"/>
                <w:szCs w:val="21"/>
                <w:lang w:val="en-US"/>
              </w:rPr>
              <w:t>基本</w:t>
            </w:r>
            <w:r>
              <w:rPr>
                <w:rFonts w:hint="eastAsia" w:ascii="微软雅黑" w:hAnsi="微软雅黑" w:eastAsia="微软雅黑" w:cs="仿宋"/>
                <w:color w:val="000000"/>
                <w:szCs w:val="21"/>
              </w:rPr>
              <w:t>完备，对本项目针对性</w:t>
            </w:r>
            <w:r>
              <w:rPr>
                <w:rFonts w:hint="eastAsia" w:ascii="微软雅黑" w:hAnsi="微软雅黑" w:eastAsia="微软雅黑" w:cs="仿宋"/>
                <w:color w:val="000000"/>
                <w:szCs w:val="21"/>
                <w:lang w:val="en-US"/>
              </w:rPr>
              <w:t>不强</w:t>
            </w:r>
            <w:r>
              <w:rPr>
                <w:rFonts w:hint="eastAsia" w:ascii="微软雅黑" w:hAnsi="微软雅黑" w:eastAsia="微软雅黑" w:cs="仿宋"/>
                <w:color w:val="000000"/>
                <w:szCs w:val="21"/>
              </w:rPr>
              <w:t>，具有一定可操作性的，得</w:t>
            </w:r>
            <w:r>
              <w:rPr>
                <w:rFonts w:ascii="微软雅黑" w:hAnsi="微软雅黑" w:eastAsia="微软雅黑" w:cs="仿宋"/>
                <w:color w:val="000000"/>
                <w:szCs w:val="21"/>
                <w:lang w:val="en-US"/>
              </w:rPr>
              <w:t>6</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C6D4A77">
            <w:pPr>
              <w:spacing w:line="360" w:lineRule="auto"/>
              <w:rPr>
                <w:rFonts w:hint="eastAsia" w:ascii="微软雅黑" w:hAnsi="微软雅黑" w:eastAsia="微软雅黑"/>
                <w:lang w:val="en-US"/>
              </w:rPr>
            </w:pPr>
            <w:r>
              <w:rPr>
                <w:rFonts w:ascii="微软雅黑" w:hAnsi="微软雅黑" w:eastAsia="微软雅黑" w:cs="仿宋"/>
                <w:color w:val="000000"/>
                <w:szCs w:val="21"/>
                <w:lang w:val="en-US"/>
              </w:rPr>
              <w:t>4</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预案不完备、不健全，对本项目针对性不强，不具有实际可操作性的，得</w:t>
            </w:r>
            <w:r>
              <w:rPr>
                <w:rFonts w:ascii="微软雅黑" w:hAnsi="微软雅黑" w:eastAsia="微软雅黑" w:cs="仿宋"/>
                <w:color w:val="000000"/>
                <w:szCs w:val="21"/>
                <w:lang w:val="en-US"/>
              </w:rPr>
              <w:t>3</w:t>
            </w:r>
            <w:r>
              <w:rPr>
                <w:rFonts w:hint="eastAsia" w:ascii="微软雅黑" w:hAnsi="微软雅黑" w:eastAsia="微软雅黑" w:cs="仿宋"/>
                <w:color w:val="000000"/>
                <w:szCs w:val="21"/>
              </w:rPr>
              <w:t>分</w:t>
            </w:r>
            <w:r>
              <w:rPr>
                <w:rFonts w:hint="eastAsia" w:ascii="微软雅黑" w:hAnsi="微软雅黑" w:eastAsia="微软雅黑" w:cs="仿宋"/>
                <w:color w:val="000000"/>
                <w:szCs w:val="21"/>
                <w:lang w:val="en-US"/>
              </w:rPr>
              <w:t>；</w:t>
            </w:r>
          </w:p>
          <w:p w14:paraId="677A3985">
            <w:pPr>
              <w:spacing w:line="360" w:lineRule="auto"/>
              <w:rPr>
                <w:rFonts w:hint="eastAsia" w:ascii="微软雅黑" w:hAnsi="微软雅黑" w:eastAsia="微软雅黑" w:cs="仿宋"/>
                <w:color w:val="000000"/>
                <w:szCs w:val="21"/>
              </w:rPr>
            </w:pPr>
            <w:r>
              <w:rPr>
                <w:rFonts w:ascii="微软雅黑" w:hAnsi="微软雅黑" w:eastAsia="微软雅黑" w:cs="仿宋"/>
                <w:color w:val="000000"/>
                <w:szCs w:val="21"/>
                <w:lang w:val="en-US"/>
              </w:rPr>
              <w:t>5</w:t>
            </w:r>
            <w:r>
              <w:rPr>
                <w:rFonts w:hint="eastAsia" w:ascii="微软雅黑" w:hAnsi="微软雅黑" w:eastAsia="微软雅黑" w:cs="仿宋"/>
                <w:color w:val="000000"/>
                <w:szCs w:val="21"/>
                <w:lang w:val="en-US"/>
              </w:rPr>
              <w:t>、</w:t>
            </w:r>
            <w:r>
              <w:rPr>
                <w:rFonts w:hint="eastAsia" w:ascii="微软雅黑" w:hAnsi="微软雅黑" w:eastAsia="微软雅黑" w:cs="仿宋"/>
                <w:color w:val="000000"/>
                <w:szCs w:val="21"/>
              </w:rPr>
              <w:t>没有突发事件应急处理预案的不得分。</w:t>
            </w:r>
          </w:p>
        </w:tc>
        <w:tc>
          <w:tcPr>
            <w:tcW w:w="888" w:type="dxa"/>
            <w:vAlign w:val="center"/>
          </w:tcPr>
          <w:p w14:paraId="693A496D">
            <w:pPr>
              <w:pStyle w:val="8"/>
              <w:adjustRightInd w:val="0"/>
              <w:snapToGrid w:val="0"/>
              <w:spacing w:line="360" w:lineRule="auto"/>
              <w:jc w:val="center"/>
              <w:rPr>
                <w:rFonts w:hint="eastAsia" w:ascii="微软雅黑" w:hAnsi="微软雅黑" w:eastAsia="微软雅黑" w:cs="仿宋"/>
                <w:color w:val="000000"/>
                <w:sz w:val="21"/>
                <w:lang w:val="en-US" w:bidi="ar-SA"/>
              </w:rPr>
            </w:pPr>
            <w:r>
              <w:rPr>
                <w:rFonts w:ascii="微软雅黑" w:hAnsi="微软雅黑" w:eastAsia="微软雅黑" w:cs="仿宋"/>
                <w:color w:val="000000"/>
                <w:sz w:val="21"/>
                <w:lang w:val="en-US" w:bidi="ar-SA"/>
              </w:rPr>
              <w:t>12</w:t>
            </w:r>
            <w:r>
              <w:rPr>
                <w:rFonts w:hint="eastAsia" w:ascii="微软雅黑" w:hAnsi="微软雅黑" w:eastAsia="微软雅黑" w:cs="仿宋"/>
                <w:color w:val="000000"/>
                <w:sz w:val="21"/>
                <w:lang w:val="en-US" w:bidi="ar-SA"/>
              </w:rPr>
              <w:t>分</w:t>
            </w:r>
          </w:p>
        </w:tc>
      </w:tr>
      <w:tr w14:paraId="227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40" w:type="dxa"/>
            <w:vMerge w:val="continue"/>
            <w:vAlign w:val="center"/>
          </w:tcPr>
          <w:p w14:paraId="1D6A392E">
            <w:pPr>
              <w:spacing w:line="360" w:lineRule="auto"/>
              <w:jc w:val="center"/>
              <w:rPr>
                <w:rFonts w:hint="eastAsia" w:ascii="微软雅黑" w:hAnsi="微软雅黑" w:eastAsia="微软雅黑" w:cs="仿宋"/>
                <w:szCs w:val="21"/>
              </w:rPr>
            </w:pPr>
          </w:p>
        </w:tc>
        <w:tc>
          <w:tcPr>
            <w:tcW w:w="1855" w:type="dxa"/>
            <w:vMerge w:val="continue"/>
            <w:vAlign w:val="center"/>
          </w:tcPr>
          <w:p w14:paraId="76262603">
            <w:pPr>
              <w:spacing w:line="360" w:lineRule="auto"/>
              <w:jc w:val="center"/>
              <w:rPr>
                <w:rFonts w:hint="eastAsia" w:ascii="微软雅黑" w:hAnsi="微软雅黑" w:eastAsia="微软雅黑" w:cs="仿宋"/>
                <w:szCs w:val="21"/>
              </w:rPr>
            </w:pPr>
          </w:p>
        </w:tc>
        <w:tc>
          <w:tcPr>
            <w:tcW w:w="5328" w:type="dxa"/>
          </w:tcPr>
          <w:p w14:paraId="406B1F57">
            <w:pPr>
              <w:spacing w:line="360" w:lineRule="auto"/>
              <w:rPr>
                <w:rFonts w:hint="eastAsia" w:ascii="微软雅黑" w:hAnsi="微软雅黑" w:eastAsia="微软雅黑" w:cs="仿宋"/>
                <w:lang w:val="en-US"/>
              </w:rPr>
            </w:pPr>
            <w:r>
              <w:rPr>
                <w:rFonts w:hint="eastAsia" w:ascii="微软雅黑" w:hAnsi="微软雅黑" w:eastAsia="微软雅黑" w:cs="仿宋"/>
                <w:lang w:val="en-US"/>
              </w:rPr>
              <w:t>2.</w:t>
            </w:r>
            <w:r>
              <w:rPr>
                <w:rFonts w:ascii="微软雅黑" w:hAnsi="微软雅黑" w:eastAsia="微软雅黑" w:cs="仿宋"/>
                <w:lang w:val="en-US"/>
              </w:rPr>
              <w:t>6</w:t>
            </w:r>
            <w:r>
              <w:rPr>
                <w:rFonts w:hint="eastAsia" w:ascii="微软雅黑" w:hAnsi="微软雅黑" w:eastAsia="微软雅黑" w:cs="仿宋"/>
                <w:lang w:val="en-US"/>
              </w:rPr>
              <w:t>、项目档案资料管理：</w:t>
            </w:r>
          </w:p>
          <w:p w14:paraId="51B117F7">
            <w:pPr>
              <w:numPr>
                <w:ilvl w:val="0"/>
                <w:numId w:val="22"/>
              </w:numPr>
              <w:spacing w:line="360" w:lineRule="auto"/>
              <w:rPr>
                <w:rFonts w:hint="eastAsia" w:ascii="微软雅黑" w:hAnsi="微软雅黑" w:eastAsia="微软雅黑" w:cs="仿宋"/>
              </w:rPr>
            </w:pPr>
            <w:r>
              <w:rPr>
                <w:rFonts w:hint="eastAsia" w:ascii="微软雅黑" w:hAnsi="微软雅黑" w:eastAsia="微软雅黑" w:cs="仿宋"/>
                <w:lang w:val="en-US"/>
              </w:rPr>
              <w:t>有完备的项目档案资料管理制度，建立、收集、保存等流程健全、规范，有完善的档案移交步骤的，得</w:t>
            </w:r>
            <w:r>
              <w:rPr>
                <w:rFonts w:ascii="微软雅黑" w:hAnsi="微软雅黑" w:eastAsia="微软雅黑" w:cs="仿宋"/>
                <w:lang w:val="en-US"/>
              </w:rPr>
              <w:t>12</w:t>
            </w:r>
            <w:r>
              <w:rPr>
                <w:rFonts w:hint="eastAsia" w:ascii="微软雅黑" w:hAnsi="微软雅黑" w:eastAsia="微软雅黑" w:cs="仿宋"/>
                <w:lang w:val="en-US"/>
              </w:rPr>
              <w:t xml:space="preserve">分； </w:t>
            </w:r>
          </w:p>
          <w:p w14:paraId="419A82E4">
            <w:pPr>
              <w:numPr>
                <w:ilvl w:val="0"/>
                <w:numId w:val="22"/>
              </w:numPr>
              <w:spacing w:line="360" w:lineRule="auto"/>
              <w:rPr>
                <w:rFonts w:hint="eastAsia" w:ascii="微软雅黑" w:hAnsi="微软雅黑" w:eastAsia="微软雅黑" w:cs="仿宋"/>
              </w:rPr>
            </w:pPr>
            <w:r>
              <w:rPr>
                <w:rFonts w:hint="eastAsia" w:ascii="微软雅黑" w:hAnsi="微软雅黑" w:eastAsia="微软雅黑" w:cs="仿宋"/>
                <w:lang w:val="en-US"/>
              </w:rPr>
              <w:t>有项目档案资料管理制度，建立、收集、保存等流程健全，有档案移交步骤的，得</w:t>
            </w:r>
            <w:r>
              <w:rPr>
                <w:rFonts w:ascii="微软雅黑" w:hAnsi="微软雅黑" w:eastAsia="微软雅黑" w:cs="仿宋"/>
                <w:lang w:val="en-US"/>
              </w:rPr>
              <w:t>9</w:t>
            </w:r>
            <w:r>
              <w:rPr>
                <w:rFonts w:hint="eastAsia" w:ascii="微软雅黑" w:hAnsi="微软雅黑" w:eastAsia="微软雅黑" w:cs="仿宋"/>
                <w:lang w:val="en-US"/>
              </w:rPr>
              <w:t>分；</w:t>
            </w:r>
          </w:p>
          <w:p w14:paraId="11B99F21">
            <w:pPr>
              <w:numPr>
                <w:ilvl w:val="0"/>
                <w:numId w:val="22"/>
              </w:numPr>
              <w:spacing w:line="360" w:lineRule="auto"/>
              <w:rPr>
                <w:rFonts w:hint="eastAsia" w:ascii="微软雅黑" w:hAnsi="微软雅黑" w:eastAsia="微软雅黑" w:cs="仿宋"/>
                <w:lang w:val="en-US"/>
              </w:rPr>
            </w:pPr>
            <w:r>
              <w:rPr>
                <w:rFonts w:hint="eastAsia" w:ascii="微软雅黑" w:hAnsi="微软雅黑" w:eastAsia="微软雅黑" w:cs="仿宋"/>
                <w:lang w:val="en-US"/>
              </w:rPr>
              <w:t>建立、收集、保存、移交等流程不健全，没有档案移交步骤的，得</w:t>
            </w:r>
            <w:r>
              <w:rPr>
                <w:rFonts w:ascii="微软雅黑" w:hAnsi="微软雅黑" w:eastAsia="微软雅黑" w:cs="仿宋"/>
                <w:lang w:val="en-US"/>
              </w:rPr>
              <w:t>6</w:t>
            </w:r>
            <w:r>
              <w:rPr>
                <w:rFonts w:hint="eastAsia" w:ascii="微软雅黑" w:hAnsi="微软雅黑" w:eastAsia="微软雅黑" w:cs="仿宋"/>
                <w:lang w:val="en-US"/>
              </w:rPr>
              <w:t>分；</w:t>
            </w:r>
          </w:p>
          <w:p w14:paraId="02949EEB">
            <w:pPr>
              <w:pStyle w:val="2"/>
              <w:spacing w:line="360" w:lineRule="auto"/>
              <w:ind w:left="0" w:firstLine="0"/>
              <w:rPr>
                <w:rFonts w:hint="eastAsia" w:ascii="微软雅黑" w:hAnsi="微软雅黑" w:eastAsia="微软雅黑"/>
                <w:lang w:val="en-US"/>
              </w:rPr>
            </w:pPr>
            <w:r>
              <w:rPr>
                <w:rFonts w:hint="eastAsia" w:ascii="微软雅黑" w:hAnsi="微软雅黑" w:eastAsia="微软雅黑" w:cs="仿宋"/>
                <w:lang w:val="en-US"/>
              </w:rPr>
              <w:t>4、档案管理不合理，内容易出现缺失的，得</w:t>
            </w:r>
            <w:r>
              <w:rPr>
                <w:rFonts w:ascii="微软雅黑" w:hAnsi="微软雅黑" w:eastAsia="微软雅黑" w:cs="仿宋"/>
                <w:lang w:val="en-US"/>
              </w:rPr>
              <w:t>3</w:t>
            </w:r>
            <w:r>
              <w:rPr>
                <w:rFonts w:hint="eastAsia" w:ascii="微软雅黑" w:hAnsi="微软雅黑" w:eastAsia="微软雅黑" w:cs="仿宋"/>
                <w:lang w:val="en-US"/>
              </w:rPr>
              <w:t>分；</w:t>
            </w:r>
          </w:p>
          <w:p w14:paraId="7B9F3A82">
            <w:pPr>
              <w:spacing w:line="360" w:lineRule="auto"/>
              <w:rPr>
                <w:rFonts w:hint="eastAsia" w:ascii="微软雅黑" w:hAnsi="微软雅黑" w:eastAsia="微软雅黑" w:cs="仿宋"/>
                <w:lang w:val="en-US"/>
              </w:rPr>
            </w:pPr>
            <w:r>
              <w:rPr>
                <w:rFonts w:hint="eastAsia" w:ascii="微软雅黑" w:hAnsi="微软雅黑" w:eastAsia="微软雅黑" w:cs="仿宋"/>
                <w:bCs/>
                <w:lang w:val="en-US"/>
              </w:rPr>
              <w:t>5、无档案资料管理制度不得分。</w:t>
            </w:r>
          </w:p>
        </w:tc>
        <w:tc>
          <w:tcPr>
            <w:tcW w:w="888" w:type="dxa"/>
            <w:vAlign w:val="center"/>
          </w:tcPr>
          <w:p w14:paraId="296C28B9">
            <w:pPr>
              <w:pStyle w:val="8"/>
              <w:adjustRightInd w:val="0"/>
              <w:snapToGrid w:val="0"/>
              <w:spacing w:line="360" w:lineRule="auto"/>
              <w:jc w:val="center"/>
              <w:rPr>
                <w:rFonts w:hint="eastAsia" w:ascii="微软雅黑" w:hAnsi="微软雅黑" w:eastAsia="微软雅黑" w:cs="仿宋"/>
                <w:color w:val="000000"/>
                <w:sz w:val="21"/>
                <w:lang w:val="en-US" w:bidi="ar-SA"/>
              </w:rPr>
            </w:pPr>
            <w:r>
              <w:rPr>
                <w:rFonts w:ascii="微软雅黑" w:hAnsi="微软雅黑" w:eastAsia="微软雅黑" w:cs="仿宋"/>
                <w:color w:val="000000"/>
                <w:sz w:val="21"/>
                <w:lang w:val="en-US" w:bidi="ar-SA"/>
              </w:rPr>
              <w:t>12</w:t>
            </w:r>
            <w:r>
              <w:rPr>
                <w:rFonts w:hint="eastAsia" w:ascii="微软雅黑" w:hAnsi="微软雅黑" w:eastAsia="微软雅黑" w:cs="仿宋"/>
                <w:color w:val="000000"/>
                <w:sz w:val="21"/>
                <w:lang w:val="en-US" w:bidi="ar-SA"/>
              </w:rPr>
              <w:t>分</w:t>
            </w:r>
          </w:p>
        </w:tc>
      </w:tr>
      <w:tr w14:paraId="3C57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6D7A3E84">
            <w:pPr>
              <w:spacing w:line="360" w:lineRule="auto"/>
              <w:jc w:val="center"/>
              <w:rPr>
                <w:rFonts w:hint="eastAsia" w:ascii="微软雅黑" w:hAnsi="微软雅黑" w:eastAsia="微软雅黑" w:cs="仿宋"/>
                <w:szCs w:val="21"/>
                <w:lang w:val="en-US"/>
              </w:rPr>
            </w:pPr>
          </w:p>
        </w:tc>
        <w:tc>
          <w:tcPr>
            <w:tcW w:w="1855" w:type="dxa"/>
            <w:vMerge w:val="continue"/>
            <w:vAlign w:val="center"/>
          </w:tcPr>
          <w:p w14:paraId="71645427">
            <w:pPr>
              <w:spacing w:line="360" w:lineRule="auto"/>
              <w:jc w:val="center"/>
              <w:rPr>
                <w:rFonts w:hint="eastAsia" w:ascii="微软雅黑" w:hAnsi="微软雅黑" w:eastAsia="微软雅黑" w:cs="仿宋"/>
                <w:color w:val="000000"/>
                <w:szCs w:val="21"/>
              </w:rPr>
            </w:pPr>
          </w:p>
        </w:tc>
        <w:tc>
          <w:tcPr>
            <w:tcW w:w="5328" w:type="dxa"/>
            <w:tcBorders>
              <w:top w:val="single" w:color="auto" w:sz="4" w:space="0"/>
              <w:left w:val="single" w:color="auto" w:sz="4" w:space="0"/>
              <w:bottom w:val="single" w:color="auto" w:sz="4" w:space="0"/>
              <w:right w:val="single" w:color="auto" w:sz="4" w:space="0"/>
            </w:tcBorders>
          </w:tcPr>
          <w:p w14:paraId="30F5B75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 w:val="21"/>
                <w:szCs w:val="21"/>
                <w:lang w:val="en-US"/>
                <w14:textFill>
                  <w14:solidFill>
                    <w14:schemeClr w14:val="tx1"/>
                  </w14:solidFill>
                </w14:textFill>
              </w:rPr>
              <w:t>2.</w:t>
            </w:r>
            <w:r>
              <w:rPr>
                <w:rFonts w:ascii="微软雅黑" w:hAnsi="微软雅黑" w:eastAsia="微软雅黑" w:cs="仿宋"/>
                <w:color w:val="000000" w:themeColor="text1"/>
                <w:sz w:val="21"/>
                <w:szCs w:val="21"/>
                <w:lang w:val="en-US"/>
                <w14:textFill>
                  <w14:solidFill>
                    <w14:schemeClr w14:val="tx1"/>
                  </w14:solidFill>
                </w14:textFill>
              </w:rPr>
              <w:t>7</w:t>
            </w:r>
            <w:r>
              <w:rPr>
                <w:rFonts w:hint="eastAsia" w:ascii="微软雅黑" w:hAnsi="微软雅黑" w:eastAsia="微软雅黑" w:cs="仿宋"/>
                <w:color w:val="000000" w:themeColor="text1"/>
                <w:sz w:val="21"/>
                <w:szCs w:val="21"/>
                <w:lang w:val="en-US"/>
                <w14:textFill>
                  <w14:solidFill>
                    <w14:schemeClr w14:val="tx1"/>
                  </w14:solidFill>
                </w14:textFill>
              </w:rPr>
              <w:t>、</w:t>
            </w:r>
            <w:r>
              <w:rPr>
                <w:rFonts w:hint="eastAsia" w:ascii="微软雅黑" w:hAnsi="微软雅黑" w:eastAsia="微软雅黑" w:cs="仿宋"/>
                <w:color w:val="000000" w:themeColor="text1"/>
                <w:szCs w:val="21"/>
                <w:lang w:val="en-US"/>
                <w14:textFill>
                  <w14:solidFill>
                    <w14:schemeClr w14:val="tx1"/>
                  </w14:solidFill>
                </w14:textFill>
              </w:rPr>
              <w:t>服务体系及规章制度</w:t>
            </w:r>
          </w:p>
          <w:p w14:paraId="427D1E85">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1、岗位设置合理，有明确的部门职责，工作流程完整、科学、可行，各类规章制度健全规范，针对服务所做的规划客观、明确的，得</w:t>
            </w:r>
            <w:r>
              <w:rPr>
                <w:rFonts w:ascii="微软雅黑" w:hAnsi="微软雅黑" w:eastAsia="微软雅黑" w:cs="仿宋"/>
                <w:color w:val="000000" w:themeColor="text1"/>
                <w:szCs w:val="21"/>
                <w:lang w:val="en-US"/>
                <w14:textFill>
                  <w14:solidFill>
                    <w14:schemeClr w14:val="tx1"/>
                  </w14:solidFill>
                </w14:textFill>
              </w:rPr>
              <w:t>12</w:t>
            </w:r>
            <w:r>
              <w:rPr>
                <w:rFonts w:hint="eastAsia" w:ascii="微软雅黑" w:hAnsi="微软雅黑" w:eastAsia="微软雅黑" w:cs="仿宋"/>
                <w:color w:val="000000" w:themeColor="text1"/>
                <w:szCs w:val="21"/>
                <w:lang w:val="en-US"/>
                <w14:textFill>
                  <w14:solidFill>
                    <w14:schemeClr w14:val="tx1"/>
                  </w14:solidFill>
                </w14:textFill>
              </w:rPr>
              <w:t>分；</w:t>
            </w:r>
          </w:p>
          <w:p w14:paraId="6D5CF00F">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2、岗位设置齐全，有部门职责，工作流程完整，各类规章制度健全，有针对服务所做的规划，得</w:t>
            </w:r>
            <w:r>
              <w:rPr>
                <w:rFonts w:ascii="微软雅黑" w:hAnsi="微软雅黑" w:eastAsia="微软雅黑" w:cs="仿宋"/>
                <w:color w:val="000000" w:themeColor="text1"/>
                <w:szCs w:val="21"/>
                <w:lang w:val="en-US"/>
                <w14:textFill>
                  <w14:solidFill>
                    <w14:schemeClr w14:val="tx1"/>
                  </w14:solidFill>
                </w14:textFill>
              </w:rPr>
              <w:t>9</w:t>
            </w:r>
            <w:r>
              <w:rPr>
                <w:rFonts w:hint="eastAsia" w:ascii="微软雅黑" w:hAnsi="微软雅黑" w:eastAsia="微软雅黑" w:cs="仿宋"/>
                <w:color w:val="000000" w:themeColor="text1"/>
                <w:szCs w:val="21"/>
                <w:lang w:val="en-US"/>
                <w14:textFill>
                  <w14:solidFill>
                    <w14:schemeClr w14:val="tx1"/>
                  </w14:solidFill>
                </w14:textFill>
              </w:rPr>
              <w:t>分；</w:t>
            </w:r>
          </w:p>
          <w:p w14:paraId="34E53C96">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3、岗位设置较合理，或对部门职责、工作流程的描述不完整，或规章制度不健全，针对服务所做的规划不明确的，得</w:t>
            </w:r>
            <w:r>
              <w:rPr>
                <w:rFonts w:ascii="微软雅黑" w:hAnsi="微软雅黑" w:eastAsia="微软雅黑" w:cs="仿宋"/>
                <w:color w:val="000000" w:themeColor="text1"/>
                <w:szCs w:val="21"/>
                <w:lang w:val="en-US"/>
                <w14:textFill>
                  <w14:solidFill>
                    <w14:schemeClr w14:val="tx1"/>
                  </w14:solidFill>
                </w14:textFill>
              </w:rPr>
              <w:t>6</w:t>
            </w:r>
            <w:r>
              <w:rPr>
                <w:rFonts w:hint="eastAsia" w:ascii="微软雅黑" w:hAnsi="微软雅黑" w:eastAsia="微软雅黑" w:cs="仿宋"/>
                <w:color w:val="000000" w:themeColor="text1"/>
                <w:szCs w:val="21"/>
                <w:lang w:val="en-US"/>
                <w14:textFill>
                  <w14:solidFill>
                    <w14:schemeClr w14:val="tx1"/>
                  </w14:solidFill>
                </w14:textFill>
              </w:rPr>
              <w:t>分；</w:t>
            </w:r>
          </w:p>
          <w:p w14:paraId="550A4098">
            <w:pPr>
              <w:spacing w:line="360" w:lineRule="auto"/>
              <w:rPr>
                <w:rFonts w:hint="eastAsia" w:ascii="微软雅黑" w:hAnsi="微软雅黑" w:eastAsia="微软雅黑" w:cs="仿宋"/>
                <w:color w:val="000000" w:themeColor="text1"/>
                <w:szCs w:val="21"/>
                <w:lang w:val="en-US"/>
                <w14:textFill>
                  <w14:solidFill>
                    <w14:schemeClr w14:val="tx1"/>
                  </w14:solidFill>
                </w14:textFill>
              </w:rPr>
            </w:pPr>
            <w:r>
              <w:rPr>
                <w:rFonts w:hint="eastAsia" w:ascii="微软雅黑" w:hAnsi="微软雅黑" w:eastAsia="微软雅黑" w:cs="仿宋"/>
                <w:color w:val="000000" w:themeColor="text1"/>
                <w:szCs w:val="21"/>
                <w:lang w:val="en-US"/>
                <w14:textFill>
                  <w14:solidFill>
                    <w14:schemeClr w14:val="tx1"/>
                  </w14:solidFill>
                </w14:textFill>
              </w:rPr>
              <w:t>4、岗位设置合理性不强，对部门职责、工作流程的描述不完整，或规章制度不健全，针对服务所做的规划不明确的，得</w:t>
            </w:r>
            <w:r>
              <w:rPr>
                <w:rFonts w:ascii="微软雅黑" w:hAnsi="微软雅黑" w:eastAsia="微软雅黑" w:cs="仿宋"/>
                <w:color w:val="000000" w:themeColor="text1"/>
                <w:szCs w:val="21"/>
                <w:lang w:val="en-US"/>
                <w14:textFill>
                  <w14:solidFill>
                    <w14:schemeClr w14:val="tx1"/>
                  </w14:solidFill>
                </w14:textFill>
              </w:rPr>
              <w:t>3</w:t>
            </w:r>
            <w:r>
              <w:rPr>
                <w:rFonts w:hint="eastAsia" w:ascii="微软雅黑" w:hAnsi="微软雅黑" w:eastAsia="微软雅黑" w:cs="仿宋"/>
                <w:color w:val="000000" w:themeColor="text1"/>
                <w:szCs w:val="21"/>
                <w:lang w:val="en-US"/>
                <w14:textFill>
                  <w14:solidFill>
                    <w14:schemeClr w14:val="tx1"/>
                  </w14:solidFill>
                </w14:textFill>
              </w:rPr>
              <w:t>分；</w:t>
            </w:r>
          </w:p>
          <w:p w14:paraId="46EE70B5">
            <w:pPr>
              <w:spacing w:line="360" w:lineRule="auto"/>
              <w:rPr>
                <w:rFonts w:hint="eastAsia" w:ascii="微软雅黑" w:hAnsi="微软雅黑" w:eastAsia="微软雅黑" w:cs="仿宋"/>
                <w:color w:val="000000" w:themeColor="text1"/>
                <w:sz w:val="21"/>
                <w:szCs w:val="21"/>
                <w:lang w:val="en-US"/>
                <w14:textFill>
                  <w14:solidFill>
                    <w14:schemeClr w14:val="tx1"/>
                  </w14:solidFill>
                </w14:textFill>
              </w:rPr>
            </w:pPr>
            <w:r>
              <w:rPr>
                <w:rFonts w:ascii="微软雅黑" w:hAnsi="微软雅黑" w:eastAsia="微软雅黑" w:cs="仿宋"/>
                <w:color w:val="000000" w:themeColor="text1"/>
                <w:szCs w:val="21"/>
                <w:lang w:val="en-US"/>
                <w14:textFill>
                  <w14:solidFill>
                    <w14:schemeClr w14:val="tx1"/>
                  </w14:solidFill>
                </w14:textFill>
              </w:rPr>
              <w:t>5</w:t>
            </w:r>
            <w:r>
              <w:rPr>
                <w:rFonts w:hint="eastAsia" w:ascii="微软雅黑" w:hAnsi="微软雅黑" w:eastAsia="微软雅黑" w:cs="仿宋"/>
                <w:color w:val="000000" w:themeColor="text1"/>
                <w:szCs w:val="21"/>
                <w:lang w:val="en-US"/>
                <w14:textFill>
                  <w14:solidFill>
                    <w14:schemeClr w14:val="tx1"/>
                  </w14:solidFill>
                </w14:textFill>
              </w:rPr>
              <w:t>、未提供的不得分。</w:t>
            </w:r>
          </w:p>
        </w:tc>
        <w:tc>
          <w:tcPr>
            <w:tcW w:w="888" w:type="dxa"/>
            <w:tcBorders>
              <w:top w:val="single" w:color="auto" w:sz="4" w:space="0"/>
              <w:left w:val="single" w:color="auto" w:sz="4" w:space="0"/>
              <w:bottom w:val="single" w:color="auto" w:sz="4" w:space="0"/>
              <w:right w:val="single" w:color="auto" w:sz="4" w:space="0"/>
            </w:tcBorders>
            <w:vAlign w:val="center"/>
          </w:tcPr>
          <w:p w14:paraId="76C42C8F">
            <w:pPr>
              <w:spacing w:line="360" w:lineRule="auto"/>
              <w:jc w:val="center"/>
              <w:rPr>
                <w:rFonts w:hint="eastAsia" w:ascii="微软雅黑" w:hAnsi="微软雅黑" w:eastAsia="微软雅黑" w:cs="仿宋"/>
                <w:szCs w:val="21"/>
                <w:lang w:val="en-US"/>
              </w:rPr>
            </w:pPr>
            <w:r>
              <w:rPr>
                <w:rFonts w:ascii="微软雅黑" w:hAnsi="微软雅黑" w:eastAsia="微软雅黑" w:cs="仿宋"/>
                <w:szCs w:val="21"/>
                <w:lang w:val="en-US"/>
              </w:rPr>
              <w:t>12</w:t>
            </w:r>
            <w:r>
              <w:rPr>
                <w:rFonts w:hint="eastAsia" w:ascii="微软雅黑" w:hAnsi="微软雅黑" w:eastAsia="微软雅黑" w:cs="仿宋"/>
                <w:szCs w:val="21"/>
                <w:lang w:val="en-US"/>
              </w:rPr>
              <w:t>分</w:t>
            </w:r>
          </w:p>
        </w:tc>
      </w:tr>
      <w:tr w14:paraId="6ECF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4ED83E13">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3</w:t>
            </w:r>
          </w:p>
        </w:tc>
        <w:tc>
          <w:tcPr>
            <w:tcW w:w="1855" w:type="dxa"/>
            <w:tcBorders>
              <w:left w:val="single" w:color="auto" w:sz="4" w:space="0"/>
              <w:right w:val="single" w:color="auto" w:sz="4" w:space="0"/>
            </w:tcBorders>
            <w:vAlign w:val="center"/>
          </w:tcPr>
          <w:p w14:paraId="259DC024">
            <w:pPr>
              <w:spacing w:line="360" w:lineRule="auto"/>
              <w:jc w:val="center"/>
              <w:rPr>
                <w:rFonts w:hint="eastAsia" w:ascii="微软雅黑" w:hAnsi="微软雅黑" w:eastAsia="微软雅黑" w:cs="仿宋"/>
                <w:szCs w:val="21"/>
                <w:lang w:val="en-US"/>
              </w:rPr>
            </w:pPr>
            <w:r>
              <w:rPr>
                <w:rFonts w:hint="eastAsia" w:ascii="微软雅黑" w:hAnsi="微软雅黑" w:eastAsia="微软雅黑" w:cs="仿宋"/>
                <w:szCs w:val="21"/>
                <w:lang w:val="en-US"/>
              </w:rPr>
              <w:t>类似业绩</w:t>
            </w:r>
          </w:p>
        </w:tc>
        <w:tc>
          <w:tcPr>
            <w:tcW w:w="5328" w:type="dxa"/>
            <w:tcBorders>
              <w:top w:val="single" w:color="auto" w:sz="4" w:space="0"/>
              <w:left w:val="single" w:color="auto" w:sz="4" w:space="0"/>
              <w:bottom w:val="single" w:color="auto" w:sz="4" w:space="0"/>
              <w:right w:val="single" w:color="auto" w:sz="4" w:space="0"/>
            </w:tcBorders>
            <w:shd w:val="clear" w:color="auto" w:fill="auto"/>
          </w:tcPr>
          <w:p w14:paraId="37526B87">
            <w:pPr>
              <w:spacing w:line="360" w:lineRule="auto"/>
              <w:rPr>
                <w:rFonts w:hint="eastAsia" w:ascii="微软雅黑" w:hAnsi="微软雅黑" w:eastAsia="微软雅黑" w:cs="仿宋"/>
                <w:u w:val="single"/>
                <w:lang w:val="en-US"/>
              </w:rPr>
            </w:pPr>
            <w:r>
              <w:rPr>
                <w:rFonts w:hint="eastAsia" w:ascii="微软雅黑" w:hAnsi="微软雅黑" w:eastAsia="微软雅黑"/>
                <w:color w:val="000000" w:themeColor="text1"/>
                <w14:textFill>
                  <w14:solidFill>
                    <w14:schemeClr w14:val="tx1"/>
                  </w14:solidFill>
                </w14:textFill>
              </w:rPr>
              <w:t>供应商自2</w:t>
            </w:r>
            <w:r>
              <w:rPr>
                <w:rFonts w:ascii="微软雅黑" w:hAnsi="微软雅黑" w:eastAsia="微软雅黑"/>
                <w:color w:val="000000" w:themeColor="text1"/>
                <w14:textFill>
                  <w14:solidFill>
                    <w14:schemeClr w14:val="tx1"/>
                  </w14:solidFill>
                </w14:textFill>
              </w:rPr>
              <w:t>02</w:t>
            </w:r>
            <w:r>
              <w:rPr>
                <w:rFonts w:hint="eastAsia" w:ascii="微软雅黑" w:hAnsi="微软雅黑" w:eastAsia="微软雅黑"/>
                <w:color w:val="000000" w:themeColor="text1"/>
                <w:lang w:val="en-US" w:eastAsia="zh-CN"/>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年1月1日以来，具有</w:t>
            </w:r>
            <w:r>
              <w:rPr>
                <w:rFonts w:hint="eastAsia" w:ascii="微软雅黑" w:hAnsi="微软雅黑" w:eastAsia="微软雅黑"/>
                <w:color w:val="000000" w:themeColor="text1"/>
                <w:lang w:val="en-US" w:eastAsia="zh-CN"/>
                <w14:textFill>
                  <w14:solidFill>
                    <w14:schemeClr w14:val="tx1"/>
                  </w14:solidFill>
                </w14:textFill>
              </w:rPr>
              <w:t>与本项目</w:t>
            </w:r>
            <w:r>
              <w:rPr>
                <w:rFonts w:hint="eastAsia" w:ascii="微软雅黑" w:hAnsi="微软雅黑" w:eastAsia="微软雅黑"/>
                <w:color w:val="000000" w:themeColor="text1"/>
                <w14:textFill>
                  <w14:solidFill>
                    <w14:schemeClr w14:val="tx1"/>
                  </w14:solidFill>
                </w14:textFill>
              </w:rPr>
              <w:t>类</w:t>
            </w:r>
            <w:r>
              <w:rPr>
                <w:rFonts w:hint="eastAsia" w:ascii="微软雅黑" w:hAnsi="微软雅黑" w:eastAsia="微软雅黑"/>
                <w:color w:val="000000" w:themeColor="text1"/>
                <w:lang w:val="en-US" w:eastAsia="zh-CN"/>
                <w14:textFill>
                  <w14:solidFill>
                    <w14:schemeClr w14:val="tx1"/>
                  </w14:solidFill>
                </w14:textFill>
              </w:rPr>
              <w:t>似服务</w:t>
            </w:r>
            <w:r>
              <w:rPr>
                <w:rFonts w:hint="eastAsia" w:ascii="微软雅黑" w:hAnsi="微软雅黑" w:eastAsia="微软雅黑"/>
                <w:color w:val="000000" w:themeColor="text1"/>
                <w14:textFill>
                  <w14:solidFill>
                    <w14:schemeClr w14:val="tx1"/>
                  </w14:solidFill>
                </w14:textFill>
              </w:rPr>
              <w:t>的业绩，有1个得</w:t>
            </w:r>
            <w:r>
              <w:rPr>
                <w:rFonts w:ascii="微软雅黑" w:hAnsi="微软雅黑" w:eastAsia="微软雅黑"/>
                <w:color w:val="000000" w:themeColor="text1"/>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分，最高</w:t>
            </w:r>
            <w:r>
              <w:rPr>
                <w:rFonts w:ascii="微软雅黑" w:hAnsi="微软雅黑" w:eastAsia="微软雅黑"/>
                <w:color w:val="000000" w:themeColor="text1"/>
                <w14:textFill>
                  <w14:solidFill>
                    <w14:schemeClr w14:val="tx1"/>
                  </w14:solidFill>
                </w14:textFill>
              </w:rPr>
              <w:t>3</w:t>
            </w:r>
            <w:r>
              <w:rPr>
                <w:rFonts w:hint="eastAsia" w:ascii="微软雅黑" w:hAnsi="微软雅黑" w:eastAsia="微软雅黑"/>
                <w:color w:val="000000" w:themeColor="text1"/>
                <w14:textFill>
                  <w14:solidFill>
                    <w14:schemeClr w14:val="tx1"/>
                  </w14:solidFill>
                </w14:textFill>
              </w:rPr>
              <w:t>分。（提供中标通知书、业绩合同、对应合同的发票（若有多次付款，提供任意一次发票即可），三者缺一不可，日期以合同日期为准，以上材料均需提供复印件加盖公章，提供的证明材料必须能充分反映相关数据和内容，否则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10176986">
            <w:pPr>
              <w:spacing w:line="360" w:lineRule="auto"/>
              <w:jc w:val="center"/>
              <w:rPr>
                <w:rFonts w:hint="eastAsia" w:ascii="微软雅黑" w:hAnsi="微软雅黑" w:eastAsia="微软雅黑" w:cs="仿宋"/>
                <w:szCs w:val="21"/>
                <w:u w:val="single"/>
                <w:lang w:val="en-US"/>
              </w:rPr>
            </w:pPr>
            <w:r>
              <w:rPr>
                <w:rFonts w:ascii="微软雅黑" w:hAnsi="微软雅黑" w:eastAsia="微软雅黑" w:cs="仿宋"/>
                <w:szCs w:val="21"/>
                <w:lang w:val="en-US"/>
              </w:rPr>
              <w:t>3</w:t>
            </w:r>
            <w:r>
              <w:rPr>
                <w:rFonts w:hint="eastAsia" w:ascii="微软雅黑" w:hAnsi="微软雅黑" w:eastAsia="微软雅黑" w:cs="仿宋"/>
                <w:szCs w:val="21"/>
                <w:lang w:val="en-US"/>
              </w:rPr>
              <w:t>分</w:t>
            </w:r>
          </w:p>
        </w:tc>
      </w:tr>
    </w:tbl>
    <w:p w14:paraId="6494AC82">
      <w:pPr>
        <w:pStyle w:val="7"/>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402697DF">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2"/>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2"/>
        <w:rPr>
          <w:rFonts w:hint="eastAsia" w:ascii="华文仿宋" w:hAnsi="华文仿宋" w:eastAsia="华文仿宋"/>
          <w:highlight w:val="none"/>
        </w:rPr>
      </w:pPr>
    </w:p>
    <w:p w14:paraId="626845DB">
      <w:pPr>
        <w:rPr>
          <w:rFonts w:hint="eastAsia"/>
          <w:highlight w:val="none"/>
        </w:rPr>
      </w:pPr>
    </w:p>
    <w:p w14:paraId="6DC6148C">
      <w:pPr>
        <w:pStyle w:val="7"/>
        <w:spacing w:before="127" w:line="480" w:lineRule="auto"/>
        <w:ind w:left="268" w:right="300"/>
        <w:jc w:val="center"/>
        <w:rPr>
          <w:rFonts w:hint="eastAsia" w:ascii="仿宋" w:hAnsi="仿宋" w:eastAsia="仿宋" w:cs="仿宋"/>
          <w:sz w:val="32"/>
          <w:szCs w:val="32"/>
          <w:highlight w:val="none"/>
        </w:rPr>
      </w:pPr>
      <w:bookmarkStart w:id="61" w:name="_Toc14069"/>
      <w:r>
        <w:rPr>
          <w:rFonts w:hint="eastAsia" w:ascii="仿宋" w:hAnsi="仿宋" w:eastAsia="仿宋" w:cs="仿宋"/>
          <w:sz w:val="32"/>
          <w:szCs w:val="32"/>
          <w:highlight w:val="none"/>
        </w:rPr>
        <w:t>采购合同</w:t>
      </w:r>
    </w:p>
    <w:tbl>
      <w:tblPr>
        <w:tblStyle w:val="14"/>
        <w:tblW w:w="9286" w:type="dxa"/>
        <w:tblInd w:w="-108" w:type="dxa"/>
        <w:tblLayout w:type="fixed"/>
        <w:tblCellMar>
          <w:top w:w="0" w:type="dxa"/>
          <w:left w:w="0" w:type="dxa"/>
          <w:bottom w:w="0" w:type="dxa"/>
          <w:right w:w="0" w:type="dxa"/>
        </w:tblCellMar>
      </w:tblPr>
      <w:tblGrid>
        <w:gridCol w:w="4643"/>
        <w:gridCol w:w="4643"/>
      </w:tblGrid>
      <w:tr w14:paraId="42D353EA">
        <w:tblPrEx>
          <w:tblCellMar>
            <w:top w:w="0" w:type="dxa"/>
            <w:left w:w="0" w:type="dxa"/>
            <w:bottom w:w="0" w:type="dxa"/>
            <w:right w:w="0" w:type="dxa"/>
          </w:tblCellMar>
        </w:tblPrEx>
        <w:tc>
          <w:tcPr>
            <w:tcW w:w="4643" w:type="dxa"/>
            <w:tcBorders>
              <w:top w:val="nil"/>
              <w:left w:val="nil"/>
              <w:bottom w:val="nil"/>
              <w:right w:val="nil"/>
            </w:tcBorders>
            <w:noWrap/>
          </w:tcPr>
          <w:p w14:paraId="1C3DCA16">
            <w:pPr>
              <w:adjustRightInd w:val="0"/>
              <w:snapToGrid w:val="0"/>
              <w:spacing w:line="360" w:lineRule="auto"/>
              <w:ind w:left="2310" w:hanging="2310" w:hangingChars="1100"/>
              <w:rPr>
                <w:rFonts w:hint="eastAsia" w:ascii="微软雅黑" w:hAnsi="微软雅黑" w:eastAsia="微软雅黑"/>
                <w:sz w:val="21"/>
                <w:szCs w:val="21"/>
                <w:lang w:bidi="ar-SA"/>
              </w:rPr>
            </w:pPr>
            <w:r>
              <w:rPr>
                <w:rFonts w:hint="eastAsia" w:ascii="微软雅黑" w:hAnsi="微软雅黑" w:eastAsia="微软雅黑"/>
                <w:sz w:val="21"/>
                <w:szCs w:val="21"/>
                <w:lang w:bidi="ar-SA"/>
              </w:rPr>
              <w:t>采购人：</w:t>
            </w:r>
            <w:r>
              <w:rPr>
                <w:rFonts w:ascii="微软雅黑" w:hAnsi="微软雅黑" w:eastAsia="微软雅黑"/>
                <w:sz w:val="21"/>
                <w:szCs w:val="21"/>
                <w:lang w:bidi="ar-SA"/>
              </w:rPr>
              <w:t xml:space="preserve">         </w:t>
            </w:r>
            <w:r>
              <w:rPr>
                <w:rFonts w:hint="eastAsia" w:ascii="微软雅黑" w:hAnsi="微软雅黑" w:eastAsia="微软雅黑"/>
                <w:sz w:val="21"/>
                <w:szCs w:val="21"/>
                <w:lang w:bidi="ar-SA"/>
              </w:rPr>
              <w:t>（以下称甲方）</w:t>
            </w:r>
          </w:p>
        </w:tc>
        <w:tc>
          <w:tcPr>
            <w:tcW w:w="4643" w:type="dxa"/>
            <w:tcBorders>
              <w:top w:val="nil"/>
              <w:left w:val="nil"/>
              <w:bottom w:val="nil"/>
              <w:right w:val="nil"/>
            </w:tcBorders>
            <w:noWrap/>
          </w:tcPr>
          <w:p w14:paraId="310817A6">
            <w:pPr>
              <w:adjustRightInd w:val="0"/>
              <w:snapToGrid w:val="0"/>
              <w:spacing w:line="360" w:lineRule="auto"/>
              <w:rPr>
                <w:rFonts w:hint="eastAsia" w:ascii="微软雅黑" w:hAnsi="微软雅黑" w:eastAsia="微软雅黑"/>
                <w:sz w:val="21"/>
                <w:szCs w:val="21"/>
                <w:lang w:bidi="ar-SA"/>
              </w:rPr>
            </w:pPr>
            <w:r>
              <w:rPr>
                <w:rFonts w:hint="eastAsia" w:ascii="微软雅黑" w:hAnsi="微软雅黑" w:eastAsia="微软雅黑"/>
                <w:sz w:val="21"/>
                <w:szCs w:val="21"/>
                <w:lang w:bidi="ar-SA"/>
              </w:rPr>
              <w:t>供应商：</w:t>
            </w:r>
            <w:r>
              <w:rPr>
                <w:rFonts w:ascii="微软雅黑" w:hAnsi="微软雅黑" w:eastAsia="微软雅黑"/>
                <w:sz w:val="21"/>
                <w:szCs w:val="21"/>
                <w:lang w:bidi="ar-SA"/>
              </w:rPr>
              <w:t xml:space="preserve">                     </w:t>
            </w:r>
            <w:r>
              <w:rPr>
                <w:rFonts w:hint="eastAsia" w:ascii="微软雅黑" w:hAnsi="微软雅黑" w:eastAsia="微软雅黑"/>
                <w:sz w:val="21"/>
                <w:szCs w:val="21"/>
                <w:lang w:bidi="ar-SA"/>
              </w:rPr>
              <w:t>（以下称乙方）</w:t>
            </w:r>
          </w:p>
        </w:tc>
      </w:tr>
      <w:tr w14:paraId="75D9DF34">
        <w:tblPrEx>
          <w:tblCellMar>
            <w:top w:w="0" w:type="dxa"/>
            <w:left w:w="0" w:type="dxa"/>
            <w:bottom w:w="0" w:type="dxa"/>
            <w:right w:w="0" w:type="dxa"/>
          </w:tblCellMar>
        </w:tblPrEx>
        <w:tc>
          <w:tcPr>
            <w:tcW w:w="4643" w:type="dxa"/>
            <w:tcBorders>
              <w:top w:val="nil"/>
              <w:left w:val="nil"/>
              <w:bottom w:val="nil"/>
              <w:right w:val="nil"/>
            </w:tcBorders>
            <w:noWrap/>
          </w:tcPr>
          <w:p w14:paraId="5DD83D51">
            <w:pPr>
              <w:adjustRightInd w:val="0"/>
              <w:snapToGrid w:val="0"/>
              <w:spacing w:line="360" w:lineRule="auto"/>
              <w:rPr>
                <w:rFonts w:hint="eastAsia" w:ascii="微软雅黑" w:hAnsi="微软雅黑" w:eastAsia="微软雅黑"/>
                <w:sz w:val="21"/>
                <w:szCs w:val="21"/>
                <w:lang w:bidi="ar-SA"/>
              </w:rPr>
            </w:pPr>
            <w:r>
              <w:rPr>
                <w:rFonts w:hint="eastAsia" w:ascii="微软雅黑" w:hAnsi="微软雅黑" w:eastAsia="微软雅黑"/>
                <w:sz w:val="21"/>
                <w:szCs w:val="21"/>
                <w:lang w:bidi="ar-SA"/>
              </w:rPr>
              <w:t>住所地：</w:t>
            </w:r>
          </w:p>
        </w:tc>
        <w:tc>
          <w:tcPr>
            <w:tcW w:w="4643" w:type="dxa"/>
            <w:tcBorders>
              <w:top w:val="nil"/>
              <w:left w:val="nil"/>
              <w:bottom w:val="nil"/>
              <w:right w:val="nil"/>
            </w:tcBorders>
            <w:noWrap/>
          </w:tcPr>
          <w:p w14:paraId="7A60CA86">
            <w:pPr>
              <w:adjustRightInd w:val="0"/>
              <w:snapToGrid w:val="0"/>
              <w:spacing w:line="360" w:lineRule="auto"/>
              <w:rPr>
                <w:rFonts w:hint="eastAsia" w:ascii="微软雅黑" w:hAnsi="微软雅黑" w:eastAsia="微软雅黑"/>
                <w:sz w:val="21"/>
                <w:szCs w:val="21"/>
                <w:lang w:bidi="ar-SA"/>
              </w:rPr>
            </w:pPr>
            <w:r>
              <w:rPr>
                <w:rFonts w:hint="eastAsia" w:ascii="微软雅黑" w:hAnsi="微软雅黑" w:eastAsia="微软雅黑"/>
                <w:sz w:val="21"/>
                <w:szCs w:val="21"/>
                <w:lang w:bidi="ar-SA"/>
              </w:rPr>
              <w:t>住所地：</w:t>
            </w:r>
          </w:p>
        </w:tc>
      </w:tr>
    </w:tbl>
    <w:p w14:paraId="2B5ECB7B">
      <w:pPr>
        <w:adjustRightInd w:val="0"/>
        <w:snapToGrid w:val="0"/>
        <w:spacing w:line="360" w:lineRule="auto"/>
        <w:rPr>
          <w:rFonts w:hint="eastAsia" w:ascii="微软雅黑" w:hAnsi="微软雅黑" w:eastAsia="微软雅黑"/>
          <w:sz w:val="21"/>
          <w:szCs w:val="21"/>
          <w:lang w:bidi="ar-SA"/>
        </w:rPr>
      </w:pPr>
      <w:r>
        <w:rPr>
          <w:rFonts w:hint="eastAsia" w:ascii="微软雅黑" w:hAnsi="微软雅黑" w:eastAsia="微软雅黑"/>
          <w:sz w:val="21"/>
          <w:szCs w:val="21"/>
          <w:lang w:bidi="ar-SA"/>
        </w:rPr>
        <w:t xml:space="preserve">    </w:t>
      </w:r>
    </w:p>
    <w:p w14:paraId="48BE0BD5">
      <w:pPr>
        <w:adjustRightInd w:val="0"/>
        <w:snapToGrid w:val="0"/>
        <w:spacing w:line="360" w:lineRule="auto"/>
        <w:ind w:firstLine="420" w:firstLineChars="200"/>
        <w:rPr>
          <w:rFonts w:hint="eastAsia" w:ascii="微软雅黑" w:hAnsi="微软雅黑" w:eastAsia="微软雅黑"/>
          <w:sz w:val="21"/>
          <w:szCs w:val="21"/>
          <w:lang w:bidi="ar-SA"/>
        </w:rPr>
      </w:pPr>
      <w:r>
        <w:rPr>
          <w:rFonts w:hint="eastAsia" w:ascii="微软雅黑" w:hAnsi="微软雅黑" w:eastAsia="微软雅黑"/>
          <w:sz w:val="21"/>
          <w:szCs w:val="21"/>
          <w:lang w:bidi="ar-SA"/>
        </w:rPr>
        <w:t>根据《中华人民共和国政府采购法》、《中华人民共和国</w:t>
      </w:r>
      <w:r>
        <w:rPr>
          <w:rFonts w:hint="eastAsia" w:ascii="微软雅黑" w:hAnsi="微软雅黑" w:eastAsia="微软雅黑"/>
          <w:sz w:val="21"/>
          <w:szCs w:val="21"/>
          <w:lang w:val="en-US" w:bidi="ar-SA"/>
        </w:rPr>
        <w:t>民法典</w:t>
      </w:r>
      <w:r>
        <w:rPr>
          <w:rFonts w:hint="eastAsia" w:ascii="微软雅黑" w:hAnsi="微软雅黑" w:eastAsia="微软雅黑"/>
          <w:sz w:val="21"/>
          <w:szCs w:val="21"/>
          <w:lang w:bidi="ar-SA"/>
        </w:rPr>
        <w:t>》等法律法规的规定，甲</w:t>
      </w:r>
      <w:r>
        <w:rPr>
          <w:rFonts w:ascii="微软雅黑" w:hAnsi="微软雅黑" w:eastAsia="微软雅黑"/>
          <w:sz w:val="21"/>
          <w:szCs w:val="21"/>
          <w:lang w:bidi="ar-SA"/>
        </w:rPr>
        <w:t>、</w:t>
      </w:r>
      <w:r>
        <w:rPr>
          <w:rFonts w:hint="eastAsia" w:ascii="微软雅黑" w:hAnsi="微软雅黑" w:eastAsia="微软雅黑"/>
          <w:sz w:val="21"/>
          <w:szCs w:val="21"/>
          <w:lang w:bidi="ar-SA"/>
        </w:rPr>
        <w:t>乙双方按照磋商结果签订本合同。</w:t>
      </w:r>
    </w:p>
    <w:p w14:paraId="3649AA11">
      <w:pPr>
        <w:pStyle w:val="24"/>
        <w:ind w:firstLine="420"/>
        <w:rPr>
          <w:rFonts w:hint="eastAsia" w:ascii="微软雅黑" w:hAnsi="微软雅黑" w:eastAsia="微软雅黑"/>
          <w:sz w:val="21"/>
          <w:szCs w:val="21"/>
          <w:u w:val="single"/>
          <w:lang w:val="en-US"/>
        </w:rPr>
      </w:pPr>
      <w:r>
        <w:rPr>
          <w:rFonts w:hint="eastAsia" w:ascii="微软雅黑" w:hAnsi="微软雅黑" w:eastAsia="微软雅黑"/>
          <w:sz w:val="21"/>
          <w:szCs w:val="21"/>
        </w:rPr>
        <w:t>第一条 合同标的  乙方根据甲方需求提供下列服务：</w:t>
      </w:r>
      <w:r>
        <w:rPr>
          <w:rFonts w:ascii="微软雅黑" w:hAnsi="微软雅黑" w:eastAsia="微软雅黑"/>
          <w:i/>
          <w:iCs/>
          <w:sz w:val="21"/>
          <w:szCs w:val="21"/>
          <w:u w:val="single"/>
        </w:rPr>
        <w:t xml:space="preserve">                           </w:t>
      </w:r>
      <w:r>
        <w:rPr>
          <w:rFonts w:ascii="微软雅黑" w:hAnsi="微软雅黑" w:eastAsia="微软雅黑"/>
          <w:sz w:val="21"/>
          <w:szCs w:val="21"/>
        </w:rPr>
        <w:t>。</w:t>
      </w:r>
    </w:p>
    <w:p w14:paraId="66BEBB5E">
      <w:pPr>
        <w:snapToGrid w:val="0"/>
        <w:spacing w:before="100" w:beforeAutospacing="1" w:after="200"/>
        <w:ind w:firstLine="420" w:firstLineChars="200"/>
        <w:rPr>
          <w:rFonts w:hint="eastAsia" w:ascii="微软雅黑" w:hAnsi="微软雅黑" w:eastAsia="微软雅黑"/>
          <w:sz w:val="21"/>
          <w:szCs w:val="21"/>
          <w:lang w:bidi="ar-SA"/>
        </w:rPr>
      </w:pPr>
      <w:r>
        <w:rPr>
          <w:rFonts w:hint="eastAsia" w:ascii="微软雅黑" w:hAnsi="微软雅黑" w:eastAsia="微软雅黑"/>
          <w:sz w:val="21"/>
          <w:szCs w:val="21"/>
          <w:lang w:bidi="ar-SA"/>
        </w:rPr>
        <w:t>第二条 合同总价款  本合同项下服务报价为</w:t>
      </w:r>
      <w:r>
        <w:rPr>
          <w:rFonts w:hint="eastAsia" w:ascii="微软雅黑" w:hAnsi="微软雅黑" w:eastAsia="微软雅黑"/>
          <w:sz w:val="21"/>
          <w:szCs w:val="21"/>
          <w:u w:val="single"/>
          <w:lang w:val="en-US" w:bidi="ar-SA"/>
        </w:rPr>
        <w:t xml:space="preserve"> </w:t>
      </w:r>
      <w:r>
        <w:rPr>
          <w:rFonts w:ascii="微软雅黑" w:hAnsi="微软雅黑" w:eastAsia="微软雅黑"/>
          <w:sz w:val="21"/>
          <w:szCs w:val="21"/>
          <w:u w:val="single"/>
          <w:lang w:val="en-US" w:bidi="ar-SA"/>
        </w:rPr>
        <w:t xml:space="preserve">     </w:t>
      </w:r>
      <w:r>
        <w:rPr>
          <w:rFonts w:hint="eastAsia" w:ascii="微软雅黑" w:hAnsi="微软雅黑" w:eastAsia="微软雅黑"/>
          <w:sz w:val="21"/>
          <w:szCs w:val="21"/>
          <w:u w:val="single"/>
          <w:lang w:val="en-US" w:bidi="ar-SA"/>
        </w:rPr>
        <w:t xml:space="preserve"> </w:t>
      </w:r>
      <w:r>
        <w:rPr>
          <w:rFonts w:hint="eastAsia" w:ascii="微软雅黑" w:hAnsi="微软雅黑" w:eastAsia="微软雅黑"/>
          <w:sz w:val="21"/>
          <w:szCs w:val="21"/>
          <w:lang w:bidi="ar-SA"/>
        </w:rPr>
        <w:t>（大写）人民币；</w:t>
      </w:r>
    </w:p>
    <w:p w14:paraId="3C9590A1">
      <w:pPr>
        <w:spacing w:line="360" w:lineRule="auto"/>
        <w:ind w:firstLine="420" w:firstLineChars="200"/>
        <w:rPr>
          <w:rFonts w:hint="eastAsia" w:ascii="微软雅黑" w:hAnsi="微软雅黑" w:eastAsia="微软雅黑"/>
          <w:sz w:val="21"/>
          <w:szCs w:val="21"/>
          <w:lang w:bidi="ar-SA"/>
        </w:rPr>
      </w:pPr>
      <w:r>
        <w:rPr>
          <w:rFonts w:hint="eastAsia" w:ascii="微软雅黑" w:hAnsi="微软雅黑" w:eastAsia="微软雅黑"/>
          <w:sz w:val="21"/>
          <w:szCs w:val="21"/>
          <w:lang w:bidi="ar-SA"/>
        </w:rPr>
        <w:t>本合同总价款是完成本项目所发生的所有含税费用、支付给员工的工资和国家强制缴纳的各种社会保障资金，以及供应商认为需要的其他费用等。</w:t>
      </w:r>
    </w:p>
    <w:p w14:paraId="1580D83B">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本合同执行期间合同总价款不变。</w:t>
      </w:r>
    </w:p>
    <w:p w14:paraId="56E02551">
      <w:pPr>
        <w:spacing w:line="360" w:lineRule="auto"/>
        <w:rPr>
          <w:rFonts w:hint="eastAsia" w:ascii="微软雅黑" w:hAnsi="微软雅黑" w:eastAsia="微软雅黑"/>
          <w:sz w:val="21"/>
          <w:szCs w:val="21"/>
          <w:lang w:bidi="ar-SA"/>
        </w:rPr>
      </w:pPr>
      <w:r>
        <w:rPr>
          <w:rFonts w:hint="eastAsia" w:ascii="微软雅黑" w:hAnsi="微软雅黑" w:eastAsia="微软雅黑"/>
          <w:sz w:val="21"/>
          <w:szCs w:val="21"/>
          <w:lang w:bidi="ar-SA"/>
        </w:rPr>
        <w:t>第三条 组成本合同的有关文件  下列关于</w:t>
      </w:r>
      <w:r>
        <w:rPr>
          <w:rFonts w:hint="eastAsia" w:ascii="微软雅黑" w:hAnsi="微软雅黑" w:eastAsia="微软雅黑"/>
          <w:sz w:val="21"/>
          <w:szCs w:val="21"/>
          <w:u w:val="single"/>
          <w:lang w:val="en-US" w:bidi="ar-SA"/>
        </w:rPr>
        <w:t xml:space="preserve"> </w:t>
      </w:r>
      <w:r>
        <w:rPr>
          <w:rFonts w:ascii="微软雅黑" w:hAnsi="微软雅黑" w:eastAsia="微软雅黑"/>
          <w:sz w:val="21"/>
          <w:szCs w:val="21"/>
          <w:u w:val="single"/>
          <w:lang w:val="en-US" w:bidi="ar-SA"/>
        </w:rPr>
        <w:t xml:space="preserve">      </w:t>
      </w:r>
      <w:r>
        <w:rPr>
          <w:rFonts w:hint="eastAsia" w:ascii="微软雅黑" w:hAnsi="微软雅黑" w:eastAsia="微软雅黑"/>
          <w:sz w:val="21"/>
          <w:szCs w:val="21"/>
          <w:lang w:bidi="ar-SA"/>
        </w:rPr>
        <w:t>的采购文件、供应商响应文件，或与本次采购活动方式相适应的文件，以及有关附件是本合同不可分割的组成部分，与本合同具有同等法律效力，这些文件包括但不限于：</w:t>
      </w:r>
    </w:p>
    <w:p w14:paraId="3817729C">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（1）乙方提供的响应文件和报价表；</w:t>
      </w:r>
    </w:p>
    <w:p w14:paraId="743C5D52">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（2）技术规格响应表；</w:t>
      </w:r>
    </w:p>
    <w:p w14:paraId="1CC18CB9">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（3）磋商承诺/服务承诺；</w:t>
      </w:r>
    </w:p>
    <w:p w14:paraId="7E511F6D">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（4）成交通知书；</w:t>
      </w:r>
    </w:p>
    <w:p w14:paraId="301496EC">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（5）甲乙双方商定的其他文件等。</w:t>
      </w:r>
    </w:p>
    <w:p w14:paraId="64A5D8F1">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第四条 权利保证</w:t>
      </w:r>
    </w:p>
    <w:p w14:paraId="36D4F86F">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乙方应保证甲方在使用该服务或其任何一部分时不受第三方提出侵犯其专利权、版权、商标权或其他权利的起诉。一旦出现侵权，乙方应承担全部责任。</w:t>
      </w:r>
    </w:p>
    <w:p w14:paraId="74AB3A1D">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第五条 质量保证</w:t>
      </w:r>
    </w:p>
    <w:p w14:paraId="5783FEF8">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乙方所提供的服务的技术规格应与采购文件规定的技术规格及所附的“技术条款偏离表”相一致；若技术性能无特殊说明，则按国家有关部门最新颁布的标准及规范为准。</w:t>
      </w:r>
    </w:p>
    <w:p w14:paraId="3582C269">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第六条 合同的履行和验收</w:t>
      </w:r>
    </w:p>
    <w:p w14:paraId="4D48C41D">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1、服务周期：</w:t>
      </w:r>
      <w:r>
        <w:rPr>
          <w:rFonts w:hint="eastAsia" w:ascii="微软雅黑" w:hAnsi="微软雅黑" w:eastAsia="微软雅黑"/>
          <w:sz w:val="21"/>
          <w:szCs w:val="21"/>
          <w:u w:val="single"/>
          <w:lang w:bidi="ar-SA"/>
        </w:rPr>
        <w:t xml:space="preserve"> </w:t>
      </w:r>
      <w:r>
        <w:rPr>
          <w:rFonts w:ascii="微软雅黑" w:hAnsi="微软雅黑" w:eastAsia="微软雅黑"/>
          <w:sz w:val="21"/>
          <w:szCs w:val="21"/>
          <w:u w:val="single"/>
          <w:lang w:bidi="ar-SA"/>
        </w:rPr>
        <w:t xml:space="preserve">   </w:t>
      </w:r>
    </w:p>
    <w:p w14:paraId="33150302">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2、服务期限：自</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年</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月</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日至</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年</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月</w:t>
      </w:r>
      <w:r>
        <w:rPr>
          <w:rFonts w:hint="eastAsia" w:ascii="微软雅黑" w:hAnsi="微软雅黑" w:eastAsia="微软雅黑"/>
          <w:sz w:val="21"/>
          <w:szCs w:val="21"/>
          <w:u w:val="single"/>
          <w:lang w:bidi="ar-SA"/>
        </w:rPr>
        <w:t xml:space="preserve">   </w:t>
      </w:r>
      <w:r>
        <w:rPr>
          <w:rFonts w:hint="eastAsia" w:ascii="微软雅黑" w:hAnsi="微软雅黑" w:eastAsia="微软雅黑"/>
          <w:sz w:val="21"/>
          <w:szCs w:val="21"/>
          <w:lang w:bidi="ar-SA"/>
        </w:rPr>
        <w:t>日止。</w:t>
      </w:r>
    </w:p>
    <w:p w14:paraId="54CE38AE">
      <w:pPr>
        <w:spacing w:line="360" w:lineRule="auto"/>
        <w:ind w:firstLine="420" w:firstLineChars="200"/>
        <w:rPr>
          <w:rFonts w:hint="eastAsia" w:ascii="微软雅黑" w:hAnsi="微软雅黑" w:eastAsia="微软雅黑"/>
          <w:sz w:val="21"/>
          <w:szCs w:val="21"/>
          <w:lang w:bidi="ar-SA"/>
        </w:rPr>
      </w:pPr>
      <w:r>
        <w:rPr>
          <w:rFonts w:ascii="微软雅黑" w:hAnsi="微软雅黑" w:eastAsia="微软雅黑"/>
          <w:sz w:val="21"/>
          <w:szCs w:val="21"/>
          <w:lang w:bidi="ar-SA"/>
        </w:rPr>
        <w:t>3</w:t>
      </w:r>
      <w:r>
        <w:rPr>
          <w:rFonts w:hint="eastAsia" w:ascii="微软雅黑" w:hAnsi="微软雅黑" w:eastAsia="微软雅黑"/>
          <w:sz w:val="21"/>
          <w:szCs w:val="21"/>
          <w:lang w:bidi="ar-SA"/>
        </w:rPr>
        <w:t>、考核要求：见合同附件</w:t>
      </w:r>
    </w:p>
    <w:p w14:paraId="5ACD54C1">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第七条 履约保证金</w:t>
      </w:r>
    </w:p>
    <w:p w14:paraId="7AC17121">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本项目无履约保证金。</w:t>
      </w:r>
    </w:p>
    <w:p w14:paraId="1DD0F2DC">
      <w:pPr>
        <w:adjustRightInd w:val="0"/>
        <w:snapToGrid w:val="0"/>
        <w:spacing w:line="360" w:lineRule="auto"/>
        <w:ind w:firstLine="420"/>
        <w:rPr>
          <w:rFonts w:hint="eastAsia" w:ascii="微软雅黑" w:hAnsi="微软雅黑" w:eastAsia="微软雅黑"/>
          <w:i/>
          <w:iCs/>
          <w:sz w:val="21"/>
          <w:szCs w:val="21"/>
          <w:lang w:bidi="ar-SA"/>
        </w:rPr>
      </w:pPr>
      <w:r>
        <w:rPr>
          <w:rFonts w:hint="eastAsia" w:ascii="微软雅黑" w:hAnsi="微软雅黑" w:eastAsia="微软雅黑"/>
          <w:sz w:val="21"/>
          <w:szCs w:val="21"/>
          <w:lang w:bidi="ar-SA"/>
        </w:rPr>
        <w:t>第八条 合同款支付</w:t>
      </w:r>
    </w:p>
    <w:p w14:paraId="030D335E">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1、本合同项下所有款项均以人民币支付。</w:t>
      </w:r>
    </w:p>
    <w:p w14:paraId="1ADB4047">
      <w:pPr>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2、乙方向甲方开具发票。</w:t>
      </w:r>
    </w:p>
    <w:p w14:paraId="40DDE871">
      <w:pPr>
        <w:tabs>
          <w:tab w:val="left" w:pos="-838"/>
        </w:tabs>
        <w:spacing w:line="360" w:lineRule="auto"/>
        <w:ind w:firstLine="420" w:firstLineChars="200"/>
        <w:rPr>
          <w:rFonts w:hint="eastAsia" w:ascii="微软雅黑" w:hAnsi="微软雅黑" w:eastAsia="微软雅黑"/>
          <w:kern w:val="2"/>
          <w:sz w:val="21"/>
          <w:szCs w:val="21"/>
          <w:u w:val="single"/>
          <w:lang w:val="en-US" w:bidi="ar-SA"/>
        </w:rPr>
      </w:pPr>
      <w:r>
        <w:rPr>
          <w:rFonts w:hint="eastAsia" w:ascii="微软雅黑" w:hAnsi="微软雅黑" w:eastAsia="微软雅黑"/>
          <w:sz w:val="21"/>
          <w:szCs w:val="21"/>
          <w:lang w:bidi="ar-SA"/>
        </w:rPr>
        <w:t>3、付款条件：</w:t>
      </w:r>
    </w:p>
    <w:p w14:paraId="29D4ECBB">
      <w:pPr>
        <w:tabs>
          <w:tab w:val="left" w:pos="-838"/>
        </w:tabs>
        <w:spacing w:line="360" w:lineRule="auto"/>
        <w:ind w:left="660" w:leftChars="300"/>
        <w:rPr>
          <w:rFonts w:hint="eastAsia" w:ascii="微软雅黑" w:hAnsi="微软雅黑" w:eastAsia="微软雅黑"/>
          <w:sz w:val="21"/>
          <w:szCs w:val="21"/>
          <w:lang w:eastAsia="zh-CN" w:bidi="ar-SA"/>
        </w:rPr>
      </w:pPr>
      <w:r>
        <w:rPr>
          <w:rFonts w:hint="eastAsia" w:ascii="微软雅黑" w:hAnsi="微软雅黑" w:eastAsia="微软雅黑"/>
          <w:kern w:val="2"/>
          <w:sz w:val="21"/>
          <w:szCs w:val="21"/>
          <w:u w:val="single"/>
          <w:lang w:val="en-US" w:eastAsia="zh-CN" w:bidi="ar-SA"/>
        </w:rPr>
        <w:t>按季付款，服务结束并达到考核要求后支付合同价款95%，余款一年后付清。</w:t>
      </w:r>
    </w:p>
    <w:p w14:paraId="2D4E2E0E">
      <w:pPr>
        <w:tabs>
          <w:tab w:val="left" w:pos="540"/>
        </w:tabs>
        <w:spacing w:line="360" w:lineRule="auto"/>
        <w:ind w:left="180" w:firstLine="210" w:firstLineChars="100"/>
        <w:rPr>
          <w:rFonts w:hint="eastAsia" w:ascii="微软雅黑" w:hAnsi="微软雅黑" w:eastAsia="微软雅黑"/>
          <w:sz w:val="21"/>
          <w:szCs w:val="21"/>
          <w:lang w:bidi="ar-SA"/>
        </w:rPr>
      </w:pPr>
      <w:r>
        <w:rPr>
          <w:rFonts w:hint="eastAsia" w:ascii="微软雅黑" w:hAnsi="微软雅黑" w:eastAsia="微软雅黑"/>
          <w:sz w:val="21"/>
          <w:szCs w:val="21"/>
          <w:lang w:bidi="ar-SA"/>
        </w:rPr>
        <w:t>第九条 双方责任</w:t>
      </w:r>
    </w:p>
    <w:p w14:paraId="53470051">
      <w:pPr>
        <w:tabs>
          <w:tab w:val="left" w:pos="540"/>
        </w:tabs>
        <w:spacing w:line="360" w:lineRule="auto"/>
        <w:ind w:left="180" w:firstLine="210" w:firstLineChars="100"/>
        <w:rPr>
          <w:rFonts w:hint="eastAsia" w:ascii="微软雅黑" w:hAnsi="微软雅黑" w:eastAsia="微软雅黑"/>
          <w:kern w:val="2"/>
          <w:sz w:val="21"/>
          <w:szCs w:val="21"/>
          <w:lang w:val="en-US" w:bidi="ar-SA"/>
        </w:rPr>
      </w:pPr>
      <w:r>
        <w:rPr>
          <w:rFonts w:hint="eastAsia" w:ascii="微软雅黑" w:hAnsi="微软雅黑" w:eastAsia="微软雅黑"/>
          <w:kern w:val="2"/>
          <w:sz w:val="21"/>
          <w:szCs w:val="21"/>
          <w:lang w:val="en-US" w:bidi="ar-SA"/>
        </w:rPr>
        <w:t>1、乙方应无条件接受甲方或其授权的人员对服务质量控制进行检查。如任意一方对结果存在争议，可通过双方认同的中立第三方仲裁。</w:t>
      </w:r>
    </w:p>
    <w:p w14:paraId="36F647D0">
      <w:pPr>
        <w:spacing w:line="360" w:lineRule="auto"/>
        <w:ind w:left="516" w:leftChars="187" w:hanging="105" w:hangingChars="50"/>
        <w:rPr>
          <w:rFonts w:hint="eastAsia" w:ascii="微软雅黑" w:hAnsi="微软雅黑" w:eastAsia="微软雅黑"/>
          <w:kern w:val="2"/>
          <w:sz w:val="21"/>
          <w:szCs w:val="21"/>
          <w:lang w:val="en-US" w:bidi="ar-SA"/>
        </w:rPr>
      </w:pPr>
      <w:r>
        <w:rPr>
          <w:rFonts w:hint="eastAsia" w:ascii="微软雅黑" w:hAnsi="微软雅黑" w:eastAsia="微软雅黑"/>
          <w:kern w:val="2"/>
          <w:sz w:val="21"/>
          <w:szCs w:val="21"/>
          <w:lang w:val="en-US" w:bidi="ar-SA"/>
        </w:rPr>
        <w:t>2、乙方必须指定一位负责人，全权代表乙方与甲方保持密切联系并保证服务工作。</w:t>
      </w:r>
    </w:p>
    <w:p w14:paraId="35AE8353">
      <w:pPr>
        <w:spacing w:line="360" w:lineRule="auto"/>
        <w:ind w:left="516" w:leftChars="187" w:hanging="105" w:hangingChars="5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3</w:t>
      </w:r>
      <w:r>
        <w:rPr>
          <w:rFonts w:hint="eastAsia" w:ascii="微软雅黑" w:hAnsi="微软雅黑" w:eastAsia="微软雅黑"/>
          <w:kern w:val="2"/>
          <w:sz w:val="21"/>
          <w:szCs w:val="21"/>
          <w:lang w:val="en-US" w:bidi="ar-SA"/>
        </w:rPr>
        <w:t>、乙方必须自行缴纳税务、工商部门的各项税费。</w:t>
      </w:r>
    </w:p>
    <w:p w14:paraId="0024EB1F">
      <w:pPr>
        <w:spacing w:line="360" w:lineRule="auto"/>
        <w:ind w:left="516" w:leftChars="187" w:hanging="105" w:hangingChars="5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4</w:t>
      </w:r>
      <w:r>
        <w:rPr>
          <w:rFonts w:hint="eastAsia" w:ascii="微软雅黑" w:hAnsi="微软雅黑" w:eastAsia="微软雅黑"/>
          <w:kern w:val="2"/>
          <w:sz w:val="21"/>
          <w:szCs w:val="21"/>
          <w:lang w:val="en-US" w:bidi="ar-SA"/>
        </w:rPr>
        <w:t>、乙方必须保证为甲方提供优质、高效的专业服务，并根据甲方要求改变不满意的服务状况。遵守甲方的有关规定，接受有关部门监督与检查。</w:t>
      </w:r>
    </w:p>
    <w:p w14:paraId="4F807F68">
      <w:pPr>
        <w:spacing w:line="360" w:lineRule="auto"/>
        <w:ind w:left="516" w:leftChars="187" w:hanging="105" w:hangingChars="5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5</w:t>
      </w:r>
      <w:r>
        <w:rPr>
          <w:rFonts w:hint="eastAsia" w:ascii="微软雅黑" w:hAnsi="微软雅黑" w:eastAsia="微软雅黑"/>
          <w:kern w:val="2"/>
          <w:sz w:val="21"/>
          <w:szCs w:val="21"/>
          <w:lang w:val="en-US" w:bidi="ar-SA"/>
        </w:rPr>
        <w:t>、公司的办公各类设施及费用、人员安全等均由乙方自行负责解决。</w:t>
      </w:r>
    </w:p>
    <w:p w14:paraId="6A33BB23">
      <w:pPr>
        <w:tabs>
          <w:tab w:val="left" w:pos="720"/>
        </w:tabs>
        <w:spacing w:line="360" w:lineRule="auto"/>
        <w:ind w:left="516" w:leftChars="187" w:hanging="105" w:hangingChars="5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6</w:t>
      </w:r>
      <w:r>
        <w:rPr>
          <w:rFonts w:hint="eastAsia" w:ascii="微软雅黑" w:hAnsi="微软雅黑" w:eastAsia="微软雅黑"/>
          <w:kern w:val="2"/>
          <w:sz w:val="21"/>
          <w:szCs w:val="21"/>
          <w:lang w:val="en-US" w:bidi="ar-SA"/>
        </w:rPr>
        <w:t>、乙方及其员工遵守甲方的一切行政管理等规定和制度，同时承担违规责任。</w:t>
      </w:r>
    </w:p>
    <w:p w14:paraId="3E2BD8EA">
      <w:pPr>
        <w:tabs>
          <w:tab w:val="left" w:pos="720"/>
        </w:tabs>
        <w:spacing w:line="360" w:lineRule="auto"/>
        <w:ind w:left="516" w:leftChars="187" w:hanging="105" w:hangingChars="5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7</w:t>
      </w:r>
      <w:r>
        <w:rPr>
          <w:rFonts w:hint="eastAsia" w:ascii="微软雅黑" w:hAnsi="微软雅黑" w:eastAsia="微软雅黑"/>
          <w:kern w:val="2"/>
          <w:sz w:val="21"/>
          <w:szCs w:val="21"/>
          <w:lang w:val="en-US" w:bidi="ar-SA"/>
        </w:rPr>
        <w:t>、甲方将对乙方及其员工的工作行为进行监督，如发现乙方员工有违反甲方的规定和制度的行为，甲方将要求其改正，态度恶劣拒不改正的，乙方必须予以辞退。</w:t>
      </w:r>
    </w:p>
    <w:p w14:paraId="55773288">
      <w:pPr>
        <w:pStyle w:val="2"/>
        <w:tabs>
          <w:tab w:val="left" w:pos="1260"/>
        </w:tabs>
        <w:spacing w:line="360" w:lineRule="auto"/>
        <w:ind w:left="210" w:firstLine="210" w:firstLineChars="100"/>
        <w:rPr>
          <w:rFonts w:hint="eastAsia" w:ascii="微软雅黑" w:hAnsi="微软雅黑" w:eastAsia="微软雅黑"/>
          <w:kern w:val="2"/>
          <w:sz w:val="21"/>
          <w:szCs w:val="21"/>
          <w:lang w:val="en-US" w:bidi="ar-SA"/>
        </w:rPr>
      </w:pPr>
      <w:r>
        <w:rPr>
          <w:rFonts w:ascii="微软雅黑" w:hAnsi="微软雅黑" w:eastAsia="微软雅黑"/>
          <w:kern w:val="2"/>
          <w:sz w:val="21"/>
          <w:szCs w:val="21"/>
          <w:lang w:val="en-US" w:bidi="ar-SA"/>
        </w:rPr>
        <w:t>8</w:t>
      </w:r>
      <w:r>
        <w:rPr>
          <w:rFonts w:hint="eastAsia" w:ascii="微软雅黑" w:hAnsi="微软雅黑" w:eastAsia="微软雅黑"/>
          <w:kern w:val="2"/>
          <w:sz w:val="21"/>
          <w:szCs w:val="21"/>
          <w:lang w:val="en-US" w:bidi="ar-SA"/>
        </w:rPr>
        <w:t>、甲方在职权范围内保证乙方的服务管理不受干扰。</w:t>
      </w:r>
    </w:p>
    <w:p w14:paraId="6D714367">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第十条 合同的变更和终止</w:t>
      </w:r>
    </w:p>
    <w:p w14:paraId="5F9E21B8">
      <w:pPr>
        <w:widowControl/>
        <w:adjustRightInd w:val="0"/>
        <w:snapToGrid w:val="0"/>
        <w:spacing w:line="360" w:lineRule="auto"/>
        <w:ind w:firstLine="420" w:firstLineChars="200"/>
        <w:rPr>
          <w:rFonts w:hint="eastAsia" w:ascii="微软雅黑" w:hAnsi="微软雅黑" w:eastAsia="微软雅黑"/>
          <w:sz w:val="21"/>
          <w:szCs w:val="21"/>
          <w:lang w:bidi="ar-SA"/>
        </w:rPr>
      </w:pPr>
      <w:r>
        <w:rPr>
          <w:rFonts w:hint="eastAsia" w:ascii="微软雅黑" w:hAnsi="微软雅黑" w:eastAsia="微软雅黑"/>
          <w:sz w:val="21"/>
          <w:szCs w:val="21"/>
          <w:lang w:bidi="ar-SA"/>
        </w:rPr>
        <w:t>1、除《政府采购法》第50条第二款规定的情形外，本合同一经签订，甲乙双方不得擅自变更、中止或终止合同。</w:t>
      </w:r>
    </w:p>
    <w:p w14:paraId="2A11B3E6">
      <w:pPr>
        <w:widowControl/>
        <w:adjustRightInd w:val="0"/>
        <w:snapToGrid w:val="0"/>
        <w:spacing w:line="360" w:lineRule="auto"/>
        <w:ind w:firstLine="420" w:firstLineChars="200"/>
        <w:rPr>
          <w:rFonts w:hint="eastAsia" w:ascii="微软雅黑" w:hAnsi="微软雅黑" w:eastAsia="微软雅黑"/>
          <w:sz w:val="21"/>
          <w:szCs w:val="21"/>
          <w:lang w:bidi="ar-SA"/>
        </w:rPr>
      </w:pPr>
      <w:r>
        <w:rPr>
          <w:rFonts w:hint="eastAsia" w:ascii="微软雅黑" w:hAnsi="微软雅黑" w:eastAsia="微软雅黑"/>
          <w:sz w:val="21"/>
          <w:szCs w:val="21"/>
          <w:lang w:bidi="ar-SA"/>
        </w:rPr>
        <w:t>2、除发生法律规定的不能预见、不能避免并不能克服的客观情况外，甲乙双方不得放弃或拒绝履行合同。</w:t>
      </w:r>
    </w:p>
    <w:p w14:paraId="55D0E57A">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第十一条 合同的转让</w:t>
      </w:r>
    </w:p>
    <w:p w14:paraId="1E590CFB">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乙方不得擅自部分或全部转让其应履行的合同义务。</w:t>
      </w:r>
    </w:p>
    <w:p w14:paraId="77068AE6">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第十二条 争议的解决</w:t>
      </w:r>
    </w:p>
    <w:p w14:paraId="40E0152D">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1、因服务的质量问题发生争议的，应当邀请国家认可的质量检测机构对服务质量进行鉴定。符合标准的，鉴定费由甲方承担；不符合质量标准的，鉴定费由乙方承担。</w:t>
      </w:r>
    </w:p>
    <w:p w14:paraId="1B77BC77">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2、因履行本合同引起的或与本合同有关的争议，甲、乙双方应首先通过友好协商解决，如果协商不能解决争议，则采取以下第（</w:t>
      </w:r>
      <w:r>
        <w:rPr>
          <w:rFonts w:hint="eastAsia" w:ascii="微软雅黑" w:hAnsi="微软雅黑" w:eastAsia="微软雅黑"/>
          <w:sz w:val="21"/>
          <w:szCs w:val="21"/>
          <w:lang w:val="en-US" w:bidi="ar-SA"/>
        </w:rPr>
        <w:t xml:space="preserve">  </w:t>
      </w:r>
      <w:r>
        <w:rPr>
          <w:rFonts w:hint="eastAsia" w:ascii="微软雅黑" w:hAnsi="微软雅黑" w:eastAsia="微软雅黑"/>
          <w:sz w:val="21"/>
          <w:szCs w:val="21"/>
          <w:lang w:bidi="ar-SA"/>
        </w:rPr>
        <w:t>）种方式解决争议：</w:t>
      </w:r>
    </w:p>
    <w:p w14:paraId="0245C603">
      <w:pPr>
        <w:widowControl/>
        <w:adjustRightInd w:val="0"/>
        <w:snapToGrid w:val="0"/>
        <w:spacing w:line="360" w:lineRule="auto"/>
        <w:ind w:firstLine="560"/>
        <w:rPr>
          <w:rFonts w:hint="eastAsia" w:ascii="微软雅黑" w:hAnsi="微软雅黑" w:eastAsia="微软雅黑"/>
          <w:sz w:val="21"/>
          <w:szCs w:val="21"/>
          <w:lang w:bidi="ar-SA"/>
        </w:rPr>
      </w:pPr>
      <w:r>
        <w:rPr>
          <w:rFonts w:hint="eastAsia" w:ascii="微软雅黑" w:hAnsi="微软雅黑" w:eastAsia="微软雅黑"/>
          <w:sz w:val="21"/>
          <w:szCs w:val="21"/>
          <w:lang w:bidi="ar-SA"/>
        </w:rPr>
        <w:t>（1）向甲方所在地有管辖权的人民法院提起诉讼；</w:t>
      </w:r>
    </w:p>
    <w:p w14:paraId="40AD43AF">
      <w:pPr>
        <w:widowControl/>
        <w:adjustRightInd w:val="0"/>
        <w:snapToGrid w:val="0"/>
        <w:spacing w:line="360" w:lineRule="auto"/>
        <w:ind w:firstLine="560"/>
        <w:rPr>
          <w:rFonts w:hint="eastAsia" w:ascii="微软雅黑" w:hAnsi="微软雅黑" w:eastAsia="微软雅黑"/>
          <w:sz w:val="21"/>
          <w:szCs w:val="21"/>
          <w:lang w:bidi="ar-SA"/>
        </w:rPr>
      </w:pPr>
      <w:r>
        <w:rPr>
          <w:rFonts w:hint="eastAsia" w:ascii="微软雅黑" w:hAnsi="微软雅黑" w:eastAsia="微软雅黑"/>
          <w:sz w:val="21"/>
          <w:szCs w:val="21"/>
          <w:lang w:bidi="ar-SA"/>
        </w:rPr>
        <w:t>（2）向南京仲裁委员会按其仲裁规则申请仲裁。</w:t>
      </w:r>
    </w:p>
    <w:p w14:paraId="195E95FD">
      <w:pPr>
        <w:widowControl/>
        <w:adjustRightInd w:val="0"/>
        <w:snapToGrid w:val="0"/>
        <w:spacing w:line="360" w:lineRule="auto"/>
        <w:ind w:firstLine="560"/>
        <w:rPr>
          <w:rFonts w:hint="eastAsia" w:ascii="微软雅黑" w:hAnsi="微软雅黑" w:eastAsia="微软雅黑"/>
          <w:sz w:val="21"/>
          <w:szCs w:val="21"/>
          <w:lang w:bidi="ar-SA"/>
        </w:rPr>
      </w:pPr>
      <w:r>
        <w:rPr>
          <w:rFonts w:hint="eastAsia" w:ascii="微软雅黑" w:hAnsi="微软雅黑" w:eastAsia="微软雅黑"/>
          <w:sz w:val="21"/>
          <w:szCs w:val="21"/>
          <w:lang w:bidi="ar-SA"/>
        </w:rPr>
        <w:t>如没有约定，默认采取第2种方式解决争议。</w:t>
      </w:r>
    </w:p>
    <w:p w14:paraId="48378E37">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3、在仲裁期间，本合同应继续履行。</w:t>
      </w:r>
    </w:p>
    <w:p w14:paraId="53B03CB4">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 xml:space="preserve">第十三条 诚实信用 </w:t>
      </w:r>
    </w:p>
    <w:p w14:paraId="1EC11F9F">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乙方应诚实信用，严格按照采购文件要求和响应承诺履行合同，不向甲方进行商业贿赂或者提供不正当利益。</w:t>
      </w:r>
    </w:p>
    <w:p w14:paraId="205644DF">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第十四条 合同生效及其他</w:t>
      </w:r>
    </w:p>
    <w:p w14:paraId="0716DAEC">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1、本合同自签订之日起生效。</w:t>
      </w:r>
    </w:p>
    <w:p w14:paraId="2D3FB670">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2、本合同一式四份，甲乙双方各执两份。</w:t>
      </w:r>
    </w:p>
    <w:p w14:paraId="67A1D721">
      <w:pPr>
        <w:widowControl/>
        <w:adjustRightInd w:val="0"/>
        <w:snapToGrid w:val="0"/>
        <w:spacing w:line="360" w:lineRule="auto"/>
        <w:ind w:firstLine="420"/>
        <w:rPr>
          <w:rFonts w:hint="eastAsia" w:ascii="微软雅黑" w:hAnsi="微软雅黑" w:eastAsia="微软雅黑"/>
          <w:sz w:val="21"/>
          <w:szCs w:val="21"/>
          <w:lang w:bidi="ar-SA"/>
        </w:rPr>
      </w:pPr>
      <w:r>
        <w:rPr>
          <w:rFonts w:hint="eastAsia" w:ascii="微软雅黑" w:hAnsi="微软雅黑" w:eastAsia="微软雅黑"/>
          <w:sz w:val="21"/>
          <w:szCs w:val="21"/>
          <w:lang w:bidi="ar-SA"/>
        </w:rPr>
        <w:t>3、本合同应按照中华人民共和国的现行法律进行解释。</w:t>
      </w:r>
    </w:p>
    <w:p w14:paraId="446744CC">
      <w:pPr>
        <w:pStyle w:val="6"/>
        <w:spacing w:line="360" w:lineRule="auto"/>
        <w:rPr>
          <w:rFonts w:hint="eastAsia" w:ascii="微软雅黑" w:hAnsi="微软雅黑" w:eastAsia="微软雅黑"/>
          <w:b w:val="0"/>
          <w:bCs w:val="0"/>
          <w:sz w:val="21"/>
          <w:szCs w:val="21"/>
        </w:rPr>
      </w:pPr>
    </w:p>
    <w:p w14:paraId="58C66886">
      <w:pPr>
        <w:spacing w:line="360" w:lineRule="auto"/>
        <w:rPr>
          <w:rFonts w:hint="eastAsia" w:ascii="微软雅黑" w:hAnsi="微软雅黑" w:eastAsia="微软雅黑"/>
          <w:sz w:val="21"/>
          <w:szCs w:val="21"/>
        </w:rPr>
      </w:pPr>
      <w:r>
        <w:rPr>
          <w:rFonts w:hint="eastAsia" w:ascii="微软雅黑" w:hAnsi="微软雅黑" w:eastAsia="微软雅黑"/>
          <w:sz w:val="21"/>
          <w:szCs w:val="21"/>
        </w:rPr>
        <w:t xml:space="preserve">甲方（章）：　　　　　　　　　 </w:t>
      </w:r>
      <w:r>
        <w:rPr>
          <w:rFonts w:ascii="微软雅黑" w:hAnsi="微软雅黑" w:eastAsia="微软雅黑"/>
          <w:sz w:val="21"/>
          <w:szCs w:val="21"/>
        </w:rPr>
        <w:tab/>
      </w:r>
      <w:r>
        <w:rPr>
          <w:rFonts w:ascii="微软雅黑" w:hAnsi="微软雅黑" w:eastAsia="微软雅黑"/>
          <w:sz w:val="21"/>
          <w:szCs w:val="21"/>
        </w:rPr>
        <w:tab/>
      </w:r>
      <w:r>
        <w:rPr>
          <w:rFonts w:ascii="微软雅黑" w:hAnsi="微软雅黑" w:eastAsia="微软雅黑"/>
          <w:sz w:val="21"/>
          <w:szCs w:val="21"/>
        </w:rPr>
        <w:tab/>
      </w:r>
      <w:r>
        <w:rPr>
          <w:rFonts w:hint="eastAsia" w:ascii="微软雅黑" w:hAnsi="微软雅黑" w:eastAsia="微软雅黑"/>
          <w:sz w:val="21"/>
          <w:szCs w:val="21"/>
        </w:rPr>
        <w:t>乙方（章）：</w:t>
      </w:r>
    </w:p>
    <w:p w14:paraId="08085B28">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 xml:space="preserve">签字：                       </w:t>
      </w:r>
      <w:r>
        <w:rPr>
          <w:rFonts w:ascii="微软雅黑" w:hAnsi="微软雅黑" w:eastAsia="微软雅黑"/>
          <w:sz w:val="21"/>
          <w:szCs w:val="21"/>
        </w:rPr>
        <w:tab/>
      </w:r>
      <w:r>
        <w:rPr>
          <w:rFonts w:ascii="微软雅黑" w:hAnsi="微软雅黑" w:eastAsia="微软雅黑"/>
          <w:sz w:val="21"/>
          <w:szCs w:val="21"/>
        </w:rPr>
        <w:tab/>
      </w:r>
      <w:r>
        <w:rPr>
          <w:rFonts w:ascii="微软雅黑" w:hAnsi="微软雅黑" w:eastAsia="微软雅黑"/>
          <w:sz w:val="21"/>
          <w:szCs w:val="21"/>
        </w:rPr>
        <w:tab/>
      </w:r>
      <w:r>
        <w:rPr>
          <w:rFonts w:ascii="微软雅黑" w:hAnsi="微软雅黑" w:eastAsia="微软雅黑"/>
          <w:sz w:val="21"/>
          <w:szCs w:val="21"/>
        </w:rPr>
        <w:tab/>
      </w:r>
      <w:r>
        <w:rPr>
          <w:rFonts w:hint="eastAsia" w:ascii="微软雅黑" w:hAnsi="微软雅黑" w:eastAsia="微软雅黑"/>
          <w:sz w:val="21"/>
          <w:szCs w:val="21"/>
        </w:rPr>
        <w:t xml:space="preserve"> 签字：</w:t>
      </w:r>
    </w:p>
    <w:p w14:paraId="4C3FA892">
      <w:pPr>
        <w:autoSpaceDE/>
        <w:autoSpaceDN/>
        <w:adjustRightInd w:val="0"/>
        <w:snapToGrid w:val="0"/>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 xml:space="preserve">日期：                        </w:t>
      </w:r>
      <w:r>
        <w:rPr>
          <w:rFonts w:ascii="微软雅黑" w:hAnsi="微软雅黑" w:eastAsia="微软雅黑"/>
          <w:sz w:val="21"/>
          <w:szCs w:val="21"/>
        </w:rPr>
        <w:tab/>
      </w:r>
      <w:r>
        <w:rPr>
          <w:rFonts w:ascii="微软雅黑" w:hAnsi="微软雅黑" w:eastAsia="微软雅黑"/>
          <w:sz w:val="21"/>
          <w:szCs w:val="21"/>
        </w:rPr>
        <w:tab/>
      </w:r>
      <w:r>
        <w:rPr>
          <w:rFonts w:ascii="微软雅黑" w:hAnsi="微软雅黑" w:eastAsia="微软雅黑"/>
          <w:sz w:val="21"/>
          <w:szCs w:val="21"/>
        </w:rPr>
        <w:tab/>
      </w:r>
      <w:r>
        <w:rPr>
          <w:rFonts w:ascii="微软雅黑" w:hAnsi="微软雅黑" w:eastAsia="微软雅黑"/>
          <w:sz w:val="21"/>
          <w:szCs w:val="21"/>
        </w:rPr>
        <w:tab/>
      </w:r>
      <w:r>
        <w:rPr>
          <w:rFonts w:hint="eastAsia" w:ascii="微软雅黑" w:hAnsi="微软雅黑" w:eastAsia="微软雅黑"/>
          <w:sz w:val="21"/>
          <w:szCs w:val="21"/>
        </w:rPr>
        <w:t>日期：</w:t>
      </w:r>
    </w:p>
    <w:p w14:paraId="7B4DB16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32"/>
          <w:szCs w:val="32"/>
          <w:lang w:val="en-US" w:eastAsia="zh-CN"/>
        </w:rPr>
        <w:t xml:space="preserve">  </w:t>
      </w:r>
    </w:p>
    <w:p w14:paraId="68DE6DFA">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9EAB215">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1E75C3C3">
      <w:pPr>
        <w:pStyle w:val="6"/>
        <w:rPr>
          <w:rFonts w:hint="eastAsia" w:eastAsia="华文仿宋"/>
          <w:lang w:val="en-US" w:eastAsia="zh-CN"/>
        </w:rPr>
      </w:pPr>
      <w:r>
        <w:rPr>
          <w:rFonts w:hint="eastAsia" w:eastAsia="华文仿宋"/>
          <w:lang w:val="en-US" w:eastAsia="zh-CN"/>
        </w:rPr>
        <w:t>附件：考核要求</w:t>
      </w:r>
    </w:p>
    <w:p w14:paraId="4CA45B3B">
      <w:pPr>
        <w:jc w:val="center"/>
        <w:rPr>
          <w:rFonts w:hint="eastAsia"/>
          <w:b/>
          <w:bCs/>
          <w:sz w:val="30"/>
          <w:szCs w:val="30"/>
          <w:lang w:val="en-US" w:eastAsia="zh-CN"/>
        </w:rPr>
      </w:pPr>
    </w:p>
    <w:p w14:paraId="6E6D169E">
      <w:pPr>
        <w:jc w:val="center"/>
        <w:rPr>
          <w:rFonts w:hint="eastAsia"/>
          <w:b/>
          <w:bCs/>
          <w:sz w:val="30"/>
          <w:szCs w:val="30"/>
          <w:lang w:val="en-US" w:eastAsia="zh-CN"/>
        </w:rPr>
      </w:pPr>
      <w:r>
        <w:rPr>
          <w:rFonts w:hint="eastAsia"/>
          <w:b/>
          <w:bCs/>
          <w:sz w:val="30"/>
          <w:szCs w:val="30"/>
          <w:lang w:val="en-US" w:eastAsia="zh-CN"/>
        </w:rPr>
        <w:t>考核方法</w:t>
      </w:r>
    </w:p>
    <w:p w14:paraId="0DCFA68B">
      <w:pPr>
        <w:pStyle w:val="6"/>
        <w:rPr>
          <w:rFonts w:hint="eastAsia"/>
          <w:lang w:val="en-US" w:eastAsia="zh-CN"/>
        </w:rPr>
      </w:pPr>
    </w:p>
    <w:p w14:paraId="22595A56">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项目编号</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3512AA60">
      <w:pPr>
        <w:spacing w:line="360" w:lineRule="auto"/>
        <w:rPr>
          <w:rFonts w:hint="default" w:asciiTheme="minorEastAsia" w:hAnsiTheme="minorEastAsia" w:cstheme="minorEastAsia"/>
          <w:sz w:val="28"/>
          <w:szCs w:val="28"/>
          <w:u w:val="single"/>
          <w:lang w:val="en-US" w:eastAsia="zh-CN"/>
        </w:rPr>
      </w:pPr>
      <w:r>
        <w:rPr>
          <w:rFonts w:hint="eastAsia" w:asciiTheme="minorEastAsia" w:hAnsiTheme="minorEastAsia" w:cstheme="minorEastAsia"/>
          <w:b/>
          <w:bCs/>
          <w:sz w:val="28"/>
          <w:szCs w:val="28"/>
        </w:rPr>
        <w:t>项目名称</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11C67645">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考核起止</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0255D43D">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rPr>
        <w:t>中标单位</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lang w:val="en-US" w:eastAsia="zh-CN"/>
        </w:rPr>
        <w:t xml:space="preserve">           </w:t>
      </w:r>
    </w:p>
    <w:p w14:paraId="57525763">
      <w:pPr>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秣陵街道群众性宣传教育主题活动</w:t>
      </w:r>
      <w:r>
        <w:rPr>
          <w:rFonts w:hint="eastAsia" w:asciiTheme="minorEastAsia" w:hAnsiTheme="minorEastAsia" w:cstheme="minorEastAsia"/>
          <w:b/>
          <w:bCs/>
          <w:sz w:val="36"/>
          <w:szCs w:val="36"/>
        </w:rPr>
        <w:t>（验收）评分表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8207"/>
        <w:gridCol w:w="993"/>
        <w:gridCol w:w="991"/>
      </w:tblGrid>
      <w:tr w14:paraId="6C26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74BD57A5">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序号</w:t>
            </w:r>
          </w:p>
        </w:tc>
        <w:tc>
          <w:tcPr>
            <w:tcW w:w="3669" w:type="pct"/>
          </w:tcPr>
          <w:p w14:paraId="2950CE21">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内容</w:t>
            </w:r>
          </w:p>
        </w:tc>
        <w:tc>
          <w:tcPr>
            <w:tcW w:w="443" w:type="pct"/>
          </w:tcPr>
          <w:p w14:paraId="46F6B771">
            <w:pPr>
              <w:spacing w:line="360" w:lineRule="auto"/>
              <w:jc w:val="center"/>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总分</w:t>
            </w:r>
          </w:p>
        </w:tc>
        <w:tc>
          <w:tcPr>
            <w:tcW w:w="443" w:type="pct"/>
          </w:tcPr>
          <w:p w14:paraId="76E83932">
            <w:pPr>
              <w:spacing w:line="360" w:lineRule="auto"/>
              <w:jc w:val="center"/>
              <w:rPr>
                <w:rFonts w:hint="eastAsia" w:ascii="方正黑体简体" w:hAnsi="方正黑体简体" w:eastAsia="方正黑体简体" w:cs="方正黑体简体"/>
                <w:color w:val="auto"/>
                <w:sz w:val="24"/>
                <w:szCs w:val="24"/>
              </w:rPr>
            </w:pPr>
            <w:r>
              <w:rPr>
                <w:rFonts w:hint="eastAsia" w:ascii="方正黑体简体" w:hAnsi="方正黑体简体" w:eastAsia="方正黑体简体" w:cs="方正黑体简体"/>
                <w:color w:val="auto"/>
                <w:sz w:val="24"/>
                <w:szCs w:val="24"/>
              </w:rPr>
              <w:t>得分</w:t>
            </w:r>
          </w:p>
        </w:tc>
      </w:tr>
      <w:tr w14:paraId="0E7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6386C93C">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w:t>
            </w:r>
          </w:p>
        </w:tc>
        <w:tc>
          <w:tcPr>
            <w:tcW w:w="3669" w:type="pct"/>
            <w:vAlign w:val="center"/>
          </w:tcPr>
          <w:p w14:paraId="691421F9">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按照合同要求，人员到岗到位，职责明确</w:t>
            </w:r>
          </w:p>
        </w:tc>
        <w:tc>
          <w:tcPr>
            <w:tcW w:w="443" w:type="pct"/>
            <w:vAlign w:val="center"/>
          </w:tcPr>
          <w:p w14:paraId="57372B90">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20</w:t>
            </w:r>
          </w:p>
        </w:tc>
        <w:tc>
          <w:tcPr>
            <w:tcW w:w="443" w:type="pct"/>
          </w:tcPr>
          <w:p w14:paraId="2EDB0E9F">
            <w:pPr>
              <w:spacing w:line="360" w:lineRule="auto"/>
              <w:jc w:val="center"/>
              <w:rPr>
                <w:rFonts w:hint="default" w:ascii="Times New Roman" w:hAnsi="Times New Roman" w:eastAsia="方正仿宋简体" w:cs="Times New Roman"/>
                <w:color w:val="auto"/>
                <w:sz w:val="24"/>
                <w:szCs w:val="24"/>
                <w:lang w:val="en-US" w:eastAsia="zh-CN"/>
              </w:rPr>
            </w:pPr>
          </w:p>
        </w:tc>
      </w:tr>
      <w:tr w14:paraId="1718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3D03D76D">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2</w:t>
            </w:r>
          </w:p>
        </w:tc>
        <w:tc>
          <w:tcPr>
            <w:tcW w:w="3669" w:type="pct"/>
            <w:vAlign w:val="center"/>
          </w:tcPr>
          <w:p w14:paraId="7FBD8D7E">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按时提交季度服务计划，内容清晰、可执行</w:t>
            </w:r>
          </w:p>
        </w:tc>
        <w:tc>
          <w:tcPr>
            <w:tcW w:w="443" w:type="pct"/>
            <w:vAlign w:val="center"/>
          </w:tcPr>
          <w:p w14:paraId="6057DAF0">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20</w:t>
            </w:r>
          </w:p>
        </w:tc>
        <w:tc>
          <w:tcPr>
            <w:tcW w:w="443" w:type="pct"/>
          </w:tcPr>
          <w:p w14:paraId="649B911B">
            <w:pPr>
              <w:spacing w:line="360" w:lineRule="auto"/>
              <w:jc w:val="center"/>
              <w:rPr>
                <w:rFonts w:hint="default" w:ascii="Times New Roman" w:hAnsi="Times New Roman" w:eastAsia="方正仿宋简体" w:cs="Times New Roman"/>
                <w:color w:val="auto"/>
                <w:sz w:val="24"/>
                <w:szCs w:val="24"/>
                <w:lang w:val="en-US" w:eastAsia="zh-CN"/>
              </w:rPr>
            </w:pPr>
          </w:p>
        </w:tc>
      </w:tr>
      <w:tr w14:paraId="16E7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3E9D496">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3</w:t>
            </w:r>
          </w:p>
        </w:tc>
        <w:tc>
          <w:tcPr>
            <w:tcW w:w="3669" w:type="pct"/>
            <w:vAlign w:val="center"/>
          </w:tcPr>
          <w:p w14:paraId="269E35C3">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按照合同及计划正常开展服务活动，活动有记录</w:t>
            </w:r>
          </w:p>
        </w:tc>
        <w:tc>
          <w:tcPr>
            <w:tcW w:w="443" w:type="pct"/>
            <w:vAlign w:val="center"/>
          </w:tcPr>
          <w:p w14:paraId="6C36EEEC">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4B8B5077">
            <w:pPr>
              <w:spacing w:line="360" w:lineRule="auto"/>
              <w:jc w:val="center"/>
              <w:rPr>
                <w:rFonts w:hint="default" w:ascii="Times New Roman" w:hAnsi="Times New Roman" w:eastAsia="方正仿宋简体" w:cs="Times New Roman"/>
                <w:color w:val="auto"/>
                <w:sz w:val="24"/>
                <w:szCs w:val="24"/>
                <w:lang w:val="en-US" w:eastAsia="zh-CN"/>
              </w:rPr>
            </w:pPr>
          </w:p>
        </w:tc>
      </w:tr>
      <w:tr w14:paraId="4980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F008129">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4</w:t>
            </w:r>
          </w:p>
        </w:tc>
        <w:tc>
          <w:tcPr>
            <w:tcW w:w="3669" w:type="pct"/>
            <w:vAlign w:val="center"/>
          </w:tcPr>
          <w:p w14:paraId="3571C39C">
            <w:pPr>
              <w:spacing w:line="360" w:lineRule="auto"/>
              <w:jc w:val="center"/>
              <w:rPr>
                <w:rFonts w:hint="default" w:ascii="Times New Roman" w:hAnsi="Times New Roman" w:eastAsia="方正仿宋简体" w:cs="Times New Roman"/>
                <w:color w:val="auto"/>
                <w:sz w:val="24"/>
                <w:szCs w:val="24"/>
                <w:lang w:val="en-US"/>
              </w:rPr>
            </w:pPr>
            <w:r>
              <w:rPr>
                <w:rFonts w:hint="default" w:ascii="Times New Roman" w:hAnsi="Times New Roman" w:eastAsia="方正仿宋简体" w:cs="Times New Roman"/>
                <w:color w:val="auto"/>
                <w:sz w:val="24"/>
                <w:szCs w:val="24"/>
                <w:vertAlign w:val="baseline"/>
                <w:lang w:val="en-US" w:eastAsia="zh-CN"/>
              </w:rPr>
              <w:t>按时反馈服务开展情况，提交活动台账等资料</w:t>
            </w:r>
          </w:p>
        </w:tc>
        <w:tc>
          <w:tcPr>
            <w:tcW w:w="443" w:type="pct"/>
            <w:vAlign w:val="center"/>
          </w:tcPr>
          <w:p w14:paraId="67DF9D4D">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49F2BC39">
            <w:pPr>
              <w:spacing w:line="360" w:lineRule="auto"/>
              <w:jc w:val="center"/>
              <w:rPr>
                <w:rFonts w:hint="default" w:ascii="Times New Roman" w:hAnsi="Times New Roman" w:eastAsia="方正仿宋简体" w:cs="Times New Roman"/>
                <w:color w:val="auto"/>
                <w:sz w:val="24"/>
                <w:szCs w:val="24"/>
                <w:lang w:val="en-US" w:eastAsia="zh-CN"/>
              </w:rPr>
            </w:pPr>
          </w:p>
        </w:tc>
      </w:tr>
      <w:tr w14:paraId="736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43" w:type="pct"/>
            <w:vAlign w:val="center"/>
          </w:tcPr>
          <w:p w14:paraId="4ADB0A75">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5</w:t>
            </w:r>
          </w:p>
        </w:tc>
        <w:tc>
          <w:tcPr>
            <w:tcW w:w="3669" w:type="pct"/>
            <w:vAlign w:val="center"/>
          </w:tcPr>
          <w:p w14:paraId="77FE7A5E">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与街道保持紧密联系，积极配合街道日常事务</w:t>
            </w:r>
          </w:p>
        </w:tc>
        <w:tc>
          <w:tcPr>
            <w:tcW w:w="443" w:type="pct"/>
            <w:vAlign w:val="center"/>
          </w:tcPr>
          <w:p w14:paraId="7474F24E">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7372318E">
            <w:pPr>
              <w:spacing w:line="360" w:lineRule="auto"/>
              <w:jc w:val="center"/>
              <w:rPr>
                <w:rFonts w:hint="default" w:ascii="Times New Roman" w:hAnsi="Times New Roman" w:eastAsia="方正仿宋简体" w:cs="Times New Roman"/>
                <w:color w:val="auto"/>
                <w:sz w:val="24"/>
                <w:szCs w:val="24"/>
                <w:lang w:val="en-US" w:eastAsia="zh-CN"/>
              </w:rPr>
            </w:pPr>
          </w:p>
        </w:tc>
      </w:tr>
      <w:tr w14:paraId="51D9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0DB52680">
            <w:pPr>
              <w:spacing w:line="360" w:lineRule="auto"/>
              <w:jc w:val="center"/>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vertAlign w:val="baseline"/>
                <w:lang w:val="en-US" w:eastAsia="zh-CN"/>
              </w:rPr>
              <w:t>6</w:t>
            </w:r>
          </w:p>
        </w:tc>
        <w:tc>
          <w:tcPr>
            <w:tcW w:w="3669" w:type="pct"/>
            <w:vAlign w:val="center"/>
          </w:tcPr>
          <w:p w14:paraId="61E469E2">
            <w:pPr>
              <w:spacing w:line="360" w:lineRule="auto"/>
              <w:jc w:val="center"/>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vertAlign w:val="baseline"/>
                <w:lang w:val="en-US" w:eastAsia="zh-CN"/>
              </w:rPr>
              <w:t>注重服务总结，持续优化下季度服务内容</w:t>
            </w:r>
          </w:p>
        </w:tc>
        <w:tc>
          <w:tcPr>
            <w:tcW w:w="443" w:type="pct"/>
            <w:vAlign w:val="center"/>
          </w:tcPr>
          <w:p w14:paraId="24668C4D">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vertAlign w:val="baseline"/>
                <w:lang w:val="en-US" w:eastAsia="zh-CN"/>
              </w:rPr>
              <w:t>15</w:t>
            </w:r>
          </w:p>
        </w:tc>
        <w:tc>
          <w:tcPr>
            <w:tcW w:w="443" w:type="pct"/>
          </w:tcPr>
          <w:p w14:paraId="19C28E02">
            <w:pPr>
              <w:spacing w:line="360" w:lineRule="auto"/>
              <w:jc w:val="center"/>
              <w:rPr>
                <w:rFonts w:hint="default" w:ascii="Times New Roman" w:hAnsi="Times New Roman" w:eastAsia="方正仿宋简体" w:cs="Times New Roman"/>
                <w:color w:val="auto"/>
                <w:sz w:val="24"/>
                <w:szCs w:val="24"/>
                <w:lang w:val="en-US" w:eastAsia="zh-CN"/>
              </w:rPr>
            </w:pPr>
          </w:p>
        </w:tc>
      </w:tr>
      <w:tr w14:paraId="53EF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6" w:type="pct"/>
            <w:gridSpan w:val="3"/>
          </w:tcPr>
          <w:p w14:paraId="32C9724A">
            <w:pPr>
              <w:spacing w:line="360" w:lineRule="auto"/>
              <w:jc w:val="center"/>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总得分</w:t>
            </w:r>
          </w:p>
        </w:tc>
        <w:tc>
          <w:tcPr>
            <w:tcW w:w="443" w:type="pct"/>
          </w:tcPr>
          <w:p w14:paraId="48A7A155">
            <w:pPr>
              <w:spacing w:line="360" w:lineRule="auto"/>
              <w:jc w:val="center"/>
              <w:rPr>
                <w:rFonts w:hint="default" w:ascii="Times New Roman" w:hAnsi="Times New Roman" w:eastAsia="方正仿宋简体" w:cs="Times New Roman"/>
                <w:color w:val="auto"/>
                <w:sz w:val="24"/>
                <w:szCs w:val="24"/>
                <w:lang w:val="en-US" w:eastAsia="zh-CN"/>
              </w:rPr>
            </w:pPr>
          </w:p>
        </w:tc>
      </w:tr>
    </w:tbl>
    <w:p w14:paraId="7F015BA4">
      <w:pPr>
        <w:spacing w:line="360" w:lineRule="auto"/>
        <w:rPr>
          <w:rFonts w:hint="eastAsia" w:asciiTheme="minorEastAsia" w:hAnsiTheme="minorEastAsia" w:cstheme="minorEastAsia"/>
          <w:sz w:val="28"/>
          <w:szCs w:val="28"/>
          <w:u w:val="single"/>
          <w:lang w:val="en-US" w:eastAsia="zh-CN"/>
        </w:rPr>
      </w:pPr>
    </w:p>
    <w:p w14:paraId="0CD65193">
      <w:pPr>
        <w:pStyle w:val="6"/>
        <w:rPr>
          <w:rFonts w:hint="default"/>
          <w:lang w:val="en-US" w:eastAsia="zh-CN"/>
        </w:rPr>
      </w:pPr>
      <w:r>
        <w:rPr>
          <w:rFonts w:hint="eastAsia" w:asciiTheme="minorEastAsia" w:hAnsiTheme="minorEastAsia" w:cstheme="minorEastAsia"/>
          <w:sz w:val="28"/>
          <w:szCs w:val="28"/>
          <w:u w:val="single"/>
          <w:lang w:val="en-US" w:eastAsia="zh-CN"/>
        </w:rPr>
        <w:t xml:space="preserve">管理人员签字：                                      </w:t>
      </w:r>
    </w:p>
    <w:p w14:paraId="1A20E375">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38CCE8D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75C6B9E7">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60DD5F3B">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7"/>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7"/>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7"/>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2" w:name="一、磋商申请及声明"/>
      <w:bookmarkEnd w:id="62"/>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4"/>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7"/>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4"/>
        <w:numPr>
          <w:ilvl w:val="0"/>
          <w:numId w:val="23"/>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3" w:name="二、法定代表人授权委托书"/>
      <w:bookmarkEnd w:id="63"/>
      <w:bookmarkStart w:id="64"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4"/>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，作为我方报价。我方保证在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0924AF86">
      <w:pPr>
        <w:pStyle w:val="7"/>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6"/>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4"/>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5" w:name="四、磋商分项报价表"/>
      <w:bookmarkEnd w:id="65"/>
      <w:bookmarkStart w:id="66"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6"/>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7"/>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7"/>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7"/>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7"/>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7"/>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7"/>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7"/>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7"/>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7"/>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4"/>
        <w:ind w:left="743"/>
        <w:rPr>
          <w:rFonts w:hint="eastAsia" w:ascii="华文仿宋" w:hAnsi="华文仿宋" w:eastAsia="华文仿宋" w:cs="仿宋"/>
          <w:color w:val="000000" w:themeColor="text1"/>
          <w:highlight w:val="none"/>
          <w14:textFill>
            <w14:solidFill>
              <w14:schemeClr w14:val="tx1"/>
            </w14:solidFill>
          </w14:textFill>
        </w:rPr>
      </w:pPr>
      <w:bookmarkStart w:id="67" w:name="三、磋商报价汇总表"/>
      <w:bookmarkEnd w:id="67"/>
    </w:p>
    <w:p w14:paraId="75B34DC2">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4"/>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8"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8"/>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7"/>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7"/>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7"/>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4"/>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元（大写）</w:t>
            </w:r>
          </w:p>
          <w:p w14:paraId="7B1C870F">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元（小写）</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7"/>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7"/>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7"/>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7"/>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7"/>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7"/>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7"/>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5F5592B7">
      <w:pPr>
        <w:pStyle w:val="4"/>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69" w:name="七、商务条款响应表"/>
      <w:bookmarkEnd w:id="69"/>
      <w:bookmarkStart w:id="70"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0"/>
    </w:p>
    <w:p w14:paraId="7D418AC2">
      <w:pPr>
        <w:ind w:left="743"/>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磋商分项报价表</w:t>
      </w:r>
    </w:p>
    <w:p w14:paraId="66A5A834">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0CEB509">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项目编号： </w:t>
      </w:r>
    </w:p>
    <w:p w14:paraId="061A5591">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ADAAA62">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597FA77B">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（★请按照采购文件“第三章 磋商项目需求”中“报价要求”的给定格式报价）</w:t>
      </w:r>
    </w:p>
    <w:p w14:paraId="1B2EFD5C">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23B54C3">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263A910">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28676C6">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供应商（盖章）： </w:t>
      </w:r>
    </w:p>
    <w:p w14:paraId="5C7F7CAC">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日期：  年  月  日</w:t>
      </w:r>
    </w:p>
    <w:p w14:paraId="1F641406">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A3CB33B">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BC312EF">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说明:</w:t>
      </w:r>
    </w:p>
    <w:p w14:paraId="00C0B73E">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66A1D9B">
      <w:pPr>
        <w:pStyle w:val="2"/>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7"/>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1" w:name="六、资格证明"/>
      <w:bookmarkEnd w:id="71"/>
      <w:bookmarkStart w:id="72"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2"/>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7"/>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3" w:name="九、项目参与人员基本情况表"/>
      <w:bookmarkEnd w:id="73"/>
      <w:bookmarkStart w:id="74"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4"/>
    </w:p>
    <w:p w14:paraId="43F015C0">
      <w:pPr>
        <w:pStyle w:val="7"/>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7"/>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7"/>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4"/>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7"/>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7"/>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5" w:name="八、项目实施方案"/>
      <w:bookmarkEnd w:id="75"/>
      <w:bookmarkStart w:id="76"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6"/>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7"/>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7" w:name="十、技术规格偏离表"/>
      <w:bookmarkEnd w:id="77"/>
    </w:p>
    <w:p w14:paraId="20B9D99F">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4"/>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8"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8"/>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2"/>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4"/>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7"/>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2"/>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4"/>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7"/>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7"/>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7"/>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7"/>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7"/>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7"/>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7"/>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1AB39470">
      <w:pPr>
        <w:spacing w:before="66"/>
        <w:ind w:left="743"/>
        <w:outlineLvl w:val="1"/>
        <w:rPr>
          <w:rFonts w:hint="eastAsia" w:ascii="华文仿宋" w:hAnsi="华文仿宋" w:eastAsia="华文仿宋" w:cs="仿宋"/>
          <w:b/>
          <w:color w:val="000000" w:themeColor="text1"/>
          <w:sz w:val="24"/>
          <w:highlight w:val="none"/>
          <w:lang w:val="en-US"/>
          <w14:textFill>
            <w14:solidFill>
              <w14:schemeClr w14:val="tx1"/>
            </w14:solidFill>
          </w14:textFill>
        </w:rPr>
      </w:pPr>
      <w:bookmarkStart w:id="79" w:name="附件一：具备履行合同所必需的设备和专业技术能力的书面声明"/>
      <w:bookmarkEnd w:id="79"/>
      <w:bookmarkStart w:id="80" w:name="_Toc14657"/>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0"/>
    </w:p>
    <w:p w14:paraId="2436C44D">
      <w:pPr>
        <w:pStyle w:val="7"/>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7"/>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7"/>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7"/>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4"/>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7"/>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7"/>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7"/>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7"/>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7"/>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7"/>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4"/>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1" w:name="十一、质量保证及服务承诺"/>
      <w:bookmarkEnd w:id="81"/>
      <w:bookmarkStart w:id="82"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2"/>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7"/>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MLES202603006</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秣陵街道宣传教育活动</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7"/>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7"/>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7"/>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7"/>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7"/>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7"/>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3" w:name="附件三：中小企业声明函格式、残疾人福利性单位声明函（如有）"/>
      <w:bookmarkEnd w:id="83"/>
      <w:bookmarkStart w:id="84"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4"/>
    </w:p>
    <w:p w14:paraId="44DC1C7B">
      <w:pPr>
        <w:pStyle w:val="7"/>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7"/>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7"/>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7"/>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7"/>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7"/>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7"/>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7"/>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7"/>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7"/>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7"/>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5" w:name="附件二：无重大违法记录声明格式"/>
      <w:bookmarkEnd w:id="85"/>
      <w:bookmarkStart w:id="86"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6"/>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7"/>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7"/>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7"/>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7"/>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7"/>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7"/>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7" w:name="附件四：南京市政府采购供应商信用记录表"/>
      <w:bookmarkEnd w:id="87"/>
      <w:bookmarkStart w:id="88"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8"/>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89" w:name="bookmark47"/>
      <w:bookmarkEnd w:id="89"/>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90" w:name="bookmark48"/>
      <w:bookmarkEnd w:id="90"/>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7"/>
        <w:rPr>
          <w:rFonts w:hint="eastAsia" w:ascii="华文仿宋" w:hAnsi="华文仿宋" w:eastAsia="华文仿宋"/>
          <w:color w:val="000000"/>
          <w:sz w:val="18"/>
          <w:szCs w:val="18"/>
          <w:highlight w:val="none"/>
          <w:lang w:val="en-US"/>
        </w:rPr>
      </w:pPr>
    </w:p>
    <w:p w14:paraId="0448D0BE">
      <w:pPr>
        <w:pStyle w:val="7"/>
        <w:rPr>
          <w:rFonts w:hint="eastAsia" w:ascii="华文仿宋" w:hAnsi="华文仿宋" w:eastAsia="华文仿宋"/>
          <w:color w:val="000000"/>
          <w:sz w:val="18"/>
          <w:szCs w:val="18"/>
          <w:highlight w:val="none"/>
          <w:lang w:val="en-US"/>
        </w:rPr>
      </w:pPr>
    </w:p>
    <w:p w14:paraId="5AF78CC5">
      <w:pPr>
        <w:pStyle w:val="7"/>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7"/>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7"/>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7"/>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7"/>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7"/>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7"/>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7"/>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6"/>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4"/>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1"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1"/>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7"/>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2"/>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7"/>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7"/>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7"/>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7"/>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7"/>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10"/>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7"/>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B2CB6E54"/>
    <w:multiLevelType w:val="singleLevel"/>
    <w:tmpl w:val="B2CB6E54"/>
    <w:lvl w:ilvl="0" w:tentative="0">
      <w:start w:val="5"/>
      <w:numFmt w:val="chineseCounting"/>
      <w:suff w:val="nothing"/>
      <w:lvlText w:val="%1、"/>
      <w:lvlJc w:val="left"/>
      <w:rPr>
        <w:rFonts w:hint="eastAsia"/>
      </w:rPr>
    </w:lvl>
  </w:abstractNum>
  <w:abstractNum w:abstractNumId="7">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8">
    <w:nsid w:val="EA79A9A7"/>
    <w:multiLevelType w:val="singleLevel"/>
    <w:tmpl w:val="EA79A9A7"/>
    <w:lvl w:ilvl="0" w:tentative="0">
      <w:start w:val="1"/>
      <w:numFmt w:val="decimal"/>
      <w:suff w:val="nothing"/>
      <w:lvlText w:val="%1、"/>
      <w:lvlJc w:val="left"/>
    </w:lvl>
  </w:abstractNum>
  <w:abstractNum w:abstractNumId="9">
    <w:nsid w:val="F4A942FE"/>
    <w:multiLevelType w:val="multilevel"/>
    <w:tmpl w:val="F4A942FE"/>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0">
    <w:nsid w:val="0BEBE5F6"/>
    <w:multiLevelType w:val="singleLevel"/>
    <w:tmpl w:val="0BEBE5F6"/>
    <w:lvl w:ilvl="0" w:tentative="0">
      <w:start w:val="1"/>
      <w:numFmt w:val="decimal"/>
      <w:suff w:val="nothing"/>
      <w:lvlText w:val="%1、"/>
      <w:lvlJc w:val="left"/>
    </w:lvl>
  </w:abstractNum>
  <w:abstractNum w:abstractNumId="11">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2">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13">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4">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5">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6">
    <w:nsid w:val="411170E6"/>
    <w:multiLevelType w:val="singleLevel"/>
    <w:tmpl w:val="411170E6"/>
    <w:lvl w:ilvl="0" w:tentative="0">
      <w:start w:val="1"/>
      <w:numFmt w:val="decimal"/>
      <w:suff w:val="nothing"/>
      <w:lvlText w:val="%1、"/>
      <w:lvlJc w:val="left"/>
    </w:lvl>
  </w:abstractNum>
  <w:abstractNum w:abstractNumId="17">
    <w:nsid w:val="463A2AAC"/>
    <w:multiLevelType w:val="singleLevel"/>
    <w:tmpl w:val="463A2AAC"/>
    <w:lvl w:ilvl="0" w:tentative="0">
      <w:start w:val="1"/>
      <w:numFmt w:val="decimal"/>
      <w:suff w:val="nothing"/>
      <w:lvlText w:val="%1、"/>
      <w:lvlJc w:val="left"/>
      <w:pPr>
        <w:ind w:left="340"/>
      </w:pPr>
    </w:lvl>
  </w:abstractNum>
  <w:abstractNum w:abstractNumId="18">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19">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0">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21">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abstractNum w:abstractNumId="22">
    <w:nsid w:val="7EF2E844"/>
    <w:multiLevelType w:val="multilevel"/>
    <w:tmpl w:val="7EF2E844"/>
    <w:lvl w:ilvl="0" w:tentative="0">
      <w:start w:val="1"/>
      <w:numFmt w:val="decimal"/>
      <w:suff w:val="nothing"/>
      <w:lvlText w:val="%1、"/>
      <w:lvlJc w:val="left"/>
    </w:lvl>
    <w:lvl w:ilvl="1" w:tentative="0">
      <w:start w:val="5"/>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7"/>
  </w:num>
  <w:num w:numId="2">
    <w:abstractNumId w:val="21"/>
  </w:num>
  <w:num w:numId="3">
    <w:abstractNumId w:val="0"/>
  </w:num>
  <w:num w:numId="4">
    <w:abstractNumId w:val="1"/>
  </w:num>
  <w:num w:numId="5">
    <w:abstractNumId w:val="18"/>
  </w:num>
  <w:num w:numId="6">
    <w:abstractNumId w:val="5"/>
  </w:num>
  <w:num w:numId="7">
    <w:abstractNumId w:val="9"/>
  </w:num>
  <w:num w:numId="8">
    <w:abstractNumId w:val="20"/>
  </w:num>
  <w:num w:numId="9">
    <w:abstractNumId w:val="4"/>
  </w:num>
  <w:num w:numId="10">
    <w:abstractNumId w:val="3"/>
  </w:num>
  <w:num w:numId="11">
    <w:abstractNumId w:val="13"/>
  </w:num>
  <w:num w:numId="12">
    <w:abstractNumId w:val="7"/>
  </w:num>
  <w:num w:numId="13">
    <w:abstractNumId w:val="2"/>
  </w:num>
  <w:num w:numId="14">
    <w:abstractNumId w:val="12"/>
  </w:num>
  <w:num w:numId="15">
    <w:abstractNumId w:val="15"/>
  </w:num>
  <w:num w:numId="16">
    <w:abstractNumId w:val="11"/>
  </w:num>
  <w:num w:numId="17">
    <w:abstractNumId w:val="19"/>
  </w:num>
  <w:num w:numId="18">
    <w:abstractNumId w:val="6"/>
  </w:num>
  <w:num w:numId="19">
    <w:abstractNumId w:val="16"/>
  </w:num>
  <w:num w:numId="20">
    <w:abstractNumId w:val="8"/>
  </w:num>
  <w:num w:numId="21">
    <w:abstractNumId w:val="10"/>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44AB"/>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7460A8"/>
    <w:rsid w:val="01ED458D"/>
    <w:rsid w:val="022C1359"/>
    <w:rsid w:val="034F0B7A"/>
    <w:rsid w:val="039147B9"/>
    <w:rsid w:val="04293EB0"/>
    <w:rsid w:val="05A27FB2"/>
    <w:rsid w:val="05EE1D70"/>
    <w:rsid w:val="063A6F44"/>
    <w:rsid w:val="0670499F"/>
    <w:rsid w:val="06915006"/>
    <w:rsid w:val="06D96EDB"/>
    <w:rsid w:val="070E4C9A"/>
    <w:rsid w:val="0742791B"/>
    <w:rsid w:val="076042F7"/>
    <w:rsid w:val="077D3F31"/>
    <w:rsid w:val="083D5445"/>
    <w:rsid w:val="08493DEA"/>
    <w:rsid w:val="087B2E44"/>
    <w:rsid w:val="08A76D63"/>
    <w:rsid w:val="08FB591B"/>
    <w:rsid w:val="09532A47"/>
    <w:rsid w:val="095E5E38"/>
    <w:rsid w:val="09602E22"/>
    <w:rsid w:val="098C2BD4"/>
    <w:rsid w:val="09C7254B"/>
    <w:rsid w:val="09DC42DC"/>
    <w:rsid w:val="0A620261"/>
    <w:rsid w:val="0B1D1FE3"/>
    <w:rsid w:val="0B305850"/>
    <w:rsid w:val="0B363DDC"/>
    <w:rsid w:val="0B53731D"/>
    <w:rsid w:val="0B5444D9"/>
    <w:rsid w:val="0B642E35"/>
    <w:rsid w:val="0B644A93"/>
    <w:rsid w:val="0B86206A"/>
    <w:rsid w:val="0B987986"/>
    <w:rsid w:val="0BB04180"/>
    <w:rsid w:val="0BB92EE4"/>
    <w:rsid w:val="0BE37AEB"/>
    <w:rsid w:val="0BE80777"/>
    <w:rsid w:val="0C0F5E88"/>
    <w:rsid w:val="0C601702"/>
    <w:rsid w:val="0C923718"/>
    <w:rsid w:val="0C974D4F"/>
    <w:rsid w:val="0E0C7F93"/>
    <w:rsid w:val="0E5A28DD"/>
    <w:rsid w:val="0F3218B2"/>
    <w:rsid w:val="0F3A0931"/>
    <w:rsid w:val="0F554635"/>
    <w:rsid w:val="0F620051"/>
    <w:rsid w:val="0F703E25"/>
    <w:rsid w:val="0FC226D4"/>
    <w:rsid w:val="0FE12B5A"/>
    <w:rsid w:val="0FFC570C"/>
    <w:rsid w:val="10873CF6"/>
    <w:rsid w:val="10A65B52"/>
    <w:rsid w:val="10D10E21"/>
    <w:rsid w:val="111967C2"/>
    <w:rsid w:val="114B426F"/>
    <w:rsid w:val="11980F59"/>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5744470"/>
    <w:rsid w:val="15C9656A"/>
    <w:rsid w:val="164637E0"/>
    <w:rsid w:val="165878EE"/>
    <w:rsid w:val="16894D2E"/>
    <w:rsid w:val="16917DF7"/>
    <w:rsid w:val="175B72AF"/>
    <w:rsid w:val="179E57D5"/>
    <w:rsid w:val="17D96556"/>
    <w:rsid w:val="17FD65D0"/>
    <w:rsid w:val="18F20E01"/>
    <w:rsid w:val="193C52A5"/>
    <w:rsid w:val="198349AA"/>
    <w:rsid w:val="198C0D25"/>
    <w:rsid w:val="19D21C27"/>
    <w:rsid w:val="1A974E89"/>
    <w:rsid w:val="1AA44FA5"/>
    <w:rsid w:val="1AFD31A9"/>
    <w:rsid w:val="1B0F0EC3"/>
    <w:rsid w:val="1B222279"/>
    <w:rsid w:val="1B2F50C2"/>
    <w:rsid w:val="1B9019AB"/>
    <w:rsid w:val="1B904839"/>
    <w:rsid w:val="1BF97EFD"/>
    <w:rsid w:val="1C330F98"/>
    <w:rsid w:val="1C8A354A"/>
    <w:rsid w:val="1CF738C0"/>
    <w:rsid w:val="1D264D8E"/>
    <w:rsid w:val="1D3369BF"/>
    <w:rsid w:val="1DB05824"/>
    <w:rsid w:val="1E036392"/>
    <w:rsid w:val="1E5D02C5"/>
    <w:rsid w:val="1EF36235"/>
    <w:rsid w:val="1F554436"/>
    <w:rsid w:val="1F683D02"/>
    <w:rsid w:val="205D622D"/>
    <w:rsid w:val="20B20F2A"/>
    <w:rsid w:val="214303A5"/>
    <w:rsid w:val="214E5B76"/>
    <w:rsid w:val="21751354"/>
    <w:rsid w:val="22B950A1"/>
    <w:rsid w:val="22F9729B"/>
    <w:rsid w:val="23177F0A"/>
    <w:rsid w:val="23241284"/>
    <w:rsid w:val="23757D31"/>
    <w:rsid w:val="237D0ABE"/>
    <w:rsid w:val="23A17F1B"/>
    <w:rsid w:val="23EF168A"/>
    <w:rsid w:val="2432352D"/>
    <w:rsid w:val="24643238"/>
    <w:rsid w:val="2465335D"/>
    <w:rsid w:val="249652C5"/>
    <w:rsid w:val="24A073E8"/>
    <w:rsid w:val="24F079C0"/>
    <w:rsid w:val="250443AC"/>
    <w:rsid w:val="2507093D"/>
    <w:rsid w:val="250C1FD0"/>
    <w:rsid w:val="25143B12"/>
    <w:rsid w:val="25186BC6"/>
    <w:rsid w:val="25263FDE"/>
    <w:rsid w:val="254C2E10"/>
    <w:rsid w:val="25F077C1"/>
    <w:rsid w:val="26216F03"/>
    <w:rsid w:val="26876E95"/>
    <w:rsid w:val="26AA7235"/>
    <w:rsid w:val="26FE1C15"/>
    <w:rsid w:val="271D3DC8"/>
    <w:rsid w:val="27595274"/>
    <w:rsid w:val="28327F9F"/>
    <w:rsid w:val="283727E1"/>
    <w:rsid w:val="286B5C54"/>
    <w:rsid w:val="28C60E8D"/>
    <w:rsid w:val="28CB3E86"/>
    <w:rsid w:val="291F01F3"/>
    <w:rsid w:val="2977172B"/>
    <w:rsid w:val="2A0227DD"/>
    <w:rsid w:val="2A3B7CEA"/>
    <w:rsid w:val="2A57354E"/>
    <w:rsid w:val="2B1A4D1A"/>
    <w:rsid w:val="2BC5112A"/>
    <w:rsid w:val="2C351579"/>
    <w:rsid w:val="2CD849B0"/>
    <w:rsid w:val="2D105BE6"/>
    <w:rsid w:val="2D4F514F"/>
    <w:rsid w:val="2D79041E"/>
    <w:rsid w:val="2ECD0A22"/>
    <w:rsid w:val="2EF56CE0"/>
    <w:rsid w:val="2F0D7658"/>
    <w:rsid w:val="2F3E191F"/>
    <w:rsid w:val="2F4B08F2"/>
    <w:rsid w:val="2F93741A"/>
    <w:rsid w:val="30130901"/>
    <w:rsid w:val="30742D96"/>
    <w:rsid w:val="30B773CC"/>
    <w:rsid w:val="3103392C"/>
    <w:rsid w:val="31076A06"/>
    <w:rsid w:val="310F6F56"/>
    <w:rsid w:val="31AA4BFA"/>
    <w:rsid w:val="31AC5C63"/>
    <w:rsid w:val="324F79A0"/>
    <w:rsid w:val="325B00F2"/>
    <w:rsid w:val="326E6078"/>
    <w:rsid w:val="32D22AAA"/>
    <w:rsid w:val="32DF5298"/>
    <w:rsid w:val="333B2067"/>
    <w:rsid w:val="33886230"/>
    <w:rsid w:val="348C6C89"/>
    <w:rsid w:val="348F22D5"/>
    <w:rsid w:val="34FD7A6B"/>
    <w:rsid w:val="35C075BF"/>
    <w:rsid w:val="35E13004"/>
    <w:rsid w:val="362870FA"/>
    <w:rsid w:val="366538A6"/>
    <w:rsid w:val="367C6565"/>
    <w:rsid w:val="370E7E29"/>
    <w:rsid w:val="374D42AF"/>
    <w:rsid w:val="37CB1876"/>
    <w:rsid w:val="380509AA"/>
    <w:rsid w:val="385E21BC"/>
    <w:rsid w:val="38782C04"/>
    <w:rsid w:val="38A7743D"/>
    <w:rsid w:val="38DC04DB"/>
    <w:rsid w:val="38DF7CCF"/>
    <w:rsid w:val="39F727BE"/>
    <w:rsid w:val="3AE3337B"/>
    <w:rsid w:val="3AF57C58"/>
    <w:rsid w:val="3B8B0AF6"/>
    <w:rsid w:val="3B93481F"/>
    <w:rsid w:val="3B9D7603"/>
    <w:rsid w:val="3BD3479F"/>
    <w:rsid w:val="3C201B02"/>
    <w:rsid w:val="3C3F7A3C"/>
    <w:rsid w:val="3C5C248D"/>
    <w:rsid w:val="3CBD773B"/>
    <w:rsid w:val="3D536B4A"/>
    <w:rsid w:val="3D55540A"/>
    <w:rsid w:val="3D6C13D5"/>
    <w:rsid w:val="3DA60DBB"/>
    <w:rsid w:val="3E0E68AD"/>
    <w:rsid w:val="3E9C3F6D"/>
    <w:rsid w:val="3F193E2E"/>
    <w:rsid w:val="3F4D5267"/>
    <w:rsid w:val="3F5E7474"/>
    <w:rsid w:val="3F9200B9"/>
    <w:rsid w:val="3FF41403"/>
    <w:rsid w:val="3FFC1167"/>
    <w:rsid w:val="400B51A6"/>
    <w:rsid w:val="4013200C"/>
    <w:rsid w:val="40BF1A9A"/>
    <w:rsid w:val="41AC581E"/>
    <w:rsid w:val="42302661"/>
    <w:rsid w:val="42337727"/>
    <w:rsid w:val="423A41C8"/>
    <w:rsid w:val="42537038"/>
    <w:rsid w:val="42D53B65"/>
    <w:rsid w:val="433A1E82"/>
    <w:rsid w:val="433F136A"/>
    <w:rsid w:val="436B7F8D"/>
    <w:rsid w:val="443F5AC6"/>
    <w:rsid w:val="444B0F5E"/>
    <w:rsid w:val="44543077"/>
    <w:rsid w:val="445A3A94"/>
    <w:rsid w:val="446E7DEB"/>
    <w:rsid w:val="44DC7733"/>
    <w:rsid w:val="45120AE5"/>
    <w:rsid w:val="45611A6C"/>
    <w:rsid w:val="45E95270"/>
    <w:rsid w:val="46053C70"/>
    <w:rsid w:val="46386C71"/>
    <w:rsid w:val="463A3EB9"/>
    <w:rsid w:val="46BA6F22"/>
    <w:rsid w:val="46DD5C23"/>
    <w:rsid w:val="4703102D"/>
    <w:rsid w:val="4723347D"/>
    <w:rsid w:val="48254FD3"/>
    <w:rsid w:val="484C255F"/>
    <w:rsid w:val="4867383D"/>
    <w:rsid w:val="488B1DD6"/>
    <w:rsid w:val="488B6532"/>
    <w:rsid w:val="48AA2464"/>
    <w:rsid w:val="48CD4344"/>
    <w:rsid w:val="49050A1B"/>
    <w:rsid w:val="490C4958"/>
    <w:rsid w:val="496E6505"/>
    <w:rsid w:val="49FC7FB5"/>
    <w:rsid w:val="4A4150D7"/>
    <w:rsid w:val="4A7B7A15"/>
    <w:rsid w:val="4AA06B93"/>
    <w:rsid w:val="4B3748C5"/>
    <w:rsid w:val="4B5E4FF7"/>
    <w:rsid w:val="4BA02254"/>
    <w:rsid w:val="4BCD4365"/>
    <w:rsid w:val="4BDB1D65"/>
    <w:rsid w:val="4C59524B"/>
    <w:rsid w:val="4CA50490"/>
    <w:rsid w:val="4CAA019C"/>
    <w:rsid w:val="4CF052CF"/>
    <w:rsid w:val="4DCA696D"/>
    <w:rsid w:val="4DDE1EAC"/>
    <w:rsid w:val="4E01203E"/>
    <w:rsid w:val="4E16502C"/>
    <w:rsid w:val="4E2306DA"/>
    <w:rsid w:val="4E6D76D3"/>
    <w:rsid w:val="4E8477F5"/>
    <w:rsid w:val="4F0C5B74"/>
    <w:rsid w:val="4F756840"/>
    <w:rsid w:val="4FC34247"/>
    <w:rsid w:val="50C2704A"/>
    <w:rsid w:val="50DB26D2"/>
    <w:rsid w:val="51B33A0C"/>
    <w:rsid w:val="52236C8C"/>
    <w:rsid w:val="52817600"/>
    <w:rsid w:val="52E4174F"/>
    <w:rsid w:val="535D3DF7"/>
    <w:rsid w:val="536125FC"/>
    <w:rsid w:val="53850738"/>
    <w:rsid w:val="53B04032"/>
    <w:rsid w:val="54E35FFA"/>
    <w:rsid w:val="553C7BCB"/>
    <w:rsid w:val="55D342C0"/>
    <w:rsid w:val="55FC63EC"/>
    <w:rsid w:val="56147E28"/>
    <w:rsid w:val="56DF417F"/>
    <w:rsid w:val="56F52014"/>
    <w:rsid w:val="57B476CF"/>
    <w:rsid w:val="57C93842"/>
    <w:rsid w:val="57CF2390"/>
    <w:rsid w:val="58075E05"/>
    <w:rsid w:val="5860579F"/>
    <w:rsid w:val="589079BC"/>
    <w:rsid w:val="589715D5"/>
    <w:rsid w:val="590A1874"/>
    <w:rsid w:val="591A2206"/>
    <w:rsid w:val="5A135113"/>
    <w:rsid w:val="5A335284"/>
    <w:rsid w:val="5A6661D0"/>
    <w:rsid w:val="5A67147B"/>
    <w:rsid w:val="5A722AEF"/>
    <w:rsid w:val="5AC471C8"/>
    <w:rsid w:val="5ACB7C5C"/>
    <w:rsid w:val="5AD016BE"/>
    <w:rsid w:val="5C001B87"/>
    <w:rsid w:val="5C1D7992"/>
    <w:rsid w:val="5C4A2E02"/>
    <w:rsid w:val="5D437F7D"/>
    <w:rsid w:val="5DD30179"/>
    <w:rsid w:val="5DF14EBD"/>
    <w:rsid w:val="5E1503D6"/>
    <w:rsid w:val="5E804305"/>
    <w:rsid w:val="5E8727F8"/>
    <w:rsid w:val="5ED23841"/>
    <w:rsid w:val="5F8C53BF"/>
    <w:rsid w:val="60827675"/>
    <w:rsid w:val="608B09D2"/>
    <w:rsid w:val="608D1C38"/>
    <w:rsid w:val="609C52DB"/>
    <w:rsid w:val="60BE791B"/>
    <w:rsid w:val="616A1D28"/>
    <w:rsid w:val="619248A7"/>
    <w:rsid w:val="61F0772C"/>
    <w:rsid w:val="62A763D4"/>
    <w:rsid w:val="62BC7E32"/>
    <w:rsid w:val="62C16DEA"/>
    <w:rsid w:val="62E9458C"/>
    <w:rsid w:val="63247F09"/>
    <w:rsid w:val="632F4AEB"/>
    <w:rsid w:val="63381C06"/>
    <w:rsid w:val="63951711"/>
    <w:rsid w:val="644350DB"/>
    <w:rsid w:val="656767D3"/>
    <w:rsid w:val="66355663"/>
    <w:rsid w:val="663B24CE"/>
    <w:rsid w:val="66637FB2"/>
    <w:rsid w:val="671A4F61"/>
    <w:rsid w:val="67FD00C7"/>
    <w:rsid w:val="684828EC"/>
    <w:rsid w:val="686B482C"/>
    <w:rsid w:val="686C237F"/>
    <w:rsid w:val="68700178"/>
    <w:rsid w:val="68803354"/>
    <w:rsid w:val="68D3743D"/>
    <w:rsid w:val="69144EB0"/>
    <w:rsid w:val="694842F5"/>
    <w:rsid w:val="694A1784"/>
    <w:rsid w:val="695F613F"/>
    <w:rsid w:val="696142FC"/>
    <w:rsid w:val="697E2F2B"/>
    <w:rsid w:val="69DD41F0"/>
    <w:rsid w:val="69EC54F9"/>
    <w:rsid w:val="69F70D87"/>
    <w:rsid w:val="6A317D67"/>
    <w:rsid w:val="6AA84B94"/>
    <w:rsid w:val="6B150E28"/>
    <w:rsid w:val="6B460314"/>
    <w:rsid w:val="6B6566ED"/>
    <w:rsid w:val="6BA53BB1"/>
    <w:rsid w:val="6C7E2657"/>
    <w:rsid w:val="6D513FF0"/>
    <w:rsid w:val="6E2D1719"/>
    <w:rsid w:val="6E707590"/>
    <w:rsid w:val="6E8300C9"/>
    <w:rsid w:val="6E942723"/>
    <w:rsid w:val="6EAD16FA"/>
    <w:rsid w:val="6F210DAB"/>
    <w:rsid w:val="6FE50F85"/>
    <w:rsid w:val="70071A4D"/>
    <w:rsid w:val="702F68CE"/>
    <w:rsid w:val="70355B98"/>
    <w:rsid w:val="70F60F5C"/>
    <w:rsid w:val="71097329"/>
    <w:rsid w:val="71412853"/>
    <w:rsid w:val="71565AB6"/>
    <w:rsid w:val="71A71A2C"/>
    <w:rsid w:val="71D52B42"/>
    <w:rsid w:val="71F13D46"/>
    <w:rsid w:val="720C2BDC"/>
    <w:rsid w:val="72856D9A"/>
    <w:rsid w:val="72B1796F"/>
    <w:rsid w:val="72C3479D"/>
    <w:rsid w:val="72D740DE"/>
    <w:rsid w:val="72FD42D3"/>
    <w:rsid w:val="74371495"/>
    <w:rsid w:val="7439488A"/>
    <w:rsid w:val="743F507D"/>
    <w:rsid w:val="74406B6D"/>
    <w:rsid w:val="74753096"/>
    <w:rsid w:val="74C06179"/>
    <w:rsid w:val="74CD787B"/>
    <w:rsid w:val="753300A9"/>
    <w:rsid w:val="75B94E29"/>
    <w:rsid w:val="7612404B"/>
    <w:rsid w:val="761E07C6"/>
    <w:rsid w:val="765E0FEC"/>
    <w:rsid w:val="76A01B45"/>
    <w:rsid w:val="770025E3"/>
    <w:rsid w:val="779C67B0"/>
    <w:rsid w:val="77A25449"/>
    <w:rsid w:val="78011004"/>
    <w:rsid w:val="780770F9"/>
    <w:rsid w:val="781C68DB"/>
    <w:rsid w:val="78AB15B9"/>
    <w:rsid w:val="78AF7473"/>
    <w:rsid w:val="78E154B8"/>
    <w:rsid w:val="78F61296"/>
    <w:rsid w:val="79106CC7"/>
    <w:rsid w:val="79740D09"/>
    <w:rsid w:val="797A05F4"/>
    <w:rsid w:val="79D23612"/>
    <w:rsid w:val="7A2A38C7"/>
    <w:rsid w:val="7A5E4818"/>
    <w:rsid w:val="7A911ED0"/>
    <w:rsid w:val="7ABE79C2"/>
    <w:rsid w:val="7ADD72A3"/>
    <w:rsid w:val="7B047DB8"/>
    <w:rsid w:val="7B14665D"/>
    <w:rsid w:val="7BE215B8"/>
    <w:rsid w:val="7BF73BBE"/>
    <w:rsid w:val="7C122B9D"/>
    <w:rsid w:val="7C22076D"/>
    <w:rsid w:val="7CAA05CB"/>
    <w:rsid w:val="7CF245B2"/>
    <w:rsid w:val="7D056BA5"/>
    <w:rsid w:val="7D4B5E96"/>
    <w:rsid w:val="7DAF266D"/>
    <w:rsid w:val="7DFF1847"/>
    <w:rsid w:val="7EF24F07"/>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8"/>
      <w:jc w:val="center"/>
      <w:outlineLvl w:val="0"/>
    </w:pPr>
    <w:rPr>
      <w:rFonts w:ascii="黑体" w:hAnsi="黑体" w:eastAsia="黑体" w:cs="黑体"/>
      <w:sz w:val="30"/>
      <w:szCs w:val="30"/>
    </w:rPr>
  </w:style>
  <w:style w:type="paragraph" w:styleId="4">
    <w:name w:val="heading 2"/>
    <w:basedOn w:val="1"/>
    <w:next w:val="1"/>
    <w:qFormat/>
    <w:uiPriority w:val="1"/>
    <w:pPr>
      <w:ind w:left="323"/>
      <w:outlineLvl w:val="1"/>
    </w:pPr>
    <w:rPr>
      <w:b/>
      <w:bCs/>
      <w:sz w:val="21"/>
      <w:szCs w:val="21"/>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1"/>
    <w:qFormat/>
    <w:uiPriority w:val="1"/>
    <w:pPr>
      <w:ind w:left="323" w:firstLine="420"/>
    </w:pPr>
  </w:style>
  <w:style w:type="paragraph" w:styleId="7">
    <w:name w:val="Body Text"/>
    <w:basedOn w:val="1"/>
    <w:link w:val="26"/>
    <w:qFormat/>
    <w:uiPriority w:val="1"/>
    <w:rPr>
      <w:sz w:val="21"/>
      <w:szCs w:val="21"/>
    </w:rPr>
  </w:style>
  <w:style w:type="paragraph" w:styleId="8">
    <w:name w:val="Plain Text"/>
    <w:basedOn w:val="1"/>
    <w:qFormat/>
    <w:uiPriority w:val="0"/>
    <w:rPr>
      <w:rFonts w:hAnsi="Courier New" w:cs="楷体_GB2312"/>
      <w:szCs w:val="21"/>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43"/>
      <w:ind w:left="323"/>
    </w:pPr>
    <w:rPr>
      <w:rFonts w:ascii="黑体" w:hAnsi="黑体" w:eastAsia="黑体" w:cs="黑体"/>
      <w:sz w:val="21"/>
      <w:szCs w:val="21"/>
    </w:rPr>
  </w:style>
  <w:style w:type="paragraph" w:styleId="12">
    <w:name w:val="toc 2"/>
    <w:basedOn w:val="1"/>
    <w:next w:val="1"/>
    <w:qFormat/>
    <w:uiPriority w:val="1"/>
    <w:pPr>
      <w:spacing w:before="43"/>
      <w:ind w:left="743"/>
    </w:pPr>
    <w:rPr>
      <w:sz w:val="21"/>
      <w:szCs w:val="21"/>
    </w:rPr>
  </w:style>
  <w:style w:type="paragraph" w:styleId="13">
    <w:name w:val="Normal (Web)"/>
    <w:basedOn w:val="1"/>
    <w:qFormat/>
    <w:uiPriority w:val="0"/>
    <w:pPr>
      <w:widowControl/>
      <w:spacing w:before="100"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3"/>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6"/>
    <w:link w:val="10"/>
    <w:qFormat/>
    <w:uiPriority w:val="0"/>
    <w:rPr>
      <w:rFonts w:ascii="宋体" w:hAnsi="宋体" w:eastAsia="宋体" w:cs="宋体"/>
      <w:sz w:val="18"/>
      <w:szCs w:val="18"/>
      <w:lang w:val="zh-CN" w:bidi="zh-CN"/>
    </w:rPr>
  </w:style>
  <w:style w:type="character" w:customStyle="1" w:styleId="26">
    <w:name w:val="正文文本 字符"/>
    <w:basedOn w:val="16"/>
    <w:link w:val="7"/>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6"/>
    <w:qFormat/>
    <w:uiPriority w:val="0"/>
    <w:rPr>
      <w:rFonts w:ascii="宋体" w:hAnsi="宋体" w:eastAsia="宋体" w:cs="宋体"/>
      <w:color w:val="000000"/>
      <w:sz w:val="22"/>
      <w:szCs w:val="22"/>
      <w:u w:val="none"/>
    </w:rPr>
  </w:style>
  <w:style w:type="character" w:customStyle="1" w:styleId="30">
    <w:name w:val="font11"/>
    <w:basedOn w:val="16"/>
    <w:qFormat/>
    <w:uiPriority w:val="0"/>
    <w:rPr>
      <w:rFonts w:hint="eastAsia" w:ascii="宋体" w:hAnsi="宋体" w:eastAsia="宋体" w:cs="宋体"/>
      <w:color w:val="000000"/>
      <w:sz w:val="22"/>
      <w:szCs w:val="22"/>
      <w:u w:val="none"/>
    </w:rPr>
  </w:style>
  <w:style w:type="character" w:customStyle="1" w:styleId="31">
    <w:name w:val="font21"/>
    <w:basedOn w:val="16"/>
    <w:qFormat/>
    <w:uiPriority w:val="0"/>
    <w:rPr>
      <w:rFonts w:hint="eastAsia" w:ascii="宋体" w:hAnsi="宋体" w:eastAsia="宋体" w:cs="宋体"/>
      <w:color w:val="000000"/>
      <w:sz w:val="23"/>
      <w:szCs w:val="23"/>
      <w:u w:val="none"/>
    </w:rPr>
  </w:style>
  <w:style w:type="character" w:customStyle="1" w:styleId="32">
    <w:name w:val="font31"/>
    <w:basedOn w:val="16"/>
    <w:qFormat/>
    <w:uiPriority w:val="0"/>
    <w:rPr>
      <w:rFonts w:hint="eastAsia" w:ascii="宋体" w:hAnsi="宋体" w:eastAsia="宋体" w:cs="宋体"/>
      <w:b/>
      <w:bCs/>
      <w:color w:val="000000"/>
      <w:sz w:val="40"/>
      <w:szCs w:val="40"/>
      <w:u w:val="none"/>
    </w:rPr>
  </w:style>
  <w:style w:type="character" w:customStyle="1" w:styleId="33">
    <w:name w:val="font112"/>
    <w:basedOn w:val="16"/>
    <w:qFormat/>
    <w:uiPriority w:val="0"/>
    <w:rPr>
      <w:rFonts w:hint="eastAsia" w:ascii="宋体" w:hAnsi="宋体" w:eastAsia="宋体" w:cs="宋体"/>
      <w:b/>
      <w:bCs/>
      <w:color w:val="000000"/>
      <w:sz w:val="40"/>
      <w:szCs w:val="40"/>
      <w:u w:val="single"/>
    </w:rPr>
  </w:style>
  <w:style w:type="character" w:customStyle="1" w:styleId="34">
    <w:name w:val="font51"/>
    <w:basedOn w:val="16"/>
    <w:qFormat/>
    <w:uiPriority w:val="0"/>
    <w:rPr>
      <w:rFonts w:hint="eastAsia" w:ascii="宋体" w:hAnsi="宋体" w:eastAsia="宋体" w:cs="宋体"/>
      <w:color w:val="000000"/>
      <w:sz w:val="21"/>
      <w:szCs w:val="21"/>
      <w:u w:val="none"/>
    </w:rPr>
  </w:style>
  <w:style w:type="character" w:customStyle="1" w:styleId="35">
    <w:name w:val="font81"/>
    <w:basedOn w:val="16"/>
    <w:qFormat/>
    <w:uiPriority w:val="0"/>
    <w:rPr>
      <w:rFonts w:hint="default" w:ascii="Calibri" w:hAnsi="Calibri" w:cs="Calibri"/>
      <w:color w:val="000000"/>
      <w:sz w:val="21"/>
      <w:szCs w:val="21"/>
      <w:u w:val="none"/>
    </w:rPr>
  </w:style>
  <w:style w:type="character" w:customStyle="1" w:styleId="36">
    <w:name w:val="font111"/>
    <w:basedOn w:val="16"/>
    <w:qFormat/>
    <w:uiPriority w:val="0"/>
    <w:rPr>
      <w:rFonts w:hint="eastAsia" w:ascii="宋体" w:hAnsi="宋体" w:eastAsia="宋体" w:cs="宋体"/>
      <w:b/>
      <w:bCs/>
      <w:color w:val="000000"/>
      <w:sz w:val="40"/>
      <w:szCs w:val="40"/>
      <w:u w:val="single"/>
    </w:rPr>
  </w:style>
  <w:style w:type="character" w:customStyle="1" w:styleId="37">
    <w:name w:val="font41"/>
    <w:basedOn w:val="16"/>
    <w:qFormat/>
    <w:uiPriority w:val="0"/>
    <w:rPr>
      <w:rFonts w:hint="default" w:ascii="方正小标宋简体" w:hAnsi="方正小标宋简体" w:eastAsia="方正小标宋简体" w:cs="方正小标宋简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15708</Words>
  <Characters>16289</Characters>
  <Lines>29</Lines>
  <Paragraphs>49</Paragraphs>
  <TotalTime>29</TotalTime>
  <ScaleCrop>false</ScaleCrop>
  <LinksUpToDate>false</LinksUpToDate>
  <CharactersWithSpaces>16482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2026-04-03T01:12:31Z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2052-12.1.0.25225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