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1EF34">
      <w:pPr>
        <w:pStyle w:val="7"/>
        <w:shd w:val="clear"/>
        <w:snapToGrid w:val="0"/>
        <w:spacing w:line="360" w:lineRule="auto"/>
        <w:rPr>
          <w:rFonts w:hint="eastAsia" w:ascii="微软雅黑" w:hAnsi="微软雅黑" w:eastAsia="微软雅黑" w:cs="微软雅黑"/>
          <w:color w:val="auto"/>
          <w:sz w:val="17"/>
          <w:highlight w:val="none"/>
        </w:rPr>
      </w:pPr>
    </w:p>
    <w:p w14:paraId="2068DE45">
      <w:pPr>
        <w:shd w:val="clear"/>
        <w:rPr>
          <w:rFonts w:hint="eastAsia"/>
          <w:color w:val="auto"/>
          <w:highlight w:val="none"/>
        </w:rPr>
      </w:pPr>
    </w:p>
    <w:p w14:paraId="6EEDA003">
      <w:pPr>
        <w:pStyle w:val="12"/>
        <w:shd w:val="clear"/>
        <w:rPr>
          <w:rFonts w:hint="eastAsia"/>
          <w:color w:val="auto"/>
          <w:highlight w:val="none"/>
        </w:rPr>
      </w:pPr>
    </w:p>
    <w:p w14:paraId="65EC3A0A">
      <w:pPr>
        <w:shd w:val="clear"/>
        <w:rPr>
          <w:rFonts w:hint="eastAsia"/>
          <w:color w:val="auto"/>
          <w:highlight w:val="none"/>
        </w:rPr>
      </w:pPr>
    </w:p>
    <w:p w14:paraId="7EBD455E">
      <w:pPr>
        <w:shd w:val="clear"/>
        <w:rPr>
          <w:rFonts w:hint="eastAsia"/>
          <w:color w:val="auto"/>
          <w:highlight w:val="none"/>
        </w:rPr>
      </w:pPr>
    </w:p>
    <w:p w14:paraId="75BBAD1B">
      <w:pPr>
        <w:pStyle w:val="12"/>
        <w:shd w:val="clear"/>
        <w:rPr>
          <w:rFonts w:hint="eastAsia"/>
          <w:color w:val="auto"/>
          <w:highlight w:val="none"/>
        </w:rPr>
      </w:pPr>
    </w:p>
    <w:p w14:paraId="7F646DE9">
      <w:pPr>
        <w:shd w:val="clear"/>
        <w:snapToGrid w:val="0"/>
        <w:spacing w:line="360" w:lineRule="auto"/>
        <w:ind w:right="21"/>
        <w:jc w:val="center"/>
        <w:rPr>
          <w:rFonts w:hint="eastAsia" w:ascii="微软雅黑" w:hAnsi="微软雅黑" w:eastAsia="微软雅黑" w:cs="微软雅黑"/>
          <w:b/>
          <w:bCs/>
          <w:color w:val="auto"/>
          <w:sz w:val="100"/>
          <w:highlight w:val="none"/>
        </w:rPr>
      </w:pPr>
      <w:r>
        <w:rPr>
          <w:rFonts w:hint="eastAsia" w:ascii="微软雅黑" w:hAnsi="微软雅黑" w:eastAsia="微软雅黑" w:cs="微软雅黑"/>
          <w:b/>
          <w:bCs/>
          <w:color w:val="auto"/>
          <w:sz w:val="100"/>
          <w:highlight w:val="none"/>
        </w:rPr>
        <w:t>招</w:t>
      </w:r>
      <w:r>
        <w:rPr>
          <w:rFonts w:hint="eastAsia" w:ascii="微软雅黑" w:hAnsi="微软雅黑" w:eastAsia="微软雅黑" w:cs="微软雅黑"/>
          <w:b/>
          <w:bCs/>
          <w:color w:val="auto"/>
          <w:sz w:val="100"/>
          <w:highlight w:val="none"/>
          <w:lang w:val="en-US"/>
        </w:rPr>
        <w:t xml:space="preserve"> </w:t>
      </w:r>
      <w:r>
        <w:rPr>
          <w:rFonts w:hint="eastAsia" w:ascii="微软雅黑" w:hAnsi="微软雅黑" w:eastAsia="微软雅黑" w:cs="微软雅黑"/>
          <w:b/>
          <w:bCs/>
          <w:color w:val="auto"/>
          <w:sz w:val="100"/>
          <w:highlight w:val="none"/>
        </w:rPr>
        <w:t>标</w:t>
      </w:r>
      <w:r>
        <w:rPr>
          <w:rFonts w:hint="eastAsia" w:ascii="微软雅黑" w:hAnsi="微软雅黑" w:eastAsia="微软雅黑" w:cs="微软雅黑"/>
          <w:b/>
          <w:bCs/>
          <w:color w:val="auto"/>
          <w:sz w:val="100"/>
          <w:highlight w:val="none"/>
          <w:lang w:val="en-US"/>
        </w:rPr>
        <w:t xml:space="preserve"> </w:t>
      </w:r>
      <w:r>
        <w:rPr>
          <w:rFonts w:hint="eastAsia" w:ascii="微软雅黑" w:hAnsi="微软雅黑" w:eastAsia="微软雅黑" w:cs="微软雅黑"/>
          <w:b/>
          <w:bCs/>
          <w:color w:val="auto"/>
          <w:sz w:val="100"/>
          <w:highlight w:val="none"/>
        </w:rPr>
        <w:t>文</w:t>
      </w:r>
      <w:r>
        <w:rPr>
          <w:rFonts w:hint="eastAsia" w:ascii="微软雅黑" w:hAnsi="微软雅黑" w:eastAsia="微软雅黑" w:cs="微软雅黑"/>
          <w:b/>
          <w:bCs/>
          <w:color w:val="auto"/>
          <w:sz w:val="100"/>
          <w:highlight w:val="none"/>
          <w:lang w:val="en-US"/>
        </w:rPr>
        <w:t xml:space="preserve"> </w:t>
      </w:r>
      <w:r>
        <w:rPr>
          <w:rFonts w:hint="eastAsia" w:ascii="微软雅黑" w:hAnsi="微软雅黑" w:eastAsia="微软雅黑" w:cs="微软雅黑"/>
          <w:b/>
          <w:bCs/>
          <w:color w:val="auto"/>
          <w:sz w:val="100"/>
          <w:highlight w:val="none"/>
        </w:rPr>
        <w:t>件</w:t>
      </w:r>
      <w:bookmarkStart w:id="86" w:name="_GoBack"/>
      <w:bookmarkEnd w:id="86"/>
    </w:p>
    <w:p w14:paraId="2BDB6E57">
      <w:pPr>
        <w:pStyle w:val="7"/>
        <w:shd w:val="clear"/>
        <w:snapToGrid w:val="0"/>
        <w:spacing w:line="360" w:lineRule="auto"/>
        <w:rPr>
          <w:rFonts w:hint="eastAsia" w:ascii="微软雅黑" w:hAnsi="微软雅黑" w:eastAsia="微软雅黑" w:cs="微软雅黑"/>
          <w:color w:val="auto"/>
          <w:sz w:val="20"/>
          <w:highlight w:val="none"/>
        </w:rPr>
      </w:pPr>
    </w:p>
    <w:p w14:paraId="15E8970B">
      <w:pPr>
        <w:pStyle w:val="7"/>
        <w:shd w:val="clear"/>
        <w:snapToGrid w:val="0"/>
        <w:spacing w:line="360" w:lineRule="auto"/>
        <w:rPr>
          <w:rFonts w:hint="eastAsia" w:ascii="微软雅黑" w:hAnsi="微软雅黑" w:eastAsia="微软雅黑" w:cs="微软雅黑"/>
          <w:color w:val="auto"/>
          <w:sz w:val="20"/>
          <w:highlight w:val="none"/>
        </w:rPr>
      </w:pPr>
    </w:p>
    <w:p w14:paraId="7324987F">
      <w:pPr>
        <w:pStyle w:val="7"/>
        <w:shd w:val="clear"/>
        <w:snapToGrid w:val="0"/>
        <w:spacing w:line="360" w:lineRule="auto"/>
        <w:rPr>
          <w:rFonts w:hint="eastAsia" w:ascii="微软雅黑" w:hAnsi="微软雅黑" w:eastAsia="微软雅黑" w:cs="微软雅黑"/>
          <w:color w:val="auto"/>
          <w:sz w:val="17"/>
          <w:highlight w:val="none"/>
        </w:rPr>
      </w:pPr>
    </w:p>
    <w:p w14:paraId="02CCE4F8">
      <w:pPr>
        <w:shd w:val="clear"/>
        <w:snapToGrid w:val="0"/>
        <w:spacing w:line="360" w:lineRule="auto"/>
        <w:ind w:left="976"/>
        <w:rPr>
          <w:rFonts w:hint="eastAsia" w:ascii="微软雅黑" w:hAnsi="微软雅黑" w:eastAsia="微软雅黑" w:cs="微软雅黑"/>
          <w:color w:val="auto"/>
          <w:sz w:val="44"/>
          <w:highlight w:val="none"/>
          <w:lang w:eastAsia="zh-CN"/>
        </w:rPr>
      </w:pPr>
      <w:r>
        <w:rPr>
          <w:rFonts w:hint="eastAsia" w:ascii="微软雅黑" w:hAnsi="微软雅黑" w:eastAsia="微软雅黑" w:cs="微软雅黑"/>
          <w:color w:val="auto"/>
          <w:sz w:val="44"/>
          <w:highlight w:val="none"/>
        </w:rPr>
        <w:t>项目编号：</w:t>
      </w:r>
      <w:r>
        <w:rPr>
          <w:rFonts w:hint="eastAsia" w:ascii="微软雅黑" w:hAnsi="微软雅黑" w:eastAsia="微软雅黑" w:cs="微软雅黑"/>
          <w:color w:val="auto"/>
          <w:sz w:val="44"/>
          <w:highlight w:val="none"/>
          <w:lang w:eastAsia="zh-CN"/>
        </w:rPr>
        <w:t>NJPC-2026-0211</w:t>
      </w:r>
    </w:p>
    <w:p w14:paraId="0551D165">
      <w:pPr>
        <w:shd w:val="clear"/>
        <w:snapToGrid w:val="0"/>
        <w:spacing w:line="360" w:lineRule="auto"/>
        <w:ind w:left="976" w:right="614"/>
        <w:rPr>
          <w:rFonts w:hint="eastAsia" w:ascii="微软雅黑" w:hAnsi="微软雅黑" w:eastAsia="微软雅黑" w:cs="微软雅黑"/>
          <w:color w:val="auto"/>
          <w:sz w:val="44"/>
          <w:highlight w:val="none"/>
          <w:lang w:eastAsia="zh-CN"/>
        </w:rPr>
      </w:pPr>
      <w:r>
        <w:rPr>
          <w:rFonts w:hint="eastAsia" w:ascii="微软雅黑" w:hAnsi="微软雅黑" w:eastAsia="微软雅黑" w:cs="微软雅黑"/>
          <w:color w:val="auto"/>
          <w:sz w:val="44"/>
          <w:highlight w:val="none"/>
        </w:rPr>
        <w:t>项目名称：</w:t>
      </w:r>
      <w:r>
        <w:rPr>
          <w:rFonts w:hint="eastAsia" w:ascii="微软雅黑" w:hAnsi="微软雅黑" w:eastAsia="微软雅黑" w:cs="微软雅黑"/>
          <w:color w:val="auto"/>
          <w:sz w:val="44"/>
          <w:highlight w:val="none"/>
          <w:lang w:eastAsia="zh-CN"/>
        </w:rPr>
        <w:t>江宁区2026年度防空警报设施维护保养服务</w:t>
      </w:r>
    </w:p>
    <w:p w14:paraId="64792D14">
      <w:pPr>
        <w:pStyle w:val="7"/>
        <w:shd w:val="clear"/>
        <w:snapToGrid w:val="0"/>
        <w:spacing w:line="360" w:lineRule="auto"/>
        <w:rPr>
          <w:rFonts w:hint="eastAsia" w:ascii="微软雅黑" w:hAnsi="微软雅黑" w:eastAsia="微软雅黑" w:cs="微软雅黑"/>
          <w:color w:val="auto"/>
          <w:sz w:val="20"/>
          <w:highlight w:val="none"/>
          <w:lang w:val="en-US"/>
        </w:rPr>
      </w:pPr>
    </w:p>
    <w:p w14:paraId="4A26002A">
      <w:pPr>
        <w:shd w:val="clear"/>
        <w:rPr>
          <w:rFonts w:hint="eastAsia"/>
          <w:color w:val="auto"/>
          <w:highlight w:val="none"/>
          <w:lang w:val="en-US"/>
        </w:rPr>
      </w:pPr>
    </w:p>
    <w:p w14:paraId="2C5A41BD">
      <w:pPr>
        <w:shd w:val="clear"/>
        <w:rPr>
          <w:rFonts w:hint="eastAsia"/>
          <w:color w:val="auto"/>
          <w:highlight w:val="none"/>
        </w:rPr>
      </w:pPr>
    </w:p>
    <w:p w14:paraId="1D8A759F">
      <w:pPr>
        <w:pStyle w:val="7"/>
        <w:shd w:val="clear"/>
        <w:snapToGrid w:val="0"/>
        <w:spacing w:line="360" w:lineRule="auto"/>
        <w:jc w:val="center"/>
        <w:rPr>
          <w:rFonts w:hint="eastAsia" w:ascii="微软雅黑" w:hAnsi="微软雅黑" w:eastAsia="微软雅黑" w:cs="微软雅黑"/>
          <w:color w:val="auto"/>
          <w:sz w:val="44"/>
          <w:highlight w:val="none"/>
          <w:lang w:eastAsia="zh-CN"/>
        </w:rPr>
      </w:pPr>
      <w:r>
        <w:rPr>
          <w:rFonts w:hint="eastAsia" w:ascii="微软雅黑" w:hAnsi="微软雅黑" w:eastAsia="微软雅黑" w:cs="微软雅黑"/>
          <w:color w:val="auto"/>
          <w:sz w:val="44"/>
          <w:highlight w:val="none"/>
          <w:lang w:eastAsia="zh-CN"/>
        </w:rPr>
        <w:t>南京普诚工程咨询管理有限公司</w:t>
      </w:r>
    </w:p>
    <w:p w14:paraId="6E37E9EE">
      <w:pPr>
        <w:pStyle w:val="7"/>
        <w:shd w:val="clear"/>
        <w:snapToGrid w:val="0"/>
        <w:spacing w:line="360" w:lineRule="auto"/>
        <w:jc w:val="center"/>
        <w:rPr>
          <w:rFonts w:hint="eastAsia" w:ascii="微软雅黑" w:hAnsi="微软雅黑" w:eastAsia="微软雅黑" w:cs="微软雅黑"/>
          <w:color w:val="auto"/>
          <w:sz w:val="44"/>
          <w:highlight w:val="none"/>
        </w:rPr>
      </w:pPr>
      <w:r>
        <w:rPr>
          <w:rFonts w:hint="eastAsia" w:ascii="微软雅黑" w:hAnsi="微软雅黑" w:eastAsia="微软雅黑" w:cs="微软雅黑"/>
          <w:color w:val="auto"/>
          <w:sz w:val="44"/>
          <w:highlight w:val="none"/>
        </w:rPr>
        <w:t>二〇二</w:t>
      </w:r>
      <w:r>
        <w:rPr>
          <w:rFonts w:hint="eastAsia" w:ascii="微软雅黑" w:hAnsi="微软雅黑" w:eastAsia="微软雅黑" w:cs="微软雅黑"/>
          <w:color w:val="auto"/>
          <w:sz w:val="44"/>
          <w:highlight w:val="none"/>
          <w:lang w:val="en-US" w:eastAsia="zh-CN"/>
        </w:rPr>
        <w:t>六</w:t>
      </w:r>
      <w:r>
        <w:rPr>
          <w:rFonts w:hint="eastAsia" w:ascii="微软雅黑" w:hAnsi="微软雅黑" w:eastAsia="微软雅黑" w:cs="微软雅黑"/>
          <w:color w:val="auto"/>
          <w:sz w:val="44"/>
          <w:highlight w:val="none"/>
        </w:rPr>
        <w:t>年</w:t>
      </w:r>
      <w:r>
        <w:rPr>
          <w:rFonts w:hint="eastAsia" w:ascii="微软雅黑" w:hAnsi="微软雅黑" w:eastAsia="微软雅黑" w:cs="微软雅黑"/>
          <w:color w:val="auto"/>
          <w:sz w:val="44"/>
          <w:highlight w:val="none"/>
          <w:lang w:val="en-US" w:eastAsia="zh-CN"/>
        </w:rPr>
        <w:t>三</w:t>
      </w:r>
      <w:r>
        <w:rPr>
          <w:rFonts w:hint="eastAsia" w:ascii="微软雅黑" w:hAnsi="微软雅黑" w:eastAsia="微软雅黑" w:cs="微软雅黑"/>
          <w:color w:val="auto"/>
          <w:sz w:val="44"/>
          <w:highlight w:val="none"/>
        </w:rPr>
        <w:t>月</w:t>
      </w:r>
    </w:p>
    <w:p w14:paraId="173FA580">
      <w:pPr>
        <w:pStyle w:val="27"/>
        <w:ind w:left="0" w:leftChars="0" w:firstLine="0" w:firstLineChars="0"/>
        <w:rPr>
          <w:rFonts w:hint="eastAsia" w:ascii="微软雅黑" w:hAnsi="微软雅黑" w:eastAsia="微软雅黑" w:cs="微软雅黑"/>
          <w:color w:val="auto"/>
          <w:sz w:val="44"/>
          <w:highlight w:val="none"/>
        </w:rPr>
      </w:pPr>
    </w:p>
    <w:p w14:paraId="4C41B415">
      <w:pPr>
        <w:pStyle w:val="27"/>
        <w:ind w:left="0" w:leftChars="0" w:firstLine="0" w:firstLineChars="0"/>
        <w:rPr>
          <w:rFonts w:hint="eastAsia" w:ascii="微软雅黑" w:hAnsi="微软雅黑" w:eastAsia="微软雅黑" w:cs="微软雅黑"/>
          <w:color w:val="auto"/>
          <w:sz w:val="44"/>
          <w:highlight w:val="none"/>
        </w:rPr>
      </w:pPr>
    </w:p>
    <w:sdt>
      <w:sdtPr>
        <w:rPr>
          <w:rFonts w:ascii="宋体" w:hAnsi="宋体" w:eastAsia="宋体" w:cs="宋体"/>
          <w:color w:val="auto"/>
          <w:sz w:val="21"/>
          <w:szCs w:val="22"/>
          <w:highlight w:val="none"/>
          <w:lang w:val="zh-CN" w:eastAsia="zh-CN" w:bidi="zh-CN"/>
        </w:rPr>
        <w:id w:val="147461538"/>
        <w15:color w:val="DBDBDB"/>
        <w:docPartObj>
          <w:docPartGallery w:val="Table of Contents"/>
          <w:docPartUnique/>
        </w:docPartObj>
      </w:sdtPr>
      <w:sdtEndPr>
        <w:rPr>
          <w:rFonts w:hint="eastAsia" w:ascii="微软雅黑" w:hAnsi="微软雅黑" w:eastAsia="微软雅黑" w:cs="微软雅黑"/>
          <w:color w:val="auto"/>
          <w:sz w:val="22"/>
          <w:szCs w:val="22"/>
          <w:highlight w:val="none"/>
          <w:lang w:val="zh-CN" w:eastAsia="zh-CN" w:bidi="zh-CN"/>
        </w:rPr>
      </w:sdtEndPr>
      <w:sdtContent>
        <w:p w14:paraId="2435BD63">
          <w:pPr>
            <w:shd w:val="clear"/>
            <w:spacing w:before="0" w:beforeLines="0" w:after="0" w:afterLines="0" w:line="240" w:lineRule="auto"/>
            <w:ind w:left="0" w:leftChars="0" w:right="0" w:rightChars="0" w:firstLine="0" w:firstLineChars="0"/>
            <w:jc w:val="center"/>
            <w:rPr>
              <w:rFonts w:hint="eastAsia" w:ascii="微软雅黑" w:hAnsi="微软雅黑" w:eastAsia="微软雅黑" w:cs="微软雅黑"/>
              <w:color w:val="auto"/>
              <w:sz w:val="32"/>
              <w:szCs w:val="32"/>
              <w:highlight w:val="none"/>
            </w:rPr>
          </w:pPr>
          <w:bookmarkStart w:id="0" w:name="第一章_投标邀请"/>
          <w:bookmarkEnd w:id="0"/>
          <w:r>
            <w:rPr>
              <w:rFonts w:hint="eastAsia" w:ascii="微软雅黑" w:hAnsi="微软雅黑" w:eastAsia="微软雅黑" w:cs="微软雅黑"/>
              <w:color w:val="auto"/>
              <w:sz w:val="32"/>
              <w:szCs w:val="32"/>
              <w:highlight w:val="none"/>
            </w:rPr>
            <w:t>目录</w:t>
          </w:r>
        </w:p>
        <w:p w14:paraId="03EFCBBC">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highlight w:val="none"/>
            </w:rPr>
            <w:fldChar w:fldCharType="begin"/>
          </w:r>
          <w:r>
            <w:rPr>
              <w:rFonts w:hint="eastAsia" w:ascii="微软雅黑" w:hAnsi="微软雅黑" w:eastAsia="微软雅黑" w:cs="微软雅黑"/>
              <w:color w:val="auto"/>
              <w:highlight w:val="none"/>
            </w:rPr>
            <w:instrText xml:space="preserve">TOC \o "1-3" \h \u </w:instrText>
          </w:r>
          <w:r>
            <w:rPr>
              <w:rFonts w:hint="eastAsia" w:ascii="微软雅黑" w:hAnsi="微软雅黑" w:eastAsia="微软雅黑" w:cs="微软雅黑"/>
              <w:color w:val="auto"/>
              <w:highlight w:val="none"/>
            </w:rPr>
            <w:fldChar w:fldCharType="separate"/>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_Toc18253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第一章 投标邀请</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_Toc18253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3</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4C6F3537">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_Toc6047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一、项目基本情况</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_Toc6047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3</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2EDA51BC">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_Toc4024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二、申请人的资格要求：</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_Toc4024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3</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5B9C5883">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_Toc22000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三、获取招标文件</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_Toc22000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7B375AAF">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_Toc31405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四、提交投标文件截止时间、开标时间和地点</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_Toc31405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403690F9">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_Toc23929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五、公告期限</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_Toc23929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5F9323AE">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_Toc23674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六、其他补充事宜</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_Toc23674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646E9DFC">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_Toc23034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七、对本次招标提出询问，请按以下方式联系。</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_Toc23034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14E92D23">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_Toc24546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第二章 投标人须知</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_Toc24546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7</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6E9F9F18">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_Toc18723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第三章 评标方法和标准</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_Toc18723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19</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41D93600">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_Toc31206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第四章  采购需求</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_Toc31206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22</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1F43E900">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_Toc18875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第五章 南京市江宁区采购合同格式</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_Toc18875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22</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5C2A9679">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_Toc31954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第六章 投标书</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_Toc31954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39</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52847B2F">
          <w:pPr>
            <w:pStyle w:val="16"/>
            <w:shd w:val="clear"/>
            <w:tabs>
              <w:tab w:val="right" w:leader="dot" w:pos="9642"/>
            </w:tabs>
            <w:ind w:left="0" w:leftChars="0" w:firstLine="0" w:firstLineChars="0"/>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_Toc24824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附件一、投标申请及声明格式</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_Toc24824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45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5E0512A7">
          <w:pPr>
            <w:pStyle w:val="16"/>
            <w:shd w:val="clear"/>
            <w:tabs>
              <w:tab w:val="right" w:leader="dot" w:pos="9642"/>
            </w:tabs>
            <w:ind w:left="0" w:leftChars="0" w:firstLine="0" w:firstLineChars="0"/>
            <w:rPr>
              <w:color w:val="auto"/>
              <w:highlight w:val="none"/>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_Toc19640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附件二、法定代表人资格证明及授权委托书</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_Toc19640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46</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5EE4BA0B">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_Toc20365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附件三、开标一览表</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_Toc20365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47</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2F7C7A4E">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_Toc2240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附件四、投标分项报价表</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_Toc2240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48</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4295BB28">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_Toc7229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附件五、项目实施方案（格式自拟）</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_Toc7229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52</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20094B45">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_Toc26611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w:t>
          </w:r>
          <w:r>
            <w:rPr>
              <w:rFonts w:hint="eastAsia" w:ascii="微软雅黑" w:hAnsi="微软雅黑" w:eastAsia="微软雅黑" w:cs="微软雅黑"/>
              <w:color w:val="auto"/>
              <w:sz w:val="22"/>
              <w:szCs w:val="24"/>
              <w:highlight w:val="none"/>
              <w:lang w:val="en-US" w:eastAsia="zh-CN" w:bidi="zh-CN"/>
            </w:rPr>
            <w:t>六</w:t>
          </w:r>
          <w:r>
            <w:rPr>
              <w:rFonts w:hint="eastAsia" w:ascii="微软雅黑" w:hAnsi="微软雅黑" w:eastAsia="微软雅黑" w:cs="微软雅黑"/>
              <w:color w:val="auto"/>
              <w:sz w:val="22"/>
              <w:szCs w:val="24"/>
              <w:highlight w:val="none"/>
              <w:lang w:val="zh-CN" w:eastAsia="zh-CN" w:bidi="zh-CN"/>
            </w:rPr>
            <w:t>、拟投入本项目人员情况一览表</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_Toc26611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52</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0D89EE51">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_Toc15732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附件七、商务条款响应表</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_Toc15732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53</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0447B05D">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_Toc32689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附件八、技术条款偏离表</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_Toc32689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54</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7604425F">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_Toc14125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w:t>
          </w:r>
          <w:r>
            <w:rPr>
              <w:rFonts w:hint="eastAsia" w:ascii="微软雅黑" w:hAnsi="微软雅黑" w:eastAsia="微软雅黑" w:cs="微软雅黑"/>
              <w:color w:val="auto"/>
              <w:sz w:val="22"/>
              <w:szCs w:val="24"/>
              <w:highlight w:val="none"/>
              <w:lang w:val="en-US" w:eastAsia="zh-CN" w:bidi="zh-CN"/>
            </w:rPr>
            <w:t>九</w:t>
          </w:r>
          <w:r>
            <w:rPr>
              <w:rFonts w:hint="eastAsia" w:ascii="微软雅黑" w:hAnsi="微软雅黑" w:eastAsia="微软雅黑" w:cs="微软雅黑"/>
              <w:color w:val="auto"/>
              <w:sz w:val="22"/>
              <w:szCs w:val="24"/>
              <w:highlight w:val="none"/>
              <w:lang w:val="zh-CN" w:eastAsia="zh-CN" w:bidi="zh-CN"/>
            </w:rPr>
            <w:t>、中小企业声明函格式</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_Toc14125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55</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431DE5F4">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_Toc720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附件十、无重大违法记录声明格式</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_Toc720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56</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15393E2E">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_Toc17302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附件十</w:t>
          </w:r>
          <w:r>
            <w:rPr>
              <w:rFonts w:hint="eastAsia" w:ascii="微软雅黑" w:hAnsi="微软雅黑" w:eastAsia="微软雅黑" w:cs="微软雅黑"/>
              <w:color w:val="auto"/>
              <w:sz w:val="22"/>
              <w:szCs w:val="24"/>
              <w:highlight w:val="none"/>
              <w:lang w:val="en-US" w:eastAsia="zh-CN" w:bidi="zh-CN"/>
            </w:rPr>
            <w:t>一</w:t>
          </w:r>
          <w:r>
            <w:rPr>
              <w:rFonts w:hint="eastAsia" w:ascii="微软雅黑" w:hAnsi="微软雅黑" w:eastAsia="微软雅黑" w:cs="微软雅黑"/>
              <w:color w:val="auto"/>
              <w:sz w:val="22"/>
              <w:szCs w:val="24"/>
              <w:highlight w:val="none"/>
              <w:lang w:val="zh-CN" w:eastAsia="zh-CN" w:bidi="zh-CN"/>
            </w:rPr>
            <w:t>、具备履行合同所必需的设备和专业技术能力的书面声明</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_Toc17302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57</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09350E97">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_Toc26725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附件十</w:t>
          </w:r>
          <w:r>
            <w:rPr>
              <w:rFonts w:hint="eastAsia" w:ascii="微软雅黑" w:hAnsi="微软雅黑" w:eastAsia="微软雅黑" w:cs="微软雅黑"/>
              <w:color w:val="auto"/>
              <w:sz w:val="22"/>
              <w:szCs w:val="24"/>
              <w:highlight w:val="none"/>
              <w:lang w:val="en-US" w:eastAsia="zh-CN" w:bidi="zh-CN"/>
            </w:rPr>
            <w:t>二</w:t>
          </w:r>
          <w:r>
            <w:rPr>
              <w:rFonts w:hint="eastAsia" w:ascii="微软雅黑" w:hAnsi="微软雅黑" w:eastAsia="微软雅黑" w:cs="微软雅黑"/>
              <w:color w:val="auto"/>
              <w:sz w:val="22"/>
              <w:szCs w:val="24"/>
              <w:highlight w:val="none"/>
              <w:lang w:val="zh-CN" w:eastAsia="zh-CN" w:bidi="zh-CN"/>
            </w:rPr>
            <w:t>、残疾人福利性单位声明函</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_Toc26725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57</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6EB59323">
          <w:pPr>
            <w:pStyle w:val="15"/>
            <w:shd w:val="clear"/>
            <w:tabs>
              <w:tab w:val="right" w:leader="dot" w:pos="9642"/>
            </w:tabs>
            <w:rPr>
              <w:rFonts w:hint="eastAsia" w:ascii="微软雅黑" w:hAnsi="微软雅黑" w:eastAsia="微软雅黑" w:cs="微软雅黑"/>
              <w:color w:val="auto"/>
              <w:sz w:val="22"/>
              <w:szCs w:val="24"/>
              <w:highlight w:val="none"/>
              <w:lang w:val="zh-CN" w:eastAsia="zh-CN" w:bidi="zh-CN"/>
            </w:rPr>
          </w:pP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HYPERLINK \l _Toc3581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附件十</w:t>
          </w:r>
          <w:r>
            <w:rPr>
              <w:rFonts w:hint="eastAsia" w:ascii="微软雅黑" w:hAnsi="微软雅黑" w:eastAsia="微软雅黑" w:cs="微软雅黑"/>
              <w:color w:val="auto"/>
              <w:sz w:val="22"/>
              <w:szCs w:val="24"/>
              <w:highlight w:val="none"/>
              <w:lang w:val="en-US" w:eastAsia="zh-CN" w:bidi="zh-CN"/>
            </w:rPr>
            <w:t>三</w:t>
          </w:r>
          <w:r>
            <w:rPr>
              <w:rFonts w:hint="eastAsia" w:ascii="微软雅黑" w:hAnsi="微软雅黑" w:eastAsia="微软雅黑" w:cs="微软雅黑"/>
              <w:color w:val="auto"/>
              <w:sz w:val="22"/>
              <w:szCs w:val="24"/>
              <w:highlight w:val="none"/>
              <w:lang w:val="zh-CN" w:eastAsia="zh-CN" w:bidi="zh-CN"/>
            </w:rPr>
            <w:t>、南京市政府采购供应商信用记录表暨信用承诺书</w:t>
          </w:r>
          <w:r>
            <w:rPr>
              <w:rFonts w:hint="eastAsia" w:ascii="微软雅黑" w:hAnsi="微软雅黑" w:eastAsia="微软雅黑" w:cs="微软雅黑"/>
              <w:color w:val="auto"/>
              <w:sz w:val="22"/>
              <w:szCs w:val="24"/>
              <w:highlight w:val="none"/>
              <w:lang w:val="zh-CN" w:eastAsia="zh-CN" w:bidi="zh-CN"/>
            </w:rPr>
            <w:tab/>
          </w:r>
          <w:r>
            <w:rPr>
              <w:rFonts w:hint="eastAsia" w:ascii="微软雅黑" w:hAnsi="微软雅黑" w:eastAsia="微软雅黑" w:cs="微软雅黑"/>
              <w:color w:val="auto"/>
              <w:sz w:val="22"/>
              <w:szCs w:val="24"/>
              <w:highlight w:val="none"/>
              <w:lang w:val="zh-CN" w:eastAsia="zh-CN" w:bidi="zh-CN"/>
            </w:rPr>
            <w:fldChar w:fldCharType="begin"/>
          </w:r>
          <w:r>
            <w:rPr>
              <w:rFonts w:hint="eastAsia" w:ascii="微软雅黑" w:hAnsi="微软雅黑" w:eastAsia="微软雅黑" w:cs="微软雅黑"/>
              <w:color w:val="auto"/>
              <w:sz w:val="22"/>
              <w:szCs w:val="24"/>
              <w:highlight w:val="none"/>
              <w:lang w:val="zh-CN" w:eastAsia="zh-CN" w:bidi="zh-CN"/>
            </w:rPr>
            <w:instrText xml:space="preserve"> PAGEREF _Toc3581 \h </w:instrText>
          </w:r>
          <w:r>
            <w:rPr>
              <w:rFonts w:hint="eastAsia" w:ascii="微软雅黑" w:hAnsi="微软雅黑" w:eastAsia="微软雅黑" w:cs="微软雅黑"/>
              <w:color w:val="auto"/>
              <w:sz w:val="22"/>
              <w:szCs w:val="24"/>
              <w:highlight w:val="none"/>
              <w:lang w:val="zh-CN" w:eastAsia="zh-CN" w:bidi="zh-CN"/>
            </w:rPr>
            <w:fldChar w:fldCharType="separate"/>
          </w:r>
          <w:r>
            <w:rPr>
              <w:rFonts w:hint="eastAsia" w:ascii="微软雅黑" w:hAnsi="微软雅黑" w:eastAsia="微软雅黑" w:cs="微软雅黑"/>
              <w:color w:val="auto"/>
              <w:sz w:val="22"/>
              <w:szCs w:val="24"/>
              <w:highlight w:val="none"/>
              <w:lang w:val="zh-CN" w:eastAsia="zh-CN" w:bidi="zh-CN"/>
            </w:rPr>
            <w:t>58</w:t>
          </w:r>
          <w:r>
            <w:rPr>
              <w:rFonts w:hint="eastAsia" w:ascii="微软雅黑" w:hAnsi="微软雅黑" w:eastAsia="微软雅黑" w:cs="微软雅黑"/>
              <w:color w:val="auto"/>
              <w:sz w:val="22"/>
              <w:szCs w:val="24"/>
              <w:highlight w:val="none"/>
              <w:lang w:val="zh-CN" w:eastAsia="zh-CN" w:bidi="zh-CN"/>
            </w:rPr>
            <w:fldChar w:fldCharType="end"/>
          </w:r>
          <w:r>
            <w:rPr>
              <w:rFonts w:hint="eastAsia" w:ascii="微软雅黑" w:hAnsi="微软雅黑" w:eastAsia="微软雅黑" w:cs="微软雅黑"/>
              <w:color w:val="auto"/>
              <w:sz w:val="22"/>
              <w:szCs w:val="24"/>
              <w:highlight w:val="none"/>
              <w:lang w:val="zh-CN" w:eastAsia="zh-CN" w:bidi="zh-CN"/>
            </w:rPr>
            <w:fldChar w:fldCharType="end"/>
          </w:r>
        </w:p>
        <w:p w14:paraId="06D734D8">
          <w:pPr>
            <w:shd w:val="clear"/>
            <w:snapToGrid w:val="0"/>
            <w:spacing w:line="360" w:lineRule="auto"/>
            <w:rPr>
              <w:rFonts w:hint="eastAsia" w:ascii="微软雅黑" w:hAnsi="微软雅黑" w:eastAsia="微软雅黑" w:cs="微软雅黑"/>
              <w:color w:val="auto"/>
              <w:sz w:val="22"/>
              <w:szCs w:val="22"/>
              <w:highlight w:val="none"/>
              <w:lang w:val="zh-CN" w:eastAsia="zh-CN" w:bidi="zh-CN"/>
            </w:rPr>
          </w:pPr>
          <w:r>
            <w:rPr>
              <w:rFonts w:hint="eastAsia" w:ascii="微软雅黑" w:hAnsi="微软雅黑" w:eastAsia="微软雅黑" w:cs="微软雅黑"/>
              <w:color w:val="auto"/>
              <w:highlight w:val="none"/>
            </w:rPr>
            <w:fldChar w:fldCharType="end"/>
          </w:r>
        </w:p>
      </w:sdtContent>
    </w:sdt>
    <w:p w14:paraId="57B227E9">
      <w:pPr>
        <w:pStyle w:val="12"/>
        <w:shd w:val="clear"/>
        <w:rPr>
          <w:rFonts w:hint="eastAsia"/>
          <w:color w:val="auto"/>
          <w:highlight w:val="none"/>
        </w:rPr>
        <w:sectPr>
          <w:footerReference r:id="rId3" w:type="default"/>
          <w:pgSz w:w="11910" w:h="16840"/>
          <w:pgMar w:top="1338" w:right="1134" w:bottom="1179" w:left="1134" w:header="0" w:footer="992" w:gutter="0"/>
          <w:pgNumType w:start="1"/>
          <w:cols w:space="425" w:num="1"/>
        </w:sectPr>
      </w:pPr>
    </w:p>
    <w:p w14:paraId="7A067EEE">
      <w:pPr>
        <w:pStyle w:val="2"/>
        <w:shd w:val="clear"/>
        <w:snapToGrid w:val="0"/>
        <w:spacing w:before="0" w:line="360" w:lineRule="auto"/>
        <w:ind w:left="116"/>
        <w:rPr>
          <w:rFonts w:hint="eastAsia" w:ascii="微软雅黑" w:hAnsi="微软雅黑" w:eastAsia="微软雅黑" w:cs="微软雅黑"/>
          <w:color w:val="auto"/>
          <w:highlight w:val="none"/>
        </w:rPr>
      </w:pPr>
      <w:bookmarkStart w:id="1" w:name="_Toc18253"/>
      <w:r>
        <w:rPr>
          <w:rFonts w:hint="eastAsia" w:ascii="微软雅黑" w:hAnsi="微软雅黑" w:eastAsia="微软雅黑" w:cs="微软雅黑"/>
          <w:color w:val="auto"/>
          <w:highlight w:val="none"/>
        </w:rPr>
        <w:t>第一章 投标邀请</w:t>
      </w:r>
      <w:bookmarkEnd w:id="1"/>
    </w:p>
    <w:p w14:paraId="61758729">
      <w:pPr>
        <w:shd w:val="clear"/>
        <w:snapToGrid w:val="0"/>
        <w:spacing w:line="360" w:lineRule="auto"/>
        <w:ind w:left="119" w:right="21"/>
        <w:jc w:val="center"/>
        <w:rPr>
          <w:rFonts w:hint="eastAsia" w:ascii="微软雅黑" w:hAnsi="微软雅黑" w:eastAsia="微软雅黑" w:cs="微软雅黑"/>
          <w:b/>
          <w:color w:val="auto"/>
          <w:sz w:val="28"/>
          <w:highlight w:val="none"/>
        </w:rPr>
      </w:pPr>
      <w:r>
        <w:rPr>
          <w:rFonts w:hint="eastAsia" w:ascii="微软雅黑" w:hAnsi="微软雅黑" w:eastAsia="微软雅黑" w:cs="微软雅黑"/>
          <w:b/>
          <w:color w:val="auto"/>
          <w:sz w:val="28"/>
          <w:highlight w:val="none"/>
          <w:lang w:eastAsia="zh-CN"/>
        </w:rPr>
        <w:t>江宁区2026年度防空警报设施维护保养服务</w:t>
      </w:r>
      <w:r>
        <w:rPr>
          <w:rFonts w:hint="eastAsia" w:ascii="微软雅黑" w:hAnsi="微软雅黑" w:eastAsia="微软雅黑" w:cs="微软雅黑"/>
          <w:b/>
          <w:color w:val="auto"/>
          <w:sz w:val="28"/>
          <w:highlight w:val="none"/>
        </w:rPr>
        <w:t>招标公告</w:t>
      </w:r>
    </w:p>
    <w:p w14:paraId="4018982C">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rPr>
        <w:t>项目概况</w:t>
      </w:r>
    </w:p>
    <w:p w14:paraId="538B580F">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江宁区2026年度防空警报设施维护保养服务</w:t>
      </w:r>
      <w:r>
        <w:rPr>
          <w:rFonts w:hint="eastAsia" w:ascii="宋体" w:hAnsi="宋体" w:eastAsia="宋体" w:cs="宋体"/>
          <w:color w:val="auto"/>
          <w:sz w:val="24"/>
          <w:szCs w:val="24"/>
          <w:highlight w:val="none"/>
        </w:rPr>
        <w:t>招标项目的潜在投标人应在</w:t>
      </w:r>
      <w:r>
        <w:rPr>
          <w:rFonts w:hint="eastAsia" w:ascii="宋体" w:hAnsi="宋体" w:eastAsia="宋体" w:cs="宋体"/>
          <w:color w:val="auto"/>
          <w:sz w:val="24"/>
          <w:szCs w:val="24"/>
          <w:highlight w:val="none"/>
          <w:u w:val="single"/>
          <w:lang w:val="en-US" w:eastAsia="zh-CN"/>
        </w:rPr>
        <w:t>南京市江宁区科苑路108号B座107室</w:t>
      </w:r>
      <w:r>
        <w:rPr>
          <w:rFonts w:hint="eastAsia" w:ascii="宋体" w:hAnsi="宋体" w:eastAsia="宋体" w:cs="宋体"/>
          <w:color w:val="auto"/>
          <w:sz w:val="24"/>
          <w:szCs w:val="24"/>
          <w:highlight w:val="none"/>
        </w:rPr>
        <w:t>获取招标文件，并</w:t>
      </w:r>
      <w:r>
        <w:rPr>
          <w:rFonts w:hint="eastAsia" w:ascii="宋体" w:hAnsi="宋体" w:eastAsia="宋体" w:cs="宋体"/>
          <w:color w:val="auto"/>
          <w:sz w:val="24"/>
          <w:szCs w:val="24"/>
          <w:highlight w:val="none"/>
          <w:shd w:val="clear"/>
        </w:rPr>
        <w:t>于</w:t>
      </w:r>
      <w:r>
        <w:rPr>
          <w:rFonts w:hint="eastAsia" w:ascii="宋体" w:hAnsi="宋体" w:eastAsia="宋体" w:cs="宋体"/>
          <w:color w:val="auto"/>
          <w:sz w:val="24"/>
          <w:szCs w:val="24"/>
          <w:highlight w:val="none"/>
          <w:u w:val="single"/>
          <w:shd w:val="clear"/>
          <w:lang w:val="en-US" w:eastAsia="zh-CN"/>
        </w:rPr>
        <w:t xml:space="preserve">2026年 </w:t>
      </w:r>
      <w:r>
        <w:rPr>
          <w:rFonts w:hint="eastAsia" w:cs="宋体"/>
          <w:color w:val="auto"/>
          <w:sz w:val="24"/>
          <w:szCs w:val="24"/>
          <w:highlight w:val="none"/>
          <w:u w:val="single"/>
          <w:shd w:val="clear"/>
          <w:lang w:val="en-US" w:eastAsia="zh-CN"/>
        </w:rPr>
        <w:t>3</w:t>
      </w:r>
      <w:r>
        <w:rPr>
          <w:rFonts w:hint="eastAsia" w:ascii="宋体" w:hAnsi="宋体" w:eastAsia="宋体" w:cs="宋体"/>
          <w:color w:val="auto"/>
          <w:sz w:val="24"/>
          <w:szCs w:val="24"/>
          <w:highlight w:val="none"/>
          <w:u w:val="single"/>
          <w:shd w:val="clear"/>
          <w:lang w:val="en-US" w:eastAsia="zh-CN"/>
        </w:rPr>
        <w:t xml:space="preserve"> 月 </w:t>
      </w:r>
      <w:r>
        <w:rPr>
          <w:rFonts w:hint="eastAsia" w:cs="宋体"/>
          <w:color w:val="auto"/>
          <w:sz w:val="24"/>
          <w:szCs w:val="24"/>
          <w:highlight w:val="none"/>
          <w:u w:val="single"/>
          <w:shd w:val="clear"/>
          <w:lang w:val="en-US" w:eastAsia="zh-CN"/>
        </w:rPr>
        <w:t>31</w:t>
      </w:r>
      <w:r>
        <w:rPr>
          <w:rFonts w:hint="eastAsia" w:ascii="宋体" w:hAnsi="宋体" w:eastAsia="宋体" w:cs="宋体"/>
          <w:color w:val="auto"/>
          <w:sz w:val="24"/>
          <w:szCs w:val="24"/>
          <w:highlight w:val="none"/>
          <w:u w:val="single"/>
          <w:shd w:val="clear"/>
          <w:lang w:val="en-US" w:eastAsia="zh-CN"/>
        </w:rPr>
        <w:t xml:space="preserve"> 日</w:t>
      </w:r>
      <w:r>
        <w:rPr>
          <w:rFonts w:hint="eastAsia" w:ascii="宋体" w:hAnsi="宋体" w:eastAsia="宋体" w:cs="宋体"/>
          <w:color w:val="auto"/>
          <w:sz w:val="24"/>
          <w:szCs w:val="24"/>
          <w:highlight w:val="none"/>
          <w:u w:val="single"/>
          <w:shd w:val="clear"/>
          <w:lang w:val="en-US"/>
        </w:rPr>
        <w:t>14：</w:t>
      </w:r>
      <w:r>
        <w:rPr>
          <w:rFonts w:hint="eastAsia" w:cs="宋体"/>
          <w:color w:val="auto"/>
          <w:sz w:val="24"/>
          <w:szCs w:val="24"/>
          <w:highlight w:val="none"/>
          <w:u w:val="single"/>
          <w:shd w:val="clear"/>
          <w:lang w:val="en-US" w:eastAsia="zh-CN"/>
        </w:rPr>
        <w:t>3</w:t>
      </w:r>
      <w:r>
        <w:rPr>
          <w:rFonts w:hint="eastAsia" w:ascii="宋体" w:hAnsi="宋体" w:eastAsia="宋体" w:cs="宋体"/>
          <w:color w:val="auto"/>
          <w:sz w:val="24"/>
          <w:szCs w:val="24"/>
          <w:highlight w:val="none"/>
          <w:u w:val="single"/>
          <w:shd w:val="clear"/>
          <w:lang w:val="en-US"/>
        </w:rPr>
        <w:t>0</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rPr>
        <w:t>北京时间）前递交投标文件。</w:t>
      </w:r>
    </w:p>
    <w:p w14:paraId="16F41C52">
      <w:pPr>
        <w:pStyle w:val="3"/>
        <w:pageBreakBefore w:val="0"/>
        <w:shd w:val="clear"/>
        <w:kinsoku/>
        <w:wordWrap/>
        <w:overflowPunct/>
        <w:topLinePunct w:val="0"/>
        <w:bidi w:val="0"/>
        <w:adjustRightInd/>
        <w:snapToGrid w:val="0"/>
        <w:spacing w:before="0" w:after="0" w:line="360" w:lineRule="auto"/>
        <w:ind w:firstLine="480" w:firstLineChars="200"/>
        <w:textAlignment w:val="auto"/>
        <w:rPr>
          <w:rFonts w:hint="eastAsia" w:ascii="宋体" w:hAnsi="宋体" w:eastAsia="宋体" w:cs="宋体"/>
          <w:b w:val="0"/>
          <w:color w:val="auto"/>
          <w:sz w:val="24"/>
          <w:szCs w:val="24"/>
          <w:highlight w:val="none"/>
        </w:rPr>
      </w:pPr>
      <w:bookmarkStart w:id="2" w:name="_Toc28359079"/>
      <w:bookmarkStart w:id="3" w:name="_Toc35393790"/>
      <w:bookmarkStart w:id="4" w:name="_Toc28359002"/>
      <w:bookmarkStart w:id="5" w:name="_Toc35393621"/>
      <w:bookmarkStart w:id="6" w:name="_Toc6047"/>
      <w:bookmarkStart w:id="7" w:name="_Hlk24379207"/>
      <w:r>
        <w:rPr>
          <w:rFonts w:hint="eastAsia" w:ascii="宋体" w:hAnsi="宋体" w:eastAsia="宋体" w:cs="宋体"/>
          <w:b w:val="0"/>
          <w:color w:val="auto"/>
          <w:sz w:val="24"/>
          <w:szCs w:val="24"/>
          <w:highlight w:val="none"/>
        </w:rPr>
        <w:t>一、项目基本情况</w:t>
      </w:r>
      <w:bookmarkEnd w:id="2"/>
      <w:bookmarkEnd w:id="3"/>
      <w:bookmarkEnd w:id="4"/>
      <w:bookmarkEnd w:id="5"/>
      <w:bookmarkEnd w:id="6"/>
    </w:p>
    <w:p w14:paraId="0BBF764A">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r>
        <w:rPr>
          <w:rFonts w:hint="eastAsia" w:cs="宋体"/>
          <w:color w:val="auto"/>
          <w:sz w:val="24"/>
          <w:szCs w:val="24"/>
          <w:highlight w:val="none"/>
          <w:shd w:val="clear" w:color="auto" w:fill="FFFFFF"/>
          <w:lang w:eastAsia="zh-CN"/>
        </w:rPr>
        <w:t>NJPC-2026-0211</w:t>
      </w:r>
    </w:p>
    <w:p w14:paraId="66835757">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shd w:val="clear" w:color="auto" w:fill="FFFFFF"/>
          <w:lang w:eastAsia="zh-CN"/>
        </w:rPr>
        <w:t>江宁区2026年度防空警报设施维护保养服务</w:t>
      </w:r>
    </w:p>
    <w:bookmarkEnd w:id="7"/>
    <w:p w14:paraId="17ECCAC3">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采购预算：80万元</w:t>
      </w:r>
    </w:p>
    <w:p w14:paraId="546217EA">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最高限价：80万元（供应商报价超过最高限价作无效标处理）</w:t>
      </w:r>
    </w:p>
    <w:p w14:paraId="6F667AA7">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u w:val="single"/>
          <w:lang w:eastAsia="zh-CN"/>
        </w:rPr>
        <w:t>江宁区2026年度防空警报设施维护保养服务</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rPr>
        <w:t>详见招标文件。</w:t>
      </w:r>
    </w:p>
    <w:p w14:paraId="02BFE393">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合同履行期限：一年</w:t>
      </w:r>
    </w:p>
    <w:p w14:paraId="5A291D95">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本项目接受联合体投标。</w:t>
      </w:r>
    </w:p>
    <w:p w14:paraId="4176BC71">
      <w:pPr>
        <w:pStyle w:val="3"/>
        <w:pageBreakBefore w:val="0"/>
        <w:shd w:val="clear"/>
        <w:kinsoku/>
        <w:wordWrap/>
        <w:overflowPunct/>
        <w:topLinePunct w:val="0"/>
        <w:bidi w:val="0"/>
        <w:adjustRightInd/>
        <w:snapToGrid w:val="0"/>
        <w:spacing w:before="0" w:after="0" w:line="360" w:lineRule="auto"/>
        <w:ind w:firstLine="480" w:firstLineChars="200"/>
        <w:jc w:val="left"/>
        <w:textAlignment w:val="auto"/>
        <w:rPr>
          <w:rFonts w:hint="eastAsia" w:ascii="宋体" w:hAnsi="宋体" w:eastAsia="宋体" w:cs="宋体"/>
          <w:b w:val="0"/>
          <w:color w:val="auto"/>
          <w:sz w:val="24"/>
          <w:szCs w:val="24"/>
          <w:highlight w:val="none"/>
        </w:rPr>
      </w:pPr>
      <w:bookmarkStart w:id="8" w:name="_Toc28359003"/>
      <w:bookmarkStart w:id="9" w:name="_Toc35393622"/>
      <w:bookmarkStart w:id="10" w:name="_Toc35393791"/>
      <w:bookmarkStart w:id="11" w:name="_Toc28359080"/>
      <w:bookmarkStart w:id="12" w:name="_Toc4024"/>
      <w:r>
        <w:rPr>
          <w:rFonts w:hint="eastAsia" w:ascii="宋体" w:hAnsi="宋体" w:eastAsia="宋体" w:cs="宋体"/>
          <w:b w:val="0"/>
          <w:color w:val="auto"/>
          <w:sz w:val="24"/>
          <w:szCs w:val="24"/>
          <w:highlight w:val="none"/>
        </w:rPr>
        <w:t>二、申请人的资格要求：</w:t>
      </w:r>
      <w:bookmarkEnd w:id="8"/>
      <w:bookmarkEnd w:id="9"/>
      <w:bookmarkEnd w:id="10"/>
      <w:bookmarkEnd w:id="11"/>
      <w:bookmarkEnd w:id="12"/>
    </w:p>
    <w:p w14:paraId="5BD47A86">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bookmarkStart w:id="13" w:name="_Toc35393792"/>
      <w:bookmarkStart w:id="14" w:name="_Toc28359004"/>
      <w:bookmarkStart w:id="15" w:name="_Toc28359081"/>
      <w:bookmarkStart w:id="16" w:name="_Toc35393623"/>
      <w:r>
        <w:rPr>
          <w:rFonts w:hint="eastAsia" w:ascii="宋体" w:hAnsi="宋体" w:eastAsia="宋体" w:cs="宋体"/>
          <w:color w:val="auto"/>
          <w:kern w:val="2"/>
          <w:sz w:val="24"/>
          <w:szCs w:val="24"/>
          <w:highlight w:val="none"/>
        </w:rPr>
        <w:t>2.1《中华人民共和国政府采购法》规定的条件:</w:t>
      </w:r>
    </w:p>
    <w:p w14:paraId="7B32331D">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（1）具有独立承担民事责任的能力（提供法人或者其他组织的营业执照等证明材料，自然人的身份证明）；</w:t>
      </w:r>
    </w:p>
    <w:p w14:paraId="26188FC0">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（2）具有良好的商业信誉和健全的财务会计制度（提供参加本次政府采购活动前的会计报表,成立不满一个月不需提供）；</w:t>
      </w:r>
    </w:p>
    <w:p w14:paraId="1F355D50">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（3）具有履行合同所必需的设备和专业技术能力（根据项目需求提供履行合同所必需的设备和专业技术能力的声明或证明材料）；</w:t>
      </w:r>
    </w:p>
    <w:p w14:paraId="683793AE">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（4）有依法缴纳税收和社会保障资金的良好记录（提供参加本次政府采购活动前半年内（至少一个月）依法缴纳税收和社会保障资金的相关资料）；</w:t>
      </w:r>
    </w:p>
    <w:p w14:paraId="1E81B935">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（5）参加政府采购活动前三年内，在经营活动中没有重大违法记录（提供参加本次政府采购活动前3年内在经营活动中没有重大违法记录的书面声明）；</w:t>
      </w:r>
    </w:p>
    <w:p w14:paraId="58A83E6F">
      <w:pPr>
        <w:pStyle w:val="17"/>
        <w:pageBreakBefore w:val="0"/>
        <w:widowControl/>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（6）法律、行政法规规定的其他条件。</w:t>
      </w:r>
    </w:p>
    <w:p w14:paraId="586327B4">
      <w:pPr>
        <w:pStyle w:val="43"/>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备注：依据南京市财政局“关于在政府采购中推行信用承诺制的通知”，采购供应商只需在资格审查环节提供满足相应条件的书面承诺书（信用承诺书格式见附件），不再需要提供证明材料。供应商在中标（成交）后，应按采购文件要求，将由信用承诺书替代的证明材料提交采购人或采购代理机构核验。经核验无误后，由采购人或采购代理机构发出中标（成交）通知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1、不适用信用承诺的情形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（一）供应商被列入严重失信主体名单；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）被相关监管部门作出行政处罚且尚在处罚有效期内；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）其他法律、行政法规规定的不适用信用承诺的情形。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2、违反信用承诺的法律责任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供应商对信用承诺内容的真实性、合法性、有效性负责。如作出虚假信用承诺，视同为提供虚假材料谋取中标、成交”的违法行为。经调查核实后，按照《政府采购法》第七</w:t>
      </w:r>
      <w:r>
        <w:rPr>
          <w:rFonts w:hint="eastAsia" w:ascii="宋体" w:hAnsi="宋体" w:eastAsia="宋体" w:cs="宋体"/>
          <w:color w:val="auto"/>
          <w:sz w:val="24"/>
          <w:szCs w:val="24"/>
          <w:highlight w:val="none"/>
          <w:lang w:val="en-US" w:eastAsia="zh-CN"/>
        </w:rPr>
        <w:t>十</w:t>
      </w:r>
      <w:r>
        <w:rPr>
          <w:rFonts w:hint="eastAsia" w:ascii="宋体" w:hAnsi="宋体" w:eastAsia="宋体" w:cs="宋体"/>
          <w:color w:val="auto"/>
          <w:sz w:val="24"/>
          <w:szCs w:val="24"/>
          <w:highlight w:val="none"/>
        </w:rPr>
        <w:t>七条规定，处以采购金额千分之五以上千分之十以下的罚款，列入不良行为记录名单，在一至三年内禁止参加采购活动；有违法所得的, 并处没收违法所得，情节严重的，由市场监管部门吊销营业执照; 构成犯罪的，依法追究刑事责任。</w:t>
      </w:r>
    </w:p>
    <w:p w14:paraId="1AA0C4A4">
      <w:pPr>
        <w:pStyle w:val="17"/>
        <w:pageBreakBefore w:val="0"/>
        <w:widowControl/>
        <w:shd w:val="clear"/>
        <w:kinsoku/>
        <w:wordWrap/>
        <w:overflowPunct/>
        <w:topLinePunct w:val="0"/>
        <w:bidi w:val="0"/>
        <w:adjustRightInd/>
        <w:snapToGrid w:val="0"/>
        <w:spacing w:line="360" w:lineRule="auto"/>
        <w:ind w:left="0" w:leftChars="0" w:firstLine="480" w:firstLineChars="20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2.2 采购人根据采购项目的特殊要求规定的特定条件：</w:t>
      </w:r>
      <w:r>
        <w:rPr>
          <w:rFonts w:hint="eastAsia" w:ascii="宋体" w:hAnsi="宋体" w:eastAsia="宋体" w:cs="宋体"/>
          <w:color w:val="auto"/>
          <w:kern w:val="2"/>
          <w:sz w:val="24"/>
          <w:szCs w:val="24"/>
          <w:highlight w:val="none"/>
          <w:lang w:val="en-US" w:eastAsia="zh-CN"/>
        </w:rPr>
        <w:t>无</w:t>
      </w:r>
    </w:p>
    <w:p w14:paraId="2606B675">
      <w:pPr>
        <w:pStyle w:val="17"/>
        <w:pageBreakBefore w:val="0"/>
        <w:widowControl/>
        <w:shd w:val="clear"/>
        <w:kinsoku/>
        <w:wordWrap/>
        <w:overflowPunct/>
        <w:topLinePunct w:val="0"/>
        <w:bidi w:val="0"/>
        <w:adjustRightInd/>
        <w:snapToGrid w:val="0"/>
        <w:spacing w:line="360" w:lineRule="auto"/>
        <w:ind w:left="0" w:leftChars="0"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2.3 拒绝下述供应商参加本次采购活动：</w:t>
      </w:r>
    </w:p>
    <w:p w14:paraId="78510526">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）供应商单位负责人为同一人或者存在直接控股、管理关系的不同供应商，不得参加同一合同项下的采购活动。</w:t>
      </w:r>
    </w:p>
    <w:p w14:paraId="5DD3AEC1">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rPr>
        <w:t>）凡为采购项目提供整体设计、规范编制或者项目管理、监理、检测等服务的供应商，不得再参加本项目的采购活动。</w:t>
      </w:r>
    </w:p>
    <w:p w14:paraId="7FDFCE94">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）供应商被“信用中国”网站、“中国政府采购网</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列入失信被执行人、重大税收违法案件当事人名单、政府采购严重违法失信行为记录名单。</w:t>
      </w:r>
    </w:p>
    <w:p w14:paraId="5A22B387">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2.4 南京市政府采购供应商信用记录表暨信用承诺书</w:t>
      </w:r>
    </w:p>
    <w:p w14:paraId="675BB60B">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凡在南京地区参加采购活动的供应商，在参加采购活动前应当在“南京政府采购供应商诚信档案管理系统”内进行注册登记。供应商应在递交投标（响应）文件的同时，提交供应商诚信档案管理系统中在线打印的《南京市政府采购供应商信用记录表暨信用承诺书》，经法定代表人签名盖章后作为投标（响应）文件的组成部分提交给采购代理机构或采购人。</w:t>
      </w:r>
    </w:p>
    <w:p w14:paraId="124C70E5">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供应商诚信档案注册登记，按以下程序进行：</w:t>
      </w:r>
    </w:p>
    <w:p w14:paraId="4F4761FF">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①登录“信用南京”或“南京公共采购信息网”网站， 点击“ 南京政府采购供应商诚信档案管理系统”，在用户登录界面点击“新用户注册”；</w:t>
      </w:r>
    </w:p>
    <w:p w14:paraId="31245A4D">
      <w:pPr>
        <w:pStyle w:val="17"/>
        <w:keepNext w:val="0"/>
        <w:keepLines w:val="0"/>
        <w:pageBreakBefore w:val="0"/>
        <w:widowControl/>
        <w:shd w:val="clear"/>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②在“新用户注册”界面，供应商自行设置用户名、登录密码，如实填写《南京市政府采购供应商诚信档案注册登记表》，并进行信用承诺确认后，提交注册申请；</w:t>
      </w:r>
    </w:p>
    <w:p w14:paraId="32C4121D">
      <w:pPr>
        <w:keepNext w:val="0"/>
        <w:keepLines w:val="0"/>
        <w:pageBreakBefore w:val="0"/>
        <w:shd w:val="clear"/>
        <w:kinsoku/>
        <w:wordWrap/>
        <w:overflowPunct/>
        <w:topLinePunct w:val="0"/>
        <w:autoSpaceDE w:val="0"/>
        <w:autoSpaceDN w:val="0"/>
        <w:bidi w:val="0"/>
        <w:adjustRightInd/>
        <w:snapToGrid w:val="0"/>
        <w:spacing w:before="0" w:after="0" w:line="360" w:lineRule="auto"/>
        <w:ind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③系统审核后，供应商即可登录系统进行相关功能操作。</w:t>
      </w:r>
    </w:p>
    <w:p w14:paraId="144FCB48">
      <w:pPr>
        <w:pStyle w:val="3"/>
        <w:pageBreakBefore w:val="0"/>
        <w:shd w:val="clear"/>
        <w:kinsoku/>
        <w:wordWrap/>
        <w:overflowPunct/>
        <w:topLinePunct w:val="0"/>
        <w:bidi w:val="0"/>
        <w:adjustRightInd/>
        <w:snapToGrid w:val="0"/>
        <w:spacing w:before="0" w:after="0" w:line="360" w:lineRule="auto"/>
        <w:ind w:firstLine="480" w:firstLineChars="200"/>
        <w:textAlignment w:val="auto"/>
        <w:rPr>
          <w:rFonts w:hint="eastAsia" w:ascii="宋体" w:hAnsi="宋体" w:eastAsia="宋体" w:cs="宋体"/>
          <w:b w:val="0"/>
          <w:color w:val="auto"/>
          <w:sz w:val="24"/>
          <w:szCs w:val="24"/>
          <w:highlight w:val="none"/>
        </w:rPr>
      </w:pPr>
      <w:bookmarkStart w:id="17" w:name="_Toc22000"/>
      <w:r>
        <w:rPr>
          <w:rFonts w:hint="eastAsia" w:ascii="宋体" w:hAnsi="宋体" w:eastAsia="宋体" w:cs="宋体"/>
          <w:b w:val="0"/>
          <w:color w:val="auto"/>
          <w:sz w:val="24"/>
          <w:szCs w:val="24"/>
          <w:highlight w:val="none"/>
        </w:rPr>
        <w:t>三、获取招标文件</w:t>
      </w:r>
      <w:bookmarkEnd w:id="13"/>
      <w:bookmarkEnd w:id="14"/>
      <w:bookmarkEnd w:id="15"/>
      <w:bookmarkEnd w:id="16"/>
      <w:bookmarkEnd w:id="17"/>
    </w:p>
    <w:p w14:paraId="42F275B7">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bookmarkStart w:id="18" w:name="_Toc28359082"/>
      <w:bookmarkStart w:id="19" w:name="_Toc28359005"/>
      <w:bookmarkStart w:id="20" w:name="_Toc35393624"/>
      <w:bookmarkStart w:id="21" w:name="_Toc35393793"/>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shd w:val="clear"/>
        </w:rPr>
        <w:t>间：</w:t>
      </w:r>
      <w:r>
        <w:rPr>
          <w:rFonts w:hint="eastAsia" w:ascii="宋体" w:hAnsi="宋体" w:eastAsia="宋体" w:cs="宋体"/>
          <w:color w:val="auto"/>
          <w:sz w:val="24"/>
          <w:szCs w:val="24"/>
          <w:highlight w:val="none"/>
          <w:u w:val="single"/>
          <w:shd w:val="clear"/>
          <w:lang w:val="en-US" w:eastAsia="zh-CN"/>
        </w:rPr>
        <w:t xml:space="preserve">2026年 </w:t>
      </w:r>
      <w:r>
        <w:rPr>
          <w:rFonts w:hint="eastAsia" w:cs="宋体"/>
          <w:color w:val="auto"/>
          <w:sz w:val="24"/>
          <w:szCs w:val="24"/>
          <w:highlight w:val="none"/>
          <w:u w:val="single"/>
          <w:shd w:val="clear"/>
          <w:lang w:val="en-US" w:eastAsia="zh-CN"/>
        </w:rPr>
        <w:t>3</w:t>
      </w:r>
      <w:r>
        <w:rPr>
          <w:rFonts w:hint="eastAsia" w:ascii="宋体" w:hAnsi="宋体" w:eastAsia="宋体" w:cs="宋体"/>
          <w:color w:val="auto"/>
          <w:sz w:val="24"/>
          <w:szCs w:val="24"/>
          <w:highlight w:val="none"/>
          <w:u w:val="single"/>
          <w:shd w:val="clear"/>
          <w:lang w:val="en-US" w:eastAsia="zh-CN"/>
        </w:rPr>
        <w:t xml:space="preserve"> 月 </w:t>
      </w:r>
      <w:r>
        <w:rPr>
          <w:rFonts w:hint="eastAsia" w:cs="宋体"/>
          <w:color w:val="auto"/>
          <w:sz w:val="24"/>
          <w:szCs w:val="24"/>
          <w:highlight w:val="none"/>
          <w:u w:val="single"/>
          <w:shd w:val="clear"/>
          <w:lang w:val="en-US" w:eastAsia="zh-CN"/>
        </w:rPr>
        <w:t>10</w:t>
      </w:r>
      <w:r>
        <w:rPr>
          <w:rFonts w:hint="eastAsia" w:ascii="宋体" w:hAnsi="宋体" w:eastAsia="宋体" w:cs="宋体"/>
          <w:color w:val="auto"/>
          <w:sz w:val="24"/>
          <w:szCs w:val="24"/>
          <w:highlight w:val="none"/>
          <w:u w:val="single"/>
          <w:shd w:val="clear"/>
          <w:lang w:val="en-US" w:eastAsia="zh-CN"/>
        </w:rPr>
        <w:t xml:space="preserve"> 日至2026年 </w:t>
      </w:r>
      <w:r>
        <w:rPr>
          <w:rFonts w:hint="eastAsia" w:cs="宋体"/>
          <w:color w:val="auto"/>
          <w:sz w:val="24"/>
          <w:szCs w:val="24"/>
          <w:highlight w:val="none"/>
          <w:u w:val="single"/>
          <w:shd w:val="clear"/>
          <w:lang w:val="en-US" w:eastAsia="zh-CN"/>
        </w:rPr>
        <w:t>3</w:t>
      </w:r>
      <w:r>
        <w:rPr>
          <w:rFonts w:hint="eastAsia" w:ascii="宋体" w:hAnsi="宋体" w:eastAsia="宋体" w:cs="宋体"/>
          <w:color w:val="auto"/>
          <w:sz w:val="24"/>
          <w:szCs w:val="24"/>
          <w:highlight w:val="none"/>
          <w:u w:val="single"/>
          <w:shd w:val="clear"/>
          <w:lang w:val="en-US" w:eastAsia="zh-CN"/>
        </w:rPr>
        <w:t xml:space="preserve"> 月 </w:t>
      </w:r>
      <w:r>
        <w:rPr>
          <w:rFonts w:hint="eastAsia" w:cs="宋体"/>
          <w:color w:val="auto"/>
          <w:sz w:val="24"/>
          <w:szCs w:val="24"/>
          <w:highlight w:val="none"/>
          <w:u w:val="single"/>
          <w:shd w:val="clear"/>
          <w:lang w:val="en-US" w:eastAsia="zh-CN"/>
        </w:rPr>
        <w:t>16</w:t>
      </w:r>
      <w:r>
        <w:rPr>
          <w:rFonts w:hint="eastAsia" w:ascii="宋体" w:hAnsi="宋体" w:eastAsia="宋体" w:cs="宋体"/>
          <w:color w:val="auto"/>
          <w:sz w:val="24"/>
          <w:szCs w:val="24"/>
          <w:highlight w:val="none"/>
          <w:u w:val="single"/>
          <w:shd w:val="clear"/>
          <w:lang w:val="en-US" w:eastAsia="zh-CN"/>
        </w:rPr>
        <w:t xml:space="preserve"> 日</w:t>
      </w:r>
      <w:r>
        <w:rPr>
          <w:rFonts w:hint="eastAsia" w:ascii="宋体" w:hAnsi="宋体" w:eastAsia="宋体" w:cs="宋体"/>
          <w:color w:val="auto"/>
          <w:sz w:val="24"/>
          <w:szCs w:val="24"/>
          <w:highlight w:val="none"/>
          <w:shd w:val="clear"/>
        </w:rPr>
        <w:t>，每天上</w:t>
      </w:r>
      <w:r>
        <w:rPr>
          <w:rFonts w:hint="eastAsia" w:ascii="宋体" w:hAnsi="宋体" w:eastAsia="宋体" w:cs="宋体"/>
          <w:color w:val="auto"/>
          <w:sz w:val="24"/>
          <w:szCs w:val="24"/>
          <w:highlight w:val="none"/>
        </w:rPr>
        <w:t>午</w:t>
      </w:r>
      <w:r>
        <w:rPr>
          <w:rFonts w:hint="eastAsia" w:ascii="宋体" w:hAnsi="宋体" w:eastAsia="宋体" w:cs="宋体"/>
          <w:color w:val="auto"/>
          <w:sz w:val="24"/>
          <w:szCs w:val="24"/>
          <w:highlight w:val="none"/>
          <w:u w:val="single"/>
          <w:lang w:val="en-US"/>
        </w:rPr>
        <w:t>9:00</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rPr>
        <w:t>11：30</w:t>
      </w:r>
      <w:r>
        <w:rPr>
          <w:rFonts w:hint="eastAsia" w:ascii="宋体" w:hAnsi="宋体" w:eastAsia="宋体" w:cs="宋体"/>
          <w:color w:val="auto"/>
          <w:sz w:val="24"/>
          <w:szCs w:val="24"/>
          <w:highlight w:val="none"/>
        </w:rPr>
        <w:t>，下午</w:t>
      </w:r>
      <w:r>
        <w:rPr>
          <w:rFonts w:hint="eastAsia" w:ascii="宋体" w:hAnsi="宋体" w:eastAsia="宋体" w:cs="宋体"/>
          <w:color w:val="auto"/>
          <w:sz w:val="24"/>
          <w:szCs w:val="24"/>
          <w:highlight w:val="none"/>
          <w:u w:val="single"/>
          <w:lang w:val="en-US"/>
        </w:rPr>
        <w:t>1</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lang w:val="en-US"/>
        </w:rPr>
        <w:t>:</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lang w:val="en-US"/>
        </w:rPr>
        <w:t>0</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rPr>
        <w:t>1</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lang w:val="en-US"/>
        </w:rPr>
        <w:t>:</w:t>
      </w:r>
      <w:r>
        <w:rPr>
          <w:rFonts w:hint="eastAsia" w:ascii="宋体" w:hAnsi="宋体" w:eastAsia="宋体" w:cs="宋体"/>
          <w:color w:val="auto"/>
          <w:sz w:val="24"/>
          <w:szCs w:val="24"/>
          <w:highlight w:val="none"/>
          <w:u w:val="single"/>
          <w:lang w:val="en-US" w:eastAsia="zh-CN"/>
        </w:rPr>
        <w:t>0</w:t>
      </w:r>
      <w:r>
        <w:rPr>
          <w:rFonts w:hint="eastAsia" w:ascii="宋体" w:hAnsi="宋体" w:eastAsia="宋体" w:cs="宋体"/>
          <w:color w:val="auto"/>
          <w:sz w:val="24"/>
          <w:szCs w:val="24"/>
          <w:highlight w:val="none"/>
          <w:u w:val="single"/>
          <w:lang w:val="en-US"/>
        </w:rPr>
        <w:t>0</w:t>
      </w:r>
      <w:r>
        <w:rPr>
          <w:rFonts w:hint="eastAsia" w:ascii="宋体" w:hAnsi="宋体" w:eastAsia="宋体" w:cs="宋体"/>
          <w:color w:val="auto"/>
          <w:sz w:val="24"/>
          <w:szCs w:val="24"/>
          <w:highlight w:val="none"/>
        </w:rPr>
        <w:t>（北京时间，法定节假日除外）</w:t>
      </w:r>
    </w:p>
    <w:p w14:paraId="3227D44B">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南京市江宁区科苑路108号B座107室</w:t>
      </w:r>
    </w:p>
    <w:p w14:paraId="431EF606">
      <w:pPr>
        <w:pageBreakBefore w:val="0"/>
        <w:numPr>
          <w:ilvl w:val="0"/>
          <w:numId w:val="0"/>
        </w:numPr>
        <w:shd w:val="clear"/>
        <w:kinsoku/>
        <w:wordWrap/>
        <w:overflowPunct/>
        <w:topLinePunct w:val="0"/>
        <w:bidi w:val="0"/>
        <w:adjustRightIn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报名</w:t>
      </w:r>
      <w:r>
        <w:rPr>
          <w:rFonts w:hint="eastAsia" w:ascii="宋体" w:hAnsi="宋体" w:eastAsia="宋体" w:cs="宋体"/>
          <w:color w:val="auto"/>
          <w:sz w:val="24"/>
          <w:szCs w:val="24"/>
          <w:highlight w:val="none"/>
        </w:rPr>
        <w:t>方式：</w:t>
      </w:r>
    </w:p>
    <w:p w14:paraId="3CC9E682">
      <w:pPr>
        <w:pageBreakBefore w:val="0"/>
        <w:numPr>
          <w:ilvl w:val="0"/>
          <w:numId w:val="0"/>
        </w:numPr>
        <w:shd w:val="clear"/>
        <w:kinsoku/>
        <w:wordWrap/>
        <w:overflowPunct/>
        <w:topLinePunct w:val="0"/>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场报名：投标申请人的法定代表人或其授权的委托代理人持个人有效身份证件原件及复印件加盖公章、单位授权委托书原件加盖公章、营业执照复印件加盖公章在南京荣大工程项目管理有限公司（南京市江宁区科苑路108号B座107室）获取磋商文件。</w:t>
      </w:r>
    </w:p>
    <w:p w14:paraId="7B91F2D2">
      <w:pPr>
        <w:pageBreakBefore w:val="0"/>
        <w:numPr>
          <w:ilvl w:val="0"/>
          <w:numId w:val="0"/>
        </w:numPr>
        <w:shd w:val="clear"/>
        <w:kinsoku/>
        <w:wordWrap/>
        <w:overflowPunct/>
        <w:topLinePunct w:val="0"/>
        <w:bidi w:val="0"/>
        <w:adjustRightInd/>
        <w:spacing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（2）网上报名：投标申请人的法定代表人或其授权的委托代理人的个人有效身份证件复印件加盖公章、单位授权委托书原件加盖公章、营业执照复印件加盖公章。扫描件发送至邮箱</w:t>
      </w:r>
      <w:r>
        <w:rPr>
          <w:rFonts w:hint="eastAsia" w:cs="宋体"/>
          <w:color w:val="auto"/>
          <w:sz w:val="24"/>
          <w:szCs w:val="24"/>
          <w:highlight w:val="none"/>
          <w:lang w:val="en-US" w:eastAsia="zh-CN"/>
        </w:rPr>
        <w:t>2122435892</w:t>
      </w:r>
      <w:r>
        <w:rPr>
          <w:rFonts w:hint="eastAsia" w:ascii="宋体" w:hAnsi="宋体" w:eastAsia="宋体" w:cs="宋体"/>
          <w:color w:val="auto"/>
          <w:sz w:val="24"/>
          <w:szCs w:val="24"/>
          <w:highlight w:val="none"/>
          <w:lang w:val="en-US" w:eastAsia="zh-CN"/>
        </w:rPr>
        <w:t>@qq.com,待工作人员审核资料通过后获取文件领取表，按要求填写。纸质</w:t>
      </w:r>
      <w:r>
        <w:rPr>
          <w:rFonts w:hint="eastAsia" w:cs="宋体"/>
          <w:color w:val="auto"/>
          <w:sz w:val="24"/>
          <w:szCs w:val="24"/>
          <w:highlight w:val="none"/>
          <w:lang w:val="en-US" w:eastAsia="zh-CN"/>
        </w:rPr>
        <w:t>报名资料</w:t>
      </w:r>
      <w:r>
        <w:rPr>
          <w:rFonts w:hint="eastAsia" w:ascii="宋体" w:hAnsi="宋体" w:eastAsia="宋体" w:cs="宋体"/>
          <w:color w:val="auto"/>
          <w:sz w:val="24"/>
          <w:szCs w:val="24"/>
          <w:highlight w:val="none"/>
          <w:lang w:val="en-US" w:eastAsia="zh-CN"/>
        </w:rPr>
        <w:t>文件邮寄至（地址：南京市江宁区科苑路108号B座107室，联系人：</w:t>
      </w:r>
      <w:r>
        <w:rPr>
          <w:rFonts w:hint="eastAsia" w:cs="宋体"/>
          <w:color w:val="auto"/>
          <w:sz w:val="24"/>
          <w:szCs w:val="24"/>
          <w:highlight w:val="none"/>
          <w:lang w:val="en-US" w:eastAsia="zh-CN"/>
        </w:rPr>
        <w:t>李</w:t>
      </w:r>
      <w:r>
        <w:rPr>
          <w:rFonts w:hint="eastAsia" w:ascii="宋体" w:hAnsi="宋体" w:eastAsia="宋体" w:cs="宋体"/>
          <w:color w:val="auto"/>
          <w:sz w:val="24"/>
          <w:szCs w:val="24"/>
          <w:highlight w:val="none"/>
          <w:lang w:val="en-US" w:eastAsia="zh-CN"/>
        </w:rPr>
        <w:t>工  联系电话：</w:t>
      </w:r>
      <w:r>
        <w:rPr>
          <w:rFonts w:hint="eastAsia" w:cs="宋体"/>
          <w:color w:val="auto"/>
          <w:sz w:val="24"/>
          <w:szCs w:val="24"/>
          <w:highlight w:val="none"/>
          <w:lang w:val="en-US" w:eastAsia="zh-CN"/>
        </w:rPr>
        <w:t>15189802335</w:t>
      </w:r>
      <w:r>
        <w:rPr>
          <w:rFonts w:hint="eastAsia" w:ascii="宋体" w:hAnsi="宋体" w:eastAsia="宋体" w:cs="宋体"/>
          <w:color w:val="auto"/>
          <w:sz w:val="24"/>
          <w:szCs w:val="24"/>
          <w:highlight w:val="none"/>
          <w:lang w:val="en-US" w:eastAsia="zh-CN"/>
        </w:rPr>
        <w:t>）。</w:t>
      </w:r>
    </w:p>
    <w:p w14:paraId="43614194">
      <w:pPr>
        <w:pStyle w:val="3"/>
        <w:pageBreakBefore w:val="0"/>
        <w:shd w:val="clear"/>
        <w:kinsoku/>
        <w:wordWrap/>
        <w:overflowPunct/>
        <w:topLinePunct w:val="0"/>
        <w:bidi w:val="0"/>
        <w:adjustRightInd/>
        <w:snapToGrid w:val="0"/>
        <w:spacing w:before="0" w:after="0" w:line="360" w:lineRule="auto"/>
        <w:ind w:firstLine="480" w:firstLineChars="200"/>
        <w:textAlignment w:val="auto"/>
        <w:rPr>
          <w:rFonts w:hint="eastAsia" w:ascii="宋体" w:hAnsi="宋体" w:eastAsia="宋体" w:cs="宋体"/>
          <w:b w:val="0"/>
          <w:color w:val="auto"/>
          <w:sz w:val="24"/>
          <w:szCs w:val="24"/>
          <w:highlight w:val="none"/>
        </w:rPr>
      </w:pPr>
      <w:bookmarkStart w:id="22" w:name="_Toc31405"/>
      <w:r>
        <w:rPr>
          <w:rFonts w:hint="eastAsia" w:ascii="宋体" w:hAnsi="宋体" w:eastAsia="宋体" w:cs="宋体"/>
          <w:b w:val="0"/>
          <w:color w:val="auto"/>
          <w:sz w:val="24"/>
          <w:szCs w:val="24"/>
          <w:highlight w:val="none"/>
        </w:rPr>
        <w:t>四、提交投标文件</w:t>
      </w:r>
      <w:bookmarkEnd w:id="18"/>
      <w:bookmarkEnd w:id="19"/>
      <w:r>
        <w:rPr>
          <w:rFonts w:hint="eastAsia" w:ascii="宋体" w:hAnsi="宋体" w:eastAsia="宋体" w:cs="宋体"/>
          <w:b w:val="0"/>
          <w:color w:val="auto"/>
          <w:sz w:val="24"/>
          <w:szCs w:val="24"/>
          <w:highlight w:val="none"/>
        </w:rPr>
        <w:t>截止时间、开标时间和地点</w:t>
      </w:r>
      <w:bookmarkEnd w:id="20"/>
      <w:bookmarkEnd w:id="21"/>
      <w:bookmarkEnd w:id="22"/>
    </w:p>
    <w:p w14:paraId="403094FC">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投标文件递交截止时间：</w:t>
      </w:r>
      <w:r>
        <w:rPr>
          <w:rFonts w:hint="eastAsia" w:ascii="宋体" w:hAnsi="宋体" w:eastAsia="宋体" w:cs="宋体"/>
          <w:color w:val="auto"/>
          <w:sz w:val="24"/>
          <w:szCs w:val="24"/>
          <w:highlight w:val="none"/>
          <w:u w:val="single"/>
          <w:lang w:val="en-US" w:eastAsia="zh-CN"/>
        </w:rPr>
        <w:t xml:space="preserve">2026年 </w:t>
      </w:r>
      <w:r>
        <w:rPr>
          <w:rFonts w:hint="eastAsia"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eastAsia="zh-CN"/>
        </w:rPr>
        <w:t xml:space="preserve">  月  </w:t>
      </w:r>
      <w:r>
        <w:rPr>
          <w:rFonts w:hint="eastAsia"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lang w:val="en-US" w:eastAsia="zh-CN"/>
        </w:rPr>
        <w:t xml:space="preserve"> 日</w:t>
      </w:r>
      <w:r>
        <w:rPr>
          <w:rFonts w:hint="eastAsia" w:ascii="宋体" w:hAnsi="宋体" w:eastAsia="宋体" w:cs="宋体"/>
          <w:color w:val="auto"/>
          <w:sz w:val="24"/>
          <w:szCs w:val="24"/>
          <w:highlight w:val="none"/>
          <w:u w:val="single"/>
          <w:lang w:val="en-US"/>
        </w:rPr>
        <w:t>14：</w:t>
      </w:r>
      <w:r>
        <w:rPr>
          <w:rFonts w:hint="eastAsia"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rPr>
        <w:t>0</w:t>
      </w:r>
    </w:p>
    <w:p w14:paraId="18E391A0">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开标时间：</w:t>
      </w:r>
      <w:r>
        <w:rPr>
          <w:rFonts w:hint="eastAsia" w:ascii="宋体" w:hAnsi="宋体" w:eastAsia="宋体" w:cs="宋体"/>
          <w:color w:val="auto"/>
          <w:sz w:val="24"/>
          <w:szCs w:val="24"/>
          <w:highlight w:val="none"/>
          <w:u w:val="single"/>
          <w:lang w:val="en-US" w:eastAsia="zh-CN"/>
        </w:rPr>
        <w:t>2026年</w:t>
      </w:r>
      <w:r>
        <w:rPr>
          <w:rFonts w:hint="eastAsia"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single"/>
          <w:lang w:val="en-US" w:eastAsia="zh-CN"/>
        </w:rPr>
        <w:t xml:space="preserve">月  </w:t>
      </w:r>
      <w:r>
        <w:rPr>
          <w:rFonts w:hint="eastAsia"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lang w:val="en-US" w:eastAsia="zh-CN"/>
        </w:rPr>
        <w:t xml:space="preserve"> 日</w:t>
      </w:r>
      <w:r>
        <w:rPr>
          <w:rFonts w:hint="eastAsia" w:ascii="宋体" w:hAnsi="宋体" w:eastAsia="宋体" w:cs="宋体"/>
          <w:color w:val="auto"/>
          <w:sz w:val="24"/>
          <w:szCs w:val="24"/>
          <w:highlight w:val="none"/>
          <w:u w:val="single"/>
          <w:lang w:val="en-US"/>
        </w:rPr>
        <w:t>14：</w:t>
      </w:r>
      <w:r>
        <w:rPr>
          <w:rFonts w:hint="eastAsia"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rPr>
        <w:t>0</w:t>
      </w:r>
    </w:p>
    <w:p w14:paraId="7EF5CD83">
      <w:pPr>
        <w:pageBreakBefore w:val="0"/>
        <w:shd w:val="clear"/>
        <w:kinsoku/>
        <w:wordWrap/>
        <w:overflowPunct/>
        <w:topLinePunct w:val="0"/>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lang w:val="en-US"/>
        </w:rPr>
        <w:t>递交投标文件和开标</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lang w:val="en-US" w:eastAsia="zh-CN"/>
        </w:rPr>
        <w:t>南京市江宁区科苑路108号B座107室</w:t>
      </w:r>
      <w:r>
        <w:rPr>
          <w:rFonts w:hint="eastAsia" w:ascii="宋体" w:hAnsi="宋体" w:eastAsia="宋体" w:cs="宋体"/>
          <w:color w:val="auto"/>
          <w:sz w:val="24"/>
          <w:szCs w:val="24"/>
          <w:highlight w:val="none"/>
          <w:u w:val="single"/>
          <w:lang w:val="en-US"/>
        </w:rPr>
        <w:t>。</w:t>
      </w:r>
    </w:p>
    <w:p w14:paraId="26897CA6">
      <w:pPr>
        <w:pStyle w:val="3"/>
        <w:shd w:val="clear"/>
        <w:snapToGrid w:val="0"/>
        <w:spacing w:before="0" w:after="0" w:line="360" w:lineRule="auto"/>
        <w:rPr>
          <w:rFonts w:hint="eastAsia" w:ascii="宋体" w:hAnsi="宋体" w:eastAsia="宋体" w:cs="宋体"/>
          <w:b w:val="0"/>
          <w:color w:val="auto"/>
          <w:sz w:val="24"/>
          <w:szCs w:val="24"/>
          <w:highlight w:val="none"/>
        </w:rPr>
      </w:pPr>
      <w:bookmarkStart w:id="23" w:name="_Toc28359007"/>
      <w:bookmarkStart w:id="24" w:name="_Toc23929"/>
      <w:bookmarkStart w:id="25" w:name="_Toc35393625"/>
      <w:bookmarkStart w:id="26" w:name="_Toc35393794"/>
      <w:bookmarkStart w:id="27" w:name="_Toc28359084"/>
      <w:r>
        <w:rPr>
          <w:rFonts w:hint="eastAsia" w:ascii="宋体" w:hAnsi="宋体" w:eastAsia="宋体" w:cs="宋体"/>
          <w:b w:val="0"/>
          <w:color w:val="auto"/>
          <w:sz w:val="24"/>
          <w:szCs w:val="24"/>
          <w:highlight w:val="none"/>
        </w:rPr>
        <w:t>五、公告期限</w:t>
      </w:r>
      <w:bookmarkEnd w:id="23"/>
      <w:bookmarkEnd w:id="24"/>
      <w:bookmarkEnd w:id="25"/>
      <w:bookmarkEnd w:id="26"/>
      <w:bookmarkEnd w:id="27"/>
    </w:p>
    <w:p w14:paraId="777614F7">
      <w:pPr>
        <w:shd w:val="clea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自本公告发布之日起5个工作日。</w:t>
      </w:r>
    </w:p>
    <w:p w14:paraId="45B18EC0">
      <w:pPr>
        <w:pStyle w:val="3"/>
        <w:shd w:val="clear"/>
        <w:snapToGrid w:val="0"/>
        <w:spacing w:before="0" w:after="0" w:line="360" w:lineRule="auto"/>
        <w:rPr>
          <w:rFonts w:hint="eastAsia" w:ascii="宋体" w:hAnsi="宋体" w:eastAsia="宋体" w:cs="宋体"/>
          <w:b w:val="0"/>
          <w:color w:val="auto"/>
          <w:sz w:val="24"/>
          <w:szCs w:val="24"/>
          <w:highlight w:val="none"/>
        </w:rPr>
      </w:pPr>
      <w:bookmarkStart w:id="28" w:name="_Toc35393795"/>
      <w:bookmarkStart w:id="29" w:name="_Toc35393626"/>
      <w:bookmarkStart w:id="30" w:name="_Toc23674"/>
      <w:r>
        <w:rPr>
          <w:rFonts w:hint="eastAsia" w:ascii="宋体" w:hAnsi="宋体" w:eastAsia="宋体" w:cs="宋体"/>
          <w:b w:val="0"/>
          <w:color w:val="auto"/>
          <w:sz w:val="24"/>
          <w:szCs w:val="24"/>
          <w:highlight w:val="none"/>
        </w:rPr>
        <w:t>六、其他补充事宜</w:t>
      </w:r>
      <w:bookmarkEnd w:id="28"/>
      <w:bookmarkEnd w:id="29"/>
      <w:bookmarkEnd w:id="30"/>
    </w:p>
    <w:p w14:paraId="22A0CF29">
      <w:pPr>
        <w:pStyle w:val="27"/>
        <w:shd w:val="clear"/>
        <w:snapToGrid w:val="0"/>
        <w:spacing w:line="360" w:lineRule="auto"/>
        <w:ind w:left="495" w:firstLine="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无</w:t>
      </w:r>
    </w:p>
    <w:p w14:paraId="06447BB6">
      <w:pPr>
        <w:pStyle w:val="3"/>
        <w:shd w:val="clear"/>
        <w:snapToGrid w:val="0"/>
        <w:spacing w:before="0" w:after="0" w:line="360" w:lineRule="auto"/>
        <w:rPr>
          <w:rFonts w:hint="eastAsia" w:ascii="宋体" w:hAnsi="宋体" w:eastAsia="宋体" w:cs="宋体"/>
          <w:b w:val="0"/>
          <w:color w:val="auto"/>
          <w:sz w:val="24"/>
          <w:szCs w:val="24"/>
          <w:highlight w:val="none"/>
        </w:rPr>
      </w:pPr>
      <w:bookmarkStart w:id="31" w:name="_Toc28359085"/>
      <w:bookmarkStart w:id="32" w:name="_Toc23034"/>
      <w:bookmarkStart w:id="33" w:name="_Toc28359008"/>
      <w:bookmarkStart w:id="34" w:name="_Toc35393627"/>
      <w:bookmarkStart w:id="35" w:name="_Toc35393796"/>
      <w:r>
        <w:rPr>
          <w:rFonts w:hint="eastAsia" w:ascii="宋体" w:hAnsi="宋体" w:eastAsia="宋体" w:cs="宋体"/>
          <w:b w:val="0"/>
          <w:color w:val="auto"/>
          <w:sz w:val="24"/>
          <w:szCs w:val="24"/>
          <w:highlight w:val="none"/>
        </w:rPr>
        <w:t>七、对本次招标提出询问，请按以下方式联系。</w:t>
      </w:r>
      <w:bookmarkEnd w:id="31"/>
      <w:bookmarkEnd w:id="32"/>
      <w:bookmarkEnd w:id="33"/>
      <w:bookmarkEnd w:id="34"/>
      <w:bookmarkEnd w:id="35"/>
    </w:p>
    <w:p w14:paraId="2D4578CB">
      <w:pPr>
        <w:keepNext w:val="0"/>
        <w:keepLines w:val="0"/>
        <w:pageBreakBefore w:val="0"/>
        <w:widowControl/>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6DD47785">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val="en-US" w:eastAsia="zh-CN"/>
        </w:rPr>
        <w:t>南京市江宁区发展和改革委员会</w:t>
      </w:r>
    </w:p>
    <w:p w14:paraId="04CB333E">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lang w:val="en-US" w:eastAsia="zh-CN"/>
        </w:rPr>
        <w:t>南京市江宁区</w:t>
      </w:r>
    </w:p>
    <w:p w14:paraId="7EAA3D18">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联系方式：</w:t>
      </w:r>
      <w:bookmarkStart w:id="36" w:name="_Toc28359086"/>
      <w:bookmarkStart w:id="37" w:name="_Toc28359009"/>
      <w:r>
        <w:rPr>
          <w:rFonts w:hint="eastAsia" w:ascii="宋体" w:hAnsi="宋体" w:eastAsia="宋体" w:cs="宋体"/>
          <w:color w:val="auto"/>
          <w:sz w:val="24"/>
          <w:szCs w:val="24"/>
          <w:highlight w:val="none"/>
        </w:rPr>
        <w:t>/</w:t>
      </w:r>
    </w:p>
    <w:p w14:paraId="74E712AB">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bookmarkEnd w:id="36"/>
      <w:bookmarkEnd w:id="37"/>
    </w:p>
    <w:p w14:paraId="7AE45A45">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val="en-US" w:eastAsia="zh-CN"/>
        </w:rPr>
        <w:t>南京普诚工程咨询管理有限公司</w:t>
      </w:r>
    </w:p>
    <w:p w14:paraId="4D8C31DD">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val="en-US" w:eastAsia="zh-CN"/>
        </w:rPr>
        <w:t>南京市江宁区科苑路108号B座107室</w:t>
      </w:r>
    </w:p>
    <w:p w14:paraId="34D812A5">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联系方式：</w:t>
      </w:r>
      <w:bookmarkStart w:id="38" w:name="_Toc28359010"/>
      <w:bookmarkStart w:id="39" w:name="_Toc28359087"/>
      <w:r>
        <w:rPr>
          <w:rFonts w:hint="eastAsia" w:ascii="宋体" w:hAnsi="宋体" w:eastAsia="宋体" w:cs="宋体"/>
          <w:color w:val="auto"/>
          <w:sz w:val="24"/>
          <w:szCs w:val="24"/>
          <w:highlight w:val="none"/>
          <w:u w:val="single"/>
          <w:lang w:eastAsia="zh-CN"/>
        </w:rPr>
        <w:t>15189802335</w:t>
      </w:r>
    </w:p>
    <w:p w14:paraId="3938F897">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rPr>
        <w:t>联系人：</w:t>
      </w:r>
      <w:r>
        <w:rPr>
          <w:rFonts w:hint="eastAsia" w:ascii="宋体" w:hAnsi="宋体" w:eastAsia="宋体" w:cs="宋体"/>
          <w:color w:val="auto"/>
          <w:sz w:val="24"/>
          <w:szCs w:val="24"/>
          <w:highlight w:val="none"/>
          <w:u w:val="single"/>
          <w:lang w:val="en-US"/>
        </w:rPr>
        <w:t>李工</w:t>
      </w:r>
    </w:p>
    <w:p w14:paraId="2B241940">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3.项目联系方式</w:t>
      </w:r>
      <w:bookmarkEnd w:id="38"/>
      <w:bookmarkEnd w:id="39"/>
    </w:p>
    <w:p w14:paraId="198DFF0F">
      <w:pPr>
        <w:pStyle w:val="11"/>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lang w:val="en-US" w:eastAsia="zh-CN"/>
        </w:rPr>
        <w:t>李工</w:t>
      </w:r>
    </w:p>
    <w:p w14:paraId="18050904">
      <w:pPr>
        <w:keepNext w:val="0"/>
        <w:keepLines w:val="0"/>
        <w:pageBreakBefore w:val="0"/>
        <w:shd w:val="clear"/>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微软雅黑" w:hAnsi="微软雅黑" w:eastAsia="微软雅黑" w:cs="微软雅黑"/>
          <w:color w:val="auto"/>
          <w:sz w:val="28"/>
          <w:szCs w:val="28"/>
          <w:highlight w:val="none"/>
          <w:u w:val="single"/>
          <w:lang w:eastAsia="zh-CN"/>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lang w:val="en-US" w:eastAsia="zh-CN"/>
        </w:rPr>
        <w:t>15189802335</w:t>
      </w:r>
    </w:p>
    <w:p w14:paraId="1D4333D1">
      <w:pPr>
        <w:pStyle w:val="17"/>
        <w:widowControl/>
        <w:shd w:val="clear"/>
        <w:snapToGrid w:val="0"/>
        <w:spacing w:line="360" w:lineRule="auto"/>
        <w:jc w:val="both"/>
        <w:rPr>
          <w:rFonts w:hint="eastAsia" w:ascii="微软雅黑" w:hAnsi="微软雅黑" w:eastAsia="微软雅黑" w:cs="微软雅黑"/>
          <w:color w:val="auto"/>
          <w:highlight w:val="none"/>
        </w:rPr>
      </w:pPr>
      <w:r>
        <w:rPr>
          <w:rFonts w:hint="eastAsia" w:ascii="微软雅黑" w:hAnsi="微软雅黑" w:eastAsia="微软雅黑" w:cs="微软雅黑"/>
          <w:color w:val="auto"/>
          <w:szCs w:val="24"/>
          <w:highlight w:val="none"/>
          <w:shd w:val="clear" w:color="auto" w:fill="FFFFFF"/>
        </w:rPr>
        <w:t> </w:t>
      </w:r>
    </w:p>
    <w:p w14:paraId="336CABA2">
      <w:pPr>
        <w:pStyle w:val="2"/>
        <w:shd w:val="clear"/>
        <w:snapToGrid w:val="0"/>
        <w:spacing w:before="0" w:line="360" w:lineRule="auto"/>
        <w:ind w:left="0"/>
        <w:rPr>
          <w:rFonts w:hint="eastAsia" w:ascii="微软雅黑" w:hAnsi="微软雅黑" w:eastAsia="微软雅黑" w:cs="微软雅黑"/>
          <w:color w:val="auto"/>
          <w:highlight w:val="none"/>
        </w:rPr>
      </w:pPr>
    </w:p>
    <w:p w14:paraId="70A80C11">
      <w:pPr>
        <w:pStyle w:val="2"/>
        <w:shd w:val="clear"/>
        <w:snapToGrid w:val="0"/>
        <w:spacing w:before="0" w:line="360" w:lineRule="auto"/>
        <w:ind w:left="0"/>
        <w:rPr>
          <w:rFonts w:hint="eastAsia" w:ascii="微软雅黑" w:hAnsi="微软雅黑" w:eastAsia="微软雅黑" w:cs="微软雅黑"/>
          <w:color w:val="auto"/>
          <w:highlight w:val="none"/>
        </w:rPr>
      </w:pPr>
    </w:p>
    <w:p w14:paraId="6D9E013A">
      <w:pPr>
        <w:pStyle w:val="2"/>
        <w:shd w:val="clear"/>
        <w:snapToGrid w:val="0"/>
        <w:spacing w:before="0" w:line="360" w:lineRule="auto"/>
        <w:ind w:left="0"/>
        <w:rPr>
          <w:rFonts w:hint="eastAsia" w:ascii="微软雅黑" w:hAnsi="微软雅黑" w:eastAsia="微软雅黑" w:cs="微软雅黑"/>
          <w:color w:val="auto"/>
          <w:highlight w:val="none"/>
        </w:rPr>
      </w:pPr>
    </w:p>
    <w:p w14:paraId="4BDD7236">
      <w:pPr>
        <w:pStyle w:val="2"/>
        <w:shd w:val="clear"/>
        <w:snapToGrid w:val="0"/>
        <w:spacing w:before="0" w:line="360" w:lineRule="auto"/>
        <w:ind w:left="0"/>
        <w:rPr>
          <w:rFonts w:hint="eastAsia" w:ascii="微软雅黑" w:hAnsi="微软雅黑" w:eastAsia="微软雅黑" w:cs="微软雅黑"/>
          <w:color w:val="auto"/>
          <w:highlight w:val="none"/>
        </w:rPr>
      </w:pPr>
      <w:bookmarkStart w:id="40" w:name="_Toc24546"/>
    </w:p>
    <w:p w14:paraId="350A5843">
      <w:pPr>
        <w:pStyle w:val="2"/>
        <w:shd w:val="clear"/>
        <w:snapToGrid w:val="0"/>
        <w:spacing w:before="0" w:line="360" w:lineRule="auto"/>
        <w:ind w:left="0"/>
        <w:rPr>
          <w:rFonts w:hint="eastAsia" w:ascii="微软雅黑" w:hAnsi="微软雅黑" w:eastAsia="微软雅黑" w:cs="微软雅黑"/>
          <w:color w:val="auto"/>
          <w:highlight w:val="none"/>
        </w:rPr>
      </w:pPr>
    </w:p>
    <w:p w14:paraId="7294DA7F">
      <w:pPr>
        <w:pStyle w:val="2"/>
        <w:shd w:val="clear"/>
        <w:snapToGrid w:val="0"/>
        <w:spacing w:before="0" w:line="360" w:lineRule="auto"/>
        <w:ind w:left="0"/>
        <w:rPr>
          <w:rFonts w:hint="eastAsia" w:ascii="微软雅黑" w:hAnsi="微软雅黑" w:eastAsia="微软雅黑" w:cs="微软雅黑"/>
          <w:color w:val="auto"/>
          <w:highlight w:val="none"/>
        </w:rPr>
      </w:pPr>
    </w:p>
    <w:p w14:paraId="1132C7DA">
      <w:pPr>
        <w:pStyle w:val="2"/>
        <w:shd w:val="clear"/>
        <w:snapToGrid w:val="0"/>
        <w:spacing w:before="0" w:line="360" w:lineRule="auto"/>
        <w:ind w:left="0"/>
        <w:rPr>
          <w:rFonts w:hint="eastAsia" w:ascii="微软雅黑" w:hAnsi="微软雅黑" w:eastAsia="微软雅黑" w:cs="微软雅黑"/>
          <w:color w:val="auto"/>
          <w:highlight w:val="none"/>
        </w:rPr>
      </w:pPr>
    </w:p>
    <w:p w14:paraId="0355D665">
      <w:pPr>
        <w:pStyle w:val="2"/>
        <w:shd w:val="clear"/>
        <w:snapToGrid w:val="0"/>
        <w:spacing w:before="0" w:line="360" w:lineRule="auto"/>
        <w:ind w:left="0"/>
        <w:rPr>
          <w:rFonts w:hint="eastAsia" w:ascii="微软雅黑" w:hAnsi="微软雅黑" w:eastAsia="微软雅黑" w:cs="微软雅黑"/>
          <w:color w:val="auto"/>
          <w:highlight w:val="none"/>
        </w:rPr>
      </w:pPr>
    </w:p>
    <w:p w14:paraId="5E142729">
      <w:pPr>
        <w:pStyle w:val="2"/>
        <w:shd w:val="clear"/>
        <w:snapToGrid w:val="0"/>
        <w:spacing w:before="0" w:line="360" w:lineRule="auto"/>
        <w:ind w:left="0"/>
        <w:rPr>
          <w:rFonts w:hint="eastAsia" w:ascii="微软雅黑" w:hAnsi="微软雅黑" w:eastAsia="微软雅黑" w:cs="微软雅黑"/>
          <w:color w:val="auto"/>
          <w:highlight w:val="none"/>
        </w:rPr>
      </w:pPr>
    </w:p>
    <w:p w14:paraId="0AF7EC9C">
      <w:pPr>
        <w:pStyle w:val="2"/>
        <w:shd w:val="clear"/>
        <w:snapToGrid w:val="0"/>
        <w:spacing w:before="0" w:line="360" w:lineRule="auto"/>
        <w:ind w:left="0"/>
        <w:rPr>
          <w:rFonts w:hint="eastAsia" w:ascii="微软雅黑" w:hAnsi="微软雅黑" w:eastAsia="微软雅黑" w:cs="微软雅黑"/>
          <w:color w:val="auto"/>
          <w:highlight w:val="none"/>
        </w:rPr>
      </w:pPr>
    </w:p>
    <w:p w14:paraId="32CD04D6">
      <w:pPr>
        <w:pStyle w:val="2"/>
        <w:shd w:val="clear"/>
        <w:snapToGrid w:val="0"/>
        <w:spacing w:before="0" w:line="360" w:lineRule="auto"/>
        <w:ind w:left="0"/>
        <w:rPr>
          <w:rFonts w:hint="eastAsia" w:ascii="微软雅黑" w:hAnsi="微软雅黑" w:eastAsia="微软雅黑" w:cs="微软雅黑"/>
          <w:color w:val="auto"/>
          <w:highlight w:val="none"/>
        </w:rPr>
      </w:pPr>
    </w:p>
    <w:p w14:paraId="68152E17">
      <w:pPr>
        <w:pStyle w:val="2"/>
        <w:shd w:val="clear"/>
        <w:snapToGrid w:val="0"/>
        <w:spacing w:before="0" w:line="360" w:lineRule="auto"/>
        <w:ind w:left="0"/>
        <w:rPr>
          <w:rFonts w:hint="eastAsia" w:ascii="微软雅黑" w:hAnsi="微软雅黑" w:eastAsia="微软雅黑" w:cs="微软雅黑"/>
          <w:color w:val="auto"/>
          <w:highlight w:val="none"/>
        </w:rPr>
      </w:pPr>
    </w:p>
    <w:p w14:paraId="3C2D9F25">
      <w:pPr>
        <w:pStyle w:val="2"/>
        <w:shd w:val="clear"/>
        <w:snapToGrid w:val="0"/>
        <w:spacing w:before="0" w:line="360" w:lineRule="auto"/>
        <w:ind w:left="0"/>
        <w:jc w:val="both"/>
        <w:rPr>
          <w:rFonts w:hint="eastAsia" w:ascii="微软雅黑" w:hAnsi="微软雅黑" w:eastAsia="微软雅黑" w:cs="微软雅黑"/>
          <w:color w:val="auto"/>
          <w:highlight w:val="none"/>
        </w:rPr>
      </w:pPr>
    </w:p>
    <w:p w14:paraId="40DDD529">
      <w:pPr>
        <w:pStyle w:val="2"/>
        <w:shd w:val="clear"/>
        <w:snapToGrid w:val="0"/>
        <w:spacing w:before="0" w:line="360" w:lineRule="auto"/>
        <w:ind w:left="0"/>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rPr>
        <w:t>第二章 投标人须知</w:t>
      </w:r>
      <w:bookmarkEnd w:id="40"/>
    </w:p>
    <w:p w14:paraId="33FC7904">
      <w:pPr>
        <w:shd w:val="clear"/>
        <w:snapToGrid w:val="0"/>
        <w:spacing w:line="360" w:lineRule="auto"/>
        <w:ind w:right="3"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color w:val="auto"/>
          <w:spacing w:val="-1"/>
          <w:sz w:val="24"/>
          <w:szCs w:val="24"/>
          <w:highlight w:val="none"/>
          <w:u w:val="single"/>
          <w:lang w:eastAsia="zh-CN"/>
        </w:rPr>
        <w:t>南京普诚工程咨询管理有限公司</w:t>
      </w:r>
      <w:r>
        <w:rPr>
          <w:rFonts w:hint="eastAsia" w:ascii="宋体" w:hAnsi="宋体" w:eastAsia="宋体" w:cs="宋体"/>
          <w:b/>
          <w:color w:val="auto"/>
          <w:spacing w:val="-1"/>
          <w:sz w:val="24"/>
          <w:szCs w:val="24"/>
          <w:highlight w:val="none"/>
        </w:rPr>
        <w:t xml:space="preserve"> </w:t>
      </w:r>
      <w:r>
        <w:rPr>
          <w:rFonts w:hint="eastAsia" w:ascii="宋体" w:hAnsi="宋体" w:eastAsia="宋体" w:cs="宋体"/>
          <w:color w:val="auto"/>
          <w:spacing w:val="-3"/>
          <w:sz w:val="24"/>
          <w:szCs w:val="24"/>
          <w:highlight w:val="none"/>
        </w:rPr>
        <w:t xml:space="preserve">受 </w:t>
      </w:r>
      <w:r>
        <w:rPr>
          <w:rFonts w:hint="eastAsia" w:ascii="宋体" w:hAnsi="宋体" w:eastAsia="宋体" w:cs="宋体"/>
          <w:b/>
          <w:color w:val="auto"/>
          <w:sz w:val="24"/>
          <w:szCs w:val="24"/>
          <w:highlight w:val="none"/>
          <w:u w:val="single"/>
          <w:lang w:eastAsia="zh-CN"/>
        </w:rPr>
        <w:t>南京市江宁区发展和改革委员会</w:t>
      </w:r>
      <w:r>
        <w:rPr>
          <w:rFonts w:hint="eastAsia" w:ascii="宋体" w:hAnsi="宋体" w:eastAsia="宋体" w:cs="宋体"/>
          <w:color w:val="auto"/>
          <w:sz w:val="24"/>
          <w:szCs w:val="24"/>
          <w:highlight w:val="none"/>
        </w:rPr>
        <w:t>委托，对其</w:t>
      </w:r>
      <w:r>
        <w:rPr>
          <w:rFonts w:hint="eastAsia" w:ascii="宋体" w:hAnsi="宋体" w:eastAsia="宋体" w:cs="宋体"/>
          <w:b/>
          <w:color w:val="auto"/>
          <w:sz w:val="24"/>
          <w:szCs w:val="24"/>
          <w:highlight w:val="none"/>
          <w:u w:val="single"/>
          <w:lang w:eastAsia="zh-CN"/>
        </w:rPr>
        <w:t>江宁区2026年度防空警报设施维护保养服务</w:t>
      </w:r>
      <w:r>
        <w:rPr>
          <w:rFonts w:hint="eastAsia" w:ascii="宋体" w:hAnsi="宋体" w:eastAsia="宋体" w:cs="宋体"/>
          <w:color w:val="auto"/>
          <w:sz w:val="24"/>
          <w:szCs w:val="24"/>
          <w:highlight w:val="none"/>
        </w:rPr>
        <w:t>进行公开招标，兹邀请符合条件的供应商参与投标，相关信息如下：</w:t>
      </w:r>
    </w:p>
    <w:tbl>
      <w:tblPr>
        <w:tblStyle w:val="20"/>
        <w:tblpPr w:leftFromText="180" w:rightFromText="180" w:vertAnchor="text" w:horzAnchor="page" w:tblpXSpec="center" w:tblpY="151"/>
        <w:tblOverlap w:val="never"/>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3"/>
        <w:gridCol w:w="903"/>
        <w:gridCol w:w="1084"/>
        <w:gridCol w:w="1626"/>
        <w:gridCol w:w="4824"/>
      </w:tblGrid>
      <w:tr w14:paraId="640B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046A7E07">
            <w:pPr>
              <w:pStyle w:val="29"/>
              <w:shd w:val="clear"/>
              <w:snapToGrid w:val="0"/>
              <w:ind w:left="129" w:right="121"/>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987" w:type="dxa"/>
            <w:gridSpan w:val="2"/>
            <w:vAlign w:val="center"/>
          </w:tcPr>
          <w:p w14:paraId="714D89F6">
            <w:pPr>
              <w:pStyle w:val="29"/>
              <w:shd w:val="clear"/>
              <w:tabs>
                <w:tab w:val="left" w:pos="428"/>
              </w:tabs>
              <w:snapToGrid w:val="0"/>
              <w:ind w:left="8"/>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w:t>
            </w:r>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t>目</w:t>
            </w:r>
          </w:p>
        </w:tc>
        <w:tc>
          <w:tcPr>
            <w:tcW w:w="6450" w:type="dxa"/>
            <w:gridSpan w:val="2"/>
            <w:vAlign w:val="center"/>
          </w:tcPr>
          <w:p w14:paraId="004663F4">
            <w:pPr>
              <w:pStyle w:val="29"/>
              <w:shd w:val="clear"/>
              <w:tabs>
                <w:tab w:val="left" w:pos="1168"/>
              </w:tabs>
              <w:snapToGrid w:val="0"/>
              <w:ind w:left="9"/>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w:t>
            </w:r>
            <w:r>
              <w:rPr>
                <w:rFonts w:hint="eastAsia" w:ascii="宋体" w:hAnsi="宋体" w:eastAsia="宋体" w:cs="宋体"/>
                <w:b/>
                <w:color w:val="auto"/>
                <w:sz w:val="24"/>
                <w:szCs w:val="24"/>
                <w:highlight w:val="none"/>
              </w:rPr>
              <w:tab/>
            </w:r>
            <w:r>
              <w:rPr>
                <w:rFonts w:hint="eastAsia" w:ascii="宋体" w:hAnsi="宋体" w:eastAsia="宋体" w:cs="宋体"/>
                <w:b/>
                <w:color w:val="auto"/>
                <w:sz w:val="24"/>
                <w:szCs w:val="24"/>
                <w:highlight w:val="none"/>
              </w:rPr>
              <w:t>容</w:t>
            </w:r>
          </w:p>
        </w:tc>
      </w:tr>
      <w:tr w14:paraId="389D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7F2B7AD5">
            <w:pPr>
              <w:pStyle w:val="29"/>
              <w:shd w:val="clear"/>
              <w:snapToGrid w:val="0"/>
              <w:ind w:left="9"/>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rPr>
              <w:t>1</w:t>
            </w:r>
          </w:p>
        </w:tc>
        <w:tc>
          <w:tcPr>
            <w:tcW w:w="1987" w:type="dxa"/>
            <w:gridSpan w:val="2"/>
            <w:vAlign w:val="center"/>
          </w:tcPr>
          <w:p w14:paraId="103A8B36">
            <w:pPr>
              <w:pStyle w:val="29"/>
              <w:shd w:val="clear"/>
              <w:snapToGrid w:val="0"/>
              <w:ind w:left="5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c>
        <w:tc>
          <w:tcPr>
            <w:tcW w:w="6450" w:type="dxa"/>
            <w:gridSpan w:val="2"/>
            <w:vAlign w:val="center"/>
          </w:tcPr>
          <w:p w14:paraId="01B9FAD5">
            <w:pPr>
              <w:pStyle w:val="29"/>
              <w:shd w:val="clear"/>
              <w:snapToGrid w:val="0"/>
              <w:ind w:left="107"/>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NJPC-2026-0211</w:t>
            </w:r>
          </w:p>
        </w:tc>
      </w:tr>
      <w:tr w14:paraId="3F75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3F81A66E">
            <w:pPr>
              <w:pStyle w:val="29"/>
              <w:shd w:val="clear"/>
              <w:snapToGrid w:val="0"/>
              <w:ind w:left="9"/>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rPr>
              <w:t>2</w:t>
            </w:r>
          </w:p>
        </w:tc>
        <w:tc>
          <w:tcPr>
            <w:tcW w:w="1987" w:type="dxa"/>
            <w:gridSpan w:val="2"/>
            <w:vAlign w:val="center"/>
          </w:tcPr>
          <w:p w14:paraId="489BB253">
            <w:pPr>
              <w:pStyle w:val="29"/>
              <w:shd w:val="clear"/>
              <w:snapToGrid w:val="0"/>
              <w:ind w:left="5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450" w:type="dxa"/>
            <w:gridSpan w:val="2"/>
            <w:vAlign w:val="center"/>
          </w:tcPr>
          <w:p w14:paraId="75193800">
            <w:pPr>
              <w:pStyle w:val="29"/>
              <w:shd w:val="clear"/>
              <w:snapToGrid w:val="0"/>
              <w:ind w:left="10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江宁区2026年度防空警报设施维护保养服务</w:t>
            </w:r>
          </w:p>
        </w:tc>
      </w:tr>
      <w:tr w14:paraId="4259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619598ED">
            <w:pPr>
              <w:pStyle w:val="29"/>
              <w:shd w:val="clear"/>
              <w:snapToGrid w:val="0"/>
              <w:ind w:left="9"/>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rPr>
              <w:t>3</w:t>
            </w:r>
          </w:p>
        </w:tc>
        <w:tc>
          <w:tcPr>
            <w:tcW w:w="1987" w:type="dxa"/>
            <w:gridSpan w:val="2"/>
            <w:vAlign w:val="center"/>
          </w:tcPr>
          <w:p w14:paraId="4EE00E37">
            <w:pPr>
              <w:pStyle w:val="29"/>
              <w:shd w:val="clear"/>
              <w:snapToGrid w:val="0"/>
              <w:ind w:left="3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c>
          <w:tcPr>
            <w:tcW w:w="6450" w:type="dxa"/>
            <w:gridSpan w:val="2"/>
            <w:vAlign w:val="center"/>
          </w:tcPr>
          <w:p w14:paraId="6BF9341C">
            <w:pPr>
              <w:pStyle w:val="29"/>
              <w:shd w:val="clear"/>
              <w:snapToGrid w:val="0"/>
              <w:ind w:left="10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南京普诚工程咨询管理有限公司</w:t>
            </w:r>
          </w:p>
        </w:tc>
      </w:tr>
      <w:tr w14:paraId="50D0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5158E2BB">
            <w:pPr>
              <w:pStyle w:val="29"/>
              <w:shd w:val="clear"/>
              <w:snapToGrid w:val="0"/>
              <w:ind w:left="9"/>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rPr>
              <w:t>4</w:t>
            </w:r>
          </w:p>
        </w:tc>
        <w:tc>
          <w:tcPr>
            <w:tcW w:w="1987" w:type="dxa"/>
            <w:gridSpan w:val="2"/>
            <w:vAlign w:val="center"/>
          </w:tcPr>
          <w:p w14:paraId="7216E8BF">
            <w:pPr>
              <w:pStyle w:val="29"/>
              <w:shd w:val="clear"/>
              <w:snapToGrid w:val="0"/>
              <w:ind w:left="3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代理机构地址</w:t>
            </w:r>
          </w:p>
        </w:tc>
        <w:tc>
          <w:tcPr>
            <w:tcW w:w="6450" w:type="dxa"/>
            <w:gridSpan w:val="2"/>
            <w:vAlign w:val="center"/>
          </w:tcPr>
          <w:p w14:paraId="5D13310A">
            <w:pPr>
              <w:pStyle w:val="29"/>
              <w:shd w:val="clear"/>
              <w:snapToGrid w:val="0"/>
              <w:ind w:left="10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南京市江宁区科苑路108号B座107室</w:t>
            </w:r>
          </w:p>
        </w:tc>
      </w:tr>
      <w:tr w14:paraId="65EA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2ABB01BD">
            <w:pPr>
              <w:pStyle w:val="29"/>
              <w:shd w:val="clear"/>
              <w:snapToGrid w:val="0"/>
              <w:ind w:left="9"/>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w w:val="99"/>
                <w:sz w:val="24"/>
                <w:szCs w:val="24"/>
                <w:highlight w:val="none"/>
                <w:lang w:val="en-US" w:eastAsia="zh-CN"/>
              </w:rPr>
              <w:t>5</w:t>
            </w:r>
          </w:p>
        </w:tc>
        <w:tc>
          <w:tcPr>
            <w:tcW w:w="1987" w:type="dxa"/>
            <w:gridSpan w:val="2"/>
            <w:vAlign w:val="center"/>
          </w:tcPr>
          <w:p w14:paraId="5095FDCB">
            <w:pPr>
              <w:pStyle w:val="29"/>
              <w:shd w:val="clear"/>
              <w:snapToGrid w:val="0"/>
              <w:ind w:left="152"/>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采购预算</w:t>
            </w:r>
          </w:p>
        </w:tc>
        <w:tc>
          <w:tcPr>
            <w:tcW w:w="6450" w:type="dxa"/>
            <w:gridSpan w:val="2"/>
            <w:vAlign w:val="center"/>
          </w:tcPr>
          <w:p w14:paraId="6F02686E">
            <w:pPr>
              <w:pStyle w:val="29"/>
              <w:shd w:val="clear"/>
              <w:snapToGrid w:val="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最高限价：80万元（供应商报价超过最高限价作无效标处理）</w:t>
            </w:r>
          </w:p>
        </w:tc>
      </w:tr>
      <w:tr w14:paraId="17DC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853" w:type="dxa"/>
            <w:vAlign w:val="center"/>
          </w:tcPr>
          <w:p w14:paraId="055AFC27">
            <w:pPr>
              <w:pStyle w:val="29"/>
              <w:shd w:val="clear"/>
              <w:snapToGrid w:val="0"/>
              <w:ind w:left="9"/>
              <w:jc w:val="center"/>
              <w:rPr>
                <w:rFonts w:hint="eastAsia" w:ascii="宋体" w:hAnsi="宋体" w:eastAsia="宋体" w:cs="宋体"/>
                <w:color w:val="auto"/>
                <w:w w:val="99"/>
                <w:sz w:val="24"/>
                <w:szCs w:val="24"/>
                <w:highlight w:val="none"/>
                <w:lang w:val="en-US" w:eastAsia="zh-CN"/>
              </w:rPr>
            </w:pPr>
            <w:r>
              <w:rPr>
                <w:rFonts w:hint="eastAsia" w:ascii="宋体" w:hAnsi="宋体" w:eastAsia="宋体" w:cs="宋体"/>
                <w:color w:val="auto"/>
                <w:w w:val="99"/>
                <w:sz w:val="24"/>
                <w:szCs w:val="24"/>
                <w:highlight w:val="none"/>
                <w:lang w:val="en-US" w:eastAsia="zh-CN"/>
              </w:rPr>
              <w:t>6</w:t>
            </w:r>
          </w:p>
        </w:tc>
        <w:tc>
          <w:tcPr>
            <w:tcW w:w="1987" w:type="dxa"/>
            <w:gridSpan w:val="2"/>
            <w:vAlign w:val="center"/>
          </w:tcPr>
          <w:p w14:paraId="4CDBA7CB">
            <w:pPr>
              <w:pStyle w:val="29"/>
              <w:shd w:val="clear"/>
              <w:snapToGrid w:val="0"/>
              <w:ind w:left="46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合同履行期限</w:t>
            </w:r>
          </w:p>
        </w:tc>
        <w:tc>
          <w:tcPr>
            <w:tcW w:w="6450" w:type="dxa"/>
            <w:gridSpan w:val="2"/>
            <w:vAlign w:val="center"/>
          </w:tcPr>
          <w:p w14:paraId="02EF443C">
            <w:pPr>
              <w:pStyle w:val="29"/>
              <w:shd w:val="clear"/>
              <w:snapToGrid w:val="0"/>
              <w:ind w:left="10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一年</w:t>
            </w:r>
          </w:p>
        </w:tc>
      </w:tr>
      <w:tr w14:paraId="61EB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7C38809F">
            <w:pPr>
              <w:pStyle w:val="29"/>
              <w:shd w:val="clear"/>
              <w:snapToGrid w:val="0"/>
              <w:ind w:left="9"/>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w w:val="99"/>
                <w:sz w:val="24"/>
                <w:szCs w:val="24"/>
                <w:highlight w:val="none"/>
                <w:lang w:val="en-US" w:eastAsia="zh-CN"/>
              </w:rPr>
              <w:t>7</w:t>
            </w:r>
          </w:p>
        </w:tc>
        <w:tc>
          <w:tcPr>
            <w:tcW w:w="1987" w:type="dxa"/>
            <w:gridSpan w:val="2"/>
            <w:vAlign w:val="center"/>
          </w:tcPr>
          <w:p w14:paraId="2AAD5893">
            <w:pPr>
              <w:pStyle w:val="29"/>
              <w:shd w:val="clear"/>
              <w:snapToGrid w:val="0"/>
              <w:ind w:left="46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6450" w:type="dxa"/>
            <w:gridSpan w:val="2"/>
            <w:vAlign w:val="center"/>
          </w:tcPr>
          <w:p w14:paraId="20CD0AA1">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投标截止之日起90天</w:t>
            </w:r>
          </w:p>
        </w:tc>
      </w:tr>
      <w:tr w14:paraId="332B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853" w:type="dxa"/>
            <w:vMerge w:val="restart"/>
            <w:vAlign w:val="center"/>
          </w:tcPr>
          <w:p w14:paraId="6E4EB40E">
            <w:pPr>
              <w:pStyle w:val="29"/>
              <w:shd w:val="clear"/>
              <w:snapToGrid w:val="0"/>
              <w:ind w:right="12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903" w:type="dxa"/>
            <w:vMerge w:val="restart"/>
            <w:vAlign w:val="center"/>
          </w:tcPr>
          <w:p w14:paraId="120E16B6">
            <w:pPr>
              <w:pStyle w:val="29"/>
              <w:shd w:val="clear"/>
              <w:snapToGrid w:val="0"/>
              <w:ind w:right="12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投标文件递交信息</w:t>
            </w:r>
          </w:p>
        </w:tc>
        <w:tc>
          <w:tcPr>
            <w:tcW w:w="1084" w:type="dxa"/>
            <w:vAlign w:val="center"/>
          </w:tcPr>
          <w:p w14:paraId="4043BEB4">
            <w:pPr>
              <w:pStyle w:val="29"/>
              <w:shd w:val="clear"/>
              <w:snapToGrid w:val="0"/>
              <w:ind w:right="9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6450" w:type="dxa"/>
            <w:gridSpan w:val="2"/>
            <w:vAlign w:val="center"/>
          </w:tcPr>
          <w:p w14:paraId="030081D1">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2026年  </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月  </w:t>
            </w:r>
            <w:r>
              <w:rPr>
                <w:rFonts w:hint="eastAsia" w:cs="宋体"/>
                <w:color w:val="auto"/>
                <w:sz w:val="24"/>
                <w:szCs w:val="24"/>
                <w:highlight w:val="none"/>
                <w:lang w:val="en-US" w:eastAsia="zh-CN"/>
              </w:rPr>
              <w:t>31</w:t>
            </w:r>
            <w:r>
              <w:rPr>
                <w:rFonts w:hint="eastAsia" w:ascii="宋体" w:hAnsi="宋体" w:eastAsia="宋体" w:cs="宋体"/>
                <w:color w:val="auto"/>
                <w:sz w:val="24"/>
                <w:szCs w:val="24"/>
                <w:highlight w:val="none"/>
                <w:lang w:val="en-US" w:eastAsia="zh-CN"/>
              </w:rPr>
              <w:t xml:space="preserve"> 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rPr>
              <w:t>1</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0</w:t>
            </w:r>
            <w:r>
              <w:rPr>
                <w:rFonts w:hint="eastAsia" w:ascii="宋体" w:hAnsi="宋体" w:eastAsia="宋体" w:cs="宋体"/>
                <w:color w:val="auto"/>
                <w:sz w:val="24"/>
                <w:szCs w:val="24"/>
                <w:highlight w:val="none"/>
              </w:rPr>
              <w:t>0—14：</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0</w:t>
            </w:r>
          </w:p>
        </w:tc>
      </w:tr>
      <w:tr w14:paraId="1F51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853" w:type="dxa"/>
            <w:vMerge w:val="continue"/>
            <w:vAlign w:val="center"/>
          </w:tcPr>
          <w:p w14:paraId="23C09D59">
            <w:pPr>
              <w:shd w:val="clear"/>
              <w:snapToGrid w:val="0"/>
              <w:jc w:val="center"/>
              <w:rPr>
                <w:rFonts w:hint="eastAsia" w:ascii="宋体" w:hAnsi="宋体" w:eastAsia="宋体" w:cs="宋体"/>
                <w:color w:val="auto"/>
                <w:sz w:val="24"/>
                <w:szCs w:val="24"/>
                <w:highlight w:val="none"/>
              </w:rPr>
            </w:pPr>
          </w:p>
        </w:tc>
        <w:tc>
          <w:tcPr>
            <w:tcW w:w="903" w:type="dxa"/>
            <w:vMerge w:val="continue"/>
            <w:vAlign w:val="center"/>
          </w:tcPr>
          <w:p w14:paraId="4D3CFE63">
            <w:pPr>
              <w:shd w:val="clear"/>
              <w:snapToGrid w:val="0"/>
              <w:jc w:val="center"/>
              <w:rPr>
                <w:rFonts w:hint="eastAsia" w:ascii="宋体" w:hAnsi="宋体" w:eastAsia="宋体" w:cs="宋体"/>
                <w:color w:val="auto"/>
                <w:sz w:val="24"/>
                <w:szCs w:val="24"/>
                <w:highlight w:val="none"/>
              </w:rPr>
            </w:pPr>
          </w:p>
        </w:tc>
        <w:tc>
          <w:tcPr>
            <w:tcW w:w="1084" w:type="dxa"/>
            <w:vAlign w:val="center"/>
          </w:tcPr>
          <w:p w14:paraId="6317460B">
            <w:pPr>
              <w:pStyle w:val="29"/>
              <w:shd w:val="clear"/>
              <w:snapToGrid w:val="0"/>
              <w:ind w:right="9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p>
        </w:tc>
        <w:tc>
          <w:tcPr>
            <w:tcW w:w="6450" w:type="dxa"/>
            <w:gridSpan w:val="2"/>
            <w:vAlign w:val="center"/>
          </w:tcPr>
          <w:p w14:paraId="2BAC089B">
            <w:pPr>
              <w:pStyle w:val="29"/>
              <w:shd w:val="clear"/>
              <w:snapToGrid w:val="0"/>
              <w:ind w:left="10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南京市江宁区科苑路108号B座107室</w:t>
            </w:r>
          </w:p>
        </w:tc>
      </w:tr>
      <w:tr w14:paraId="1169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shd w:val="clear" w:color="auto" w:fill="auto"/>
            <w:vAlign w:val="center"/>
          </w:tcPr>
          <w:p w14:paraId="34E27F9C">
            <w:pPr>
              <w:shd w:val="clea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987" w:type="dxa"/>
            <w:gridSpan w:val="2"/>
            <w:shd w:val="clear" w:color="auto" w:fill="auto"/>
            <w:vAlign w:val="center"/>
          </w:tcPr>
          <w:p w14:paraId="36571C7D">
            <w:pPr>
              <w:pStyle w:val="29"/>
              <w:shd w:val="clear"/>
              <w:snapToGrid w:val="0"/>
              <w:ind w:right="9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本项目所属行业</w:t>
            </w:r>
          </w:p>
        </w:tc>
        <w:tc>
          <w:tcPr>
            <w:tcW w:w="6450" w:type="dxa"/>
            <w:gridSpan w:val="2"/>
            <w:shd w:val="clear" w:color="auto" w:fill="auto"/>
            <w:vAlign w:val="center"/>
          </w:tcPr>
          <w:p w14:paraId="029FC3C8">
            <w:pPr>
              <w:pStyle w:val="29"/>
              <w:shd w:val="clear"/>
              <w:snapToGrid w:val="0"/>
              <w:ind w:right="92" w:firstLine="240" w:firstLine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关于印发中小企业划型标准规定的通知》（工信部联企业〔2011〕300号）及《国家统计局关于印发〈统计上大中小微型企业划分办法（2017）〉的通知》（国统字〔2017〕213号）等文件规定，本项目所属行业为“其他未列明行业”。</w:t>
            </w:r>
          </w:p>
        </w:tc>
      </w:tr>
      <w:tr w14:paraId="278E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3" w:type="dxa"/>
            <w:vAlign w:val="center"/>
          </w:tcPr>
          <w:p w14:paraId="1E3E86EA">
            <w:pPr>
              <w:pStyle w:val="29"/>
              <w:shd w:val="clear"/>
              <w:snapToGrid w:val="0"/>
              <w:ind w:right="12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987" w:type="dxa"/>
            <w:gridSpan w:val="2"/>
            <w:vAlign w:val="center"/>
          </w:tcPr>
          <w:p w14:paraId="7199EE39">
            <w:pPr>
              <w:pStyle w:val="29"/>
              <w:shd w:val="clear"/>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投标文件份数</w:t>
            </w:r>
          </w:p>
        </w:tc>
        <w:tc>
          <w:tcPr>
            <w:tcW w:w="6450" w:type="dxa"/>
            <w:gridSpan w:val="2"/>
            <w:vAlign w:val="center"/>
          </w:tcPr>
          <w:p w14:paraId="00CA8B7E">
            <w:pPr>
              <w:pStyle w:val="29"/>
              <w:shd w:val="clear"/>
              <w:snapToGrid w:val="0"/>
              <w:ind w:right="9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rPr>
              <w:t>正本</w:t>
            </w:r>
            <w:r>
              <w:rPr>
                <w:rFonts w:hint="eastAsia" w:ascii="宋体" w:hAnsi="宋体" w:eastAsia="宋体" w:cs="宋体"/>
                <w:bCs/>
                <w:color w:val="auto"/>
                <w:sz w:val="24"/>
                <w:szCs w:val="24"/>
                <w:highlight w:val="none"/>
              </w:rPr>
              <w:t>壹</w:t>
            </w:r>
            <w:r>
              <w:rPr>
                <w:rFonts w:hint="eastAsia" w:ascii="宋体" w:hAnsi="宋体" w:eastAsia="宋体" w:cs="宋体"/>
                <w:color w:val="auto"/>
                <w:sz w:val="24"/>
                <w:szCs w:val="24"/>
                <w:highlight w:val="none"/>
              </w:rPr>
              <w:t>份；副本</w:t>
            </w:r>
            <w:r>
              <w:rPr>
                <w:rFonts w:hint="eastAsia" w:ascii="宋体" w:hAnsi="宋体" w:eastAsia="宋体" w:cs="宋体"/>
                <w:color w:val="auto"/>
                <w:sz w:val="24"/>
                <w:szCs w:val="24"/>
                <w:highlight w:val="none"/>
                <w:lang w:val="en-US" w:eastAsia="zh-CN"/>
              </w:rPr>
              <w:t>肆</w:t>
            </w:r>
            <w:r>
              <w:rPr>
                <w:rFonts w:hint="eastAsia" w:ascii="宋体" w:hAnsi="宋体" w:eastAsia="宋体" w:cs="宋体"/>
                <w:color w:val="auto"/>
                <w:sz w:val="24"/>
                <w:szCs w:val="24"/>
                <w:highlight w:val="none"/>
              </w:rPr>
              <w:t>份；电子版投标文件</w:t>
            </w:r>
            <w:r>
              <w:rPr>
                <w:rFonts w:hint="eastAsia" w:ascii="宋体" w:hAnsi="宋体" w:eastAsia="宋体" w:cs="宋体"/>
                <w:color w:val="auto"/>
                <w:sz w:val="24"/>
                <w:szCs w:val="24"/>
                <w:highlight w:val="none"/>
                <w:lang w:val="en-US"/>
              </w:rPr>
              <w:t>U</w:t>
            </w:r>
            <w:r>
              <w:rPr>
                <w:rFonts w:hint="eastAsia" w:ascii="宋体" w:hAnsi="宋体" w:eastAsia="宋体" w:cs="宋体"/>
                <w:color w:val="auto"/>
                <w:sz w:val="24"/>
                <w:szCs w:val="24"/>
                <w:highlight w:val="none"/>
              </w:rPr>
              <w:t>盘壹份。</w:t>
            </w:r>
          </w:p>
          <w:p w14:paraId="571F3C22">
            <w:pPr>
              <w:pStyle w:val="29"/>
              <w:shd w:val="clear"/>
              <w:snapToGrid w:val="0"/>
              <w:ind w:left="107" w:righ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每份投标文件须清楚标明“正本”或“副本”字样。电子版投标文件（ U 盘）壹份（随纸质文件一并提交）。当纸质副本文件、电子版文件和纸质正本文件不一致时，以纸质正本文件为准。</w:t>
            </w:r>
          </w:p>
        </w:tc>
      </w:tr>
      <w:tr w14:paraId="5742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853" w:type="dxa"/>
            <w:vMerge w:val="restart"/>
            <w:vAlign w:val="center"/>
          </w:tcPr>
          <w:p w14:paraId="0214FC1E">
            <w:pPr>
              <w:pStyle w:val="29"/>
              <w:shd w:val="clear"/>
              <w:snapToGrid w:val="0"/>
              <w:ind w:right="12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903" w:type="dxa"/>
            <w:vMerge w:val="restart"/>
            <w:vAlign w:val="center"/>
          </w:tcPr>
          <w:p w14:paraId="3F606F04">
            <w:pPr>
              <w:pStyle w:val="29"/>
              <w:shd w:val="clear"/>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rPr>
              <w:t>文件开启</w:t>
            </w:r>
            <w:r>
              <w:rPr>
                <w:rFonts w:hint="eastAsia" w:ascii="宋体" w:hAnsi="宋体" w:eastAsia="宋体" w:cs="宋体"/>
                <w:color w:val="auto"/>
                <w:sz w:val="24"/>
                <w:szCs w:val="24"/>
                <w:highlight w:val="none"/>
              </w:rPr>
              <w:t>信息</w:t>
            </w:r>
          </w:p>
        </w:tc>
        <w:tc>
          <w:tcPr>
            <w:tcW w:w="1084" w:type="dxa"/>
            <w:vAlign w:val="center"/>
          </w:tcPr>
          <w:p w14:paraId="3C773930">
            <w:pPr>
              <w:pStyle w:val="29"/>
              <w:shd w:val="clear"/>
              <w:snapToGrid w:val="0"/>
              <w:ind w:left="99" w:right="9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6450" w:type="dxa"/>
            <w:gridSpan w:val="2"/>
            <w:vAlign w:val="center"/>
          </w:tcPr>
          <w:p w14:paraId="545EAAE1">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2026年  </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月  </w:t>
            </w:r>
            <w:r>
              <w:rPr>
                <w:rFonts w:hint="eastAsia" w:cs="宋体"/>
                <w:color w:val="auto"/>
                <w:sz w:val="24"/>
                <w:szCs w:val="24"/>
                <w:highlight w:val="none"/>
                <w:lang w:val="en-US" w:eastAsia="zh-CN"/>
              </w:rPr>
              <w:t>31</w:t>
            </w:r>
            <w:r>
              <w:rPr>
                <w:rFonts w:hint="eastAsia" w:ascii="宋体" w:hAnsi="宋体" w:eastAsia="宋体" w:cs="宋体"/>
                <w:color w:val="auto"/>
                <w:sz w:val="24"/>
                <w:szCs w:val="24"/>
                <w:highlight w:val="none"/>
                <w:lang w:val="en-US" w:eastAsia="zh-CN"/>
              </w:rPr>
              <w:t xml:space="preserve"> 日</w:t>
            </w:r>
            <w:r>
              <w:rPr>
                <w:rFonts w:hint="eastAsia" w:ascii="宋体" w:hAnsi="宋体" w:eastAsia="宋体" w:cs="宋体"/>
                <w:color w:val="auto"/>
                <w:sz w:val="24"/>
                <w:szCs w:val="24"/>
                <w:highlight w:val="none"/>
                <w:lang w:val="en-US"/>
              </w:rPr>
              <w:t>14</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0</w:t>
            </w:r>
          </w:p>
        </w:tc>
      </w:tr>
      <w:tr w14:paraId="18A1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853" w:type="dxa"/>
            <w:vMerge w:val="continue"/>
            <w:vAlign w:val="center"/>
          </w:tcPr>
          <w:p w14:paraId="72DFFFFE">
            <w:pPr>
              <w:shd w:val="clear"/>
              <w:snapToGrid w:val="0"/>
              <w:jc w:val="center"/>
              <w:rPr>
                <w:rFonts w:hint="eastAsia" w:ascii="宋体" w:hAnsi="宋体" w:eastAsia="宋体" w:cs="宋体"/>
                <w:color w:val="auto"/>
                <w:sz w:val="24"/>
                <w:szCs w:val="24"/>
                <w:highlight w:val="none"/>
              </w:rPr>
            </w:pPr>
          </w:p>
        </w:tc>
        <w:tc>
          <w:tcPr>
            <w:tcW w:w="903" w:type="dxa"/>
            <w:vMerge w:val="continue"/>
            <w:vAlign w:val="center"/>
          </w:tcPr>
          <w:p w14:paraId="6DB702BD">
            <w:pPr>
              <w:shd w:val="clear"/>
              <w:snapToGrid w:val="0"/>
              <w:jc w:val="center"/>
              <w:rPr>
                <w:rFonts w:hint="eastAsia" w:ascii="宋体" w:hAnsi="宋体" w:eastAsia="宋体" w:cs="宋体"/>
                <w:color w:val="auto"/>
                <w:sz w:val="24"/>
                <w:szCs w:val="24"/>
                <w:highlight w:val="none"/>
              </w:rPr>
            </w:pPr>
          </w:p>
        </w:tc>
        <w:tc>
          <w:tcPr>
            <w:tcW w:w="1084" w:type="dxa"/>
            <w:vAlign w:val="center"/>
          </w:tcPr>
          <w:p w14:paraId="07500931">
            <w:pPr>
              <w:pStyle w:val="29"/>
              <w:shd w:val="clear"/>
              <w:snapToGrid w:val="0"/>
              <w:ind w:left="99" w:right="9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p>
        </w:tc>
        <w:tc>
          <w:tcPr>
            <w:tcW w:w="6450" w:type="dxa"/>
            <w:gridSpan w:val="2"/>
            <w:vAlign w:val="center"/>
          </w:tcPr>
          <w:p w14:paraId="042DBB1B">
            <w:pPr>
              <w:pStyle w:val="29"/>
              <w:shd w:val="clear"/>
              <w:snapToGrid w:val="0"/>
              <w:ind w:left="107"/>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南京市江宁区科苑路108号B座107室</w:t>
            </w:r>
          </w:p>
        </w:tc>
      </w:tr>
      <w:tr w14:paraId="7203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853" w:type="dxa"/>
            <w:vMerge w:val="restart"/>
            <w:vAlign w:val="center"/>
          </w:tcPr>
          <w:p w14:paraId="61BB258B">
            <w:pPr>
              <w:pStyle w:val="29"/>
              <w:shd w:val="clear"/>
              <w:snapToGrid w:val="0"/>
              <w:ind w:right="12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903" w:type="dxa"/>
            <w:vMerge w:val="restart"/>
            <w:vAlign w:val="center"/>
          </w:tcPr>
          <w:p w14:paraId="45984958">
            <w:pPr>
              <w:pStyle w:val="29"/>
              <w:shd w:val="clear"/>
              <w:snapToGrid w:val="0"/>
              <w:ind w:right="231"/>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联</w:t>
            </w:r>
            <w:r>
              <w:rPr>
                <w:rFonts w:hint="eastAsia" w:ascii="宋体" w:hAnsi="宋体" w:eastAsia="宋体" w:cs="宋体"/>
                <w:color w:val="auto"/>
                <w:sz w:val="24"/>
                <w:szCs w:val="24"/>
                <w:highlight w:val="none"/>
              </w:rPr>
              <w:t>系</w:t>
            </w:r>
          </w:p>
          <w:p w14:paraId="0DE00251">
            <w:pPr>
              <w:pStyle w:val="29"/>
              <w:shd w:val="clear"/>
              <w:snapToGrid w:val="0"/>
              <w:ind w:right="231"/>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事</w:t>
            </w:r>
            <w:r>
              <w:rPr>
                <w:rFonts w:hint="eastAsia" w:ascii="宋体" w:hAnsi="宋体" w:eastAsia="宋体" w:cs="宋体"/>
                <w:color w:val="auto"/>
                <w:sz w:val="24"/>
                <w:szCs w:val="24"/>
                <w:highlight w:val="none"/>
              </w:rPr>
              <w:t>项</w:t>
            </w:r>
          </w:p>
        </w:tc>
        <w:tc>
          <w:tcPr>
            <w:tcW w:w="1084" w:type="dxa"/>
            <w:vMerge w:val="restart"/>
            <w:vAlign w:val="center"/>
          </w:tcPr>
          <w:p w14:paraId="19D40E33">
            <w:pPr>
              <w:pStyle w:val="29"/>
              <w:shd w:val="clear"/>
              <w:snapToGrid w:val="0"/>
              <w:jc w:val="center"/>
              <w:rPr>
                <w:rFonts w:hint="eastAsia" w:ascii="宋体" w:hAnsi="宋体" w:eastAsia="宋体" w:cs="宋体"/>
                <w:color w:val="auto"/>
                <w:sz w:val="24"/>
                <w:szCs w:val="24"/>
                <w:highlight w:val="none"/>
              </w:rPr>
            </w:pPr>
          </w:p>
          <w:p w14:paraId="3954989C">
            <w:pPr>
              <w:pStyle w:val="29"/>
              <w:shd w:val="clear"/>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采购单位</w:t>
            </w:r>
          </w:p>
        </w:tc>
        <w:tc>
          <w:tcPr>
            <w:tcW w:w="1626" w:type="dxa"/>
            <w:vAlign w:val="center"/>
          </w:tcPr>
          <w:p w14:paraId="0F15603F">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4824" w:type="dxa"/>
            <w:vAlign w:val="center"/>
          </w:tcPr>
          <w:p w14:paraId="77F96212">
            <w:pPr>
              <w:pStyle w:val="29"/>
              <w:shd w:val="clear"/>
              <w:snapToGrid w:val="0"/>
              <w:ind w:left="10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陶主任</w:t>
            </w:r>
          </w:p>
        </w:tc>
      </w:tr>
      <w:tr w14:paraId="629B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853" w:type="dxa"/>
            <w:vMerge w:val="continue"/>
            <w:vAlign w:val="center"/>
          </w:tcPr>
          <w:p w14:paraId="5C7A1EB3">
            <w:pPr>
              <w:shd w:val="clear"/>
              <w:snapToGrid w:val="0"/>
              <w:jc w:val="center"/>
              <w:rPr>
                <w:rFonts w:hint="eastAsia" w:ascii="宋体" w:hAnsi="宋体" w:eastAsia="宋体" w:cs="宋体"/>
                <w:color w:val="auto"/>
                <w:sz w:val="24"/>
                <w:szCs w:val="24"/>
                <w:highlight w:val="none"/>
              </w:rPr>
            </w:pPr>
          </w:p>
        </w:tc>
        <w:tc>
          <w:tcPr>
            <w:tcW w:w="903" w:type="dxa"/>
            <w:vMerge w:val="continue"/>
            <w:vAlign w:val="center"/>
          </w:tcPr>
          <w:p w14:paraId="311B9467">
            <w:pPr>
              <w:shd w:val="clear"/>
              <w:snapToGrid w:val="0"/>
              <w:jc w:val="center"/>
              <w:rPr>
                <w:rFonts w:hint="eastAsia" w:ascii="宋体" w:hAnsi="宋体" w:eastAsia="宋体" w:cs="宋体"/>
                <w:color w:val="auto"/>
                <w:sz w:val="24"/>
                <w:szCs w:val="24"/>
                <w:highlight w:val="none"/>
              </w:rPr>
            </w:pPr>
          </w:p>
        </w:tc>
        <w:tc>
          <w:tcPr>
            <w:tcW w:w="1084" w:type="dxa"/>
            <w:vMerge w:val="continue"/>
            <w:vAlign w:val="center"/>
          </w:tcPr>
          <w:p w14:paraId="1CF984AB">
            <w:pPr>
              <w:shd w:val="clear"/>
              <w:snapToGrid w:val="0"/>
              <w:jc w:val="center"/>
              <w:rPr>
                <w:rFonts w:hint="eastAsia" w:ascii="宋体" w:hAnsi="宋体" w:eastAsia="宋体" w:cs="宋体"/>
                <w:color w:val="auto"/>
                <w:sz w:val="24"/>
                <w:szCs w:val="24"/>
                <w:highlight w:val="none"/>
              </w:rPr>
            </w:pPr>
          </w:p>
        </w:tc>
        <w:tc>
          <w:tcPr>
            <w:tcW w:w="1626" w:type="dxa"/>
            <w:vAlign w:val="center"/>
          </w:tcPr>
          <w:p w14:paraId="03FBA33A">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4824" w:type="dxa"/>
            <w:vAlign w:val="center"/>
          </w:tcPr>
          <w:p w14:paraId="5F201AC5">
            <w:pPr>
              <w:pStyle w:val="29"/>
              <w:shd w:val="clear"/>
              <w:snapToGrid w:val="0"/>
              <w:ind w:left="10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p>
        </w:tc>
      </w:tr>
      <w:tr w14:paraId="4D44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53" w:type="dxa"/>
            <w:vMerge w:val="continue"/>
            <w:vAlign w:val="center"/>
          </w:tcPr>
          <w:p w14:paraId="291D0729">
            <w:pPr>
              <w:shd w:val="clear"/>
              <w:snapToGrid w:val="0"/>
              <w:jc w:val="center"/>
              <w:rPr>
                <w:rFonts w:hint="eastAsia" w:ascii="宋体" w:hAnsi="宋体" w:eastAsia="宋体" w:cs="宋体"/>
                <w:color w:val="auto"/>
                <w:sz w:val="24"/>
                <w:szCs w:val="24"/>
                <w:highlight w:val="none"/>
              </w:rPr>
            </w:pPr>
          </w:p>
        </w:tc>
        <w:tc>
          <w:tcPr>
            <w:tcW w:w="903" w:type="dxa"/>
            <w:vMerge w:val="continue"/>
            <w:vAlign w:val="center"/>
          </w:tcPr>
          <w:p w14:paraId="59D63F6D">
            <w:pPr>
              <w:shd w:val="clear"/>
              <w:snapToGrid w:val="0"/>
              <w:jc w:val="center"/>
              <w:rPr>
                <w:rFonts w:hint="eastAsia" w:ascii="宋体" w:hAnsi="宋体" w:eastAsia="宋体" w:cs="宋体"/>
                <w:color w:val="auto"/>
                <w:sz w:val="24"/>
                <w:szCs w:val="24"/>
                <w:highlight w:val="none"/>
              </w:rPr>
            </w:pPr>
          </w:p>
        </w:tc>
        <w:tc>
          <w:tcPr>
            <w:tcW w:w="1084" w:type="dxa"/>
            <w:vMerge w:val="restart"/>
            <w:vAlign w:val="center"/>
          </w:tcPr>
          <w:p w14:paraId="4C260537">
            <w:pPr>
              <w:pStyle w:val="29"/>
              <w:shd w:val="clear"/>
              <w:snapToGrid w:val="0"/>
              <w:ind w:right="9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代理机构</w:t>
            </w:r>
          </w:p>
        </w:tc>
        <w:tc>
          <w:tcPr>
            <w:tcW w:w="1626" w:type="dxa"/>
            <w:vAlign w:val="center"/>
          </w:tcPr>
          <w:p w14:paraId="09B8308E">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4824" w:type="dxa"/>
            <w:vAlign w:val="center"/>
          </w:tcPr>
          <w:p w14:paraId="1FEFD53A">
            <w:pPr>
              <w:pStyle w:val="29"/>
              <w:shd w:val="clear"/>
              <w:snapToGrid w:val="0"/>
              <w:ind w:left="10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李工</w:t>
            </w:r>
          </w:p>
        </w:tc>
      </w:tr>
      <w:tr w14:paraId="5D70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853" w:type="dxa"/>
            <w:vMerge w:val="continue"/>
            <w:vAlign w:val="center"/>
          </w:tcPr>
          <w:p w14:paraId="72C4A431">
            <w:pPr>
              <w:shd w:val="clear"/>
              <w:snapToGrid w:val="0"/>
              <w:rPr>
                <w:rFonts w:hint="eastAsia" w:ascii="宋体" w:hAnsi="宋体" w:eastAsia="宋体" w:cs="宋体"/>
                <w:color w:val="auto"/>
                <w:sz w:val="24"/>
                <w:szCs w:val="24"/>
                <w:highlight w:val="none"/>
              </w:rPr>
            </w:pPr>
          </w:p>
        </w:tc>
        <w:tc>
          <w:tcPr>
            <w:tcW w:w="903" w:type="dxa"/>
            <w:vMerge w:val="continue"/>
            <w:vAlign w:val="center"/>
          </w:tcPr>
          <w:p w14:paraId="4F728245">
            <w:pPr>
              <w:shd w:val="clear"/>
              <w:snapToGrid w:val="0"/>
              <w:rPr>
                <w:rFonts w:hint="eastAsia" w:ascii="宋体" w:hAnsi="宋体" w:eastAsia="宋体" w:cs="宋体"/>
                <w:color w:val="auto"/>
                <w:sz w:val="24"/>
                <w:szCs w:val="24"/>
                <w:highlight w:val="none"/>
              </w:rPr>
            </w:pPr>
          </w:p>
        </w:tc>
        <w:tc>
          <w:tcPr>
            <w:tcW w:w="1084" w:type="dxa"/>
            <w:vMerge w:val="continue"/>
            <w:vAlign w:val="center"/>
          </w:tcPr>
          <w:p w14:paraId="7AC64C1A">
            <w:pPr>
              <w:shd w:val="clear"/>
              <w:snapToGrid w:val="0"/>
              <w:rPr>
                <w:rFonts w:hint="eastAsia" w:ascii="宋体" w:hAnsi="宋体" w:eastAsia="宋体" w:cs="宋体"/>
                <w:color w:val="auto"/>
                <w:sz w:val="24"/>
                <w:szCs w:val="24"/>
                <w:highlight w:val="none"/>
              </w:rPr>
            </w:pPr>
          </w:p>
        </w:tc>
        <w:tc>
          <w:tcPr>
            <w:tcW w:w="1626" w:type="dxa"/>
            <w:vAlign w:val="center"/>
          </w:tcPr>
          <w:p w14:paraId="3226B89E">
            <w:pPr>
              <w:pStyle w:val="29"/>
              <w:shd w:val="clear"/>
              <w:snapToGrid w:val="0"/>
              <w:ind w:left="1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4824" w:type="dxa"/>
            <w:vAlign w:val="center"/>
          </w:tcPr>
          <w:p w14:paraId="02A43276">
            <w:pPr>
              <w:pStyle w:val="29"/>
              <w:shd w:val="clear"/>
              <w:snapToGrid w:val="0"/>
              <w:ind w:left="10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15189802335</w:t>
            </w:r>
          </w:p>
        </w:tc>
      </w:tr>
    </w:tbl>
    <w:p w14:paraId="08CAA44B">
      <w:pPr>
        <w:shd w:val="clear"/>
        <w:snapToGrid w:val="0"/>
        <w:spacing w:line="360" w:lineRule="auto"/>
        <w:rPr>
          <w:rFonts w:hint="eastAsia" w:ascii="宋体" w:hAnsi="宋体" w:eastAsia="宋体" w:cs="宋体"/>
          <w:color w:val="auto"/>
          <w:sz w:val="24"/>
          <w:szCs w:val="24"/>
          <w:highlight w:val="none"/>
        </w:rPr>
      </w:pPr>
    </w:p>
    <w:p w14:paraId="78B0F088">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一、总则</w:t>
      </w:r>
    </w:p>
    <w:p w14:paraId="0040BB2A">
      <w:pPr>
        <w:pStyle w:val="7"/>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1、参照法律</w:t>
      </w:r>
    </w:p>
    <w:p w14:paraId="0D118AB2">
      <w:pPr>
        <w:pStyle w:val="7"/>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pacing w:val="-9"/>
          <w:sz w:val="24"/>
          <w:szCs w:val="24"/>
          <w:highlight w:val="none"/>
        </w:rPr>
        <w:t xml:space="preserve"> 《中华人民共和国政府采购法》、《中华人民共和国政府采购法实施条例》、《政府采购货物和服务招标投标管理办法》等有关法律、规章和规定等。</w:t>
      </w:r>
    </w:p>
    <w:p w14:paraId="148704A8">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2、定义</w:t>
      </w:r>
    </w:p>
    <w:p w14:paraId="59DEC92B">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w:t>
      </w:r>
      <w:r>
        <w:rPr>
          <w:rFonts w:hint="eastAsia" w:ascii="宋体" w:hAnsi="宋体" w:eastAsia="宋体" w:cs="宋体"/>
          <w:color w:val="auto"/>
          <w:sz w:val="24"/>
          <w:szCs w:val="24"/>
          <w:highlight w:val="none"/>
        </w:rPr>
        <w:t>“供应商</w:t>
      </w:r>
      <w:r>
        <w:rPr>
          <w:rFonts w:hint="eastAsia" w:ascii="宋体" w:hAnsi="宋体" w:eastAsia="宋体" w:cs="宋体"/>
          <w:color w:val="auto"/>
          <w:spacing w:val="-12"/>
          <w:sz w:val="24"/>
          <w:szCs w:val="24"/>
          <w:highlight w:val="none"/>
        </w:rPr>
        <w:t>”是指参加投标竞争，并符合招标文件规定资格条件的法人、其他组织或者自然人。</w:t>
      </w:r>
    </w:p>
    <w:p w14:paraId="7EAC7112">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2.2</w:t>
      </w:r>
      <w:r>
        <w:rPr>
          <w:rFonts w:hint="eastAsia" w:ascii="宋体" w:hAnsi="宋体" w:eastAsia="宋体" w:cs="宋体"/>
          <w:color w:val="auto"/>
          <w:sz w:val="24"/>
          <w:szCs w:val="24"/>
          <w:highlight w:val="none"/>
        </w:rPr>
        <w:t>“服务”指本招标文件中所述产品及相关服务。</w:t>
      </w:r>
    </w:p>
    <w:p w14:paraId="6AB37EE2">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lang w:val="en-US"/>
        </w:rPr>
        <w:t>2.3</w:t>
      </w:r>
      <w:r>
        <w:rPr>
          <w:rFonts w:hint="eastAsia" w:ascii="宋体" w:hAnsi="宋体" w:eastAsia="宋体" w:cs="宋体"/>
          <w:color w:val="auto"/>
          <w:spacing w:val="-12"/>
          <w:sz w:val="24"/>
          <w:szCs w:val="24"/>
          <w:highlight w:val="none"/>
        </w:rPr>
        <w:t>“用户或使用单位”是指使用服务的单位。</w:t>
      </w:r>
    </w:p>
    <w:p w14:paraId="1DA213EC">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3、政策功能</w:t>
      </w:r>
    </w:p>
    <w:p w14:paraId="51D1B0E8">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3.1 </w:t>
      </w:r>
      <w:r>
        <w:rPr>
          <w:rFonts w:hint="eastAsia" w:ascii="宋体" w:hAnsi="宋体" w:eastAsia="宋体" w:cs="宋体"/>
          <w:bCs/>
          <w:color w:val="auto"/>
          <w:sz w:val="24"/>
          <w:szCs w:val="24"/>
          <w:highlight w:val="none"/>
        </w:rPr>
        <w:t>中小企业、监狱企业、残疾人福利性单位相关政策</w:t>
      </w:r>
    </w:p>
    <w:p w14:paraId="1C8463EA">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中小企业划型标准按照《关于印发中小企业划型标准规定的通知（工信部联企业〔2011</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300号）》文的相关规定认定。</w:t>
      </w:r>
    </w:p>
    <w:p w14:paraId="07733AAC">
      <w:pPr>
        <w:keepNext w:val="0"/>
        <w:keepLines w:val="0"/>
        <w:pageBreakBefore w:val="0"/>
        <w:widowControl w:val="0"/>
        <w:shd w:val="clear"/>
        <w:tabs>
          <w:tab w:val="left" w:pos="-850"/>
          <w:tab w:val="left" w:pos="8789"/>
        </w:tabs>
        <w:kinsoku/>
        <w:wordWrap/>
        <w:overflowPunct/>
        <w:topLinePunct w:val="0"/>
        <w:autoSpaceDE w:val="0"/>
        <w:autoSpaceDN w:val="0"/>
        <w:bidi w:val="0"/>
        <w:adjustRightInd/>
        <w:snapToGrid w:val="0"/>
        <w:spacing w:line="360" w:lineRule="auto"/>
        <w:ind w:left="0" w:leftChars="0" w:right="0" w:firstLine="464" w:firstLineChars="200"/>
        <w:jc w:val="both"/>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lang w:val="en-US"/>
        </w:rPr>
        <w:t>2）</w:t>
      </w:r>
      <w:r>
        <w:rPr>
          <w:rFonts w:hint="eastAsia" w:ascii="宋体" w:hAnsi="宋体" w:eastAsia="宋体" w:cs="宋体"/>
          <w:color w:val="auto"/>
          <w:spacing w:val="-4"/>
          <w:sz w:val="24"/>
          <w:szCs w:val="24"/>
          <w:highlight w:val="none"/>
        </w:rPr>
        <w:t>根据《政府采购促进中小企业发展管理办法》的相关规定，本项目对小型和微型企业产品的价格给予扣除，以扣除后的价格作为评审价格。</w:t>
      </w:r>
    </w:p>
    <w:p w14:paraId="5D598B47">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rPr>
        <w:t>根据《财库〔2014〕68号》监狱企业视同小型、微型企业，享受中小企业发展的采购政策（监狱企业参加采购活动时，应当提供由省级以上监狱管理局、戒毒管理局（含新疆生产建设兵团）出具的属于监狱企业的证明文件）。</w:t>
      </w:r>
    </w:p>
    <w:p w14:paraId="743EB403">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（4）根据《财库〔2017〕141号》符合条件的残疾人福利性单位视同小型、微型企业，享受中小  企业</w:t>
      </w:r>
      <w:r>
        <w:rPr>
          <w:rFonts w:hint="eastAsia" w:ascii="宋体" w:hAnsi="宋体" w:eastAsia="宋体" w:cs="宋体"/>
          <w:color w:val="auto"/>
          <w:spacing w:val="-4"/>
          <w:sz w:val="24"/>
          <w:szCs w:val="24"/>
          <w:highlight w:val="none"/>
        </w:rPr>
        <w:t>发展的政府采购政策。残疾人福利性单位属于小型、微型企业的，不重复享受政策。</w:t>
      </w:r>
    </w:p>
    <w:p w14:paraId="542DA385">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5）</w:t>
      </w:r>
      <w:r>
        <w:rPr>
          <w:rFonts w:hint="eastAsia" w:ascii="宋体" w:hAnsi="宋体" w:eastAsia="宋体" w:cs="宋体"/>
          <w:color w:val="auto"/>
          <w:sz w:val="24"/>
          <w:szCs w:val="24"/>
          <w:highlight w:val="none"/>
        </w:rPr>
        <w:t>小型、微型企业提供中型或大型企业制造的货物的，视同为中型或大型企业。参加采购活动的中小企业应当按“关于印发《政府采购促进中小企业发展管理办法》的通知[财库〔2020〕46号]”和《财库〔2017〕141号》</w:t>
      </w:r>
      <w:r>
        <w:rPr>
          <w:rFonts w:hint="eastAsia" w:ascii="宋体" w:hAnsi="宋体" w:eastAsia="宋体" w:cs="宋体"/>
          <w:color w:val="auto"/>
          <w:spacing w:val="-5"/>
          <w:sz w:val="24"/>
          <w:szCs w:val="24"/>
          <w:highlight w:val="none"/>
        </w:rPr>
        <w:t>规定提供《中小企业声明函》和《残疾人福利性单位声明函》。未提供上述资料的报价，其价格不予扣除。</w:t>
      </w:r>
    </w:p>
    <w:p w14:paraId="3F6780EF">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64"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pacing w:val="-4"/>
          <w:sz w:val="24"/>
          <w:szCs w:val="24"/>
          <w:highlight w:val="none"/>
          <w:lang w:val="en-US"/>
        </w:rPr>
        <w:t xml:space="preserve">3.2 </w:t>
      </w:r>
      <w:r>
        <w:rPr>
          <w:rFonts w:hint="eastAsia" w:ascii="宋体" w:hAnsi="宋体" w:eastAsia="宋体" w:cs="宋体"/>
          <w:bCs/>
          <w:color w:val="auto"/>
          <w:spacing w:val="-4"/>
          <w:sz w:val="24"/>
          <w:szCs w:val="24"/>
          <w:highlight w:val="none"/>
        </w:rPr>
        <w:t>强制采购节能产品、信息安全产品，优先采购环境标志产品。</w:t>
      </w:r>
    </w:p>
    <w:p w14:paraId="0925390A">
      <w:pPr>
        <w:keepNext w:val="0"/>
        <w:keepLines w:val="0"/>
        <w:pageBreakBefore w:val="0"/>
        <w:widowControl w:val="0"/>
        <w:shd w:val="clear"/>
        <w:tabs>
          <w:tab w:val="left" w:pos="440"/>
        </w:tabs>
        <w:kinsoku/>
        <w:wordWrap/>
        <w:overflowPunct/>
        <w:topLinePunct w:val="0"/>
        <w:autoSpaceDE w:val="0"/>
        <w:autoSpaceDN w:val="0"/>
        <w:bidi w:val="0"/>
        <w:adjustRightInd/>
        <w:snapToGrid w:val="0"/>
        <w:spacing w:line="360" w:lineRule="auto"/>
        <w:ind w:left="0" w:leftChars="0" w:right="0" w:firstLine="47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ab/>
      </w:r>
      <w:r>
        <w:rPr>
          <w:rFonts w:hint="eastAsia" w:ascii="宋体" w:hAnsi="宋体" w:eastAsia="宋体" w:cs="宋体"/>
          <w:color w:val="auto"/>
          <w:spacing w:val="-2"/>
          <w:sz w:val="24"/>
          <w:szCs w:val="24"/>
          <w:highlight w:val="none"/>
        </w:rPr>
        <w:t>节能产品是指列入财政部、国</w:t>
      </w:r>
      <w:r>
        <w:rPr>
          <w:rFonts w:hint="eastAsia" w:ascii="宋体" w:hAnsi="宋体" w:eastAsia="宋体" w:cs="宋体"/>
          <w:color w:val="auto"/>
          <w:spacing w:val="-6"/>
          <w:sz w:val="24"/>
          <w:szCs w:val="24"/>
          <w:highlight w:val="none"/>
        </w:rPr>
        <w:t>家发展和改革委员会制定的《节能产品政府采购清单》，且经过认定的节能产品；信息安全产品是指</w:t>
      </w:r>
      <w:r>
        <w:rPr>
          <w:rFonts w:hint="eastAsia" w:ascii="宋体" w:hAnsi="宋体" w:eastAsia="宋体" w:cs="宋体"/>
          <w:color w:val="auto"/>
          <w:spacing w:val="-3"/>
          <w:sz w:val="24"/>
          <w:szCs w:val="24"/>
          <w:highlight w:val="none"/>
        </w:rPr>
        <w:t>列入国家质检总局 国家认监委《信息安全产品强制性认证目录》，并获得强制性产品认证证书的产</w:t>
      </w:r>
      <w:r>
        <w:rPr>
          <w:rFonts w:hint="eastAsia" w:ascii="宋体" w:hAnsi="宋体" w:eastAsia="宋体" w:cs="宋体"/>
          <w:color w:val="auto"/>
          <w:spacing w:val="-8"/>
          <w:sz w:val="24"/>
          <w:szCs w:val="24"/>
          <w:highlight w:val="none"/>
        </w:rPr>
        <w:t>品；环境标志产品是指列入财政部、国家环保总局制定的《环境标志产品政府采购清单》，且经过认证的环境标志产品。</w:t>
      </w:r>
    </w:p>
    <w:p w14:paraId="3D780803">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）提供的产品属于信息安全产品的，供应商应当选择经国家认证的信息安全产品，并提供由中国信息安全认证中心按国家标准认证颁发的有效认证证书复印件。</w:t>
      </w:r>
    </w:p>
    <w:p w14:paraId="3ECBEBCC">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）提供的产品属于强制采购节能产品的，供应商应当选择《节能产品政府采购清单》中的产品，并提供有效的节能产品认证证书复印件。</w:t>
      </w:r>
    </w:p>
    <w:p w14:paraId="7595AD76">
      <w:pPr>
        <w:keepNext w:val="0"/>
        <w:keepLines w:val="0"/>
        <w:pageBreakBefore w:val="0"/>
        <w:widowControl w:val="0"/>
        <w:shd w:val="clear"/>
        <w:tabs>
          <w:tab w:val="left" w:pos="1820"/>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rPr>
        <w:t>）提供的产品属于环境标志产品的,供应商应当选择《环境标志产品政府采购清单》中的,且经过认证的环境标志产品投标,并提供有效的环境标志产品认证证书复印件</w:t>
      </w:r>
      <w:r>
        <w:rPr>
          <w:rFonts w:hint="eastAsia" w:ascii="宋体" w:hAnsi="宋体" w:eastAsia="宋体" w:cs="宋体"/>
          <w:b/>
          <w:color w:val="auto"/>
          <w:sz w:val="24"/>
          <w:szCs w:val="24"/>
          <w:highlight w:val="none"/>
        </w:rPr>
        <w:t>。</w:t>
      </w:r>
    </w:p>
    <w:p w14:paraId="63BD2D26">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3.3 </w:t>
      </w:r>
      <w:r>
        <w:rPr>
          <w:rFonts w:hint="eastAsia" w:ascii="宋体" w:hAnsi="宋体" w:eastAsia="宋体" w:cs="宋体"/>
          <w:bCs/>
          <w:color w:val="auto"/>
          <w:sz w:val="24"/>
          <w:szCs w:val="24"/>
          <w:highlight w:val="none"/>
        </w:rPr>
        <w:t>采购文件中的参考产品品牌或型号，是采购人根据项目所要实现的功能列出的品牌或型号，</w:t>
      </w:r>
      <w:r>
        <w:rPr>
          <w:rFonts w:hint="eastAsia" w:ascii="宋体" w:hAnsi="宋体" w:eastAsia="宋体" w:cs="宋体"/>
          <w:bCs/>
          <w:color w:val="auto"/>
          <w:spacing w:val="-8"/>
          <w:sz w:val="24"/>
          <w:szCs w:val="24"/>
          <w:highlight w:val="none"/>
        </w:rPr>
        <w:t>并不是限制条件。供应商可以采用不低于参考的产品档次参与竞争，但是所有技术和功能不得低于采</w:t>
      </w:r>
      <w:r>
        <w:rPr>
          <w:rFonts w:hint="eastAsia" w:ascii="宋体" w:hAnsi="宋体" w:eastAsia="宋体" w:cs="宋体"/>
          <w:bCs/>
          <w:color w:val="auto"/>
          <w:spacing w:val="-9"/>
          <w:sz w:val="24"/>
          <w:szCs w:val="24"/>
          <w:highlight w:val="none"/>
        </w:rPr>
        <w:t>购要求，并提供证明材料以保证整体功能的实现，并在方案中加以合理的阐述说明，否则将可能作为无效投标处理。</w:t>
      </w:r>
    </w:p>
    <w:p w14:paraId="7484572B">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二、招标文件</w:t>
      </w:r>
    </w:p>
    <w:p w14:paraId="72B296DF">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4、招标文件组成</w:t>
      </w:r>
    </w:p>
    <w:p w14:paraId="37A419E8">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6"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rPr>
        <w:t xml:space="preserve">4.1 </w:t>
      </w:r>
      <w:r>
        <w:rPr>
          <w:rFonts w:hint="eastAsia" w:ascii="宋体" w:hAnsi="宋体" w:eastAsia="宋体" w:cs="宋体"/>
          <w:color w:val="auto"/>
          <w:spacing w:val="-6"/>
          <w:sz w:val="24"/>
          <w:szCs w:val="24"/>
          <w:highlight w:val="none"/>
        </w:rPr>
        <w:t>招标文件组成：投标邀请、供应商须知、供应商应当提交的资格和资信证明文件、投标报价要求、投标文件编制要求和投标保证金缴纳方式、招标项目的技术规格、要求和数量、合同主要条款及合同签订方式、交货和提供服务的时间、付款条件、评标方法、评标标准、无效投标和废标条款、附件等。</w:t>
      </w:r>
    </w:p>
    <w:p w14:paraId="287994BE">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6"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rPr>
        <w:t xml:space="preserve">4.2 </w:t>
      </w:r>
      <w:r>
        <w:rPr>
          <w:rFonts w:hint="eastAsia" w:ascii="宋体" w:hAnsi="宋体" w:eastAsia="宋体" w:cs="宋体"/>
          <w:color w:val="auto"/>
          <w:spacing w:val="-6"/>
          <w:sz w:val="24"/>
          <w:szCs w:val="24"/>
          <w:highlight w:val="none"/>
        </w:rPr>
        <w:t>招标的最小单位是包。招标服务数量及技术要求中未分包的，供应商对要求提供的服务不得部分投标；招标服务数量及技术要求中已经分包的，应当以包为单位投标。</w:t>
      </w:r>
    </w:p>
    <w:p w14:paraId="14788E9D">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6"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rPr>
        <w:t xml:space="preserve">4.3 </w:t>
      </w:r>
      <w:r>
        <w:rPr>
          <w:rFonts w:hint="eastAsia" w:ascii="宋体" w:hAnsi="宋体" w:eastAsia="宋体" w:cs="宋体"/>
          <w:color w:val="auto"/>
          <w:spacing w:val="-6"/>
          <w:sz w:val="24"/>
          <w:szCs w:val="24"/>
          <w:highlight w:val="none"/>
        </w:rPr>
        <w:t>招标文件如果要求供应商提交备选投标方案的，供应商可以提交备选方案；否则，备选方案将被拒绝。</w:t>
      </w:r>
    </w:p>
    <w:p w14:paraId="12E539F8">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5、招标文件的澄清、修改</w:t>
      </w:r>
    </w:p>
    <w:p w14:paraId="0206E8F0">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5.1代理机构对已发出的招标文件进行必要澄清或者修改的，将在招标文件要求提交投标文件截止时间十五日前，在原招标公告媒体发布更正公告，该澄清或者修改的内容为招标文件的组成部分。</w:t>
      </w:r>
    </w:p>
    <w:p w14:paraId="669492E6">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5.2 </w:t>
      </w:r>
      <w:r>
        <w:rPr>
          <w:rFonts w:hint="eastAsia" w:ascii="宋体" w:hAnsi="宋体" w:eastAsia="宋体" w:cs="宋体"/>
          <w:color w:val="auto"/>
          <w:sz w:val="24"/>
          <w:szCs w:val="24"/>
          <w:highlight w:val="none"/>
        </w:rPr>
        <w:t>代理机构在招标文件要求提交投标文件截止时间三日前，有权决定延长投标截止时间和开标时间，并在原采购信息发布媒体上发布变更公告。</w:t>
      </w:r>
    </w:p>
    <w:p w14:paraId="65ED0ED2">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5.3 </w:t>
      </w:r>
      <w:r>
        <w:rPr>
          <w:rFonts w:hint="eastAsia" w:ascii="宋体" w:hAnsi="宋体" w:eastAsia="宋体" w:cs="宋体"/>
          <w:color w:val="auto"/>
          <w:sz w:val="24"/>
          <w:szCs w:val="24"/>
          <w:highlight w:val="none"/>
        </w:rPr>
        <w:t xml:space="preserve">供应商应在投标截止时间前关注原采购信息发布媒体上有关本招标项目有无变更公告。  </w:t>
      </w:r>
    </w:p>
    <w:p w14:paraId="2E42328C">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三、投标</w:t>
      </w:r>
    </w:p>
    <w:p w14:paraId="592CC3A4">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6、投标文件的语言、计量单位、货币和编制</w:t>
      </w:r>
    </w:p>
    <w:p w14:paraId="63D030AD">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jc w:val="both"/>
        <w:textAlignment w:val="auto"/>
        <w:rPr>
          <w:rFonts w:hint="eastAsia" w:ascii="宋体" w:hAnsi="宋体" w:eastAsia="宋体" w:cs="宋体"/>
          <w:color w:val="auto"/>
          <w:spacing w:val="-7"/>
          <w:sz w:val="24"/>
          <w:szCs w:val="24"/>
          <w:highlight w:val="none"/>
          <w:lang w:val="en-US"/>
        </w:rPr>
      </w:pPr>
      <w:r>
        <w:rPr>
          <w:rFonts w:hint="eastAsia" w:ascii="宋体" w:hAnsi="宋体" w:eastAsia="宋体" w:cs="宋体"/>
          <w:color w:val="auto"/>
          <w:spacing w:val="-7"/>
          <w:sz w:val="24"/>
          <w:szCs w:val="24"/>
          <w:highlight w:val="none"/>
          <w:lang w:val="en-US"/>
        </w:rPr>
        <w:t>6.1 供应商提交的投标文件、技术文件和资料，包括图纸中的说明，以及供应商与代理机构就有关投标的所有来往函电均应使用中文。投标文件中若有英文或其他语言文字的资料，应提供相应的中文翻译资料。对不同文本投标文件的解释发生异议的，以中文文本为准。</w:t>
      </w:r>
    </w:p>
    <w:p w14:paraId="00A7702A">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rPr>
        <w:t xml:space="preserve">6.2 </w:t>
      </w:r>
      <w:r>
        <w:rPr>
          <w:rFonts w:hint="eastAsia" w:ascii="宋体" w:hAnsi="宋体" w:eastAsia="宋体" w:cs="宋体"/>
          <w:color w:val="auto"/>
          <w:spacing w:val="-7"/>
          <w:sz w:val="24"/>
          <w:szCs w:val="24"/>
          <w:highlight w:val="none"/>
        </w:rPr>
        <w:t>供应商所使用的计量单位应为国家法定计量单位。</w:t>
      </w:r>
    </w:p>
    <w:p w14:paraId="75E11C61">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rPr>
        <w:t xml:space="preserve">6.3 </w:t>
      </w:r>
      <w:r>
        <w:rPr>
          <w:rFonts w:hint="eastAsia" w:ascii="宋体" w:hAnsi="宋体" w:eastAsia="宋体" w:cs="宋体"/>
          <w:color w:val="auto"/>
          <w:spacing w:val="-7"/>
          <w:sz w:val="24"/>
          <w:szCs w:val="24"/>
          <w:highlight w:val="none"/>
        </w:rPr>
        <w:t>供应商应用人民币报价。</w:t>
      </w:r>
    </w:p>
    <w:p w14:paraId="0656D8BF">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rPr>
        <w:t xml:space="preserve">6.4 </w:t>
      </w:r>
      <w:r>
        <w:rPr>
          <w:rFonts w:hint="eastAsia" w:ascii="宋体" w:hAnsi="宋体" w:eastAsia="宋体" w:cs="宋体"/>
          <w:color w:val="auto"/>
          <w:spacing w:val="-7"/>
          <w:sz w:val="24"/>
          <w:szCs w:val="24"/>
          <w:highlight w:val="none"/>
        </w:rPr>
        <w:t>投标文件应字迹清楚、内容齐全、不得涂改。如有修改，修改处须有供应商公章和法定代表人或其授权的供应商代表签字。</w:t>
      </w:r>
    </w:p>
    <w:p w14:paraId="7AABF1AD">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rPr>
        <w:t xml:space="preserve">6.5 </w:t>
      </w:r>
      <w:r>
        <w:rPr>
          <w:rFonts w:hint="eastAsia" w:ascii="宋体" w:hAnsi="宋体" w:eastAsia="宋体" w:cs="宋体"/>
          <w:color w:val="auto"/>
          <w:spacing w:val="-7"/>
          <w:sz w:val="24"/>
          <w:szCs w:val="24"/>
          <w:highlight w:val="none"/>
        </w:rPr>
        <w:t>投标文件应按照招标文件规定的顺序，统一用A4规格幅面打印、装订成册并编制目录，由于编排混乱导致投标文件被误读或查找不到，责任由供应商承担。</w:t>
      </w:r>
    </w:p>
    <w:p w14:paraId="6F6D57E3">
      <w:pPr>
        <w:pStyle w:val="27"/>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lang w:val="en-US"/>
        </w:rPr>
        <w:t xml:space="preserve">6.6 </w:t>
      </w:r>
      <w:r>
        <w:rPr>
          <w:rFonts w:hint="eastAsia" w:ascii="宋体" w:hAnsi="宋体" w:eastAsia="宋体" w:cs="宋体"/>
          <w:color w:val="auto"/>
          <w:spacing w:val="-7"/>
          <w:sz w:val="24"/>
          <w:szCs w:val="24"/>
          <w:highlight w:val="none"/>
        </w:rPr>
        <w:t xml:space="preserve">供应商应在投标文件中写清相应的项目编号、项目名称、供应商全称、地址、电话、传真等。    </w:t>
      </w:r>
    </w:p>
    <w:p w14:paraId="1BCD38D5">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5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pacing w:val="-7"/>
          <w:sz w:val="24"/>
          <w:szCs w:val="24"/>
          <w:highlight w:val="none"/>
        </w:rPr>
        <w:t>7</w:t>
      </w:r>
      <w:r>
        <w:rPr>
          <w:rFonts w:hint="eastAsia" w:ascii="宋体" w:hAnsi="宋体" w:eastAsia="宋体" w:cs="宋体"/>
          <w:b/>
          <w:color w:val="auto"/>
          <w:spacing w:val="-7"/>
          <w:sz w:val="24"/>
          <w:szCs w:val="24"/>
          <w:highlight w:val="none"/>
        </w:rPr>
        <w:t>、联合投标</w:t>
      </w:r>
    </w:p>
    <w:p w14:paraId="753628DA">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本次采购接受联合体投标。</w:t>
      </w:r>
    </w:p>
    <w:p w14:paraId="02DBFA11">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对于接受供应商以联合体形式参加采购活动的项目：</w:t>
      </w:r>
    </w:p>
    <w:p w14:paraId="56941969">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两个以上的自然人、法人或者其他组织可以组成一个联合体，以一个供应商的身份共同参加政府采购。</w:t>
      </w:r>
    </w:p>
    <w:p w14:paraId="0B3650E6">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以联合体形式进行政府采购的，参加联合体的供应商均应当具备政府采购法第二十二条规定的条件，并应当向采购人提交联合协议，载明联合体各方承担的工作和义务。联合体各方应当共同与采购人签订采购合同，就采购合同约定的事项对采购人承担连带责任。</w:t>
      </w:r>
    </w:p>
    <w:p w14:paraId="5F0E1F28">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联合体中有同类资质的供应商按照联合体分工承担相同工作的，应当按照资质等级较低的供应商确定资质等级。</w:t>
      </w:r>
    </w:p>
    <w:p w14:paraId="236B7951">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以联合体形式参加政府采购活动的，联合体各方不得再单独参加或者与其他供应商另外组成联合体参加同一合同项下的政府采购活动。</w:t>
      </w:r>
    </w:p>
    <w:p w14:paraId="6B61668D">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联合体成员存在不良信用记录的，视同联合体存在不良信用记录。</w:t>
      </w:r>
    </w:p>
    <w:p w14:paraId="71965F49">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8、投标费用</w:t>
      </w:r>
    </w:p>
    <w:p w14:paraId="5A2EEBB6">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 供应商应承担所有与准备和参加投标有关的费用。</w:t>
      </w:r>
    </w:p>
    <w:p w14:paraId="2A99D01B">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 xml:space="preserve">8.2 </w:t>
      </w:r>
      <w:r>
        <w:rPr>
          <w:rFonts w:hint="eastAsia" w:ascii="宋体" w:hAnsi="宋体" w:eastAsia="宋体" w:cs="宋体"/>
          <w:color w:val="auto"/>
          <w:sz w:val="24"/>
          <w:szCs w:val="24"/>
          <w:highlight w:val="none"/>
        </w:rPr>
        <w:t>招标代理费：</w:t>
      </w:r>
      <w:r>
        <w:rPr>
          <w:rFonts w:hint="eastAsia" w:ascii="宋体" w:hAnsi="宋体" w:eastAsia="宋体" w:cs="宋体"/>
          <w:color w:val="auto"/>
          <w:sz w:val="24"/>
          <w:szCs w:val="24"/>
          <w:highlight w:val="none"/>
        </w:rPr>
        <w:t>本次招标的代理服务费由成交供应商支付。代理服务费收费标准以中标金额为计费基数，参照计价格[2002]1980号文计算，供应商投标时应考虑在报价中，该费用包含在总价内，不单独列项。代理服务费由成交供应商在领取中标通知书时向采购代理机构缴纳。</w:t>
      </w:r>
    </w:p>
    <w:p w14:paraId="6391F71B">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9、投标文件组成</w:t>
      </w:r>
    </w:p>
    <w:p w14:paraId="246BDCE9">
      <w:pPr>
        <w:keepNext w:val="0"/>
        <w:keepLines w:val="0"/>
        <w:pageBreakBefore w:val="0"/>
        <w:widowControl w:val="0"/>
        <w:shd w:val="clear"/>
        <w:tabs>
          <w:tab w:val="left" w:pos="1666"/>
        </w:tabs>
        <w:kinsoku/>
        <w:wordWrap/>
        <w:overflowPunct/>
        <w:topLinePunct w:val="0"/>
        <w:autoSpaceDE w:val="0"/>
        <w:autoSpaceDN w:val="0"/>
        <w:bidi w:val="0"/>
        <w:adjustRightInd/>
        <w:snapToGrid w:val="0"/>
        <w:spacing w:line="360" w:lineRule="auto"/>
        <w:ind w:left="0" w:leftChars="0" w:right="0" w:firstLine="476" w:firstLineChars="200"/>
        <w:jc w:val="both"/>
        <w:textAlignment w:val="auto"/>
        <w:rPr>
          <w:rFonts w:hint="eastAsia" w:ascii="宋体" w:hAnsi="宋体" w:eastAsia="宋体" w:cs="宋体"/>
          <w:color w:val="auto"/>
          <w:spacing w:val="-1"/>
          <w:sz w:val="24"/>
          <w:szCs w:val="24"/>
          <w:highlight w:val="none"/>
          <w:lang w:val="en-US"/>
        </w:rPr>
      </w:pPr>
      <w:r>
        <w:rPr>
          <w:rFonts w:hint="eastAsia" w:ascii="宋体" w:hAnsi="宋体" w:eastAsia="宋体" w:cs="宋体"/>
          <w:color w:val="auto"/>
          <w:spacing w:val="-1"/>
          <w:sz w:val="24"/>
          <w:szCs w:val="24"/>
          <w:highlight w:val="none"/>
          <w:lang w:val="en-US"/>
        </w:rPr>
        <w:t>9.1 供应商应当根据招标文件要求编制投标文件，投标文件应对招标文件提出的要求和条件作出实质性响应，对带星号（“★或*”）的技术条款必须在投标文件中提供技术支持资料（如白皮书、彩页、手册、检测报告等），未提供技术支持资料的，评审时不予认可。</w:t>
      </w:r>
    </w:p>
    <w:p w14:paraId="09070F96">
      <w:pPr>
        <w:keepNext w:val="0"/>
        <w:keepLines w:val="0"/>
        <w:pageBreakBefore w:val="0"/>
        <w:widowControl w:val="0"/>
        <w:shd w:val="clear"/>
        <w:tabs>
          <w:tab w:val="left" w:pos="1666"/>
        </w:tabs>
        <w:kinsoku/>
        <w:wordWrap/>
        <w:overflowPunct/>
        <w:topLinePunct w:val="0"/>
        <w:autoSpaceDE w:val="0"/>
        <w:autoSpaceDN w:val="0"/>
        <w:bidi w:val="0"/>
        <w:adjustRightInd/>
        <w:snapToGrid w:val="0"/>
        <w:spacing w:line="360" w:lineRule="auto"/>
        <w:ind w:left="0" w:leftChars="0" w:right="0" w:firstLine="476" w:firstLineChars="200"/>
        <w:jc w:val="both"/>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val="en-US"/>
        </w:rPr>
        <w:t xml:space="preserve">9.2 </w:t>
      </w:r>
      <w:r>
        <w:rPr>
          <w:rFonts w:hint="eastAsia" w:ascii="宋体" w:hAnsi="宋体" w:eastAsia="宋体" w:cs="宋体"/>
          <w:color w:val="auto"/>
          <w:spacing w:val="-1"/>
          <w:sz w:val="24"/>
          <w:szCs w:val="24"/>
          <w:highlight w:val="none"/>
        </w:rPr>
        <w:t>供应商根据招标文件载明的标的采购项目实际情况，拟在中标后将中标项目的非主体、非关键性工作交由他人完成的，应当在投标文件中载明。</w:t>
      </w:r>
    </w:p>
    <w:p w14:paraId="3A2466DA">
      <w:pPr>
        <w:keepNext w:val="0"/>
        <w:keepLines w:val="0"/>
        <w:pageBreakBefore w:val="0"/>
        <w:widowControl w:val="0"/>
        <w:shd w:val="clear"/>
        <w:tabs>
          <w:tab w:val="left" w:pos="1666"/>
        </w:tabs>
        <w:kinsoku/>
        <w:wordWrap/>
        <w:overflowPunct/>
        <w:topLinePunct w:val="0"/>
        <w:autoSpaceDE w:val="0"/>
        <w:autoSpaceDN w:val="0"/>
        <w:bidi w:val="0"/>
        <w:adjustRightInd/>
        <w:snapToGrid w:val="0"/>
        <w:spacing w:line="360" w:lineRule="auto"/>
        <w:ind w:left="0" w:leftChars="0" w:right="0" w:firstLine="476" w:firstLineChars="200"/>
        <w:jc w:val="both"/>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val="en-US"/>
        </w:rPr>
        <w:t xml:space="preserve">9.3 </w:t>
      </w:r>
      <w:r>
        <w:rPr>
          <w:rFonts w:hint="eastAsia" w:ascii="宋体" w:hAnsi="宋体" w:eastAsia="宋体" w:cs="宋体"/>
          <w:color w:val="auto"/>
          <w:spacing w:val="-1"/>
          <w:sz w:val="24"/>
          <w:szCs w:val="24"/>
          <w:highlight w:val="none"/>
        </w:rPr>
        <w:t>投标文件由商务部分、技术部分、价格部分，以及其他部分组成。</w:t>
      </w:r>
    </w:p>
    <w:p w14:paraId="22804F54">
      <w:pPr>
        <w:keepNext w:val="0"/>
        <w:keepLines w:val="0"/>
        <w:pageBreakBefore w:val="0"/>
        <w:widowControl w:val="0"/>
        <w:shd w:val="clear"/>
        <w:tabs>
          <w:tab w:val="left" w:pos="0"/>
        </w:tabs>
        <w:kinsoku/>
        <w:wordWrap/>
        <w:overflowPunct/>
        <w:topLinePunct w:val="0"/>
        <w:autoSpaceDE w:val="0"/>
        <w:autoSpaceDN w:val="0"/>
        <w:bidi w:val="0"/>
        <w:adjustRightInd/>
        <w:snapToGrid w:val="0"/>
        <w:spacing w:line="360" w:lineRule="auto"/>
        <w:ind w:left="0" w:leftChars="0" w:righ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10、投标文件的商务部分</w:t>
      </w:r>
    </w:p>
    <w:p w14:paraId="7BDCCB05">
      <w:pPr>
        <w:pStyle w:val="7"/>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商务部分是证明供应商有资格参加投标和中标后有能力履行合同的文件，这些文件应能满足招标的要求，包括但不限于下列文件，其中加*项目不得有缺失或无效。</w:t>
      </w:r>
    </w:p>
    <w:p w14:paraId="3FF1F623">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rPr>
        <w:t>1）</w:t>
      </w:r>
      <w:r>
        <w:rPr>
          <w:rFonts w:hint="eastAsia" w:ascii="宋体" w:hAnsi="宋体" w:eastAsia="宋体" w:cs="宋体"/>
          <w:bCs/>
          <w:color w:val="auto"/>
          <w:sz w:val="24"/>
          <w:szCs w:val="24"/>
          <w:highlight w:val="none"/>
        </w:rPr>
        <w:t>*投标函（投标申请及声明）；</w:t>
      </w:r>
    </w:p>
    <w:p w14:paraId="6ADFF832">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*法定代表人授权委托书原件及委托代理人的身份证复印件；</w:t>
      </w:r>
    </w:p>
    <w:p w14:paraId="69BCC030">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*开标一览表（另外单独密封一份，便于唱标时查找）；</w:t>
      </w:r>
    </w:p>
    <w:p w14:paraId="3EA57F23">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*第一章投标邀请中 2.1《中华人民共和国政府采购法》规定的资格条件证明文件；</w:t>
      </w:r>
    </w:p>
    <w:p w14:paraId="74240C17">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5</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*第一章投标邀请中 2.2 采购人根据采购项目的特殊要求规定的特定条件证明文件（若有）</w:t>
      </w:r>
      <w:r>
        <w:rPr>
          <w:rFonts w:hint="eastAsia" w:ascii="宋体" w:hAnsi="宋体" w:eastAsia="宋体" w:cs="宋体"/>
          <w:bCs/>
          <w:color w:val="auto"/>
          <w:sz w:val="24"/>
          <w:szCs w:val="24"/>
          <w:highlight w:val="none"/>
          <w:lang w:eastAsia="zh-CN"/>
        </w:rPr>
        <w:t>；</w:t>
      </w:r>
    </w:p>
    <w:p w14:paraId="2D537625">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6</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*第一章投标邀请中 2.4 南京市政府采购供应商信用记录表暨信用承诺书；</w:t>
      </w:r>
    </w:p>
    <w:p w14:paraId="27FEB3D6">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7</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投标分项报价表</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w:t>
      </w:r>
    </w:p>
    <w:p w14:paraId="6B5502FB">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rPr>
        <w:t>《商务条款响应表》</w:t>
      </w:r>
      <w:r>
        <w:rPr>
          <w:rFonts w:hint="eastAsia" w:ascii="宋体" w:hAnsi="宋体" w:eastAsia="宋体" w:cs="宋体"/>
          <w:bCs/>
          <w:color w:val="auto"/>
          <w:sz w:val="24"/>
          <w:szCs w:val="24"/>
          <w:highlight w:val="none"/>
          <w:lang w:eastAsia="zh-CN"/>
        </w:rPr>
        <w:t>；</w:t>
      </w:r>
    </w:p>
    <w:p w14:paraId="7FF4403F">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9</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供应商认为需要提供的其他资格证明文件和商务资料等。</w:t>
      </w:r>
    </w:p>
    <w:p w14:paraId="50272C81">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11、投标文件的技术部分</w:t>
      </w:r>
    </w:p>
    <w:p w14:paraId="208A0BA1">
      <w:pPr>
        <w:pStyle w:val="27"/>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11.1 </w:t>
      </w:r>
      <w:r>
        <w:rPr>
          <w:rFonts w:hint="eastAsia" w:ascii="宋体" w:hAnsi="宋体" w:eastAsia="宋体" w:cs="宋体"/>
          <w:color w:val="auto"/>
          <w:sz w:val="24"/>
          <w:szCs w:val="24"/>
          <w:highlight w:val="none"/>
        </w:rPr>
        <w:t>技术部分是证明供应商提供的产品和服务是合格的、并符合招标文件要求的证明文件，以及对投标报价表中的服务的详细说明，这些文件可以是文字资料、图纸和数据等。</w:t>
      </w:r>
    </w:p>
    <w:p w14:paraId="795D8273">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11.2 </w:t>
      </w:r>
      <w:r>
        <w:rPr>
          <w:rFonts w:hint="eastAsia" w:ascii="宋体" w:hAnsi="宋体" w:eastAsia="宋体" w:cs="宋体"/>
          <w:color w:val="auto"/>
          <w:sz w:val="24"/>
          <w:szCs w:val="24"/>
          <w:highlight w:val="none"/>
        </w:rPr>
        <w:t>若技术性能无特殊说明，则按国家有关部门最新颁布的标准及规范为准；</w:t>
      </w:r>
    </w:p>
    <w:p w14:paraId="65068314">
      <w:pPr>
        <w:pStyle w:val="27"/>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11.3 </w:t>
      </w:r>
      <w:r>
        <w:rPr>
          <w:rFonts w:hint="eastAsia" w:ascii="宋体" w:hAnsi="宋体" w:eastAsia="宋体" w:cs="宋体"/>
          <w:color w:val="auto"/>
          <w:sz w:val="24"/>
          <w:szCs w:val="24"/>
          <w:highlight w:val="none"/>
        </w:rPr>
        <w:t>投标文件应按照招标文件要求提供技术资料、文件和有关证明，包括但不限于其中加*项目不得有缺失或无效：</w:t>
      </w:r>
    </w:p>
    <w:p w14:paraId="7773EDCD">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92"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pacing w:val="3"/>
          <w:sz w:val="24"/>
          <w:szCs w:val="24"/>
          <w:highlight w:val="none"/>
        </w:rPr>
        <w:t>（</w:t>
      </w:r>
      <w:r>
        <w:rPr>
          <w:rFonts w:hint="eastAsia" w:ascii="宋体" w:hAnsi="宋体" w:eastAsia="宋体" w:cs="宋体"/>
          <w:bCs/>
          <w:color w:val="auto"/>
          <w:spacing w:val="3"/>
          <w:sz w:val="24"/>
          <w:szCs w:val="24"/>
          <w:highlight w:val="none"/>
          <w:lang w:val="en-US"/>
        </w:rPr>
        <w:t>1）</w:t>
      </w:r>
      <w:r>
        <w:rPr>
          <w:rFonts w:hint="eastAsia" w:ascii="宋体" w:hAnsi="宋体" w:eastAsia="宋体" w:cs="宋体"/>
          <w:bCs/>
          <w:color w:val="auto"/>
          <w:sz w:val="24"/>
          <w:szCs w:val="24"/>
          <w:highlight w:val="none"/>
        </w:rPr>
        <w:t>*项目</w:t>
      </w:r>
      <w:r>
        <w:rPr>
          <w:rFonts w:hint="eastAsia" w:ascii="宋体" w:hAnsi="宋体" w:eastAsia="宋体" w:cs="宋体"/>
          <w:bCs/>
          <w:color w:val="auto"/>
          <w:sz w:val="24"/>
          <w:szCs w:val="24"/>
          <w:highlight w:val="none"/>
          <w:lang w:val="en-US"/>
        </w:rPr>
        <w:t>实施方案</w:t>
      </w:r>
      <w:r>
        <w:rPr>
          <w:rFonts w:hint="eastAsia" w:ascii="宋体" w:hAnsi="宋体" w:eastAsia="宋体" w:cs="宋体"/>
          <w:bCs/>
          <w:color w:val="auto"/>
          <w:sz w:val="24"/>
          <w:szCs w:val="24"/>
          <w:highlight w:val="none"/>
        </w:rPr>
        <w:t>；</w:t>
      </w:r>
    </w:p>
    <w:p w14:paraId="69EE6191">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*质量保证及服务承诺；</w:t>
      </w:r>
    </w:p>
    <w:p w14:paraId="6687313D">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投标人实施本项目拟投入的专业人员一览表；</w:t>
      </w:r>
    </w:p>
    <w:p w14:paraId="10A1F8CA">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投标人认为需要提供的其他证明文件。</w:t>
      </w:r>
    </w:p>
    <w:p w14:paraId="3D9B3E11">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12、投标文件的价格部分</w:t>
      </w:r>
    </w:p>
    <w:p w14:paraId="5DB80A50">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12.1 价格部分是对投标货物及服务价格构成的说明，每一项服务仅接受一个价格。</w:t>
      </w:r>
    </w:p>
    <w:p w14:paraId="4CD8B5D0">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12.2 采购提倡公平竞争，反对低于成本、串通报价、哄抬价格等恶意竞争行为，任何盲目压价、低于成本报价、串通哄抬报价等价格将会被拒绝。报价应低于市场平均价。</w:t>
      </w:r>
    </w:p>
    <w:p w14:paraId="3CC53421">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12.3 投标报价：包括但不限于完成文件所确定的服务范围所需的全部费用，及其相应税费、政策性文件规定及实施过程中所有风险、责任等各项应有费用， 不论其在采购文件中是否有提及。投标供应商应根据上述因素自行考虑含入投标报价。</w:t>
      </w:r>
    </w:p>
    <w:p w14:paraId="5EAEF53E">
      <w:pPr>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12.4 供应商的任何错漏、优惠、竞争性报价不得作为减轻责任、减少服务、增加收费、降低质量的理由。在验收过程中，如发现有漏项、缺件，投标方应无条件、无偿补齐，所发生的一切费</w:t>
      </w:r>
      <w:r>
        <w:rPr>
          <w:rFonts w:hint="eastAsia" w:ascii="宋体" w:hAnsi="宋体" w:eastAsia="宋体" w:cs="宋体"/>
          <w:color w:val="auto"/>
          <w:sz w:val="24"/>
          <w:szCs w:val="24"/>
          <w:highlight w:val="none"/>
          <w:lang w:val="en-US" w:eastAsia="zh-CN"/>
        </w:rPr>
        <w:t>用</w:t>
      </w:r>
      <w:r>
        <w:rPr>
          <w:rFonts w:hint="eastAsia" w:ascii="宋体" w:hAnsi="宋体" w:eastAsia="宋体" w:cs="宋体"/>
          <w:color w:val="auto"/>
          <w:sz w:val="24"/>
          <w:szCs w:val="24"/>
          <w:highlight w:val="none"/>
          <w:lang w:val="en-US"/>
        </w:rPr>
        <w:t>，视为已包含在投标方的最终投标报价中。</w:t>
      </w:r>
    </w:p>
    <w:p w14:paraId="28722FB8">
      <w:pPr>
        <w:pStyle w:val="27"/>
        <w:keepNext w:val="0"/>
        <w:keepLines w:val="0"/>
        <w:pageBreakBefore w:val="0"/>
        <w:widowControl w:val="0"/>
        <w:shd w:val="clear"/>
        <w:tabs>
          <w:tab w:val="left" w:pos="1824"/>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12.5 </w:t>
      </w:r>
      <w:r>
        <w:rPr>
          <w:rFonts w:hint="eastAsia" w:ascii="宋体" w:hAnsi="宋体" w:eastAsia="宋体" w:cs="宋体"/>
          <w:color w:val="auto"/>
          <w:sz w:val="24"/>
          <w:szCs w:val="24"/>
          <w:highlight w:val="none"/>
        </w:rPr>
        <w:t>供应商应在《开标一览表》、《投标分项报价</w:t>
      </w:r>
      <w:r>
        <w:rPr>
          <w:rFonts w:hint="eastAsia" w:ascii="宋体" w:hAnsi="宋体" w:eastAsia="宋体" w:cs="宋体"/>
          <w:color w:val="auto"/>
          <w:sz w:val="24"/>
          <w:szCs w:val="24"/>
          <w:highlight w:val="none"/>
          <w:lang w:val="en-US" w:eastAsia="zh-CN"/>
        </w:rPr>
        <w:t>表</w:t>
      </w:r>
      <w:r>
        <w:rPr>
          <w:rFonts w:hint="eastAsia" w:ascii="宋体" w:hAnsi="宋体" w:eastAsia="宋体" w:cs="宋体"/>
          <w:color w:val="auto"/>
          <w:sz w:val="24"/>
          <w:szCs w:val="24"/>
          <w:highlight w:val="none"/>
        </w:rPr>
        <w:t>》等标明提供货物及服务的单价、总价以及分项报价。供应商系小企业（含小型、微型企业、监狱企业），须在《开标一览表》、《投标分项报价》中注明。</w:t>
      </w:r>
    </w:p>
    <w:p w14:paraId="7AF49F14">
      <w:pPr>
        <w:pStyle w:val="27"/>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12.6</w:t>
      </w:r>
      <w:r>
        <w:rPr>
          <w:rFonts w:hint="eastAsia" w:ascii="宋体" w:hAnsi="宋体" w:eastAsia="宋体" w:cs="宋体"/>
          <w:color w:val="auto"/>
          <w:sz w:val="24"/>
          <w:szCs w:val="24"/>
          <w:highlight w:val="none"/>
        </w:rPr>
        <w:t>《开标一览表》一份，单独封装并标明“开标一览表”字样，随投标文件一并递交，以便唱标时使用。</w:t>
      </w:r>
    </w:p>
    <w:p w14:paraId="5C5A1EFF">
      <w:pPr>
        <w:pStyle w:val="27"/>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12.7 投标供应商应充分考虑到市场价格变动，以及项目实施过程中的不可预见因素。</w:t>
      </w:r>
    </w:p>
    <w:p w14:paraId="7CB8E2B1">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13、投标文件的其他部分</w:t>
      </w:r>
    </w:p>
    <w:p w14:paraId="72CA23E2">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其他部分由供应商根据编制投标文件需要提供的其他相关文件。</w:t>
      </w:r>
    </w:p>
    <w:p w14:paraId="477C3DB8">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rPr>
        <w:t>4</w:t>
      </w:r>
      <w:r>
        <w:rPr>
          <w:rFonts w:hint="eastAsia" w:ascii="宋体" w:hAnsi="宋体" w:eastAsia="宋体" w:cs="宋体"/>
          <w:b/>
          <w:color w:val="auto"/>
          <w:sz w:val="24"/>
          <w:szCs w:val="24"/>
          <w:highlight w:val="none"/>
        </w:rPr>
        <w:t>、投标有效期</w:t>
      </w:r>
    </w:p>
    <w:p w14:paraId="7492135F">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14.1 </w:t>
      </w:r>
      <w:r>
        <w:rPr>
          <w:rFonts w:hint="eastAsia" w:ascii="宋体" w:hAnsi="宋体" w:eastAsia="宋体" w:cs="宋体"/>
          <w:color w:val="auto"/>
          <w:sz w:val="24"/>
          <w:szCs w:val="24"/>
          <w:highlight w:val="none"/>
        </w:rPr>
        <w:t>自开标之日起90天内投标有效。</w:t>
      </w:r>
    </w:p>
    <w:p w14:paraId="279826A2">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14.2 </w:t>
      </w:r>
      <w:r>
        <w:rPr>
          <w:rFonts w:hint="eastAsia" w:ascii="宋体" w:hAnsi="宋体" w:eastAsia="宋体" w:cs="宋体"/>
          <w:color w:val="auto"/>
          <w:sz w:val="24"/>
          <w:szCs w:val="24"/>
          <w:highlight w:val="none"/>
        </w:rPr>
        <w:t>在特殊情况下，在原投标有效期截止之前，代理机构可要求供应商同意延长投标有效期，这种要求与答复均以书面形式提交。</w:t>
      </w:r>
    </w:p>
    <w:p w14:paraId="36E6A6D8">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rPr>
        <w:t>5</w:t>
      </w:r>
      <w:r>
        <w:rPr>
          <w:rFonts w:hint="eastAsia" w:ascii="宋体" w:hAnsi="宋体" w:eastAsia="宋体" w:cs="宋体"/>
          <w:b/>
          <w:color w:val="auto"/>
          <w:sz w:val="24"/>
          <w:szCs w:val="24"/>
          <w:highlight w:val="none"/>
        </w:rPr>
        <w:t>、投标文件签署</w:t>
      </w:r>
    </w:p>
    <w:p w14:paraId="69CC5FA1">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5</w:t>
      </w:r>
      <w:r>
        <w:rPr>
          <w:rFonts w:hint="eastAsia" w:ascii="宋体" w:hAnsi="宋体" w:eastAsia="宋体" w:cs="宋体"/>
          <w:color w:val="auto"/>
          <w:sz w:val="24"/>
          <w:szCs w:val="24"/>
          <w:highlight w:val="none"/>
        </w:rPr>
        <w:t>.1 投标文件的正本和副本均由供应商法定代表人或经正式授权并对供应商有约束力的委托代理人签字。</w:t>
      </w:r>
    </w:p>
    <w:p w14:paraId="2AE8059D">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rPr>
        <w:t>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rPr>
        <w:t>★</w:t>
      </w:r>
      <w:r>
        <w:rPr>
          <w:rFonts w:hint="eastAsia" w:ascii="宋体" w:hAnsi="宋体" w:eastAsia="宋体" w:cs="宋体"/>
          <w:b/>
          <w:color w:val="auto"/>
          <w:sz w:val="24"/>
          <w:szCs w:val="24"/>
          <w:highlight w:val="none"/>
        </w:rPr>
        <w:t>投标文件的密封和递交</w:t>
      </w:r>
    </w:p>
    <w:p w14:paraId="7E416A33">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16.1 投标</w:t>
      </w:r>
      <w:r>
        <w:rPr>
          <w:rFonts w:hint="eastAsia" w:ascii="宋体" w:hAnsi="宋体" w:eastAsia="宋体" w:cs="宋体"/>
          <w:color w:val="auto"/>
          <w:sz w:val="24"/>
          <w:szCs w:val="24"/>
          <w:highlight w:val="none"/>
        </w:rPr>
        <w:t>文件须胶装成册，密封封装，密封处须加盖公章，封面注明项目编号、项目名称、供应商名称等信息。响应性文件须法人代表或授权代表签署，电子件与纸质文件一同密封；</w:t>
      </w:r>
    </w:p>
    <w:p w14:paraId="0117F548">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 xml:space="preserve">16.2 </w:t>
      </w:r>
      <w:r>
        <w:rPr>
          <w:rFonts w:hint="eastAsia" w:ascii="宋体" w:hAnsi="宋体" w:eastAsia="宋体" w:cs="宋体"/>
          <w:color w:val="auto"/>
          <w:sz w:val="24"/>
          <w:szCs w:val="24"/>
          <w:highlight w:val="none"/>
        </w:rPr>
        <w:t xml:space="preserve">供应商应当在招标文件要求提交投标文件的截止时间前，将密封的投标文件送达投标地点。  </w:t>
      </w:r>
    </w:p>
    <w:p w14:paraId="432F3B3A">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16.3 盖章和签字要求：</w:t>
      </w:r>
    </w:p>
    <w:p w14:paraId="215749A9">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1、投标文件封面；</w:t>
      </w:r>
    </w:p>
    <w:p w14:paraId="6E14DEF1">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2、投标文件要求的文件格式及附件内容；</w:t>
      </w:r>
    </w:p>
    <w:p w14:paraId="1B7BB2B2">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3、所有证明性材料；</w:t>
      </w:r>
    </w:p>
    <w:p w14:paraId="6E63E80A">
      <w:pPr>
        <w:keepNext w:val="0"/>
        <w:keepLines w:val="0"/>
        <w:pageBreakBefore w:val="0"/>
        <w:widowControl w:val="0"/>
        <w:shd w:val="clear"/>
        <w:tabs>
          <w:tab w:val="left" w:pos="1823"/>
          <w:tab w:val="left" w:pos="6554"/>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4、报价汇总表及分项报价表（如有）；</w:t>
      </w:r>
      <w:r>
        <w:rPr>
          <w:rFonts w:hint="eastAsia" w:ascii="宋体" w:hAnsi="宋体" w:eastAsia="宋体" w:cs="宋体"/>
          <w:color w:val="auto"/>
          <w:sz w:val="24"/>
          <w:szCs w:val="24"/>
          <w:highlight w:val="none"/>
          <w:lang w:val="en-US"/>
        </w:rPr>
        <w:tab/>
      </w:r>
    </w:p>
    <w:p w14:paraId="6D110F5D">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5、所有涉及到需要盖章或签字处均须盖章和签字</w:t>
      </w:r>
    </w:p>
    <w:p w14:paraId="4941AD10">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rPr>
        <w:t>7、</w:t>
      </w:r>
      <w:r>
        <w:rPr>
          <w:rFonts w:hint="eastAsia" w:ascii="宋体" w:hAnsi="宋体" w:eastAsia="宋体" w:cs="宋体"/>
          <w:b/>
          <w:color w:val="auto"/>
          <w:sz w:val="24"/>
          <w:szCs w:val="24"/>
          <w:highlight w:val="none"/>
        </w:rPr>
        <w:t>有下列情形之一的投标文件将拒收：</w:t>
      </w:r>
    </w:p>
    <w:p w14:paraId="66E160DA">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被</w:t>
      </w:r>
      <w:r>
        <w:rPr>
          <w:rFonts w:hint="eastAsia" w:ascii="宋体" w:hAnsi="宋体" w:eastAsia="宋体" w:cs="宋体"/>
          <w:color w:val="auto"/>
          <w:sz w:val="24"/>
          <w:szCs w:val="24"/>
          <w:highlight w:val="none"/>
        </w:rPr>
        <w:t>授权人本人（法定代表人或授权委托代理人）必须在投标截止时间前到达投标开标现场并递交有效的法人资格证明或有效的授权委托书、本人身份证原件，否则将视为投标人自动放弃本次投标。（以上提供材料无须密封，在投标文件外单独递交，所递交材料必须加盖公章）</w:t>
      </w:r>
      <w:r>
        <w:rPr>
          <w:rFonts w:hint="eastAsia" w:ascii="宋体" w:hAnsi="宋体" w:eastAsia="宋体" w:cs="宋体"/>
          <w:color w:val="auto"/>
          <w:sz w:val="24"/>
          <w:szCs w:val="24"/>
          <w:highlight w:val="none"/>
          <w:lang w:val="en-US"/>
        </w:rPr>
        <w:t>。</w:t>
      </w:r>
    </w:p>
    <w:p w14:paraId="02F7C8C6">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rPr>
        <w:t>8</w:t>
      </w:r>
      <w:r>
        <w:rPr>
          <w:rFonts w:hint="eastAsia" w:ascii="宋体" w:hAnsi="宋体" w:eastAsia="宋体" w:cs="宋体"/>
          <w:b/>
          <w:color w:val="auto"/>
          <w:sz w:val="24"/>
          <w:szCs w:val="24"/>
          <w:highlight w:val="none"/>
        </w:rPr>
        <w:t>、投标文件的修改和撤回</w:t>
      </w:r>
    </w:p>
    <w:p w14:paraId="03F2D35F">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18.1 供应商在投标截止时间前，可以对所递交的投标文件进行补充、修改或撤回，并书面通知代理机构。补充、修改的内容应当按照招标文件要求签署、盖章，并作为投标文件的组成部分。</w:t>
      </w:r>
    </w:p>
    <w:p w14:paraId="4B5E8222">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18.2 投标截止时间过后，投标文件不得撤回。</w:t>
      </w:r>
    </w:p>
    <w:p w14:paraId="786385F2">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四、开标、评标与确定中标供应商</w:t>
      </w:r>
    </w:p>
    <w:p w14:paraId="1F4A9EB8">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19、开标</w:t>
      </w:r>
    </w:p>
    <w:p w14:paraId="14BD81B0">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19.1 代理机构将在招标文件确定的时间和地点进行公开开标。供应商应委派代表准时参加，参加开标的代表须签名报到以证明其出席。</w:t>
      </w:r>
    </w:p>
    <w:p w14:paraId="35CE4738">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19.2 开标时，代理机构将邀请供应商代表或公证机构检查投标文件的密封情况，经确认无误后，由代理机构工作人员当众拆封，宣读供应商名称、投标价格、价格折扣、招标文件允许提供的备选投标方案和投标文件的其他主要内容。</w:t>
      </w:r>
    </w:p>
    <w:p w14:paraId="10FDE9FE">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19.3 未宣读的投标价格、价格折扣和招标文件允许提供的备选投标方案等实质性内容，评标时不予承认。</w:t>
      </w:r>
    </w:p>
    <w:p w14:paraId="435AF4CB">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19.4 开标时，《开标一览表》内容与投标文件中明细表内容不一致的，以《开标一览表》为准。</w:t>
      </w:r>
    </w:p>
    <w:p w14:paraId="6D4E6DEE">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19.5 投标文件、《开标一览表》中报价的大写金额与小写金额不一致的，以大写金额为准；总价金额与按单价金额不一致的，以单价金额计算为准；单价金额小数点有明显错位的，应以总价为准，并修改单价；对不同文字文本投标文件的解释发生异议的，以中文文本为准。</w:t>
      </w:r>
    </w:p>
    <w:p w14:paraId="589AB8BC">
      <w:pPr>
        <w:pStyle w:val="27"/>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19.6 投标截止时间结束后参加投标的供应商不足三家的，除采购任务取消情形外，代理机构报经监管部门批准后，可变更为竞争性谈判或者单一来源方式采购。如果变更为竞争性谈判采购的，代理机构根据招标文件中的采购需求编制谈判文件，只与该两家供应商进行竞争性谈判采购。</w:t>
      </w:r>
    </w:p>
    <w:p w14:paraId="15C601A5">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rPr>
        <w:t>20</w:t>
      </w:r>
      <w:r>
        <w:rPr>
          <w:rFonts w:hint="eastAsia" w:ascii="宋体" w:hAnsi="宋体" w:eastAsia="宋体" w:cs="宋体"/>
          <w:b/>
          <w:color w:val="auto"/>
          <w:sz w:val="24"/>
          <w:szCs w:val="24"/>
          <w:highlight w:val="none"/>
        </w:rPr>
        <w:t>、评标</w:t>
      </w:r>
    </w:p>
    <w:p w14:paraId="19EC326B">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20.1 </w:t>
      </w:r>
      <w:r>
        <w:rPr>
          <w:rFonts w:hint="eastAsia" w:ascii="宋体" w:hAnsi="宋体" w:eastAsia="宋体" w:cs="宋体"/>
          <w:bCs/>
          <w:color w:val="auto"/>
          <w:sz w:val="24"/>
          <w:szCs w:val="24"/>
          <w:highlight w:val="none"/>
        </w:rPr>
        <w:t>评标组织</w:t>
      </w:r>
    </w:p>
    <w:p w14:paraId="4A20FEEB">
      <w:pPr>
        <w:pStyle w:val="27"/>
        <w:keepNext w:val="0"/>
        <w:keepLines w:val="0"/>
        <w:pageBreakBefore w:val="0"/>
        <w:widowControl w:val="0"/>
        <w:shd w:val="clear"/>
        <w:tabs>
          <w:tab w:val="left" w:pos="1988"/>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20.1.1 </w:t>
      </w:r>
      <w:r>
        <w:rPr>
          <w:rFonts w:hint="eastAsia" w:ascii="宋体" w:hAnsi="宋体" w:eastAsia="宋体" w:cs="宋体"/>
          <w:bCs/>
          <w:color w:val="auto"/>
          <w:sz w:val="24"/>
          <w:szCs w:val="24"/>
          <w:highlight w:val="none"/>
        </w:rPr>
        <w:t>评标工作由代理机构负责组织，具体评标事务由依法组建的评标委员会负责，并独立履行下列职责：</w:t>
      </w:r>
    </w:p>
    <w:p w14:paraId="47CCA79B">
      <w:pPr>
        <w:keepNext w:val="0"/>
        <w:keepLines w:val="0"/>
        <w:pageBreakBefore w:val="0"/>
        <w:widowControl w:val="0"/>
        <w:shd w:val="clear"/>
        <w:tabs>
          <w:tab w:val="left" w:pos="1988"/>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rPr>
        <w:t>1）</w:t>
      </w:r>
      <w:r>
        <w:rPr>
          <w:rFonts w:hint="eastAsia" w:ascii="宋体" w:hAnsi="宋体" w:eastAsia="宋体" w:cs="宋体"/>
          <w:bCs/>
          <w:color w:val="auto"/>
          <w:sz w:val="24"/>
          <w:szCs w:val="24"/>
          <w:highlight w:val="none"/>
        </w:rPr>
        <w:t>审查投标文件是否符合招标文件要求，并作出评价；</w:t>
      </w:r>
    </w:p>
    <w:p w14:paraId="3C39E0A4">
      <w:pPr>
        <w:keepNext w:val="0"/>
        <w:keepLines w:val="0"/>
        <w:pageBreakBefore w:val="0"/>
        <w:widowControl w:val="0"/>
        <w:shd w:val="clear"/>
        <w:tabs>
          <w:tab w:val="left" w:pos="1988"/>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rPr>
        <w:t>2</w:t>
      </w:r>
      <w:r>
        <w:rPr>
          <w:rFonts w:hint="eastAsia" w:ascii="宋体" w:hAnsi="宋体" w:eastAsia="宋体" w:cs="宋体"/>
          <w:bCs/>
          <w:color w:val="auto"/>
          <w:sz w:val="24"/>
          <w:szCs w:val="24"/>
          <w:highlight w:val="none"/>
        </w:rPr>
        <w:t>）要求供应商对投标文件有关事项作出解释或者澄清；</w:t>
      </w:r>
    </w:p>
    <w:p w14:paraId="7D1B2CEF">
      <w:pPr>
        <w:keepNext w:val="0"/>
        <w:keepLines w:val="0"/>
        <w:pageBreakBefore w:val="0"/>
        <w:widowControl w:val="0"/>
        <w:shd w:val="clear"/>
        <w:tabs>
          <w:tab w:val="left" w:pos="1988"/>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rPr>
        <w:t>3</w:t>
      </w:r>
      <w:r>
        <w:rPr>
          <w:rFonts w:hint="eastAsia" w:ascii="宋体" w:hAnsi="宋体" w:eastAsia="宋体" w:cs="宋体"/>
          <w:bCs/>
          <w:color w:val="auto"/>
          <w:sz w:val="24"/>
          <w:szCs w:val="24"/>
          <w:highlight w:val="none"/>
        </w:rPr>
        <w:t>）推荐中标候选供应商名单，或者按照招标文件规定直接确定供应商；</w:t>
      </w:r>
    </w:p>
    <w:p w14:paraId="5C0DBBA3">
      <w:pPr>
        <w:keepNext w:val="0"/>
        <w:keepLines w:val="0"/>
        <w:pageBreakBefore w:val="0"/>
        <w:widowControl w:val="0"/>
        <w:shd w:val="clear"/>
        <w:tabs>
          <w:tab w:val="left" w:pos="1988"/>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rPr>
        <w:t>4</w:t>
      </w:r>
      <w:r>
        <w:rPr>
          <w:rFonts w:hint="eastAsia" w:ascii="宋体" w:hAnsi="宋体" w:eastAsia="宋体" w:cs="宋体"/>
          <w:bCs/>
          <w:color w:val="auto"/>
          <w:sz w:val="24"/>
          <w:szCs w:val="24"/>
          <w:highlight w:val="none"/>
        </w:rPr>
        <w:t>）向财政部门报告非法干预评标工作的行为。</w:t>
      </w:r>
    </w:p>
    <w:p w14:paraId="0693C45D">
      <w:pPr>
        <w:keepNext w:val="0"/>
        <w:keepLines w:val="0"/>
        <w:pageBreakBefore w:val="0"/>
        <w:widowControl w:val="0"/>
        <w:shd w:val="clear"/>
        <w:tabs>
          <w:tab w:val="left" w:pos="2038"/>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20.1.2 </w:t>
      </w:r>
      <w:r>
        <w:rPr>
          <w:rFonts w:hint="eastAsia" w:ascii="宋体" w:hAnsi="宋体" w:eastAsia="宋体" w:cs="宋体"/>
          <w:bCs/>
          <w:color w:val="auto"/>
          <w:sz w:val="24"/>
          <w:szCs w:val="24"/>
          <w:highlight w:val="none"/>
        </w:rPr>
        <w:t>评标委员会由采购人代表和有关技术、经济等方面的专家组成，独立开展评审工作。</w:t>
      </w:r>
    </w:p>
    <w:p w14:paraId="37FECA75">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20.2 </w:t>
      </w:r>
      <w:r>
        <w:rPr>
          <w:rFonts w:hint="eastAsia" w:ascii="宋体" w:hAnsi="宋体" w:eastAsia="宋体" w:cs="宋体"/>
          <w:bCs/>
          <w:color w:val="auto"/>
          <w:sz w:val="24"/>
          <w:szCs w:val="24"/>
          <w:highlight w:val="none"/>
        </w:rPr>
        <w:t>评标程序</w:t>
      </w:r>
    </w:p>
    <w:p w14:paraId="2ADE8047">
      <w:pPr>
        <w:pStyle w:val="27"/>
        <w:keepNext w:val="0"/>
        <w:keepLines w:val="0"/>
        <w:pageBreakBefore w:val="0"/>
        <w:widowControl w:val="0"/>
        <w:shd w:val="clear"/>
        <w:tabs>
          <w:tab w:val="left" w:pos="2040"/>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20.2.1 </w:t>
      </w:r>
      <w:r>
        <w:rPr>
          <w:rFonts w:hint="eastAsia" w:ascii="宋体" w:hAnsi="宋体" w:eastAsia="宋体" w:cs="宋体"/>
          <w:bCs/>
          <w:color w:val="auto"/>
          <w:sz w:val="24"/>
          <w:szCs w:val="24"/>
          <w:highlight w:val="none"/>
        </w:rPr>
        <w:t>投标文件的资格性检查。依据法律法规和招标文件的规定，对投标文件中资格证明、投</w:t>
      </w:r>
      <w:r>
        <w:rPr>
          <w:rFonts w:hint="eastAsia" w:ascii="宋体" w:hAnsi="宋体" w:eastAsia="宋体" w:cs="宋体"/>
          <w:bCs/>
          <w:color w:val="auto"/>
          <w:spacing w:val="-5"/>
          <w:sz w:val="24"/>
          <w:szCs w:val="24"/>
          <w:highlight w:val="none"/>
        </w:rPr>
        <w:t>标保证金等进行审查，以确定供应商是否具备投标资格。投标文件有下列情况之一的，在资格性、符合性检查时按照无效投标处理：</w:t>
      </w:r>
    </w:p>
    <w:p w14:paraId="71841A38">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bCs/>
          <w:color w:val="auto"/>
          <w:spacing w:val="-6"/>
          <w:sz w:val="24"/>
          <w:szCs w:val="24"/>
          <w:highlight w:val="none"/>
        </w:rPr>
      </w:pP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6"/>
          <w:sz w:val="24"/>
          <w:szCs w:val="24"/>
          <w:highlight w:val="none"/>
          <w:lang w:val="en-US"/>
        </w:rPr>
        <w:t>1</w:t>
      </w:r>
      <w:r>
        <w:rPr>
          <w:rFonts w:hint="eastAsia" w:ascii="宋体" w:hAnsi="宋体" w:eastAsia="宋体" w:cs="宋体"/>
          <w:bCs/>
          <w:color w:val="auto"/>
          <w:spacing w:val="-6"/>
          <w:sz w:val="24"/>
          <w:szCs w:val="24"/>
          <w:highlight w:val="none"/>
        </w:rPr>
        <w:t>）未按照招标文件规定要求密封、签署、盖章的，以及没有《开标一览表》或《开标一览表》没有按照招标文件要求单独封装、盖章的；</w:t>
      </w:r>
    </w:p>
    <w:p w14:paraId="4EFCDF10">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bCs/>
          <w:color w:val="auto"/>
          <w:spacing w:val="-6"/>
          <w:sz w:val="24"/>
          <w:szCs w:val="24"/>
          <w:highlight w:val="none"/>
        </w:rPr>
      </w:pP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6"/>
          <w:sz w:val="24"/>
          <w:szCs w:val="24"/>
          <w:highlight w:val="none"/>
          <w:lang w:val="en-US"/>
        </w:rPr>
        <w:t>2</w:t>
      </w:r>
      <w:r>
        <w:rPr>
          <w:rFonts w:hint="eastAsia" w:ascii="宋体" w:hAnsi="宋体" w:eastAsia="宋体" w:cs="宋体"/>
          <w:bCs/>
          <w:color w:val="auto"/>
          <w:spacing w:val="-6"/>
          <w:sz w:val="24"/>
          <w:szCs w:val="24"/>
          <w:highlight w:val="none"/>
        </w:rPr>
        <w:t>）投标总价超出采购预算限额的；</w:t>
      </w:r>
    </w:p>
    <w:p w14:paraId="56A40BEA">
      <w:pPr>
        <w:keepNext w:val="0"/>
        <w:keepLines w:val="0"/>
        <w:pageBreakBefore w:val="0"/>
        <w:widowControl w:val="0"/>
        <w:shd w:val="clear"/>
        <w:tabs>
          <w:tab w:val="left" w:pos="1829"/>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6"/>
          <w:sz w:val="24"/>
          <w:szCs w:val="24"/>
          <w:highlight w:val="none"/>
          <w:lang w:val="en-US"/>
        </w:rPr>
        <w:t>3</w:t>
      </w:r>
      <w:r>
        <w:rPr>
          <w:rFonts w:hint="eastAsia" w:ascii="宋体" w:hAnsi="宋体" w:eastAsia="宋体" w:cs="宋体"/>
          <w:bCs/>
          <w:color w:val="auto"/>
          <w:spacing w:val="-6"/>
          <w:sz w:val="24"/>
          <w:szCs w:val="24"/>
          <w:highlight w:val="none"/>
        </w:rPr>
        <w:t>）报价低于完成本项目发生的所有含税费用、支付给员工的工资（不得低于供应商所在地最   低工资标准）</w:t>
      </w:r>
      <w:r>
        <w:rPr>
          <w:rFonts w:hint="eastAsia" w:ascii="宋体" w:hAnsi="宋体" w:eastAsia="宋体" w:cs="宋体"/>
          <w:bCs/>
          <w:color w:val="auto"/>
          <w:sz w:val="24"/>
          <w:szCs w:val="24"/>
          <w:highlight w:val="none"/>
        </w:rPr>
        <w:t>和国家强制缴纳的各种社会保障资金、公积金，以及供应商认为需要的其他费用等；</w:t>
      </w:r>
    </w:p>
    <w:p w14:paraId="74DAA74C">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4）</w:t>
      </w:r>
      <w:r>
        <w:rPr>
          <w:rFonts w:hint="eastAsia" w:ascii="宋体" w:hAnsi="宋体" w:eastAsia="宋体" w:cs="宋体"/>
          <w:color w:val="auto"/>
          <w:spacing w:val="-6"/>
          <w:sz w:val="24"/>
          <w:szCs w:val="24"/>
          <w:highlight w:val="none"/>
        </w:rPr>
        <w:t>不具备招标文件中规定资格要求的；</w:t>
      </w:r>
    </w:p>
    <w:p w14:paraId="49D80AA8">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5</w:t>
      </w:r>
      <w:r>
        <w:rPr>
          <w:rFonts w:hint="eastAsia" w:ascii="宋体" w:hAnsi="宋体" w:eastAsia="宋体" w:cs="宋体"/>
          <w:color w:val="auto"/>
          <w:spacing w:val="-6"/>
          <w:sz w:val="24"/>
          <w:szCs w:val="24"/>
          <w:highlight w:val="none"/>
        </w:rPr>
        <w:t>）不同供应商的投标文件由同一单位或者个人编制；</w:t>
      </w:r>
    </w:p>
    <w:p w14:paraId="40208806">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6</w:t>
      </w:r>
      <w:r>
        <w:rPr>
          <w:rFonts w:hint="eastAsia" w:ascii="宋体" w:hAnsi="宋体" w:eastAsia="宋体" w:cs="宋体"/>
          <w:color w:val="auto"/>
          <w:spacing w:val="-6"/>
          <w:sz w:val="24"/>
          <w:szCs w:val="24"/>
          <w:highlight w:val="none"/>
        </w:rPr>
        <w:t>）不同供应商委托同一单位或者个人办理投标事宜；</w:t>
      </w:r>
    </w:p>
    <w:p w14:paraId="5195EC5D">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7</w:t>
      </w:r>
      <w:r>
        <w:rPr>
          <w:rFonts w:hint="eastAsia" w:ascii="宋体" w:hAnsi="宋体" w:eastAsia="宋体" w:cs="宋体"/>
          <w:color w:val="auto"/>
          <w:spacing w:val="-6"/>
          <w:sz w:val="24"/>
          <w:szCs w:val="24"/>
          <w:highlight w:val="none"/>
        </w:rPr>
        <w:t>）不同供应商的投标文件载明的项目管理成员为同一人；</w:t>
      </w:r>
    </w:p>
    <w:p w14:paraId="1F8AA498">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8</w:t>
      </w:r>
      <w:r>
        <w:rPr>
          <w:rFonts w:hint="eastAsia" w:ascii="宋体" w:hAnsi="宋体" w:eastAsia="宋体" w:cs="宋体"/>
          <w:color w:val="auto"/>
          <w:spacing w:val="-6"/>
          <w:sz w:val="24"/>
          <w:szCs w:val="24"/>
          <w:highlight w:val="none"/>
        </w:rPr>
        <w:t>）不同供应商的投标文件异常一致或者投标报价呈规律性差异；</w:t>
      </w:r>
    </w:p>
    <w:p w14:paraId="4FB808BB">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9</w:t>
      </w:r>
      <w:r>
        <w:rPr>
          <w:rFonts w:hint="eastAsia" w:ascii="宋体" w:hAnsi="宋体" w:eastAsia="宋体" w:cs="宋体"/>
          <w:color w:val="auto"/>
          <w:spacing w:val="-6"/>
          <w:sz w:val="24"/>
          <w:szCs w:val="24"/>
          <w:highlight w:val="none"/>
        </w:rPr>
        <w:t>）不同供应商的投标文件相互混装；</w:t>
      </w:r>
    </w:p>
    <w:p w14:paraId="3635EDDD">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10</w:t>
      </w:r>
      <w:r>
        <w:rPr>
          <w:rFonts w:hint="eastAsia" w:ascii="宋体" w:hAnsi="宋体" w:eastAsia="宋体" w:cs="宋体"/>
          <w:color w:val="auto"/>
          <w:spacing w:val="-6"/>
          <w:sz w:val="24"/>
          <w:szCs w:val="24"/>
          <w:highlight w:val="none"/>
        </w:rPr>
        <w:t>）不同供应商的法定代表人或委托代理人有夫妻、直系血亲关系的；</w:t>
      </w:r>
    </w:p>
    <w:p w14:paraId="3E2D6DE7">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11</w:t>
      </w:r>
      <w:r>
        <w:rPr>
          <w:rFonts w:hint="eastAsia" w:ascii="宋体" w:hAnsi="宋体" w:eastAsia="宋体" w:cs="宋体"/>
          <w:color w:val="auto"/>
          <w:spacing w:val="-6"/>
          <w:sz w:val="24"/>
          <w:szCs w:val="24"/>
          <w:highlight w:val="none"/>
        </w:rPr>
        <w:t>）不同供应商的负责人为同一人或者存在控股、管理关系的；</w:t>
      </w:r>
    </w:p>
    <w:p w14:paraId="540E9C47">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12</w:t>
      </w:r>
      <w:r>
        <w:rPr>
          <w:rFonts w:hint="eastAsia" w:ascii="宋体" w:hAnsi="宋体" w:eastAsia="宋体" w:cs="宋体"/>
          <w:color w:val="auto"/>
          <w:spacing w:val="-6"/>
          <w:sz w:val="24"/>
          <w:szCs w:val="24"/>
          <w:highlight w:val="none"/>
        </w:rPr>
        <w:t>）没有逐一说明投标产品和服务响应，而是直接拷贝招标文件技术要求的；</w:t>
      </w:r>
    </w:p>
    <w:p w14:paraId="47114DCB">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13</w:t>
      </w:r>
      <w:r>
        <w:rPr>
          <w:rFonts w:hint="eastAsia" w:ascii="宋体" w:hAnsi="宋体" w:eastAsia="宋体" w:cs="宋体"/>
          <w:color w:val="auto"/>
          <w:spacing w:val="-6"/>
          <w:sz w:val="24"/>
          <w:szCs w:val="24"/>
          <w:highlight w:val="none"/>
        </w:rPr>
        <w:t>）不同供应商的委托代理人(或法定代表人、项目经理、项目总监、项目负责人等)在采购文件发布日上月至投标截止日当月在同一单位缴纳社会保险的；</w:t>
      </w:r>
    </w:p>
    <w:p w14:paraId="11153791">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14</w:t>
      </w:r>
      <w:r>
        <w:rPr>
          <w:rFonts w:hint="eastAsia" w:ascii="宋体" w:hAnsi="宋体" w:eastAsia="宋体" w:cs="宋体"/>
          <w:color w:val="auto"/>
          <w:spacing w:val="-6"/>
          <w:sz w:val="24"/>
          <w:szCs w:val="24"/>
          <w:highlight w:val="none"/>
        </w:rPr>
        <w:t>）服务承诺和付款条件未响应招标要求的；</w:t>
      </w:r>
    </w:p>
    <w:p w14:paraId="5725E323">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56"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val="en-US"/>
        </w:rPr>
        <w:t>15</w:t>
      </w:r>
      <w:r>
        <w:rPr>
          <w:rFonts w:hint="eastAsia" w:ascii="宋体" w:hAnsi="宋体" w:eastAsia="宋体" w:cs="宋体"/>
          <w:color w:val="auto"/>
          <w:spacing w:val="-6"/>
          <w:sz w:val="24"/>
          <w:szCs w:val="24"/>
          <w:highlight w:val="none"/>
        </w:rPr>
        <w:t>）不符合法律、法规和招标文件规定的其他实质性要求的等。</w:t>
      </w:r>
    </w:p>
    <w:p w14:paraId="3C233BE7">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rPr>
        <w:t>0</w:t>
      </w:r>
      <w:r>
        <w:rPr>
          <w:rFonts w:hint="eastAsia" w:ascii="宋体" w:hAnsi="宋体" w:eastAsia="宋体" w:cs="宋体"/>
          <w:bCs/>
          <w:color w:val="auto"/>
          <w:sz w:val="24"/>
          <w:szCs w:val="24"/>
          <w:highlight w:val="none"/>
        </w:rPr>
        <w:t>.2.2</w:t>
      </w:r>
      <w:r>
        <w:rPr>
          <w:rFonts w:hint="eastAsia" w:ascii="宋体" w:hAnsi="宋体" w:eastAsia="宋体" w:cs="宋体"/>
          <w:bCs/>
          <w:color w:val="auto"/>
          <w:sz w:val="24"/>
          <w:szCs w:val="24"/>
          <w:highlight w:val="none"/>
          <w:lang w:val="en-US"/>
        </w:rPr>
        <w:t xml:space="preserve"> </w:t>
      </w:r>
      <w:r>
        <w:rPr>
          <w:rFonts w:hint="eastAsia" w:ascii="宋体" w:hAnsi="宋体" w:eastAsia="宋体" w:cs="宋体"/>
          <w:bCs/>
          <w:color w:val="auto"/>
          <w:sz w:val="24"/>
          <w:szCs w:val="24"/>
          <w:highlight w:val="none"/>
        </w:rPr>
        <w:t>投标文件的符合性检查。依据招标文件规定，从投标文件的有效性、完整性和对招标文件的响应程度进行审查。</w:t>
      </w:r>
    </w:p>
    <w:p w14:paraId="5973A919">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20.2.2.1 </w:t>
      </w:r>
      <w:r>
        <w:rPr>
          <w:rFonts w:hint="eastAsia" w:ascii="宋体" w:hAnsi="宋体" w:eastAsia="宋体" w:cs="宋体"/>
          <w:bCs/>
          <w:color w:val="auto"/>
          <w:sz w:val="24"/>
          <w:szCs w:val="24"/>
          <w:highlight w:val="none"/>
        </w:rPr>
        <w:t>实质性要求是指本招标文件中用带星号（“★或*”）、“必须或须”或“应（应当）”等其他文字说明的商务和技术要求。</w:t>
      </w:r>
    </w:p>
    <w:p w14:paraId="1A3F77EB">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20.2.2.2 </w:t>
      </w:r>
      <w:r>
        <w:rPr>
          <w:rFonts w:hint="eastAsia" w:ascii="宋体" w:hAnsi="宋体" w:eastAsia="宋体" w:cs="宋体"/>
          <w:bCs/>
          <w:color w:val="auto"/>
          <w:sz w:val="24"/>
          <w:szCs w:val="24"/>
          <w:highlight w:val="none"/>
        </w:rPr>
        <w:t>有下列情形之一的予以废标，同时将废标理由通知所有供应商：</w:t>
      </w:r>
    </w:p>
    <w:p w14:paraId="7A20CDBE">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1</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符合专业条件的供应商或者对招标文件作实质性响应的供应商不足三家的；</w:t>
      </w:r>
    </w:p>
    <w:p w14:paraId="0D6BB550">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2</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出现影响采购公正的违法、违规行为的；</w:t>
      </w:r>
    </w:p>
    <w:p w14:paraId="12D9CCD4">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3</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因重大变故，采购任务取消的。</w:t>
      </w:r>
    </w:p>
    <w:p w14:paraId="12549B98">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4</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不具备</w:t>
      </w:r>
      <w:r>
        <w:rPr>
          <w:rFonts w:hint="eastAsia" w:ascii="宋体" w:hAnsi="宋体" w:eastAsia="宋体" w:cs="宋体"/>
          <w:color w:val="auto"/>
          <w:spacing w:val="-6"/>
          <w:sz w:val="24"/>
          <w:szCs w:val="24"/>
          <w:highlight w:val="none"/>
          <w:lang w:val="en-US"/>
        </w:rPr>
        <w:t>招标</w:t>
      </w:r>
      <w:r>
        <w:rPr>
          <w:rFonts w:hint="eastAsia" w:ascii="宋体" w:hAnsi="宋体" w:eastAsia="宋体" w:cs="宋体"/>
          <w:color w:val="auto"/>
          <w:spacing w:val="-6"/>
          <w:sz w:val="24"/>
          <w:szCs w:val="24"/>
          <w:highlight w:val="none"/>
        </w:rPr>
        <w:t>文件中规定资格条件的；</w:t>
      </w:r>
    </w:p>
    <w:p w14:paraId="20323F77">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5</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未实质性响应采购要求的；</w:t>
      </w:r>
    </w:p>
    <w:p w14:paraId="52802F95">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6</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报价低于完成本项目发生的所有含税费用、支付给员工的工资（不得低于供应商所在地最低工资标准）和国家强制缴纳的各种社会保障资金、公积金，以及供应商认为需要的其他费用等；</w:t>
      </w:r>
    </w:p>
    <w:p w14:paraId="5813B6B0">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7</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报价超过</w:t>
      </w:r>
      <w:r>
        <w:rPr>
          <w:rFonts w:hint="eastAsia" w:ascii="宋体" w:hAnsi="宋体" w:eastAsia="宋体" w:cs="宋体"/>
          <w:color w:val="auto"/>
          <w:spacing w:val="-6"/>
          <w:sz w:val="24"/>
          <w:szCs w:val="24"/>
          <w:highlight w:val="none"/>
          <w:lang w:val="en-US"/>
        </w:rPr>
        <w:t>招标</w:t>
      </w:r>
      <w:r>
        <w:rPr>
          <w:rFonts w:hint="eastAsia" w:ascii="宋体" w:hAnsi="宋体" w:eastAsia="宋体" w:cs="宋体"/>
          <w:color w:val="auto"/>
          <w:spacing w:val="-6"/>
          <w:sz w:val="24"/>
          <w:szCs w:val="24"/>
          <w:highlight w:val="none"/>
        </w:rPr>
        <w:t>文件中规定的预算金额或者最高限价的；</w:t>
      </w:r>
    </w:p>
    <w:p w14:paraId="6CE34D8F">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8</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lang w:val="en-US"/>
        </w:rPr>
        <w:t>招标</w:t>
      </w:r>
      <w:r>
        <w:rPr>
          <w:rFonts w:hint="eastAsia" w:ascii="宋体" w:hAnsi="宋体" w:eastAsia="宋体" w:cs="宋体"/>
          <w:color w:val="auto"/>
          <w:spacing w:val="-6"/>
          <w:sz w:val="24"/>
          <w:szCs w:val="24"/>
          <w:highlight w:val="none"/>
        </w:rPr>
        <w:t>文件中的打“★”或“*”项缺失或者未实质性响应的；</w:t>
      </w:r>
    </w:p>
    <w:p w14:paraId="7E3AB6D7">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lang w:val="en-US"/>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9</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lang w:val="en-US"/>
        </w:rPr>
        <w:t>未按要求盖章和签字；</w:t>
      </w:r>
    </w:p>
    <w:p w14:paraId="70FDFECC">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10</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不符合法律、法规和竞争性磋商文件规定的其他实质性要求的。</w:t>
      </w:r>
    </w:p>
    <w:p w14:paraId="7F0795E6">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20.2.2.3 </w:t>
      </w:r>
      <w:r>
        <w:rPr>
          <w:rFonts w:hint="eastAsia" w:ascii="宋体" w:hAnsi="宋体" w:eastAsia="宋体" w:cs="宋体"/>
          <w:bCs/>
          <w:color w:val="auto"/>
          <w:sz w:val="24"/>
          <w:szCs w:val="24"/>
          <w:highlight w:val="none"/>
        </w:rPr>
        <w:t>在评标期间，出现符合专业条件的供应商或者对招标文件作出实质性响应的供应商不足三家情形的，比照 20</w:t>
      </w:r>
      <w:r>
        <w:rPr>
          <w:rFonts w:hint="eastAsia" w:ascii="宋体" w:hAnsi="宋体" w:eastAsia="宋体" w:cs="宋体"/>
          <w:bCs/>
          <w:color w:val="auto"/>
          <w:sz w:val="24"/>
          <w:szCs w:val="24"/>
          <w:highlight w:val="none"/>
          <w:lang w:val="en-US"/>
        </w:rPr>
        <w:t>.2.2.2</w:t>
      </w:r>
      <w:r>
        <w:rPr>
          <w:rFonts w:hint="eastAsia" w:ascii="宋体" w:hAnsi="宋体" w:eastAsia="宋体" w:cs="宋体"/>
          <w:bCs/>
          <w:color w:val="auto"/>
          <w:sz w:val="24"/>
          <w:szCs w:val="24"/>
          <w:highlight w:val="none"/>
        </w:rPr>
        <w:t>款执行。</w:t>
      </w:r>
    </w:p>
    <w:p w14:paraId="04CAA5DD">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20.2.3 </w:t>
      </w:r>
      <w:r>
        <w:rPr>
          <w:rFonts w:hint="eastAsia" w:ascii="宋体" w:hAnsi="宋体" w:eastAsia="宋体" w:cs="宋体"/>
          <w:bCs/>
          <w:color w:val="auto"/>
          <w:sz w:val="24"/>
          <w:szCs w:val="24"/>
          <w:highlight w:val="none"/>
        </w:rPr>
        <w:t>澄清有关问题。对投标文件中含义不明确、同类问题表述不一致或者明显文字和计算错误的内容，评标委员会可以要求供应商作出必要的澄清、说明或者补正。供应商的澄清、说明、补正应当采用书面形式，由其授权代表签字，但不得超出投标文件的范围或者改变投标文件的实质性内容。</w:t>
      </w:r>
    </w:p>
    <w:p w14:paraId="2BE4D1CE">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rPr>
        <w:t xml:space="preserve">20.2.4 </w:t>
      </w:r>
      <w:r>
        <w:rPr>
          <w:rFonts w:hint="eastAsia" w:ascii="宋体" w:hAnsi="宋体" w:eastAsia="宋体" w:cs="宋体"/>
          <w:bCs/>
          <w:color w:val="auto"/>
          <w:sz w:val="24"/>
          <w:szCs w:val="24"/>
          <w:highlight w:val="none"/>
        </w:rPr>
        <w:t>比较与评价。按照招标文件中规定的评标方法和标准，对资格性检查和符合性检查合格的投标文件进行商务和技术评估，综合比较与评价。</w:t>
      </w:r>
    </w:p>
    <w:p w14:paraId="2A3C5704">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21.1 </w:t>
      </w:r>
      <w:r>
        <w:rPr>
          <w:rFonts w:hint="eastAsia" w:ascii="宋体" w:hAnsi="宋体" w:eastAsia="宋体" w:cs="宋体"/>
          <w:bCs/>
          <w:color w:val="auto"/>
          <w:sz w:val="24"/>
          <w:szCs w:val="24"/>
          <w:highlight w:val="none"/>
        </w:rPr>
        <w:t>评标方法和标准</w:t>
      </w:r>
    </w:p>
    <w:p w14:paraId="75B125ED">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21.1.1 </w:t>
      </w:r>
      <w:r>
        <w:rPr>
          <w:rFonts w:hint="eastAsia" w:ascii="宋体" w:hAnsi="宋体" w:eastAsia="宋体" w:cs="宋体"/>
          <w:bCs/>
          <w:color w:val="auto"/>
          <w:sz w:val="24"/>
          <w:szCs w:val="24"/>
          <w:highlight w:val="none"/>
        </w:rPr>
        <w:t>采用综合评分法。即在最大限度地满足招标文件实质性要求前提下，按照招标文件中规定的各项因素进行综合评审后，以评标总得分最高的投标人作为中标候选供应商或者中标供应商的评标方法。</w:t>
      </w:r>
    </w:p>
    <w:p w14:paraId="13726BA8">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21.1.2 </w:t>
      </w:r>
      <w:r>
        <w:rPr>
          <w:rFonts w:hint="eastAsia" w:ascii="宋体" w:hAnsi="宋体" w:eastAsia="宋体" w:cs="宋体"/>
          <w:bCs/>
          <w:color w:val="auto"/>
          <w:sz w:val="24"/>
          <w:szCs w:val="24"/>
          <w:highlight w:val="none"/>
        </w:rPr>
        <w:t>综合评分的主要因素是：评分标准详见第三章。</w:t>
      </w:r>
    </w:p>
    <w:p w14:paraId="611529FE">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22、确定中标供应商</w:t>
      </w:r>
    </w:p>
    <w:p w14:paraId="75FA8450">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22.1 </w:t>
      </w:r>
      <w:r>
        <w:rPr>
          <w:rFonts w:hint="eastAsia" w:ascii="宋体" w:hAnsi="宋体" w:eastAsia="宋体" w:cs="宋体"/>
          <w:bCs/>
          <w:color w:val="auto"/>
          <w:sz w:val="24"/>
          <w:szCs w:val="24"/>
          <w:highlight w:val="none"/>
        </w:rPr>
        <w:t>综合比较与评价后按照得分高低顺序对供应商进行排列。得分相同的，按投标报价由低到高顺序排列。得分且投标报价相同的，按技术指标优劣顺序排列。综合排名第一名的供应商确定为中标供应商。评审小组认为，排在前面的成交候选供应商的最低报价或者某些分项报价明显不合理或者低于成本，有可能影响服务质量和不能诚信履约的，应当要求其在规定的期限内提供书面文件予以解释说明，并提交相关证明材料；否则，评审小组可以取消该供应商的成交候选资格，按顺序由排在后面的成交候选供应商递补，以此类推。</w:t>
      </w:r>
    </w:p>
    <w:p w14:paraId="44EDCCB0">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22.2 </w:t>
      </w:r>
      <w:r>
        <w:rPr>
          <w:rFonts w:hint="eastAsia" w:ascii="宋体" w:hAnsi="宋体" w:eastAsia="宋体" w:cs="宋体"/>
          <w:bCs/>
          <w:color w:val="auto"/>
          <w:sz w:val="24"/>
          <w:szCs w:val="24"/>
          <w:highlight w:val="none"/>
        </w:rPr>
        <w:t>中标供应商确定后，将在指定的采购信息发布媒体上公告，并向中标供应商发出中标通知书。</w:t>
      </w:r>
    </w:p>
    <w:p w14:paraId="34779675">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22.3 </w:t>
      </w:r>
      <w:r>
        <w:rPr>
          <w:rFonts w:hint="eastAsia" w:ascii="宋体" w:hAnsi="宋体" w:eastAsia="宋体" w:cs="宋体"/>
          <w:bCs/>
          <w:color w:val="auto"/>
          <w:sz w:val="24"/>
          <w:szCs w:val="24"/>
          <w:highlight w:val="none"/>
        </w:rPr>
        <w:t>中标通知书对采购人和中标供应商具有同等法律效力。</w:t>
      </w:r>
    </w:p>
    <w:p w14:paraId="7EC82AB7">
      <w:pPr>
        <w:pStyle w:val="27"/>
        <w:keepNext w:val="0"/>
        <w:keepLines w:val="0"/>
        <w:pageBreakBefore w:val="0"/>
        <w:widowControl w:val="0"/>
        <w:shd w:val="clear"/>
        <w:tabs>
          <w:tab w:val="left" w:pos="1929"/>
          <w:tab w:val="left" w:pos="9332"/>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22.4 </w:t>
      </w:r>
      <w:r>
        <w:rPr>
          <w:rFonts w:hint="eastAsia" w:ascii="宋体" w:hAnsi="宋体" w:eastAsia="宋体" w:cs="宋体"/>
          <w:bCs/>
          <w:color w:val="auto"/>
          <w:sz w:val="24"/>
          <w:szCs w:val="24"/>
          <w:highlight w:val="none"/>
        </w:rPr>
        <w:t>中标通知书发出后，采购人或中标供应商拒绝签订合同的，拒绝签订合同的一方应至少向另一方支付与投标保证金相等的补偿金，以及为招标、投标所发生的有关费用和双方商定的其他补偿。</w:t>
      </w:r>
    </w:p>
    <w:p w14:paraId="48E64512">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22.5 </w:t>
      </w:r>
      <w:r>
        <w:rPr>
          <w:rFonts w:hint="eastAsia" w:ascii="宋体" w:hAnsi="宋体" w:eastAsia="宋体" w:cs="宋体"/>
          <w:bCs/>
          <w:color w:val="auto"/>
          <w:sz w:val="24"/>
          <w:szCs w:val="24"/>
          <w:highlight w:val="none"/>
        </w:rPr>
        <w:t>中标通知书发出后，中标供应商无正当理由不与采购人签订合同的，投标保证金不予退还；情节严重的，由财政部门将其列入不良行为记录名单，在一至三年内禁止参加江宁区采购活动， 并予以通报。</w:t>
      </w:r>
    </w:p>
    <w:p w14:paraId="1401E555">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22.6 </w:t>
      </w:r>
      <w:r>
        <w:rPr>
          <w:rFonts w:hint="eastAsia" w:ascii="宋体" w:hAnsi="宋体" w:eastAsia="宋体" w:cs="宋体"/>
          <w:bCs/>
          <w:color w:val="auto"/>
          <w:sz w:val="24"/>
          <w:szCs w:val="24"/>
          <w:highlight w:val="none"/>
        </w:rPr>
        <w:t>代理机构对未中标的投标人不作未中标原因的解释。</w:t>
      </w:r>
    </w:p>
    <w:p w14:paraId="7B5A01B3">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22.7 </w:t>
      </w:r>
      <w:r>
        <w:rPr>
          <w:rFonts w:hint="eastAsia" w:ascii="宋体" w:hAnsi="宋体" w:eastAsia="宋体" w:cs="宋体"/>
          <w:bCs/>
          <w:color w:val="auto"/>
          <w:sz w:val="24"/>
          <w:szCs w:val="24"/>
          <w:highlight w:val="none"/>
        </w:rPr>
        <w:t>所有投标文件都将作为档案保存，不论中标与否，代理机构均不退回。</w:t>
      </w:r>
    </w:p>
    <w:p w14:paraId="79617A2E">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23、编写评标报告</w:t>
      </w:r>
    </w:p>
    <w:p w14:paraId="5314D3DA">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 评标委员会根据全体评标成员签字的原始评标记录和评标结果编写评标报告。</w:t>
      </w:r>
    </w:p>
    <w:p w14:paraId="3F879414">
      <w:pPr>
        <w:keepNext w:val="0"/>
        <w:keepLines w:val="0"/>
        <w:pageBreakBefore w:val="0"/>
        <w:widowControl w:val="0"/>
        <w:shd w:val="clear"/>
        <w:tabs>
          <w:tab w:val="left" w:pos="1827"/>
        </w:tabs>
        <w:kinsoku/>
        <w:wordWrap/>
        <w:overflowPunct/>
        <w:topLinePunct w:val="0"/>
        <w:autoSpaceDE w:val="0"/>
        <w:autoSpaceDN w:val="0"/>
        <w:bidi w:val="0"/>
        <w:adjustRightInd/>
        <w:snapToGrid w:val="0"/>
        <w:spacing w:line="360" w:lineRule="auto"/>
        <w:ind w:left="0" w:leftChars="0" w:right="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24、评标过程的保密性</w:t>
      </w:r>
    </w:p>
    <w:p w14:paraId="1C121A7F">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24.1 </w:t>
      </w:r>
      <w:r>
        <w:rPr>
          <w:rFonts w:hint="eastAsia" w:ascii="宋体" w:hAnsi="宋体" w:eastAsia="宋体" w:cs="宋体"/>
          <w:bCs/>
          <w:color w:val="auto"/>
          <w:sz w:val="24"/>
          <w:szCs w:val="24"/>
          <w:highlight w:val="none"/>
        </w:rPr>
        <w:t>代理机构将采取必要措施，保证评标在严格保密的情况下进行。</w:t>
      </w:r>
    </w:p>
    <w:p w14:paraId="31852732">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24.2 </w:t>
      </w:r>
      <w:r>
        <w:rPr>
          <w:rFonts w:hint="eastAsia" w:ascii="宋体" w:hAnsi="宋体" w:eastAsia="宋体" w:cs="宋体"/>
          <w:bCs/>
          <w:color w:val="auto"/>
          <w:sz w:val="24"/>
          <w:szCs w:val="24"/>
          <w:highlight w:val="none"/>
        </w:rPr>
        <w:t>任何单位和个人不得非法干预、影响评标办法的确定，以及评标过程和结果。</w:t>
      </w:r>
    </w:p>
    <w:p w14:paraId="6BBC292A">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rPr>
        <w:t xml:space="preserve">24.3 </w:t>
      </w:r>
      <w:r>
        <w:rPr>
          <w:rFonts w:hint="eastAsia" w:ascii="宋体" w:hAnsi="宋体" w:eastAsia="宋体" w:cs="宋体"/>
          <w:bCs/>
          <w:color w:val="auto"/>
          <w:sz w:val="24"/>
          <w:szCs w:val="24"/>
          <w:highlight w:val="none"/>
        </w:rPr>
        <w:t>凡是与审查、澄清、评价和比较投标的有关资料等，均不向供应商及与评标无关的其他人员透露。</w:t>
      </w:r>
      <w:r>
        <w:rPr>
          <w:rFonts w:hint="eastAsia" w:ascii="宋体" w:hAnsi="宋体" w:eastAsia="宋体" w:cs="宋体"/>
          <w:bCs/>
          <w:color w:val="auto"/>
          <w:sz w:val="24"/>
          <w:szCs w:val="24"/>
          <w:highlight w:val="none"/>
          <w:lang w:val="en-US"/>
        </w:rPr>
        <w:t xml:space="preserve">              </w:t>
      </w:r>
    </w:p>
    <w:p w14:paraId="6304DAD7">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rPr>
        <w:t>25、签订合同</w:t>
      </w:r>
    </w:p>
    <w:p w14:paraId="472C11D9">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25.1 </w:t>
      </w:r>
      <w:r>
        <w:rPr>
          <w:rFonts w:hint="eastAsia" w:ascii="宋体" w:hAnsi="宋体" w:eastAsia="宋体" w:cs="宋体"/>
          <w:bCs/>
          <w:color w:val="auto"/>
          <w:sz w:val="24"/>
          <w:szCs w:val="24"/>
          <w:highlight w:val="none"/>
        </w:rPr>
        <w:t>中标供应商应当自中标通知书发出之日起三十日内，按照招标文件和中标供应商投标文件的约定与采购人签订采购合同，所签订的合同不得对招标文件和中标供应商投标文件作实质性修改。</w:t>
      </w:r>
    </w:p>
    <w:p w14:paraId="41065248">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25.2 </w:t>
      </w:r>
      <w:r>
        <w:rPr>
          <w:rFonts w:hint="eastAsia" w:ascii="宋体" w:hAnsi="宋体" w:eastAsia="宋体" w:cs="宋体"/>
          <w:bCs/>
          <w:color w:val="auto"/>
          <w:sz w:val="24"/>
          <w:szCs w:val="24"/>
          <w:highlight w:val="none"/>
        </w:rPr>
        <w:t>采购人不得向中标供应商提出任何不合理的要求作为签订合同的条件，不得与中标供应商私下订立背离合同实质性内容的协议。</w:t>
      </w:r>
    </w:p>
    <w:p w14:paraId="6B0FABC3">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25.3 </w:t>
      </w:r>
      <w:r>
        <w:rPr>
          <w:rFonts w:hint="eastAsia" w:ascii="宋体" w:hAnsi="宋体" w:eastAsia="宋体" w:cs="宋体"/>
          <w:bCs/>
          <w:color w:val="auto"/>
          <w:sz w:val="24"/>
          <w:szCs w:val="24"/>
          <w:highlight w:val="none"/>
        </w:rPr>
        <w:t>中标供应商拒绝与采购人签订合同，或因不可抗力或者自身原因不能履行采购合同的，采购人可以按照评审报告推荐的中标候选人名单排序，确定下一候选人为中标供应商，也可以重新开展采购活动。</w:t>
      </w:r>
    </w:p>
    <w:p w14:paraId="3843076A">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25.4</w:t>
      </w:r>
      <w:r>
        <w:rPr>
          <w:rFonts w:hint="eastAsia" w:ascii="宋体" w:hAnsi="宋体" w:eastAsia="宋体" w:cs="宋体"/>
          <w:bCs/>
          <w:color w:val="auto"/>
          <w:sz w:val="24"/>
          <w:szCs w:val="24"/>
          <w:highlight w:val="none"/>
        </w:rPr>
        <w:t>采购合同履行中，采购人需追加与合同标的相同的服务的，在不改变合同其他条款的前提下，可以与供应商协商签订补充合同，但所有补充合同的采购金额不得超过原合同采购金额的百分之十。</w:t>
      </w:r>
    </w:p>
    <w:p w14:paraId="4F5CBE73">
      <w:pPr>
        <w:keepNext w:val="0"/>
        <w:keepLines w:val="0"/>
        <w:pageBreakBefore w:val="0"/>
        <w:widowControl w:val="0"/>
        <w:numPr>
          <w:ilvl w:val="0"/>
          <w:numId w:val="3"/>
        </w:numPr>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询问、质疑、投诉和诚实信用</w:t>
      </w:r>
    </w:p>
    <w:p w14:paraId="09C9FBEC">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rPr>
        <w:t>26、询问</w:t>
      </w:r>
    </w:p>
    <w:p w14:paraId="0A43828E">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26.1 供应商对招标活动事项有疑问的，可以向代理机构或采购人提出询问，代理机构或采购人将在两个工作日内作出答复，但答复的内容不涉及商业秘密。</w:t>
      </w:r>
    </w:p>
    <w:p w14:paraId="6F26A840">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rPr>
        <w:t>27、质疑</w:t>
      </w:r>
    </w:p>
    <w:p w14:paraId="718B2DBF">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27.1 </w:t>
      </w:r>
      <w:r>
        <w:rPr>
          <w:rFonts w:hint="eastAsia" w:ascii="宋体" w:hAnsi="宋体" w:eastAsia="宋体" w:cs="宋体"/>
          <w:bCs/>
          <w:color w:val="auto"/>
          <w:sz w:val="24"/>
          <w:szCs w:val="24"/>
          <w:highlight w:val="none"/>
        </w:rPr>
        <w:t>供应商认为采购文件、采购过程和中标结果使自己的合法权益受到损害的，可以在知道或者应当知道其权益受到损害之日起七个工作日内，将质疑文件原件送达代理机构。供应商提出质疑时，须一次性提出全部问题及相关质疑资料，代理机构将依法作出答复，但答复的内容不涉及商业秘密。</w:t>
      </w:r>
    </w:p>
    <w:p w14:paraId="26CCFA5A">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27.2 </w:t>
      </w:r>
      <w:r>
        <w:rPr>
          <w:rFonts w:hint="eastAsia" w:ascii="宋体" w:hAnsi="宋体" w:eastAsia="宋体" w:cs="宋体"/>
          <w:bCs/>
          <w:color w:val="auto"/>
          <w:sz w:val="24"/>
          <w:szCs w:val="24"/>
          <w:highlight w:val="none"/>
        </w:rPr>
        <w:t>质疑文件应包括以下主要内容，并按照“谁主张、谁举证”的原则，附上相关证明材料。否则，代理机构或采购人不予受理：</w:t>
      </w:r>
    </w:p>
    <w:p w14:paraId="69ECCAB9">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1</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质疑项目名称、项目编号、包号、招标公告发布时间、开标时间；</w:t>
      </w:r>
    </w:p>
    <w:p w14:paraId="5C38A811">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2</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提起质疑的日期、具体的质疑事项及事实根据（具体条款）；</w:t>
      </w:r>
    </w:p>
    <w:p w14:paraId="355D9F2F">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3</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认为自己合法权益受到损害或可能受到损害的相关证据材料。质疑相关证明材料中如涉及到产品功能或技术指标的，应出具相关制造商的证明文件（友情提示：供应商全部产品线中没有满足技术需求要求的产品才可以对招标产品提出质疑，并提出修改理由和修改建议）；</w:t>
      </w:r>
    </w:p>
    <w:p w14:paraId="12EE0451">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4</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质疑供应商名称、地址、邮编、联系人、联系电话（包括座机、手机、传真号码等）；</w:t>
      </w:r>
    </w:p>
    <w:p w14:paraId="5C689A23">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5</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质疑文件应当署名，质疑人为自然人的，应当由本人签字并附有效身份证明；质疑人为法人或其他组织的，应当由法定代表人签字并加盖单位公章。</w:t>
      </w:r>
    </w:p>
    <w:p w14:paraId="63CCC88E">
      <w:pPr>
        <w:keepNext w:val="0"/>
        <w:keepLines w:val="0"/>
        <w:pageBreakBefore w:val="0"/>
        <w:widowControl w:val="0"/>
        <w:shd w:val="clear"/>
        <w:tabs>
          <w:tab w:val="left" w:pos="1823"/>
        </w:tabs>
        <w:kinsoku/>
        <w:wordWrap/>
        <w:overflowPunct/>
        <w:topLinePunct w:val="0"/>
        <w:autoSpaceDE w:val="0"/>
        <w:autoSpaceDN w:val="0"/>
        <w:bidi w:val="0"/>
        <w:adjustRightInd/>
        <w:snapToGrid w:val="0"/>
        <w:spacing w:line="360" w:lineRule="auto"/>
        <w:ind w:left="0" w:leftChars="0" w:right="0" w:firstLine="432"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w w:val="95"/>
          <w:sz w:val="24"/>
          <w:szCs w:val="24"/>
          <w:highlight w:val="none"/>
          <w:lang w:val="en-US"/>
        </w:rPr>
        <w:t>6</w:t>
      </w:r>
      <w:r>
        <w:rPr>
          <w:rFonts w:hint="eastAsia" w:ascii="宋体" w:hAnsi="宋体" w:eastAsia="宋体" w:cs="宋体"/>
          <w:color w:val="auto"/>
          <w:spacing w:val="-6"/>
          <w:w w:val="95"/>
          <w:sz w:val="24"/>
          <w:szCs w:val="24"/>
          <w:highlight w:val="none"/>
        </w:rPr>
        <w:t>）</w:t>
      </w:r>
      <w:r>
        <w:rPr>
          <w:rFonts w:hint="eastAsia" w:ascii="宋体" w:hAnsi="宋体" w:eastAsia="宋体" w:cs="宋体"/>
          <w:color w:val="auto"/>
          <w:spacing w:val="-6"/>
          <w:sz w:val="24"/>
          <w:szCs w:val="24"/>
          <w:highlight w:val="none"/>
        </w:rPr>
        <w:t>供应商委托代理质疑的，应当向被质疑人提交授权委托书，并载明委托代理的具体权限和事项。</w:t>
      </w:r>
    </w:p>
    <w:p w14:paraId="2AEF0160">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27.3 </w:t>
      </w:r>
      <w:r>
        <w:rPr>
          <w:rFonts w:hint="eastAsia" w:ascii="宋体" w:hAnsi="宋体" w:eastAsia="宋体" w:cs="宋体"/>
          <w:bCs/>
          <w:color w:val="auto"/>
          <w:sz w:val="24"/>
          <w:szCs w:val="24"/>
          <w:highlight w:val="none"/>
        </w:rPr>
        <w:t>质疑供应商是指直接参加本项目采购活动的供应商；对采购文件提出质疑的，应自供应商获得采购文件之日起计算，且应当在投标截止之日前提出；对采购过程提出质疑的，自采购程序环节结束之日起计算；对中标结果提出质疑的，自中标结果公告之日起计算。</w:t>
      </w:r>
    </w:p>
    <w:p w14:paraId="286AC030">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27.4 </w:t>
      </w:r>
      <w:r>
        <w:rPr>
          <w:rFonts w:hint="eastAsia" w:ascii="宋体" w:hAnsi="宋体" w:eastAsia="宋体" w:cs="宋体"/>
          <w:bCs/>
          <w:color w:val="auto"/>
          <w:sz w:val="24"/>
          <w:szCs w:val="24"/>
          <w:highlight w:val="none"/>
        </w:rPr>
        <w:t>代理机构在收到供应商的书面质疑后将及时组织调查核实，在七个工作日内作出答复，并以书面或在网站公告形式通知质疑供应商和其他有关供应商，答复的内容不涉及商业秘密。代理机构遵循“谁过错谁负担”的原则，有过错的一方承担调查论证费用。</w:t>
      </w:r>
    </w:p>
    <w:p w14:paraId="482F4874">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rPr>
        <w:t>28、投诉</w:t>
      </w:r>
    </w:p>
    <w:p w14:paraId="65880EE3">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28.1质疑供应商对代理机构的答复不满意，或代理机构未在规定的时间内作出答复的，可以在答复期满后十五个工作日内向采购项目同级财政部门投诉。</w:t>
      </w:r>
    </w:p>
    <w:p w14:paraId="768A2AAF">
      <w:pPr>
        <w:keepNext w:val="0"/>
        <w:keepLines w:val="0"/>
        <w:pageBreakBefore w:val="0"/>
        <w:widowControl w:val="0"/>
        <w:shd w:val="clear"/>
        <w:kinsoku/>
        <w:wordWrap/>
        <w:overflowPunct/>
        <w:topLinePunct w:val="0"/>
        <w:autoSpaceDE w:val="0"/>
        <w:autoSpaceDN w:val="0"/>
        <w:bidi w:val="0"/>
        <w:adjustRightInd/>
        <w:snapToGrid w:val="0"/>
        <w:spacing w:line="360" w:lineRule="auto"/>
        <w:ind w:left="0" w:leftChars="0" w:right="0" w:firstLine="482" w:firstLineChars="200"/>
        <w:textAlignment w:val="auto"/>
        <w:rPr>
          <w:rFonts w:hint="eastAsia"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rPr>
        <w:t>29、诚实信用</w:t>
      </w:r>
    </w:p>
    <w:p w14:paraId="73C6D505">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29.1 </w:t>
      </w:r>
      <w:r>
        <w:rPr>
          <w:rFonts w:hint="eastAsia" w:ascii="宋体" w:hAnsi="宋体" w:eastAsia="宋体" w:cs="宋体"/>
          <w:bCs/>
          <w:color w:val="auto"/>
          <w:sz w:val="24"/>
          <w:szCs w:val="24"/>
          <w:highlight w:val="none"/>
        </w:rPr>
        <w:t>供应商之间不得相互串通投标报价，不得妨碍其他供应商的公平竞争，不得损害采购人和其他供应商的合法权益。</w:t>
      </w:r>
    </w:p>
    <w:p w14:paraId="032278D4">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29.2 </w:t>
      </w:r>
      <w:r>
        <w:rPr>
          <w:rFonts w:hint="eastAsia" w:ascii="宋体" w:hAnsi="宋体" w:eastAsia="宋体" w:cs="宋体"/>
          <w:bCs/>
          <w:color w:val="auto"/>
          <w:sz w:val="24"/>
          <w:szCs w:val="24"/>
          <w:highlight w:val="none"/>
        </w:rPr>
        <w:t>供应商不得以向代理机构工作人员、评标委员会成员行贿或者采取其他不正当手段谋取中标。经查实供应商有此行为的，政府采购管理部门将供应商列入不良行为记录名单，按照《政府采购法》有关规定处理。</w:t>
      </w:r>
    </w:p>
    <w:p w14:paraId="1A0E2509">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29.3 </w:t>
      </w:r>
      <w:r>
        <w:rPr>
          <w:rFonts w:hint="eastAsia" w:ascii="宋体" w:hAnsi="宋体" w:eastAsia="宋体" w:cs="宋体"/>
          <w:bCs/>
          <w:color w:val="auto"/>
          <w:sz w:val="24"/>
          <w:szCs w:val="24"/>
          <w:highlight w:val="none"/>
        </w:rPr>
        <w:t>供应商不得虚假质疑和恶意质疑，并对质疑内容的真实性承担责任。供应商或者其他利害关系人通过捏造事实、伪造证明材料等方式提出异议或投诉，阻碍招投标活动正常进行的，属于严重不良行为，代理机构将提请财政部门将其列入不良行为记录名单，并依法予以处罚。</w:t>
      </w:r>
    </w:p>
    <w:p w14:paraId="645C9008">
      <w:pPr>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rPr>
        <w:t xml:space="preserve">29.4 </w:t>
      </w:r>
      <w:r>
        <w:rPr>
          <w:rFonts w:hint="eastAsia" w:ascii="宋体" w:hAnsi="宋体" w:eastAsia="宋体" w:cs="宋体"/>
          <w:bCs/>
          <w:color w:val="auto"/>
          <w:sz w:val="24"/>
          <w:szCs w:val="24"/>
          <w:highlight w:val="none"/>
        </w:rPr>
        <w:t>供应商不得虚假承诺，否则，按照提供虚假材料谋取中标成交处理。</w:t>
      </w:r>
    </w:p>
    <w:p w14:paraId="50AD6D66">
      <w:pPr>
        <w:pStyle w:val="27"/>
        <w:keepNext w:val="0"/>
        <w:keepLines w:val="0"/>
        <w:pageBreakBefore w:val="0"/>
        <w:widowControl w:val="0"/>
        <w:shd w:val="clear"/>
        <w:tabs>
          <w:tab w:val="left" w:pos="1929"/>
        </w:tabs>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rPr>
        <w:t xml:space="preserve">29.5 </w:t>
      </w:r>
      <w:r>
        <w:rPr>
          <w:rFonts w:hint="eastAsia" w:ascii="宋体" w:hAnsi="宋体" w:eastAsia="宋体" w:cs="宋体"/>
          <w:bCs/>
          <w:color w:val="auto"/>
          <w:sz w:val="24"/>
          <w:szCs w:val="24"/>
          <w:highlight w:val="none"/>
        </w:rPr>
        <w:t>供应商应自觉遵守开标、评标纪律，扰乱开标评标现场秩序的，属于失信行为，根据《江苏省政府采购供应商监督管理暂行办法》，失信行为将被记入供应商诚信档案。</w:t>
      </w:r>
    </w:p>
    <w:p w14:paraId="3076482A">
      <w:pPr>
        <w:pStyle w:val="2"/>
        <w:shd w:val="clear"/>
        <w:snapToGrid w:val="0"/>
        <w:spacing w:before="0" w:line="360" w:lineRule="auto"/>
        <w:rPr>
          <w:rFonts w:hint="eastAsia" w:ascii="微软雅黑" w:hAnsi="微软雅黑" w:eastAsia="微软雅黑" w:cs="微软雅黑"/>
          <w:color w:val="auto"/>
          <w:highlight w:val="none"/>
        </w:rPr>
      </w:pPr>
      <w:bookmarkStart w:id="41" w:name="第三章_评标方法和标准"/>
      <w:bookmarkEnd w:id="41"/>
    </w:p>
    <w:p w14:paraId="494A8252">
      <w:pPr>
        <w:pStyle w:val="2"/>
        <w:shd w:val="clear"/>
        <w:snapToGrid w:val="0"/>
        <w:spacing w:before="0" w:line="360" w:lineRule="auto"/>
        <w:rPr>
          <w:rFonts w:hint="eastAsia" w:ascii="微软雅黑" w:hAnsi="微软雅黑" w:eastAsia="微软雅黑" w:cs="微软雅黑"/>
          <w:color w:val="auto"/>
          <w:highlight w:val="none"/>
        </w:rPr>
      </w:pPr>
    </w:p>
    <w:p w14:paraId="0D5DCB3F">
      <w:pPr>
        <w:pStyle w:val="2"/>
        <w:shd w:val="clear"/>
        <w:snapToGrid w:val="0"/>
        <w:spacing w:before="0" w:line="360" w:lineRule="auto"/>
        <w:jc w:val="both"/>
        <w:rPr>
          <w:rFonts w:hint="eastAsia" w:ascii="微软雅黑" w:hAnsi="微软雅黑" w:eastAsia="微软雅黑" w:cs="微软雅黑"/>
          <w:color w:val="auto"/>
          <w:highlight w:val="none"/>
        </w:rPr>
      </w:pPr>
    </w:p>
    <w:p w14:paraId="17A18B7C">
      <w:pPr>
        <w:pStyle w:val="2"/>
        <w:shd w:val="clear"/>
        <w:snapToGrid w:val="0"/>
        <w:spacing w:before="0" w:line="360" w:lineRule="auto"/>
        <w:ind w:left="0" w:leftChars="0" w:firstLine="0" w:firstLineChars="0"/>
        <w:jc w:val="both"/>
        <w:rPr>
          <w:rFonts w:hint="eastAsia" w:ascii="微软雅黑" w:hAnsi="微软雅黑" w:eastAsia="微软雅黑" w:cs="微软雅黑"/>
          <w:color w:val="auto"/>
          <w:highlight w:val="none"/>
        </w:rPr>
      </w:pPr>
      <w:bookmarkStart w:id="42" w:name="_Toc18723"/>
    </w:p>
    <w:p w14:paraId="3A91A679">
      <w:pPr>
        <w:rPr>
          <w:rFonts w:hint="eastAsia" w:ascii="微软雅黑" w:hAnsi="微软雅黑" w:eastAsia="微软雅黑" w:cs="微软雅黑"/>
          <w:color w:val="auto"/>
          <w:highlight w:val="none"/>
        </w:rPr>
      </w:pPr>
    </w:p>
    <w:p w14:paraId="61E5A493">
      <w:pPr>
        <w:rPr>
          <w:rFonts w:hint="eastAsia" w:ascii="微软雅黑" w:hAnsi="微软雅黑" w:eastAsia="微软雅黑" w:cs="微软雅黑"/>
          <w:color w:val="auto"/>
          <w:highlight w:val="none"/>
        </w:rPr>
      </w:pPr>
    </w:p>
    <w:p w14:paraId="67BB71EA">
      <w:pPr>
        <w:pStyle w:val="2"/>
        <w:numPr>
          <w:ilvl w:val="0"/>
          <w:numId w:val="4"/>
        </w:numPr>
        <w:shd w:val="clear"/>
        <w:snapToGrid w:val="0"/>
        <w:spacing w:before="0" w:line="360" w:lineRule="auto"/>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rPr>
        <w:t>评标方法和标准</w:t>
      </w:r>
      <w:bookmarkEnd w:id="42"/>
    </w:p>
    <w:p w14:paraId="604B73F9">
      <w:pPr>
        <w:pStyle w:val="7"/>
        <w:shd w:val="clear"/>
        <w:snapToGrid w:val="0"/>
        <w:spacing w:line="360" w:lineRule="auto"/>
        <w:ind w:right="5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一、评标方法</w:t>
      </w:r>
    </w:p>
    <w:p w14:paraId="138B0F32">
      <w:pPr>
        <w:pStyle w:val="7"/>
        <w:shd w:val="clear"/>
        <w:snapToGrid w:val="0"/>
        <w:spacing w:line="360" w:lineRule="auto"/>
        <w:ind w:right="5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w:t>
      </w:r>
      <w:r>
        <w:rPr>
          <w:rFonts w:hint="eastAsia" w:ascii="宋体" w:hAnsi="宋体" w:eastAsia="宋体" w:cs="宋体"/>
          <w:b/>
          <w:color w:val="auto"/>
          <w:sz w:val="24"/>
          <w:szCs w:val="24"/>
          <w:highlight w:val="none"/>
        </w:rPr>
        <w:t>综合评分法</w:t>
      </w:r>
      <w:r>
        <w:rPr>
          <w:rFonts w:hint="eastAsia" w:ascii="宋体" w:hAnsi="宋体" w:eastAsia="宋体" w:cs="宋体"/>
          <w:color w:val="auto"/>
          <w:sz w:val="24"/>
          <w:szCs w:val="24"/>
          <w:highlight w:val="none"/>
        </w:rPr>
        <w:t>。综合评分法是指在满足招标文件实质性要求前提下，按照招标文件中规定的各项因素进行综合评审后，以评标总得分最高的投标人作为中标供应商的评标方法。评审得分最高者为中标供应商，第二名及后续名次为备选供应商，当中标供应商不能履行其义务时，由备选供应商依次顶替，成为新的中标供应商，也可重新组织采购。</w:t>
      </w:r>
    </w:p>
    <w:p w14:paraId="2B515CF8">
      <w:pPr>
        <w:pStyle w:val="7"/>
        <w:shd w:val="clear"/>
        <w:snapToGrid w:val="0"/>
        <w:spacing w:line="360" w:lineRule="auto"/>
        <w:ind w:right="5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二、小微企业价格扣除</w:t>
      </w:r>
    </w:p>
    <w:p w14:paraId="6B686451">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1.本项目服务全部由小微企业承接的，对报价给予10%的扣除，用扣除后的价格参与评审。</w:t>
      </w:r>
    </w:p>
    <w:p w14:paraId="1EDD698B">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残疾人福利性单位视同小型、微型企业，给予与小微企业相同的价格扣除，用扣除后的价格参与评审；监狱和戒毒企业视同小型、微型企业，给予与小微企业相同的价格扣除，用扣除后的价格参与评审。残疾人福利单位、监狱企业属于小型、微型企业的，不重复享受价格扣除。</w:t>
      </w:r>
    </w:p>
    <w:p w14:paraId="2F26C58D">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3.上述价格扣除政策仅适用于“非专门面向中小企业采购项目”。</w:t>
      </w:r>
    </w:p>
    <w:p w14:paraId="7D7573B5">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p w14:paraId="1DE4DD85">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（1）本项目如专门面向中小企业采购，则不执行价格扣除政策，供应商应为中小微企业、监狱企业、残疾人福利性单位。</w:t>
      </w:r>
    </w:p>
    <w:p w14:paraId="7012E70B">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本项目如允许联合体参加投标或允许分包履行合同，大中型企业与小微型企业（或残疾人福利性单位、监狱企业）组成联合体，或者向一家或多家小微型企业（或残疾人福利性单位、监狱企业）分包，联合体协议或者分包意向协议中约定小微型企业（或残疾人福利性单位、监狱企业）的合同份额占合同总金额30%以上的，给予联合体或者大中型企业报价4%的扣除，用扣除后的价格参与评审。</w:t>
      </w:r>
    </w:p>
    <w:p w14:paraId="203685E3">
      <w:pPr>
        <w:pStyle w:val="7"/>
        <w:shd w:val="clear"/>
        <w:snapToGrid w:val="0"/>
        <w:spacing w:line="360" w:lineRule="auto"/>
        <w:ind w:right="50" w:firstLine="480" w:firstLineChars="200"/>
        <w:jc w:val="both"/>
        <w:rPr>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4"/>
          <w:szCs w:val="24"/>
          <w:highlight w:val="none"/>
        </w:rPr>
        <w:t>（3）联合体各方均为小型、微型企业（或残疾人福利性单位、监狱企业）的，给予与小微企业相同的价格扣除，用扣除后的价格参与评审。</w:t>
      </w:r>
    </w:p>
    <w:p w14:paraId="66BB16BA">
      <w:pPr>
        <w:pStyle w:val="7"/>
        <w:shd w:val="clear"/>
        <w:snapToGrid w:val="0"/>
        <w:spacing w:line="360" w:lineRule="auto"/>
        <w:ind w:right="50" w:firstLine="482" w:firstLineChars="200"/>
        <w:jc w:val="both"/>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三、评标说明</w:t>
      </w:r>
    </w:p>
    <w:p w14:paraId="3263BF6E">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1.评标委员会不保证有效报价最低的投标供应商中标。</w:t>
      </w:r>
    </w:p>
    <w:p w14:paraId="37B39AFB">
      <w:pPr>
        <w:pStyle w:val="7"/>
        <w:shd w:val="clear"/>
        <w:snapToGrid w:val="0"/>
        <w:spacing w:line="360" w:lineRule="auto"/>
        <w:ind w:right="5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2.投标时上传的相关证明，在中标后需提供原件至招标代理公司进行核验，若投标供应商提供虚假资料，一经查实按弄虚作假处理废除中标资格。</w:t>
      </w:r>
    </w:p>
    <w:p w14:paraId="5E29A5FF">
      <w:pPr>
        <w:rPr>
          <w:rFonts w:hint="eastAsia" w:ascii="宋体" w:hAnsi="宋体" w:eastAsia="宋体" w:cs="宋体"/>
          <w:color w:val="auto"/>
          <w:sz w:val="24"/>
          <w:szCs w:val="24"/>
          <w:highlight w:val="none"/>
        </w:rPr>
      </w:pPr>
    </w:p>
    <w:p w14:paraId="7888C12D">
      <w:pPr>
        <w:pStyle w:val="19"/>
        <w:ind w:left="620" w:firstLine="0"/>
        <w:rPr>
          <w:rFonts w:hint="eastAsia" w:ascii="宋体" w:hAnsi="宋体" w:eastAsia="宋体" w:cs="宋体"/>
          <w:b/>
          <w:bCs/>
          <w:color w:val="auto"/>
          <w:sz w:val="24"/>
          <w:szCs w:val="24"/>
          <w:highlight w:val="none"/>
          <w:lang w:val="en-US" w:eastAsia="zh-CN" w:bidi="zh-CN"/>
        </w:rPr>
      </w:pPr>
    </w:p>
    <w:p w14:paraId="31DA5E59">
      <w:pPr>
        <w:pStyle w:val="19"/>
        <w:ind w:left="620" w:firstLine="0"/>
        <w:rPr>
          <w:rFonts w:hint="eastAsia" w:ascii="宋体" w:hAnsi="宋体" w:eastAsia="宋体" w:cs="宋体"/>
          <w:b/>
          <w:bCs/>
          <w:color w:val="auto"/>
          <w:sz w:val="24"/>
          <w:szCs w:val="24"/>
          <w:highlight w:val="none"/>
          <w:lang w:val="zh-CN" w:eastAsia="zh-CN" w:bidi="zh-CN"/>
        </w:rPr>
      </w:pPr>
      <w:r>
        <w:rPr>
          <w:rFonts w:hint="eastAsia" w:ascii="宋体" w:hAnsi="宋体" w:eastAsia="宋体" w:cs="宋体"/>
          <w:b/>
          <w:bCs/>
          <w:color w:val="auto"/>
          <w:sz w:val="24"/>
          <w:szCs w:val="24"/>
          <w:highlight w:val="none"/>
          <w:lang w:val="en-US" w:eastAsia="zh-CN" w:bidi="zh-CN"/>
        </w:rPr>
        <w:t>四、</w:t>
      </w:r>
      <w:r>
        <w:rPr>
          <w:rFonts w:hint="eastAsia" w:ascii="宋体" w:hAnsi="宋体" w:eastAsia="宋体" w:cs="宋体"/>
          <w:b/>
          <w:bCs/>
          <w:color w:val="auto"/>
          <w:sz w:val="24"/>
          <w:szCs w:val="24"/>
          <w:highlight w:val="none"/>
          <w:lang w:val="zh-CN" w:eastAsia="zh-CN" w:bidi="zh-CN"/>
        </w:rPr>
        <w:t>评标标准</w:t>
      </w:r>
    </w:p>
    <w:tbl>
      <w:tblPr>
        <w:tblStyle w:val="20"/>
        <w:tblW w:w="9878"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323"/>
        <w:gridCol w:w="6900"/>
        <w:gridCol w:w="995"/>
      </w:tblGrid>
      <w:tr w14:paraId="4478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0" w:type="dxa"/>
            <w:tcBorders>
              <w:top w:val="single" w:color="auto" w:sz="4" w:space="0"/>
              <w:left w:val="single" w:color="auto" w:sz="4" w:space="0"/>
              <w:bottom w:val="single" w:color="auto" w:sz="4" w:space="0"/>
              <w:right w:val="single" w:color="auto" w:sz="4" w:space="0"/>
            </w:tcBorders>
            <w:vAlign w:val="center"/>
          </w:tcPr>
          <w:p w14:paraId="5379E296">
            <w:pPr>
              <w:jc w:val="center"/>
              <w:rPr>
                <w:rFonts w:hint="eastAsia" w:ascii="宋体" w:hAnsi="宋体" w:eastAsia="宋体"/>
                <w:b/>
                <w:color w:val="auto"/>
                <w:highlight w:val="none"/>
              </w:rPr>
            </w:pPr>
            <w:r>
              <w:rPr>
                <w:rFonts w:hint="eastAsia" w:ascii="宋体" w:hAnsi="宋体" w:eastAsia="宋体"/>
                <w:b/>
                <w:color w:val="auto"/>
                <w:highlight w:val="none"/>
              </w:rPr>
              <w:t>序号</w:t>
            </w:r>
          </w:p>
        </w:tc>
        <w:tc>
          <w:tcPr>
            <w:tcW w:w="1323" w:type="dxa"/>
            <w:tcBorders>
              <w:top w:val="single" w:color="auto" w:sz="4" w:space="0"/>
              <w:left w:val="single" w:color="auto" w:sz="4" w:space="0"/>
              <w:bottom w:val="single" w:color="auto" w:sz="4" w:space="0"/>
              <w:right w:val="single" w:color="auto" w:sz="4" w:space="0"/>
            </w:tcBorders>
            <w:vAlign w:val="center"/>
          </w:tcPr>
          <w:p w14:paraId="05F67933">
            <w:pPr>
              <w:jc w:val="center"/>
              <w:rPr>
                <w:rFonts w:hint="eastAsia" w:ascii="宋体" w:hAnsi="宋体" w:eastAsia="宋体"/>
                <w:b/>
                <w:color w:val="auto"/>
                <w:highlight w:val="none"/>
              </w:rPr>
            </w:pPr>
            <w:r>
              <w:rPr>
                <w:rFonts w:hint="eastAsia" w:ascii="宋体" w:hAnsi="宋体" w:eastAsia="宋体"/>
                <w:b/>
                <w:color w:val="auto"/>
                <w:highlight w:val="none"/>
              </w:rPr>
              <w:t>评分因素</w:t>
            </w:r>
          </w:p>
        </w:tc>
        <w:tc>
          <w:tcPr>
            <w:tcW w:w="6900" w:type="dxa"/>
            <w:tcBorders>
              <w:top w:val="single" w:color="auto" w:sz="4" w:space="0"/>
              <w:left w:val="single" w:color="auto" w:sz="4" w:space="0"/>
              <w:bottom w:val="single" w:color="auto" w:sz="4" w:space="0"/>
              <w:right w:val="single" w:color="auto" w:sz="4" w:space="0"/>
            </w:tcBorders>
            <w:vAlign w:val="center"/>
          </w:tcPr>
          <w:p w14:paraId="5B9451CC">
            <w:pPr>
              <w:jc w:val="center"/>
              <w:rPr>
                <w:rFonts w:hint="eastAsia" w:ascii="宋体" w:hAnsi="宋体" w:eastAsia="宋体"/>
                <w:b/>
                <w:color w:val="auto"/>
                <w:highlight w:val="none"/>
              </w:rPr>
            </w:pPr>
            <w:r>
              <w:rPr>
                <w:rFonts w:hint="eastAsia" w:ascii="宋体" w:hAnsi="宋体" w:eastAsia="宋体"/>
                <w:b/>
                <w:color w:val="auto"/>
                <w:highlight w:val="none"/>
              </w:rPr>
              <w:t>评审标准</w:t>
            </w:r>
          </w:p>
        </w:tc>
        <w:tc>
          <w:tcPr>
            <w:tcW w:w="995" w:type="dxa"/>
            <w:tcBorders>
              <w:top w:val="single" w:color="auto" w:sz="4" w:space="0"/>
              <w:left w:val="single" w:color="auto" w:sz="4" w:space="0"/>
              <w:bottom w:val="single" w:color="auto" w:sz="4" w:space="0"/>
              <w:right w:val="single" w:color="auto" w:sz="4" w:space="0"/>
            </w:tcBorders>
            <w:vAlign w:val="center"/>
          </w:tcPr>
          <w:p w14:paraId="6412E8C2">
            <w:pPr>
              <w:jc w:val="center"/>
              <w:rPr>
                <w:rFonts w:hint="eastAsia" w:ascii="宋体" w:hAnsi="宋体" w:eastAsia="宋体"/>
                <w:b/>
                <w:color w:val="auto"/>
                <w:highlight w:val="none"/>
              </w:rPr>
            </w:pPr>
            <w:r>
              <w:rPr>
                <w:rFonts w:hint="eastAsia" w:ascii="宋体" w:hAnsi="宋体" w:eastAsia="宋体"/>
                <w:b/>
                <w:color w:val="auto"/>
                <w:highlight w:val="none"/>
              </w:rPr>
              <w:t>分值</w:t>
            </w:r>
          </w:p>
        </w:tc>
      </w:tr>
      <w:tr w14:paraId="0E4E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60" w:type="dxa"/>
            <w:tcBorders>
              <w:top w:val="single" w:color="auto" w:sz="4" w:space="0"/>
              <w:left w:val="single" w:color="auto" w:sz="4" w:space="0"/>
              <w:bottom w:val="single" w:color="auto" w:sz="4" w:space="0"/>
              <w:right w:val="single" w:color="auto" w:sz="4" w:space="0"/>
            </w:tcBorders>
            <w:vAlign w:val="center"/>
          </w:tcPr>
          <w:p w14:paraId="53229199">
            <w:pPr>
              <w:jc w:val="center"/>
              <w:rPr>
                <w:rFonts w:hint="eastAsia" w:ascii="宋体" w:hAnsi="宋体" w:eastAsia="宋体"/>
                <w:b/>
                <w:color w:val="auto"/>
                <w:highlight w:val="none"/>
              </w:rPr>
            </w:pPr>
            <w:r>
              <w:rPr>
                <w:rFonts w:hint="eastAsia" w:ascii="宋体" w:hAnsi="宋体" w:eastAsia="宋体"/>
                <w:bCs/>
                <w:color w:val="auto"/>
                <w:highlight w:val="none"/>
              </w:rPr>
              <w:t>1</w:t>
            </w:r>
          </w:p>
        </w:tc>
        <w:tc>
          <w:tcPr>
            <w:tcW w:w="1323" w:type="dxa"/>
            <w:tcBorders>
              <w:top w:val="single" w:color="auto" w:sz="4" w:space="0"/>
              <w:left w:val="single" w:color="auto" w:sz="4" w:space="0"/>
              <w:bottom w:val="single" w:color="auto" w:sz="4" w:space="0"/>
              <w:right w:val="single" w:color="auto" w:sz="4" w:space="0"/>
            </w:tcBorders>
            <w:vAlign w:val="center"/>
          </w:tcPr>
          <w:p w14:paraId="70386B21">
            <w:pPr>
              <w:jc w:val="center"/>
              <w:rPr>
                <w:rFonts w:hint="eastAsia" w:ascii="宋体" w:hAnsi="宋体" w:eastAsia="宋体"/>
                <w:bCs/>
                <w:color w:val="auto"/>
                <w:highlight w:val="none"/>
              </w:rPr>
            </w:pPr>
            <w:r>
              <w:rPr>
                <w:rFonts w:hint="eastAsia" w:ascii="宋体" w:hAnsi="宋体" w:eastAsia="宋体"/>
                <w:bCs/>
                <w:color w:val="auto"/>
                <w:highlight w:val="none"/>
              </w:rPr>
              <w:t>投标报价</w:t>
            </w:r>
          </w:p>
        </w:tc>
        <w:tc>
          <w:tcPr>
            <w:tcW w:w="6900" w:type="dxa"/>
            <w:tcBorders>
              <w:top w:val="single" w:color="auto" w:sz="4" w:space="0"/>
              <w:left w:val="single" w:color="auto" w:sz="4" w:space="0"/>
              <w:bottom w:val="single" w:color="auto" w:sz="4" w:space="0"/>
              <w:right w:val="single" w:color="auto" w:sz="4" w:space="0"/>
            </w:tcBorders>
            <w:vAlign w:val="center"/>
          </w:tcPr>
          <w:p w14:paraId="3F72B4F1">
            <w:pPr>
              <w:rPr>
                <w:rFonts w:hint="eastAsia" w:ascii="宋体" w:hAnsi="宋体" w:eastAsia="宋体"/>
                <w:bCs/>
                <w:color w:val="auto"/>
                <w:highlight w:val="none"/>
              </w:rPr>
            </w:pPr>
            <w:r>
              <w:rPr>
                <w:rFonts w:hint="eastAsia" w:ascii="宋体" w:hAnsi="宋体" w:eastAsia="宋体"/>
                <w:color w:val="auto"/>
                <w:highlight w:val="none"/>
              </w:rPr>
              <w:t>采用低价优先法计算，即满足磋商文件要求且投标价格低的投标报价为评标基准价，其价格分为满分。其他供应商的价格分按照下列公式计算（小数点保留两位）：投标报价得分=(评标基准价/投标报价)×30</w:t>
            </w:r>
          </w:p>
        </w:tc>
        <w:tc>
          <w:tcPr>
            <w:tcW w:w="995" w:type="dxa"/>
            <w:tcBorders>
              <w:top w:val="single" w:color="auto" w:sz="4" w:space="0"/>
              <w:left w:val="single" w:color="auto" w:sz="4" w:space="0"/>
              <w:bottom w:val="single" w:color="auto" w:sz="4" w:space="0"/>
              <w:right w:val="single" w:color="auto" w:sz="4" w:space="0"/>
            </w:tcBorders>
            <w:vAlign w:val="center"/>
          </w:tcPr>
          <w:p w14:paraId="2E946761">
            <w:pPr>
              <w:jc w:val="center"/>
              <w:rPr>
                <w:rFonts w:hint="eastAsia" w:ascii="宋体" w:hAnsi="宋体" w:eastAsia="宋体"/>
                <w:bCs/>
                <w:color w:val="auto"/>
                <w:highlight w:val="none"/>
              </w:rPr>
            </w:pPr>
            <w:r>
              <w:rPr>
                <w:rFonts w:hint="eastAsia" w:ascii="宋体" w:hAnsi="宋体" w:eastAsia="宋体"/>
                <w:bCs/>
                <w:color w:val="auto"/>
                <w:highlight w:val="none"/>
              </w:rPr>
              <w:t>30</w:t>
            </w:r>
          </w:p>
        </w:tc>
      </w:tr>
      <w:tr w14:paraId="76CD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7F6750E4">
            <w:pPr>
              <w:jc w:val="center"/>
              <w:rPr>
                <w:rFonts w:hint="eastAsia" w:ascii="宋体" w:hAnsi="宋体" w:eastAsia="宋体"/>
                <w:color w:val="auto"/>
                <w:highlight w:val="none"/>
              </w:rPr>
            </w:pPr>
            <w:r>
              <w:rPr>
                <w:rFonts w:hint="eastAsia" w:ascii="宋体" w:hAnsi="宋体" w:eastAsia="宋体"/>
                <w:color w:val="auto"/>
                <w:highlight w:val="none"/>
              </w:rPr>
              <w:t>2</w:t>
            </w:r>
          </w:p>
        </w:tc>
        <w:tc>
          <w:tcPr>
            <w:tcW w:w="1323" w:type="dxa"/>
            <w:vMerge w:val="restart"/>
            <w:tcBorders>
              <w:top w:val="single" w:color="auto" w:sz="4" w:space="0"/>
              <w:left w:val="single" w:color="auto" w:sz="4" w:space="0"/>
              <w:bottom w:val="single" w:color="auto" w:sz="4" w:space="0"/>
              <w:right w:val="single" w:color="auto" w:sz="4" w:space="0"/>
            </w:tcBorders>
            <w:vAlign w:val="center"/>
          </w:tcPr>
          <w:p w14:paraId="399744FF">
            <w:pPr>
              <w:jc w:val="center"/>
              <w:rPr>
                <w:rFonts w:hint="eastAsia" w:ascii="宋体" w:hAnsi="宋体" w:eastAsia="宋体"/>
                <w:color w:val="auto"/>
                <w:highlight w:val="none"/>
              </w:rPr>
            </w:pPr>
            <w:r>
              <w:rPr>
                <w:rFonts w:hint="eastAsia" w:ascii="宋体" w:hAnsi="宋体" w:eastAsia="宋体"/>
                <w:color w:val="auto"/>
                <w:highlight w:val="none"/>
              </w:rPr>
              <w:t>服务方案</w:t>
            </w:r>
          </w:p>
        </w:tc>
        <w:tc>
          <w:tcPr>
            <w:tcW w:w="6900" w:type="dxa"/>
            <w:tcBorders>
              <w:top w:val="single" w:color="auto" w:sz="4" w:space="0"/>
              <w:left w:val="single" w:color="auto" w:sz="4" w:space="0"/>
              <w:bottom w:val="single" w:color="auto" w:sz="4" w:space="0"/>
              <w:right w:val="single" w:color="auto" w:sz="4" w:space="0"/>
            </w:tcBorders>
            <w:vAlign w:val="center"/>
          </w:tcPr>
          <w:p w14:paraId="7B3EC260">
            <w:pPr>
              <w:rPr>
                <w:rFonts w:hint="eastAsia" w:ascii="宋体" w:hAnsi="宋体" w:eastAsia="宋体"/>
                <w:color w:val="auto"/>
                <w:highlight w:val="none"/>
              </w:rPr>
            </w:pPr>
            <w:r>
              <w:rPr>
                <w:rFonts w:hint="eastAsia" w:ascii="宋体" w:hAnsi="宋体" w:eastAsia="宋体"/>
                <w:color w:val="auto"/>
                <w:highlight w:val="none"/>
              </w:rPr>
              <w:t>根据投标人对江宁区多媒体多功能新型防空防灾预警报知系统及南京市人防警报控制系统的熟悉程度，对维护设备的结构及性能掌握情况。</w:t>
            </w:r>
          </w:p>
          <w:p w14:paraId="31B3D19D">
            <w:pPr>
              <w:rPr>
                <w:rFonts w:hint="eastAsia" w:ascii="宋体" w:hAnsi="宋体" w:eastAsia="宋体"/>
                <w:color w:val="auto"/>
                <w:highlight w:val="none"/>
              </w:rPr>
            </w:pPr>
            <w:r>
              <w:rPr>
                <w:rFonts w:hint="eastAsia" w:ascii="宋体" w:hAnsi="宋体" w:eastAsia="宋体"/>
                <w:color w:val="auto"/>
                <w:highlight w:val="none"/>
              </w:rPr>
              <w:t>（1）工作方案具有非常强的针对性、可操作性，内容全面、充实的，得10分；</w:t>
            </w:r>
          </w:p>
          <w:p w14:paraId="5A7D4DDF">
            <w:pPr>
              <w:rPr>
                <w:rFonts w:hint="eastAsia" w:ascii="宋体" w:hAnsi="宋体" w:eastAsia="宋体"/>
                <w:color w:val="auto"/>
                <w:highlight w:val="none"/>
              </w:rPr>
            </w:pPr>
            <w:r>
              <w:rPr>
                <w:rFonts w:hint="eastAsia" w:ascii="宋体" w:hAnsi="宋体" w:eastAsia="宋体"/>
                <w:color w:val="auto"/>
                <w:highlight w:val="none"/>
              </w:rPr>
              <w:t>（2）工作方案具有良好的针对性、可操作性，内容较全面、充实的，得</w:t>
            </w:r>
            <w:r>
              <w:rPr>
                <w:rFonts w:hint="eastAsia" w:ascii="宋体" w:hAnsi="宋体" w:eastAsia="宋体"/>
                <w:color w:val="auto"/>
                <w:highlight w:val="none"/>
                <w:lang w:val="en-US" w:eastAsia="zh-CN"/>
              </w:rPr>
              <w:t>8</w:t>
            </w:r>
            <w:r>
              <w:rPr>
                <w:rFonts w:hint="eastAsia" w:ascii="宋体" w:hAnsi="宋体" w:eastAsia="宋体"/>
                <w:color w:val="auto"/>
                <w:highlight w:val="none"/>
              </w:rPr>
              <w:t>分；</w:t>
            </w:r>
          </w:p>
          <w:p w14:paraId="14215C0D">
            <w:pPr>
              <w:rPr>
                <w:rFonts w:hint="eastAsia" w:ascii="宋体" w:hAnsi="宋体" w:eastAsia="宋体"/>
                <w:color w:val="auto"/>
                <w:highlight w:val="none"/>
              </w:rPr>
            </w:pPr>
            <w:r>
              <w:rPr>
                <w:rFonts w:hint="eastAsia" w:ascii="宋体" w:hAnsi="宋体" w:eastAsia="宋体"/>
                <w:color w:val="auto"/>
                <w:highlight w:val="none"/>
              </w:rPr>
              <w:t>（3）工作方案针对性、可操作性一般，内容一般的，得6分；</w:t>
            </w:r>
          </w:p>
          <w:p w14:paraId="5ED511BF">
            <w:pPr>
              <w:rPr>
                <w:rFonts w:hint="eastAsia" w:ascii="宋体" w:hAnsi="宋体" w:eastAsia="宋体"/>
                <w:color w:val="auto"/>
                <w:highlight w:val="none"/>
              </w:rPr>
            </w:pPr>
            <w:r>
              <w:rPr>
                <w:rFonts w:hint="eastAsia" w:ascii="宋体" w:hAnsi="宋体" w:eastAsia="宋体"/>
                <w:color w:val="auto"/>
                <w:highlight w:val="none"/>
              </w:rPr>
              <w:t>（4）工作方案无针对性、可操作性，内容不饱满的，得4分；</w:t>
            </w:r>
          </w:p>
          <w:p w14:paraId="2F16C0FA">
            <w:pPr>
              <w:rPr>
                <w:rFonts w:hint="eastAsia" w:ascii="宋体" w:hAnsi="宋体" w:eastAsia="宋体"/>
                <w:b/>
                <w:color w:val="auto"/>
                <w:highlight w:val="none"/>
              </w:rPr>
            </w:pPr>
            <w:r>
              <w:rPr>
                <w:rFonts w:hint="eastAsia" w:ascii="宋体" w:hAnsi="宋体" w:eastAsia="宋体"/>
                <w:color w:val="auto"/>
                <w:highlight w:val="none"/>
              </w:rPr>
              <w:t>（5）无不得分。</w:t>
            </w:r>
          </w:p>
        </w:tc>
        <w:tc>
          <w:tcPr>
            <w:tcW w:w="995" w:type="dxa"/>
            <w:tcBorders>
              <w:top w:val="single" w:color="auto" w:sz="4" w:space="0"/>
              <w:left w:val="single" w:color="auto" w:sz="4" w:space="0"/>
              <w:bottom w:val="single" w:color="auto" w:sz="4" w:space="0"/>
              <w:right w:val="single" w:color="auto" w:sz="4" w:space="0"/>
            </w:tcBorders>
            <w:vAlign w:val="center"/>
          </w:tcPr>
          <w:p w14:paraId="16F60293">
            <w:pPr>
              <w:jc w:val="center"/>
              <w:rPr>
                <w:rFonts w:hint="eastAsia" w:ascii="宋体" w:hAnsi="宋体" w:eastAsia="宋体"/>
                <w:color w:val="auto"/>
                <w:highlight w:val="none"/>
              </w:rPr>
            </w:pPr>
            <w:r>
              <w:rPr>
                <w:rFonts w:hint="eastAsia" w:ascii="宋体" w:hAnsi="宋体" w:eastAsia="宋体"/>
                <w:color w:val="auto"/>
                <w:highlight w:val="none"/>
              </w:rPr>
              <w:t>10</w:t>
            </w:r>
          </w:p>
        </w:tc>
      </w:tr>
      <w:tr w14:paraId="0465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3"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46B5A31F">
            <w:pPr>
              <w:jc w:val="cente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413FB0DB">
            <w:pPr>
              <w:jc w:val="cente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43709E2C">
            <w:pPr>
              <w:rPr>
                <w:rFonts w:hint="eastAsia" w:ascii="宋体" w:hAnsi="宋体" w:eastAsia="宋体"/>
                <w:color w:val="auto"/>
                <w:highlight w:val="none"/>
              </w:rPr>
            </w:pPr>
            <w:r>
              <w:rPr>
                <w:rFonts w:hint="eastAsia" w:ascii="宋体" w:hAnsi="宋体" w:eastAsia="宋体"/>
                <w:color w:val="auto"/>
                <w:highlight w:val="none"/>
              </w:rPr>
              <w:t>对投标人提供的服务方案针对性、合理性、全面性，服务进度计划等方面综合比较，酌情评分。项目计划和进度安排科学合理、工期保障措施健全，验收方案能满足需求的且方案详细完整、有可操作性等。</w:t>
            </w:r>
          </w:p>
          <w:p w14:paraId="5270C4F1">
            <w:pPr>
              <w:rPr>
                <w:rFonts w:hint="eastAsia" w:ascii="宋体" w:hAnsi="宋体" w:eastAsia="宋体"/>
                <w:color w:val="auto"/>
                <w:highlight w:val="none"/>
              </w:rPr>
            </w:pPr>
            <w:r>
              <w:rPr>
                <w:rFonts w:hint="eastAsia" w:ascii="宋体" w:hAnsi="宋体" w:eastAsia="宋体"/>
                <w:color w:val="auto"/>
                <w:highlight w:val="none"/>
              </w:rPr>
              <w:t>（1）对工作组织设计周期安排及对项目进展要求计划规范性和完整性安排合理得10分；</w:t>
            </w:r>
          </w:p>
          <w:p w14:paraId="4B402BEA">
            <w:pPr>
              <w:rPr>
                <w:rFonts w:hint="eastAsia" w:ascii="宋体" w:hAnsi="宋体" w:eastAsia="宋体"/>
                <w:color w:val="auto"/>
                <w:highlight w:val="none"/>
              </w:rPr>
            </w:pPr>
            <w:r>
              <w:rPr>
                <w:rFonts w:hint="eastAsia" w:ascii="宋体" w:hAnsi="宋体" w:eastAsia="宋体"/>
                <w:color w:val="auto"/>
                <w:highlight w:val="none"/>
              </w:rPr>
              <w:t>（2）对工作组织设计周期安排及对项目进展要求计划规范性和完整性安排较合理得8分；</w:t>
            </w:r>
          </w:p>
          <w:p w14:paraId="77E18C17">
            <w:pPr>
              <w:rPr>
                <w:rFonts w:hint="eastAsia" w:ascii="宋体" w:hAnsi="宋体" w:eastAsia="宋体"/>
                <w:color w:val="auto"/>
                <w:highlight w:val="none"/>
              </w:rPr>
            </w:pPr>
            <w:r>
              <w:rPr>
                <w:rFonts w:hint="eastAsia" w:ascii="宋体" w:hAnsi="宋体" w:eastAsia="宋体"/>
                <w:color w:val="auto"/>
                <w:highlight w:val="none"/>
              </w:rPr>
              <w:t>（3）对工作组织设计周期及对项目进展要求计划规范性和完整性安排一般得6分；</w:t>
            </w:r>
          </w:p>
          <w:p w14:paraId="22C857A0">
            <w:pPr>
              <w:rPr>
                <w:rFonts w:hint="eastAsia" w:ascii="宋体" w:hAnsi="宋体" w:eastAsia="宋体"/>
                <w:color w:val="auto"/>
                <w:highlight w:val="none"/>
              </w:rPr>
            </w:pPr>
            <w:r>
              <w:rPr>
                <w:rFonts w:hint="eastAsia" w:ascii="宋体" w:hAnsi="宋体" w:eastAsia="宋体"/>
                <w:color w:val="auto"/>
                <w:highlight w:val="none"/>
              </w:rPr>
              <w:t>（4）对工作组织设计周期及对项目进展要求计划规范性和完整性安排不合理得4分；</w:t>
            </w:r>
          </w:p>
          <w:p w14:paraId="7AD665F8">
            <w:pPr>
              <w:rPr>
                <w:rFonts w:hint="eastAsia" w:ascii="宋体" w:hAnsi="宋体" w:eastAsia="宋体"/>
                <w:color w:val="auto"/>
                <w:highlight w:val="none"/>
              </w:rPr>
            </w:pPr>
            <w:r>
              <w:rPr>
                <w:rFonts w:hint="eastAsia" w:ascii="宋体" w:hAnsi="宋体" w:eastAsia="宋体"/>
                <w:color w:val="auto"/>
                <w:highlight w:val="none"/>
              </w:rPr>
              <w:t>（5）无不得分。</w:t>
            </w:r>
          </w:p>
        </w:tc>
        <w:tc>
          <w:tcPr>
            <w:tcW w:w="995" w:type="dxa"/>
            <w:tcBorders>
              <w:top w:val="single" w:color="auto" w:sz="4" w:space="0"/>
              <w:left w:val="single" w:color="auto" w:sz="4" w:space="0"/>
              <w:bottom w:val="single" w:color="auto" w:sz="4" w:space="0"/>
              <w:right w:val="single" w:color="auto" w:sz="4" w:space="0"/>
            </w:tcBorders>
            <w:vAlign w:val="center"/>
          </w:tcPr>
          <w:p w14:paraId="0E12DAED">
            <w:pPr>
              <w:jc w:val="center"/>
              <w:rPr>
                <w:rFonts w:hint="eastAsia" w:ascii="宋体" w:hAnsi="宋体" w:eastAsia="宋体"/>
                <w:color w:val="auto"/>
                <w:highlight w:val="none"/>
              </w:rPr>
            </w:pPr>
            <w:r>
              <w:rPr>
                <w:rFonts w:hint="eastAsia" w:ascii="宋体" w:hAnsi="宋体" w:eastAsia="宋体"/>
                <w:color w:val="auto"/>
                <w:highlight w:val="none"/>
              </w:rPr>
              <w:t>10</w:t>
            </w:r>
          </w:p>
        </w:tc>
      </w:tr>
      <w:tr w14:paraId="01B1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2"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40E385D6">
            <w:pPr>
              <w:jc w:val="cente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739226D9">
            <w:pPr>
              <w:jc w:val="cente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48E9574E">
            <w:pPr>
              <w:rPr>
                <w:rFonts w:hint="eastAsia" w:ascii="宋体" w:hAnsi="宋体" w:eastAsia="宋体"/>
                <w:color w:val="auto"/>
                <w:highlight w:val="none"/>
              </w:rPr>
            </w:pPr>
            <w:r>
              <w:rPr>
                <w:rFonts w:hint="eastAsia" w:ascii="宋体" w:hAnsi="宋体" w:eastAsia="宋体"/>
                <w:color w:val="auto"/>
                <w:highlight w:val="none"/>
              </w:rPr>
              <w:t>对投标人售后服务方案承诺、专业维修人员，响应时间、应急响应方案等进行综合比较。</w:t>
            </w:r>
          </w:p>
          <w:p w14:paraId="3AC72A92">
            <w:pPr>
              <w:rPr>
                <w:rFonts w:hint="eastAsia" w:ascii="宋体" w:hAnsi="宋体" w:eastAsia="宋体"/>
                <w:color w:val="auto"/>
                <w:highlight w:val="none"/>
              </w:rPr>
            </w:pPr>
            <w:r>
              <w:rPr>
                <w:rFonts w:hint="eastAsia" w:ascii="宋体" w:hAnsi="宋体" w:eastAsia="宋体"/>
                <w:color w:val="auto"/>
                <w:highlight w:val="none"/>
              </w:rPr>
              <w:t>（1）售后服务方案具有非常强的针对性、可操作性，内容全面、充实的，得8分；</w:t>
            </w:r>
          </w:p>
          <w:p w14:paraId="05B8F7B6">
            <w:pPr>
              <w:rPr>
                <w:rFonts w:hint="eastAsia" w:ascii="宋体" w:hAnsi="宋体" w:eastAsia="宋体"/>
                <w:color w:val="auto"/>
                <w:highlight w:val="none"/>
              </w:rPr>
            </w:pPr>
            <w:r>
              <w:rPr>
                <w:rFonts w:hint="eastAsia" w:ascii="宋体" w:hAnsi="宋体" w:eastAsia="宋体"/>
                <w:color w:val="auto"/>
                <w:highlight w:val="none"/>
              </w:rPr>
              <w:t>（2）售后服务方案具有良好的针对性、可操作性，内容较全面、充实的，得6分；</w:t>
            </w:r>
          </w:p>
          <w:p w14:paraId="2403BE56">
            <w:pPr>
              <w:rPr>
                <w:rFonts w:hint="eastAsia" w:ascii="宋体" w:hAnsi="宋体" w:eastAsia="宋体"/>
                <w:color w:val="auto"/>
                <w:highlight w:val="none"/>
              </w:rPr>
            </w:pPr>
            <w:r>
              <w:rPr>
                <w:rFonts w:hint="eastAsia" w:ascii="宋体" w:hAnsi="宋体" w:eastAsia="宋体"/>
                <w:color w:val="auto"/>
                <w:highlight w:val="none"/>
              </w:rPr>
              <w:t>（3）售后服务方案针对性、可操作性一般，内容一般的，得4分；</w:t>
            </w:r>
          </w:p>
          <w:p w14:paraId="3EA9AC14">
            <w:pPr>
              <w:rPr>
                <w:rFonts w:hint="eastAsia" w:ascii="宋体" w:hAnsi="宋体" w:eastAsia="宋体"/>
                <w:color w:val="auto"/>
                <w:highlight w:val="none"/>
              </w:rPr>
            </w:pPr>
            <w:r>
              <w:rPr>
                <w:rFonts w:hint="eastAsia" w:ascii="宋体" w:hAnsi="宋体" w:eastAsia="宋体"/>
                <w:color w:val="auto"/>
                <w:highlight w:val="none"/>
              </w:rPr>
              <w:t>（4）售后服务方案无针对性、可操作性差，内容不饱满的，得2分；</w:t>
            </w:r>
          </w:p>
          <w:p w14:paraId="0E3B5602">
            <w:pPr>
              <w:rPr>
                <w:rFonts w:hint="eastAsia" w:ascii="宋体" w:hAnsi="宋体" w:eastAsia="宋体"/>
                <w:color w:val="auto"/>
                <w:highlight w:val="none"/>
              </w:rPr>
            </w:pPr>
            <w:r>
              <w:rPr>
                <w:rFonts w:hint="eastAsia" w:ascii="宋体" w:hAnsi="宋体" w:eastAsia="宋体"/>
                <w:color w:val="auto"/>
                <w:highlight w:val="none"/>
              </w:rPr>
              <w:t>（5）无不得分</w:t>
            </w:r>
          </w:p>
        </w:tc>
        <w:tc>
          <w:tcPr>
            <w:tcW w:w="995" w:type="dxa"/>
            <w:tcBorders>
              <w:top w:val="single" w:color="auto" w:sz="4" w:space="0"/>
              <w:left w:val="single" w:color="auto" w:sz="4" w:space="0"/>
              <w:bottom w:val="single" w:color="auto" w:sz="4" w:space="0"/>
              <w:right w:val="single" w:color="auto" w:sz="4" w:space="0"/>
            </w:tcBorders>
            <w:vAlign w:val="center"/>
          </w:tcPr>
          <w:p w14:paraId="155F3CEE">
            <w:pPr>
              <w:jc w:val="center"/>
              <w:rPr>
                <w:rFonts w:hint="eastAsia" w:ascii="宋体" w:hAnsi="宋体" w:eastAsia="宋体"/>
                <w:color w:val="auto"/>
                <w:highlight w:val="none"/>
              </w:rPr>
            </w:pPr>
            <w:r>
              <w:rPr>
                <w:rFonts w:hint="eastAsia" w:ascii="宋体" w:hAnsi="宋体" w:eastAsia="宋体"/>
                <w:color w:val="auto"/>
                <w:highlight w:val="none"/>
              </w:rPr>
              <w:t>8</w:t>
            </w:r>
          </w:p>
        </w:tc>
      </w:tr>
      <w:tr w14:paraId="3B1C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08A7BF90">
            <w:pPr>
              <w:jc w:val="cente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266CBF2C">
            <w:pPr>
              <w:jc w:val="cente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34EECCDF">
            <w:pPr>
              <w:rPr>
                <w:rFonts w:hint="eastAsia" w:ascii="宋体" w:hAnsi="宋体" w:eastAsia="宋体"/>
                <w:color w:val="auto"/>
                <w:highlight w:val="none"/>
              </w:rPr>
            </w:pPr>
            <w:r>
              <w:rPr>
                <w:rFonts w:hint="eastAsia" w:ascii="宋体" w:hAnsi="宋体" w:eastAsia="宋体"/>
                <w:color w:val="auto"/>
                <w:highlight w:val="none"/>
              </w:rPr>
              <w:t>投标人针对系统的日常使用和维护对采购人提供的培训计划及培训内容的针对性、全面性、便捷性、适用性及培训深度。</w:t>
            </w:r>
          </w:p>
          <w:p w14:paraId="4836660F">
            <w:pPr>
              <w:rPr>
                <w:rFonts w:hint="eastAsia" w:ascii="宋体" w:hAnsi="宋体" w:eastAsia="宋体"/>
                <w:color w:val="auto"/>
                <w:highlight w:val="none"/>
              </w:rPr>
            </w:pPr>
            <w:r>
              <w:rPr>
                <w:rFonts w:hint="eastAsia" w:ascii="宋体" w:hAnsi="宋体" w:eastAsia="宋体"/>
                <w:color w:val="auto"/>
                <w:highlight w:val="none"/>
              </w:rPr>
              <w:t>（1）针对系统的日常使用和维护对采购人提供的培训计划及培训内容的针对性、全面性、便捷性、适用性及培训深度较合理的得6分；</w:t>
            </w:r>
          </w:p>
          <w:p w14:paraId="69F623E0">
            <w:pPr>
              <w:rPr>
                <w:rFonts w:hint="eastAsia" w:ascii="宋体" w:hAnsi="宋体" w:eastAsia="宋体"/>
                <w:color w:val="auto"/>
                <w:highlight w:val="none"/>
              </w:rPr>
            </w:pPr>
            <w:r>
              <w:rPr>
                <w:rFonts w:hint="eastAsia" w:ascii="宋体" w:hAnsi="宋体" w:eastAsia="宋体"/>
                <w:color w:val="auto"/>
                <w:highlight w:val="none"/>
              </w:rPr>
              <w:t>（2）针对系统的日常使用和维护对采购人提供的培训计划及培训内容的针对性、全面性、便捷性、适用性及培训深度一般的得3分；</w:t>
            </w:r>
          </w:p>
          <w:p w14:paraId="22CB4967">
            <w:pPr>
              <w:rPr>
                <w:rFonts w:hint="eastAsia" w:ascii="宋体" w:hAnsi="宋体" w:eastAsia="宋体"/>
                <w:color w:val="auto"/>
                <w:highlight w:val="none"/>
              </w:rPr>
            </w:pPr>
            <w:r>
              <w:rPr>
                <w:rFonts w:hint="eastAsia" w:ascii="宋体" w:hAnsi="宋体" w:eastAsia="宋体"/>
                <w:color w:val="auto"/>
                <w:highlight w:val="none"/>
              </w:rPr>
              <w:t>（3）针对系统的日常使用和维护对采购人提供的培训计划及培训内容的针对性、全面性、便捷性、适用性及培训深度不合理的得1分；</w:t>
            </w:r>
          </w:p>
          <w:p w14:paraId="6BCBC603">
            <w:pPr>
              <w:rPr>
                <w:rFonts w:hint="eastAsia" w:ascii="宋体" w:hAnsi="宋体" w:eastAsia="宋体"/>
                <w:color w:val="auto"/>
                <w:highlight w:val="none"/>
              </w:rPr>
            </w:pPr>
            <w:r>
              <w:rPr>
                <w:rFonts w:hint="eastAsia" w:ascii="宋体" w:hAnsi="宋体" w:eastAsia="宋体"/>
                <w:color w:val="auto"/>
                <w:highlight w:val="none"/>
              </w:rPr>
              <w:t>（4）无不得分。</w:t>
            </w:r>
          </w:p>
        </w:tc>
        <w:tc>
          <w:tcPr>
            <w:tcW w:w="995" w:type="dxa"/>
            <w:tcBorders>
              <w:top w:val="single" w:color="auto" w:sz="4" w:space="0"/>
              <w:left w:val="single" w:color="auto" w:sz="4" w:space="0"/>
              <w:bottom w:val="single" w:color="auto" w:sz="4" w:space="0"/>
              <w:right w:val="single" w:color="auto" w:sz="4" w:space="0"/>
            </w:tcBorders>
            <w:vAlign w:val="center"/>
          </w:tcPr>
          <w:p w14:paraId="037859E1">
            <w:pPr>
              <w:jc w:val="center"/>
              <w:rPr>
                <w:rFonts w:hint="eastAsia" w:ascii="宋体" w:hAnsi="宋体" w:eastAsia="宋体"/>
                <w:color w:val="auto"/>
                <w:highlight w:val="none"/>
              </w:rPr>
            </w:pPr>
            <w:r>
              <w:rPr>
                <w:rFonts w:hint="eastAsia" w:ascii="宋体" w:hAnsi="宋体" w:eastAsia="宋体"/>
                <w:color w:val="auto"/>
                <w:highlight w:val="none"/>
              </w:rPr>
              <w:t>6</w:t>
            </w:r>
          </w:p>
        </w:tc>
      </w:tr>
      <w:tr w14:paraId="2A94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3" w:hRule="atLeast"/>
        </w:trPr>
        <w:tc>
          <w:tcPr>
            <w:tcW w:w="660" w:type="dxa"/>
            <w:tcBorders>
              <w:top w:val="single" w:color="auto" w:sz="4" w:space="0"/>
              <w:left w:val="single" w:color="auto" w:sz="4" w:space="0"/>
              <w:bottom w:val="single" w:color="auto" w:sz="4" w:space="0"/>
              <w:right w:val="single" w:color="auto" w:sz="4" w:space="0"/>
            </w:tcBorders>
            <w:vAlign w:val="center"/>
          </w:tcPr>
          <w:p w14:paraId="57E75C95">
            <w:pPr>
              <w:jc w:val="center"/>
              <w:rPr>
                <w:rFonts w:hint="eastAsia" w:ascii="宋体" w:hAnsi="宋体" w:eastAsia="宋体"/>
                <w:color w:val="auto"/>
                <w:highlight w:val="none"/>
              </w:rPr>
            </w:pPr>
            <w:r>
              <w:rPr>
                <w:rFonts w:hint="eastAsia" w:ascii="宋体" w:hAnsi="宋体" w:eastAsia="宋体"/>
                <w:color w:val="auto"/>
                <w:highlight w:val="none"/>
              </w:rPr>
              <w:t>3</w:t>
            </w:r>
          </w:p>
        </w:tc>
        <w:tc>
          <w:tcPr>
            <w:tcW w:w="1323" w:type="dxa"/>
            <w:tcBorders>
              <w:top w:val="single" w:color="auto" w:sz="4" w:space="0"/>
              <w:left w:val="single" w:color="auto" w:sz="4" w:space="0"/>
              <w:bottom w:val="single" w:color="auto" w:sz="4" w:space="0"/>
              <w:right w:val="single" w:color="auto" w:sz="4" w:space="0"/>
            </w:tcBorders>
            <w:vAlign w:val="center"/>
          </w:tcPr>
          <w:p w14:paraId="61D7B5FD">
            <w:pPr>
              <w:jc w:val="center"/>
              <w:rPr>
                <w:rFonts w:hint="eastAsia" w:ascii="宋体" w:hAnsi="宋体" w:eastAsia="宋体"/>
                <w:color w:val="auto"/>
                <w:highlight w:val="none"/>
              </w:rPr>
            </w:pPr>
            <w:r>
              <w:rPr>
                <w:rFonts w:hint="eastAsia" w:ascii="宋体" w:hAnsi="宋体" w:eastAsia="宋体"/>
                <w:color w:val="auto"/>
                <w:highlight w:val="none"/>
              </w:rPr>
              <w:t>项目组成员</w:t>
            </w:r>
          </w:p>
        </w:tc>
        <w:tc>
          <w:tcPr>
            <w:tcW w:w="6900" w:type="dxa"/>
            <w:tcBorders>
              <w:top w:val="single" w:color="auto" w:sz="4" w:space="0"/>
              <w:left w:val="single" w:color="auto" w:sz="4" w:space="0"/>
              <w:bottom w:val="single" w:color="auto" w:sz="4" w:space="0"/>
              <w:right w:val="single" w:color="auto" w:sz="4" w:space="0"/>
            </w:tcBorders>
            <w:vAlign w:val="center"/>
          </w:tcPr>
          <w:p w14:paraId="2B6DA066">
            <w:pPr>
              <w:rPr>
                <w:rFonts w:hint="eastAsia" w:ascii="宋体" w:hAnsi="宋体" w:eastAsia="宋体"/>
                <w:color w:val="auto"/>
                <w:highlight w:val="none"/>
              </w:rPr>
            </w:pPr>
            <w:r>
              <w:rPr>
                <w:rFonts w:hint="eastAsia" w:ascii="宋体" w:hAnsi="宋体" w:eastAsia="宋体"/>
                <w:color w:val="auto"/>
                <w:highlight w:val="none"/>
              </w:rPr>
              <w:t>1、高级管理人员（信息系统集成及服务项目管理人员行业）：服务于本项目的管理人员具有"一级注册建造师"（通信与广电工程类）得4分。</w:t>
            </w:r>
          </w:p>
          <w:p w14:paraId="27AF3BB4">
            <w:pPr>
              <w:rPr>
                <w:rFonts w:hint="eastAsia" w:ascii="宋体" w:hAnsi="宋体" w:eastAsia="宋体"/>
                <w:color w:val="auto"/>
                <w:highlight w:val="none"/>
              </w:rPr>
            </w:pPr>
            <w:r>
              <w:rPr>
                <w:rFonts w:hint="eastAsia" w:ascii="宋体" w:hAnsi="宋体" w:eastAsia="宋体"/>
                <w:color w:val="auto"/>
                <w:highlight w:val="none"/>
              </w:rPr>
              <w:t>2、项目组成员：服务于本项目的"二级注册建造师"（机电类）人数，每提供1人得2分，最高得8分。</w:t>
            </w:r>
          </w:p>
          <w:p w14:paraId="08922948">
            <w:pPr>
              <w:rPr>
                <w:rFonts w:hint="eastAsia" w:ascii="宋体" w:hAnsi="宋体" w:eastAsia="宋体"/>
                <w:color w:val="auto"/>
                <w:highlight w:val="none"/>
              </w:rPr>
            </w:pPr>
            <w:r>
              <w:rPr>
                <w:rFonts w:hint="eastAsia" w:ascii="宋体" w:hAnsi="宋体" w:eastAsia="宋体"/>
                <w:color w:val="auto"/>
                <w:highlight w:val="none"/>
              </w:rPr>
              <w:t>以上人员须是本单位正式员工，提供：</w:t>
            </w:r>
          </w:p>
          <w:p w14:paraId="6A466E2B">
            <w:pPr>
              <w:rPr>
                <w:rFonts w:hint="eastAsia" w:ascii="宋体" w:hAnsi="宋体" w:eastAsia="宋体"/>
                <w:color w:val="auto"/>
                <w:highlight w:val="none"/>
              </w:rPr>
            </w:pPr>
            <w:r>
              <w:rPr>
                <w:rFonts w:hint="eastAsia" w:ascii="宋体" w:hAnsi="宋体" w:eastAsia="宋体"/>
                <w:color w:val="auto"/>
                <w:highlight w:val="none"/>
              </w:rPr>
              <w:t>①注册建造师证书（须注册于响应单位）。</w:t>
            </w:r>
          </w:p>
          <w:p w14:paraId="2AFD5E9C">
            <w:pPr>
              <w:rPr>
                <w:rFonts w:hint="eastAsia" w:ascii="宋体" w:hAnsi="宋体" w:eastAsia="宋体"/>
                <w:color w:val="auto"/>
                <w:highlight w:val="none"/>
              </w:rPr>
            </w:pPr>
            <w:r>
              <w:rPr>
                <w:rFonts w:hint="eastAsia" w:ascii="宋体" w:hAnsi="宋体" w:eastAsia="宋体"/>
                <w:color w:val="auto"/>
                <w:highlight w:val="none"/>
              </w:rPr>
              <w:t>②证书网站查询结果证明截图（查询网址以此为准：https://jzsc.mohurd.gov.cn/data/person）。</w:t>
            </w:r>
          </w:p>
          <w:p w14:paraId="55234B3B">
            <w:pPr>
              <w:rPr>
                <w:rFonts w:hint="eastAsia" w:ascii="宋体" w:hAnsi="宋体" w:eastAsia="宋体"/>
                <w:color w:val="auto"/>
                <w:highlight w:val="none"/>
              </w:rPr>
            </w:pPr>
            <w:r>
              <w:rPr>
                <w:rFonts w:hint="eastAsia" w:ascii="宋体" w:hAnsi="宋体" w:eastAsia="宋体"/>
                <w:color w:val="auto"/>
                <w:highlight w:val="none"/>
              </w:rPr>
              <w:t>③社保部门出具的近半年（不含投标当月）投标人为其缴纳社保的证明材料。</w:t>
            </w:r>
          </w:p>
          <w:p w14:paraId="4609F7FD">
            <w:pPr>
              <w:rPr>
                <w:rFonts w:hint="eastAsia" w:ascii="宋体" w:hAnsi="宋体" w:eastAsia="宋体"/>
                <w:color w:val="auto"/>
                <w:highlight w:val="none"/>
              </w:rPr>
            </w:pPr>
            <w:r>
              <w:rPr>
                <w:rFonts w:hint="eastAsia" w:ascii="宋体" w:hAnsi="宋体" w:eastAsia="宋体"/>
                <w:color w:val="auto"/>
                <w:highlight w:val="none"/>
              </w:rPr>
              <w:t>以上证明材料任意1项不满足或未提供该人员不得分。</w:t>
            </w:r>
          </w:p>
        </w:tc>
        <w:tc>
          <w:tcPr>
            <w:tcW w:w="995" w:type="dxa"/>
            <w:tcBorders>
              <w:top w:val="single" w:color="auto" w:sz="4" w:space="0"/>
              <w:left w:val="single" w:color="auto" w:sz="4" w:space="0"/>
              <w:bottom w:val="single" w:color="auto" w:sz="4" w:space="0"/>
              <w:right w:val="single" w:color="auto" w:sz="4" w:space="0"/>
            </w:tcBorders>
            <w:vAlign w:val="center"/>
          </w:tcPr>
          <w:p w14:paraId="077B91C9">
            <w:pPr>
              <w:jc w:val="center"/>
              <w:rPr>
                <w:rFonts w:hint="eastAsia" w:ascii="宋体" w:hAnsi="宋体" w:eastAsia="宋体"/>
                <w:color w:val="auto"/>
                <w:highlight w:val="none"/>
              </w:rPr>
            </w:pPr>
            <w:r>
              <w:rPr>
                <w:rFonts w:hint="eastAsia" w:ascii="宋体" w:hAnsi="宋体" w:eastAsia="宋体"/>
                <w:color w:val="auto"/>
                <w:highlight w:val="none"/>
              </w:rPr>
              <w:t>12</w:t>
            </w:r>
          </w:p>
        </w:tc>
      </w:tr>
      <w:tr w14:paraId="3635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660" w:type="dxa"/>
            <w:tcBorders>
              <w:top w:val="single" w:color="auto" w:sz="4" w:space="0"/>
              <w:left w:val="single" w:color="auto" w:sz="4" w:space="0"/>
              <w:bottom w:val="single" w:color="auto" w:sz="4" w:space="0"/>
              <w:right w:val="single" w:color="auto" w:sz="4" w:space="0"/>
            </w:tcBorders>
            <w:vAlign w:val="center"/>
          </w:tcPr>
          <w:p w14:paraId="1D7BE1DB">
            <w:pPr>
              <w:jc w:val="center"/>
              <w:rPr>
                <w:rFonts w:hint="eastAsia" w:ascii="宋体" w:hAnsi="宋体" w:eastAsia="宋体"/>
                <w:color w:val="auto"/>
                <w:highlight w:val="none"/>
              </w:rPr>
            </w:pPr>
            <w:r>
              <w:rPr>
                <w:rFonts w:hint="eastAsia" w:ascii="宋体" w:hAnsi="宋体" w:eastAsia="宋体"/>
                <w:color w:val="auto"/>
                <w:highlight w:val="none"/>
              </w:rPr>
              <w:t>4</w:t>
            </w:r>
          </w:p>
        </w:tc>
        <w:tc>
          <w:tcPr>
            <w:tcW w:w="1323" w:type="dxa"/>
            <w:tcBorders>
              <w:top w:val="single" w:color="auto" w:sz="4" w:space="0"/>
              <w:left w:val="single" w:color="auto" w:sz="4" w:space="0"/>
              <w:bottom w:val="single" w:color="auto" w:sz="4" w:space="0"/>
              <w:right w:val="single" w:color="auto" w:sz="4" w:space="0"/>
            </w:tcBorders>
            <w:vAlign w:val="center"/>
          </w:tcPr>
          <w:p w14:paraId="349448DB">
            <w:pPr>
              <w:jc w:val="center"/>
              <w:rPr>
                <w:rFonts w:hint="eastAsia" w:ascii="宋体" w:hAnsi="宋体" w:eastAsia="宋体"/>
                <w:color w:val="auto"/>
                <w:highlight w:val="none"/>
              </w:rPr>
            </w:pPr>
            <w:r>
              <w:rPr>
                <w:rFonts w:hint="eastAsia" w:ascii="宋体" w:hAnsi="宋体" w:eastAsia="宋体"/>
                <w:bCs/>
                <w:color w:val="auto"/>
                <w:highlight w:val="none"/>
              </w:rPr>
              <w:t>业 绩</w:t>
            </w:r>
          </w:p>
        </w:tc>
        <w:tc>
          <w:tcPr>
            <w:tcW w:w="6900" w:type="dxa"/>
            <w:tcBorders>
              <w:top w:val="single" w:color="auto" w:sz="4" w:space="0"/>
              <w:left w:val="single" w:color="auto" w:sz="4" w:space="0"/>
              <w:bottom w:val="single" w:color="auto" w:sz="4" w:space="0"/>
              <w:right w:val="single" w:color="auto" w:sz="4" w:space="0"/>
            </w:tcBorders>
            <w:vAlign w:val="center"/>
          </w:tcPr>
          <w:p w14:paraId="37BBB92C">
            <w:pPr>
              <w:rPr>
                <w:rFonts w:hint="eastAsia" w:ascii="宋体" w:hAnsi="宋体" w:eastAsia="宋体"/>
                <w:color w:val="auto"/>
                <w:highlight w:val="none"/>
              </w:rPr>
            </w:pPr>
            <w:r>
              <w:rPr>
                <w:rFonts w:hint="eastAsia" w:ascii="宋体" w:hAnsi="宋体" w:eastAsia="宋体"/>
                <w:color w:val="auto"/>
                <w:highlight w:val="none"/>
              </w:rPr>
              <w:t>近3年以来，投标人具有人防警报类类似维护项目</w:t>
            </w:r>
            <w:r>
              <w:rPr>
                <w:rFonts w:hint="eastAsia" w:ascii="宋体" w:hAnsi="宋体" w:eastAsia="宋体"/>
                <w:bCs/>
                <w:color w:val="auto"/>
                <w:highlight w:val="none"/>
              </w:rPr>
              <w:t>业绩的，</w:t>
            </w:r>
            <w:r>
              <w:rPr>
                <w:rFonts w:hint="eastAsia" w:ascii="宋体" w:hAnsi="宋体" w:eastAsia="宋体"/>
                <w:color w:val="auto"/>
                <w:highlight w:val="none"/>
              </w:rPr>
              <w:t>提供业绩合同复印件加盖公章，每项4分，业绩限评3项，最多得12分。</w:t>
            </w:r>
          </w:p>
        </w:tc>
        <w:tc>
          <w:tcPr>
            <w:tcW w:w="995" w:type="dxa"/>
            <w:tcBorders>
              <w:top w:val="single" w:color="auto" w:sz="4" w:space="0"/>
              <w:left w:val="single" w:color="auto" w:sz="4" w:space="0"/>
              <w:bottom w:val="single" w:color="auto" w:sz="4" w:space="0"/>
              <w:right w:val="single" w:color="auto" w:sz="4" w:space="0"/>
            </w:tcBorders>
            <w:vAlign w:val="center"/>
          </w:tcPr>
          <w:p w14:paraId="37BBAEFE">
            <w:pPr>
              <w:jc w:val="center"/>
              <w:rPr>
                <w:rFonts w:hint="eastAsia" w:ascii="宋体" w:hAnsi="宋体" w:eastAsia="宋体"/>
                <w:color w:val="auto"/>
                <w:highlight w:val="none"/>
              </w:rPr>
            </w:pPr>
            <w:r>
              <w:rPr>
                <w:rFonts w:hint="eastAsia" w:ascii="宋体" w:hAnsi="宋体" w:eastAsia="宋体"/>
                <w:color w:val="auto"/>
                <w:highlight w:val="none"/>
              </w:rPr>
              <w:t>12</w:t>
            </w:r>
          </w:p>
        </w:tc>
      </w:tr>
      <w:tr w14:paraId="4C26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60" w:type="dxa"/>
            <w:tcBorders>
              <w:top w:val="single" w:color="auto" w:sz="4" w:space="0"/>
              <w:left w:val="single" w:color="auto" w:sz="4" w:space="0"/>
              <w:bottom w:val="single" w:color="auto" w:sz="4" w:space="0"/>
              <w:right w:val="single" w:color="auto" w:sz="4" w:space="0"/>
            </w:tcBorders>
            <w:vAlign w:val="center"/>
          </w:tcPr>
          <w:p w14:paraId="2CBC65A0">
            <w:pPr>
              <w:jc w:val="center"/>
              <w:rPr>
                <w:rFonts w:hint="eastAsia" w:ascii="宋体" w:hAnsi="宋体" w:eastAsia="宋体"/>
                <w:color w:val="auto"/>
                <w:highlight w:val="none"/>
              </w:rPr>
            </w:pPr>
            <w:r>
              <w:rPr>
                <w:rFonts w:hint="eastAsia" w:ascii="宋体" w:hAnsi="宋体" w:eastAsia="宋体"/>
                <w:color w:val="auto"/>
                <w:highlight w:val="none"/>
              </w:rPr>
              <w:t>5</w:t>
            </w:r>
          </w:p>
        </w:tc>
        <w:tc>
          <w:tcPr>
            <w:tcW w:w="1323" w:type="dxa"/>
            <w:tcBorders>
              <w:top w:val="single" w:color="auto" w:sz="4" w:space="0"/>
              <w:left w:val="single" w:color="auto" w:sz="4" w:space="0"/>
              <w:bottom w:val="single" w:color="auto" w:sz="4" w:space="0"/>
              <w:right w:val="single" w:color="auto" w:sz="4" w:space="0"/>
            </w:tcBorders>
            <w:vAlign w:val="center"/>
          </w:tcPr>
          <w:p w14:paraId="52937BD2">
            <w:pPr>
              <w:jc w:val="center"/>
              <w:rPr>
                <w:rFonts w:hint="eastAsia" w:ascii="宋体" w:hAnsi="宋体" w:eastAsia="宋体"/>
                <w:color w:val="auto"/>
                <w:highlight w:val="none"/>
              </w:rPr>
            </w:pPr>
            <w:r>
              <w:rPr>
                <w:rFonts w:hint="eastAsia" w:ascii="宋体" w:hAnsi="宋体" w:eastAsia="宋体"/>
                <w:color w:val="auto"/>
                <w:highlight w:val="none"/>
              </w:rPr>
              <w:t>企业管理体系</w:t>
            </w:r>
          </w:p>
        </w:tc>
        <w:tc>
          <w:tcPr>
            <w:tcW w:w="6900" w:type="dxa"/>
            <w:tcBorders>
              <w:top w:val="single" w:color="auto" w:sz="4" w:space="0"/>
              <w:left w:val="single" w:color="auto" w:sz="4" w:space="0"/>
              <w:bottom w:val="single" w:color="auto" w:sz="4" w:space="0"/>
              <w:right w:val="single" w:color="auto" w:sz="4" w:space="0"/>
            </w:tcBorders>
            <w:vAlign w:val="center"/>
          </w:tcPr>
          <w:p w14:paraId="7F02192D">
            <w:pPr>
              <w:rPr>
                <w:rFonts w:hint="eastAsia" w:ascii="宋体" w:hAnsi="宋体" w:eastAsia="宋体"/>
                <w:color w:val="auto"/>
                <w:highlight w:val="none"/>
              </w:rPr>
            </w:pPr>
            <w:r>
              <w:rPr>
                <w:rFonts w:hint="eastAsia" w:ascii="宋体" w:hAnsi="宋体" w:eastAsia="宋体"/>
                <w:color w:val="auto"/>
                <w:highlight w:val="none"/>
              </w:rPr>
              <w:t>具有质量管理体系证书的得2分（须提供国家认证认可的监督管理部门批准设立的认证机构颁发的并在有效期内的相关证书复印件。）</w:t>
            </w:r>
          </w:p>
        </w:tc>
        <w:tc>
          <w:tcPr>
            <w:tcW w:w="995" w:type="dxa"/>
            <w:tcBorders>
              <w:top w:val="single" w:color="auto" w:sz="4" w:space="0"/>
              <w:left w:val="single" w:color="auto" w:sz="4" w:space="0"/>
              <w:bottom w:val="single" w:color="auto" w:sz="4" w:space="0"/>
              <w:right w:val="single" w:color="auto" w:sz="4" w:space="0"/>
            </w:tcBorders>
            <w:vAlign w:val="center"/>
          </w:tcPr>
          <w:p w14:paraId="0E8CD726">
            <w:pPr>
              <w:jc w:val="center"/>
              <w:rPr>
                <w:rFonts w:hint="eastAsia" w:ascii="宋体" w:hAnsi="宋体" w:eastAsia="宋体"/>
                <w:color w:val="auto"/>
                <w:highlight w:val="none"/>
              </w:rPr>
            </w:pPr>
            <w:r>
              <w:rPr>
                <w:rFonts w:hint="eastAsia" w:ascii="宋体" w:hAnsi="宋体" w:eastAsia="宋体"/>
                <w:color w:val="auto"/>
                <w:highlight w:val="none"/>
              </w:rPr>
              <w:t>2</w:t>
            </w:r>
          </w:p>
        </w:tc>
      </w:tr>
      <w:tr w14:paraId="1247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7EFF7A33">
            <w:pPr>
              <w:jc w:val="center"/>
              <w:rPr>
                <w:rFonts w:hint="eastAsia" w:ascii="宋体" w:hAnsi="宋体" w:eastAsia="宋体"/>
                <w:color w:val="auto"/>
                <w:highlight w:val="none"/>
              </w:rPr>
            </w:pPr>
            <w:r>
              <w:rPr>
                <w:rFonts w:hint="eastAsia" w:ascii="宋体" w:hAnsi="宋体" w:eastAsia="宋体"/>
                <w:color w:val="auto"/>
                <w:highlight w:val="none"/>
              </w:rPr>
              <w:t>6</w:t>
            </w:r>
          </w:p>
        </w:tc>
        <w:tc>
          <w:tcPr>
            <w:tcW w:w="1323" w:type="dxa"/>
            <w:vMerge w:val="restart"/>
            <w:tcBorders>
              <w:top w:val="single" w:color="auto" w:sz="4" w:space="0"/>
              <w:left w:val="single" w:color="auto" w:sz="4" w:space="0"/>
              <w:bottom w:val="single" w:color="auto" w:sz="4" w:space="0"/>
              <w:right w:val="single" w:color="auto" w:sz="4" w:space="0"/>
            </w:tcBorders>
            <w:vAlign w:val="center"/>
          </w:tcPr>
          <w:p w14:paraId="29FFF8FB">
            <w:pPr>
              <w:jc w:val="center"/>
              <w:rPr>
                <w:rFonts w:hint="eastAsia" w:ascii="宋体" w:hAnsi="宋体" w:eastAsia="宋体"/>
                <w:color w:val="auto"/>
                <w:highlight w:val="none"/>
              </w:rPr>
            </w:pPr>
            <w:r>
              <w:rPr>
                <w:rFonts w:hint="eastAsia" w:ascii="宋体" w:hAnsi="宋体" w:eastAsia="宋体"/>
                <w:color w:val="auto"/>
                <w:highlight w:val="none"/>
              </w:rPr>
              <w:t>企业综合能力</w:t>
            </w:r>
          </w:p>
        </w:tc>
        <w:tc>
          <w:tcPr>
            <w:tcW w:w="6900" w:type="dxa"/>
            <w:tcBorders>
              <w:top w:val="single" w:color="auto" w:sz="4" w:space="0"/>
              <w:left w:val="single" w:color="auto" w:sz="4" w:space="0"/>
              <w:bottom w:val="single" w:color="auto" w:sz="4" w:space="0"/>
              <w:right w:val="single" w:color="auto" w:sz="4" w:space="0"/>
            </w:tcBorders>
            <w:vAlign w:val="center"/>
          </w:tcPr>
          <w:p w14:paraId="5BFF71CD">
            <w:pPr>
              <w:rPr>
                <w:rFonts w:hint="eastAsia" w:ascii="宋体" w:hAnsi="宋体" w:eastAsia="宋体"/>
                <w:color w:val="auto"/>
                <w:highlight w:val="none"/>
              </w:rPr>
            </w:pPr>
            <w:r>
              <w:rPr>
                <w:rFonts w:hint="eastAsia" w:ascii="宋体" w:hAnsi="宋体" w:eastAsia="宋体"/>
                <w:color w:val="auto"/>
                <w:highlight w:val="none"/>
              </w:rPr>
              <w:t>投标人参与《人民防空警报控制系统用抗干扰无线数字传输单元通用规范》（2014版）标准制订得</w:t>
            </w:r>
            <w:r>
              <w:rPr>
                <w:rFonts w:hint="eastAsia" w:ascii="宋体" w:hAnsi="宋体" w:eastAsia="宋体"/>
                <w:bCs/>
                <w:color w:val="auto"/>
                <w:highlight w:val="none"/>
              </w:rPr>
              <w:t>2分，没有不得分。（提供标准相关内容）</w:t>
            </w:r>
          </w:p>
        </w:tc>
        <w:tc>
          <w:tcPr>
            <w:tcW w:w="995" w:type="dxa"/>
            <w:vMerge w:val="restart"/>
            <w:tcBorders>
              <w:top w:val="single" w:color="auto" w:sz="4" w:space="0"/>
              <w:left w:val="single" w:color="auto" w:sz="4" w:space="0"/>
              <w:bottom w:val="single" w:color="auto" w:sz="4" w:space="0"/>
              <w:right w:val="single" w:color="auto" w:sz="4" w:space="0"/>
            </w:tcBorders>
            <w:vAlign w:val="center"/>
          </w:tcPr>
          <w:p w14:paraId="71BD9D49">
            <w:pPr>
              <w:jc w:val="center"/>
              <w:rPr>
                <w:rFonts w:hint="eastAsia" w:ascii="宋体" w:hAnsi="宋体" w:eastAsia="宋体"/>
                <w:color w:val="auto"/>
                <w:highlight w:val="none"/>
              </w:rPr>
            </w:pPr>
            <w:r>
              <w:rPr>
                <w:rFonts w:hint="eastAsia" w:ascii="宋体" w:hAnsi="宋体" w:eastAsia="宋体"/>
                <w:color w:val="auto"/>
                <w:highlight w:val="none"/>
              </w:rPr>
              <w:t>10</w:t>
            </w:r>
          </w:p>
        </w:tc>
      </w:tr>
      <w:tr w14:paraId="4555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6D9787B6">
            <w:pP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693E428E">
            <w:pP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148C4217">
            <w:pPr>
              <w:rPr>
                <w:rFonts w:hint="eastAsia" w:ascii="宋体" w:hAnsi="宋体" w:eastAsia="宋体"/>
                <w:color w:val="auto"/>
                <w:highlight w:val="none"/>
              </w:rPr>
            </w:pPr>
            <w:r>
              <w:rPr>
                <w:rFonts w:hint="eastAsia" w:ascii="宋体" w:hAnsi="宋体" w:eastAsia="宋体"/>
                <w:bCs/>
                <w:color w:val="auto"/>
                <w:highlight w:val="none"/>
              </w:rPr>
              <w:t>投标人参与2014年《人民防空警报控制系统通用要求》标准制订得2分，没有不得分。（提供标准相关内容）</w:t>
            </w: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63D03389">
            <w:pPr>
              <w:rPr>
                <w:rFonts w:hint="eastAsia" w:ascii="宋体" w:hAnsi="宋体" w:eastAsia="宋体"/>
                <w:color w:val="auto"/>
                <w:highlight w:val="none"/>
              </w:rPr>
            </w:pPr>
          </w:p>
        </w:tc>
      </w:tr>
      <w:tr w14:paraId="3D03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0EFF955C">
            <w:pP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7E11A816">
            <w:pP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066A40A4">
            <w:pPr>
              <w:rPr>
                <w:rFonts w:hint="eastAsia" w:ascii="宋体" w:hAnsi="宋体" w:eastAsia="宋体"/>
                <w:color w:val="auto"/>
                <w:highlight w:val="none"/>
              </w:rPr>
            </w:pPr>
            <w:r>
              <w:rPr>
                <w:rFonts w:hint="eastAsia" w:ascii="宋体" w:hAnsi="宋体" w:eastAsia="宋体"/>
                <w:bCs/>
                <w:color w:val="auto"/>
                <w:highlight w:val="none"/>
              </w:rPr>
              <w:t>投标人</w:t>
            </w:r>
            <w:r>
              <w:rPr>
                <w:rFonts w:hint="eastAsia" w:ascii="宋体" w:hAnsi="宋体" w:eastAsia="宋体"/>
                <w:color w:val="auto"/>
                <w:highlight w:val="none"/>
              </w:rPr>
              <w:t>参与2012年《人民防空户外型音视一体化警报器通用要求》标准制定</w:t>
            </w:r>
            <w:r>
              <w:rPr>
                <w:rFonts w:hint="eastAsia" w:ascii="宋体" w:hAnsi="宋体" w:eastAsia="宋体"/>
                <w:bCs/>
                <w:color w:val="auto"/>
                <w:highlight w:val="none"/>
              </w:rPr>
              <w:t>得2分，没有不得分。（提供标准相关内容）</w:t>
            </w: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353E95BE">
            <w:pPr>
              <w:rPr>
                <w:rFonts w:hint="eastAsia" w:ascii="宋体" w:hAnsi="宋体" w:eastAsia="宋体"/>
                <w:color w:val="auto"/>
                <w:highlight w:val="none"/>
              </w:rPr>
            </w:pPr>
          </w:p>
        </w:tc>
      </w:tr>
      <w:tr w14:paraId="3AD2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44FCFF70">
            <w:pP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38E0369E">
            <w:pP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0C9C1774">
            <w:pPr>
              <w:rPr>
                <w:rFonts w:hint="eastAsia" w:ascii="宋体" w:hAnsi="宋体" w:eastAsia="宋体"/>
                <w:bCs/>
                <w:color w:val="auto"/>
                <w:highlight w:val="none"/>
              </w:rPr>
            </w:pPr>
            <w:r>
              <w:rPr>
                <w:rFonts w:hint="eastAsia" w:ascii="宋体" w:hAnsi="宋体" w:eastAsia="宋体"/>
                <w:bCs/>
                <w:color w:val="auto"/>
                <w:highlight w:val="none"/>
              </w:rPr>
              <w:t>投标人具有信息技术服务标准符合性证书三级以上（含三级），得2分，未提供不得分。（提供证书复印件）</w:t>
            </w: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5B3C7EA0">
            <w:pPr>
              <w:rPr>
                <w:rFonts w:hint="eastAsia" w:ascii="宋体" w:hAnsi="宋体" w:eastAsia="宋体"/>
                <w:color w:val="auto"/>
                <w:highlight w:val="none"/>
              </w:rPr>
            </w:pPr>
          </w:p>
        </w:tc>
      </w:tr>
      <w:tr w14:paraId="027E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660" w:type="dxa"/>
            <w:vMerge w:val="continue"/>
            <w:tcBorders>
              <w:top w:val="single" w:color="auto" w:sz="4" w:space="0"/>
              <w:left w:val="single" w:color="auto" w:sz="4" w:space="0"/>
              <w:bottom w:val="single" w:color="auto" w:sz="4" w:space="0"/>
              <w:right w:val="single" w:color="auto" w:sz="4" w:space="0"/>
            </w:tcBorders>
            <w:vAlign w:val="center"/>
          </w:tcPr>
          <w:p w14:paraId="40BEF87C">
            <w:pPr>
              <w:rPr>
                <w:rFonts w:hint="eastAsia" w:ascii="宋体" w:hAnsi="宋体" w:eastAsia="宋体"/>
                <w:color w:val="auto"/>
                <w:highlight w:val="none"/>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14:paraId="794F749A">
            <w:pPr>
              <w:rPr>
                <w:rFonts w:hint="eastAsia" w:ascii="宋体" w:hAnsi="宋体" w:eastAsia="宋体"/>
                <w:color w:val="auto"/>
                <w:highlight w:val="none"/>
              </w:rPr>
            </w:pPr>
          </w:p>
        </w:tc>
        <w:tc>
          <w:tcPr>
            <w:tcW w:w="6900" w:type="dxa"/>
            <w:tcBorders>
              <w:top w:val="single" w:color="auto" w:sz="4" w:space="0"/>
              <w:left w:val="single" w:color="auto" w:sz="4" w:space="0"/>
              <w:bottom w:val="single" w:color="auto" w:sz="4" w:space="0"/>
              <w:right w:val="single" w:color="auto" w:sz="4" w:space="0"/>
            </w:tcBorders>
            <w:vAlign w:val="center"/>
          </w:tcPr>
          <w:p w14:paraId="783923B0">
            <w:pPr>
              <w:rPr>
                <w:rFonts w:hint="eastAsia" w:ascii="宋体" w:hAnsi="宋体" w:eastAsia="宋体"/>
                <w:bCs/>
                <w:color w:val="auto"/>
                <w:highlight w:val="none"/>
              </w:rPr>
            </w:pPr>
            <w:r>
              <w:rPr>
                <w:rFonts w:hint="eastAsia" w:ascii="宋体" w:hAnsi="宋体" w:eastAsia="宋体"/>
                <w:bCs/>
                <w:color w:val="auto"/>
                <w:highlight w:val="none"/>
              </w:rPr>
              <w:t>投标人具有信息系统建设和服务能力CS2或以上等级证书，得2分，未提供不得分。（提供证书复印件）</w:t>
            </w: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431B1EEF">
            <w:pPr>
              <w:rPr>
                <w:rFonts w:hint="eastAsia" w:ascii="宋体" w:hAnsi="宋体" w:eastAsia="宋体"/>
                <w:color w:val="auto"/>
                <w:highlight w:val="none"/>
              </w:rPr>
            </w:pPr>
          </w:p>
        </w:tc>
      </w:tr>
      <w:tr w14:paraId="793E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660" w:type="dxa"/>
            <w:tcBorders>
              <w:top w:val="single" w:color="auto" w:sz="4" w:space="0"/>
              <w:left w:val="single" w:color="auto" w:sz="4" w:space="0"/>
              <w:bottom w:val="single" w:color="auto" w:sz="4" w:space="0"/>
              <w:right w:val="single" w:color="auto" w:sz="4" w:space="0"/>
            </w:tcBorders>
            <w:vAlign w:val="center"/>
          </w:tcPr>
          <w:p w14:paraId="4AA930A4">
            <w:pPr>
              <w:jc w:val="center"/>
              <w:rPr>
                <w:rFonts w:hint="eastAsia" w:ascii="宋体" w:hAnsi="宋体" w:eastAsia="宋体"/>
                <w:color w:val="auto"/>
                <w:highlight w:val="none"/>
              </w:rPr>
            </w:pPr>
            <w:r>
              <w:rPr>
                <w:rFonts w:hint="eastAsia" w:ascii="宋体" w:hAnsi="宋体" w:eastAsia="宋体"/>
                <w:color w:val="auto"/>
                <w:highlight w:val="none"/>
              </w:rPr>
              <w:t>7</w:t>
            </w:r>
          </w:p>
        </w:tc>
        <w:tc>
          <w:tcPr>
            <w:tcW w:w="1323" w:type="dxa"/>
            <w:tcBorders>
              <w:top w:val="single" w:color="auto" w:sz="4" w:space="0"/>
              <w:left w:val="single" w:color="auto" w:sz="4" w:space="0"/>
              <w:bottom w:val="single" w:color="auto" w:sz="4" w:space="0"/>
              <w:right w:val="single" w:color="auto" w:sz="4" w:space="0"/>
            </w:tcBorders>
            <w:vAlign w:val="center"/>
          </w:tcPr>
          <w:p w14:paraId="57BBCE48">
            <w:pPr>
              <w:jc w:val="center"/>
              <w:rPr>
                <w:rFonts w:hint="eastAsia" w:ascii="宋体" w:hAnsi="宋体" w:eastAsia="宋体"/>
                <w:color w:val="auto"/>
                <w:highlight w:val="none"/>
              </w:rPr>
            </w:pPr>
            <w:r>
              <w:rPr>
                <w:rFonts w:hint="eastAsia" w:ascii="宋体" w:hAnsi="宋体" w:eastAsia="宋体"/>
                <w:color w:val="auto"/>
                <w:highlight w:val="none"/>
              </w:rPr>
              <w:t>合计</w:t>
            </w:r>
          </w:p>
        </w:tc>
        <w:tc>
          <w:tcPr>
            <w:tcW w:w="6900" w:type="dxa"/>
            <w:tcBorders>
              <w:top w:val="single" w:color="auto" w:sz="4" w:space="0"/>
              <w:left w:val="single" w:color="auto" w:sz="4" w:space="0"/>
              <w:bottom w:val="single" w:color="auto" w:sz="4" w:space="0"/>
              <w:right w:val="single" w:color="auto" w:sz="4" w:space="0"/>
            </w:tcBorders>
            <w:vAlign w:val="center"/>
          </w:tcPr>
          <w:p w14:paraId="5AE594AB">
            <w:pPr>
              <w:jc w:val="center"/>
              <w:rPr>
                <w:rFonts w:hint="eastAsia" w:ascii="宋体" w:hAnsi="宋体" w:eastAsia="宋体"/>
                <w:bCs/>
                <w:color w:val="auto"/>
                <w:highlight w:val="none"/>
              </w:rPr>
            </w:pPr>
          </w:p>
        </w:tc>
        <w:tc>
          <w:tcPr>
            <w:tcW w:w="995" w:type="dxa"/>
            <w:tcBorders>
              <w:top w:val="single" w:color="auto" w:sz="4" w:space="0"/>
              <w:left w:val="single" w:color="auto" w:sz="4" w:space="0"/>
              <w:bottom w:val="single" w:color="auto" w:sz="4" w:space="0"/>
              <w:right w:val="single" w:color="auto" w:sz="4" w:space="0"/>
            </w:tcBorders>
            <w:vAlign w:val="center"/>
          </w:tcPr>
          <w:p w14:paraId="34854F45">
            <w:pPr>
              <w:jc w:val="center"/>
              <w:rPr>
                <w:rFonts w:hint="eastAsia" w:ascii="宋体" w:hAnsi="宋体" w:eastAsia="宋体"/>
                <w:color w:val="auto"/>
                <w:highlight w:val="none"/>
              </w:rPr>
            </w:pPr>
            <w:r>
              <w:rPr>
                <w:rFonts w:hint="eastAsia" w:ascii="宋体" w:hAnsi="宋体" w:eastAsia="宋体"/>
                <w:color w:val="auto"/>
                <w:highlight w:val="none"/>
              </w:rPr>
              <w:t>100</w:t>
            </w:r>
          </w:p>
        </w:tc>
      </w:tr>
    </w:tbl>
    <w:p w14:paraId="5B8D995A">
      <w:pPr>
        <w:pStyle w:val="7"/>
        <w:shd w:val="clear"/>
        <w:snapToGrid w:val="0"/>
        <w:spacing w:line="360" w:lineRule="auto"/>
        <w:ind w:right="50" w:firstLine="440" w:firstLineChars="200"/>
        <w:jc w:val="both"/>
        <w:rPr>
          <w:rFonts w:hint="eastAsia" w:ascii="微软雅黑" w:hAnsi="微软雅黑" w:eastAsia="微软雅黑" w:cs="微软雅黑"/>
          <w:color w:val="auto"/>
          <w:sz w:val="22"/>
          <w:szCs w:val="22"/>
          <w:highlight w:val="none"/>
        </w:rPr>
      </w:pPr>
    </w:p>
    <w:p w14:paraId="02CB036B">
      <w:pPr>
        <w:shd w:val="clear"/>
        <w:snapToGrid w:val="0"/>
        <w:spacing w:line="360" w:lineRule="auto"/>
        <w:ind w:right="21"/>
        <w:jc w:val="both"/>
        <w:outlineLvl w:val="0"/>
        <w:rPr>
          <w:rFonts w:hint="eastAsia" w:ascii="微软雅黑" w:hAnsi="微软雅黑" w:eastAsia="微软雅黑" w:cs="微软雅黑"/>
          <w:b/>
          <w:color w:val="auto"/>
          <w:sz w:val="40"/>
          <w:highlight w:val="none"/>
        </w:rPr>
      </w:pPr>
      <w:bookmarkStart w:id="43" w:name="第四章_招标项目说明及技术要求"/>
      <w:bookmarkEnd w:id="43"/>
      <w:bookmarkStart w:id="44" w:name="_Toc18654052"/>
      <w:bookmarkStart w:id="45" w:name="_Toc31206"/>
    </w:p>
    <w:p w14:paraId="440B9F57">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r>
        <w:rPr>
          <w:rFonts w:hint="eastAsia" w:ascii="微软雅黑" w:hAnsi="微软雅黑" w:eastAsia="微软雅黑" w:cs="微软雅黑"/>
          <w:b/>
          <w:color w:val="auto"/>
          <w:sz w:val="40"/>
          <w:highlight w:val="none"/>
        </w:rPr>
        <w:t xml:space="preserve">第四章  </w:t>
      </w:r>
      <w:bookmarkEnd w:id="44"/>
      <w:bookmarkEnd w:id="45"/>
      <w:bookmarkStart w:id="46" w:name="_Toc290546932"/>
      <w:r>
        <w:rPr>
          <w:rFonts w:hint="eastAsia" w:ascii="微软雅黑" w:hAnsi="微软雅黑" w:eastAsia="微软雅黑" w:cs="微软雅黑"/>
          <w:b/>
          <w:color w:val="auto"/>
          <w:sz w:val="40"/>
          <w:highlight w:val="none"/>
        </w:rPr>
        <w:t>采购需求</w:t>
      </w:r>
    </w:p>
    <w:bookmarkEnd w:id="46"/>
    <w:p w14:paraId="3DB43901">
      <w:pPr>
        <w:keepNext w:val="0"/>
        <w:keepLines w:val="0"/>
        <w:pageBreakBefore w:val="0"/>
        <w:tabs>
          <w:tab w:val="left" w:pos="1440"/>
        </w:tabs>
        <w:kinsoku/>
        <w:wordWrap/>
        <w:overflowPunct/>
        <w:topLinePunct w:val="0"/>
        <w:autoSpaceDE w:val="0"/>
        <w:autoSpaceDN w:val="0"/>
        <w:bidi w:val="0"/>
        <w:adjustRightInd/>
        <w:spacing w:line="360" w:lineRule="auto"/>
        <w:ind w:left="0" w:right="0" w:firstLine="482" w:firstLineChars="200"/>
        <w:jc w:val="left"/>
        <w:textAlignment w:val="auto"/>
        <w:outlineLvl w:val="0"/>
        <w:rPr>
          <w:rFonts w:ascii="Arial" w:hAnsi="Arial" w:eastAsia="宋体" w:cs="Arial"/>
          <w:color w:val="auto"/>
          <w:spacing w:val="8"/>
          <w:sz w:val="24"/>
          <w:szCs w:val="24"/>
          <w:highlight w:val="none"/>
        </w:rPr>
      </w:pPr>
      <w:bookmarkStart w:id="47" w:name="_Toc18875"/>
      <w:r>
        <w:rPr>
          <w:rFonts w:hint="eastAsia" w:ascii="宋体" w:hAnsi="宋体" w:eastAsia="宋体" w:cs="Times New Roman"/>
          <w:b/>
          <w:color w:val="auto"/>
          <w:sz w:val="24"/>
          <w:szCs w:val="24"/>
          <w:highlight w:val="none"/>
        </w:rPr>
        <w:t>（一）</w:t>
      </w:r>
      <w:r>
        <w:rPr>
          <w:rFonts w:hint="eastAsia" w:ascii="宋体" w:hAnsi="宋体" w:eastAsia="宋体" w:cs="Times New Roman"/>
          <w:b/>
          <w:bCs/>
          <w:color w:val="auto"/>
          <w:sz w:val="24"/>
          <w:szCs w:val="24"/>
          <w:highlight w:val="none"/>
        </w:rPr>
        <w:t>采购项目名称</w:t>
      </w:r>
      <w:r>
        <w:rPr>
          <w:rFonts w:hint="eastAsia" w:ascii="Arial" w:hAnsi="Arial" w:eastAsia="宋体" w:cs="Arial"/>
          <w:b/>
          <w:bCs/>
          <w:color w:val="auto"/>
          <w:spacing w:val="8"/>
          <w:sz w:val="24"/>
          <w:szCs w:val="24"/>
          <w:highlight w:val="none"/>
        </w:rPr>
        <w:t>：</w:t>
      </w:r>
      <w:r>
        <w:rPr>
          <w:rFonts w:hint="eastAsia" w:ascii="Arial" w:hAnsi="Arial" w:eastAsia="宋体" w:cs="Arial"/>
          <w:color w:val="auto"/>
          <w:spacing w:val="8"/>
          <w:sz w:val="24"/>
          <w:szCs w:val="24"/>
          <w:highlight w:val="none"/>
        </w:rPr>
        <w:t>江宁区2026年度防空警报设施维护保养服务</w:t>
      </w:r>
    </w:p>
    <w:p w14:paraId="45FBC2D7">
      <w:pPr>
        <w:keepNext w:val="0"/>
        <w:keepLines w:val="0"/>
        <w:pageBreakBefore w:val="0"/>
        <w:tabs>
          <w:tab w:val="left" w:pos="1440"/>
        </w:tabs>
        <w:kinsoku/>
        <w:wordWrap/>
        <w:overflowPunct/>
        <w:topLinePunct w:val="0"/>
        <w:autoSpaceDE w:val="0"/>
        <w:autoSpaceDN w:val="0"/>
        <w:bidi w:val="0"/>
        <w:adjustRightInd/>
        <w:spacing w:line="360" w:lineRule="auto"/>
        <w:ind w:left="0" w:right="0" w:firstLine="482" w:firstLineChars="200"/>
        <w:jc w:val="left"/>
        <w:textAlignment w:val="auto"/>
        <w:outlineLvl w:val="0"/>
        <w:rPr>
          <w:rFonts w:hint="eastAsia" w:ascii="宋体" w:hAnsi="宋体" w:eastAsia="宋体" w:cs="宋体"/>
          <w:b/>
          <w:bCs/>
          <w:color w:val="auto"/>
          <w:sz w:val="24"/>
          <w:szCs w:val="24"/>
          <w:highlight w:val="none"/>
        </w:rPr>
      </w:pPr>
      <w:bookmarkStart w:id="48" w:name="_Toc402183031"/>
      <w:r>
        <w:rPr>
          <w:rFonts w:hint="eastAsia" w:ascii="宋体" w:hAnsi="宋体" w:eastAsia="宋体" w:cs="宋体"/>
          <w:b/>
          <w:bCs/>
          <w:color w:val="auto"/>
          <w:sz w:val="24"/>
          <w:szCs w:val="24"/>
          <w:highlight w:val="none"/>
        </w:rPr>
        <w:t>（二）服务期限</w:t>
      </w:r>
    </w:p>
    <w:p w14:paraId="666E8606">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本项目服务周期为一年。</w:t>
      </w:r>
    </w:p>
    <w:p w14:paraId="39187ECE">
      <w:pPr>
        <w:keepNext w:val="0"/>
        <w:keepLines w:val="0"/>
        <w:pageBreakBefore w:val="0"/>
        <w:tabs>
          <w:tab w:val="left" w:pos="1440"/>
        </w:tabs>
        <w:kinsoku/>
        <w:wordWrap/>
        <w:overflowPunct/>
        <w:topLinePunct w:val="0"/>
        <w:autoSpaceDE w:val="0"/>
        <w:autoSpaceDN w:val="0"/>
        <w:bidi w:val="0"/>
        <w:adjustRightInd/>
        <w:spacing w:line="360" w:lineRule="auto"/>
        <w:ind w:left="0" w:right="0" w:firstLine="482" w:firstLineChars="20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（三）维护内容及要求</w:t>
      </w:r>
    </w:p>
    <w:p w14:paraId="7BC56A84">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防空警报通信系统建设是有效履行“战时防空”职能、完成核心使命任务的重要手段，由于多媒体警报终端设备使用频率高、时间长，目前设备质保期已过。</w:t>
      </w:r>
    </w:p>
    <w:p w14:paraId="5F94474E">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对现有257套多媒体警报报知系统设备进行定期巡检或不定期检查、测试、维护、保养及软件（不包含特殊应用软件的开发）升级。</w:t>
      </w:r>
    </w:p>
    <w:p w14:paraId="56807731">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对现有155套电声警报一体机系统设备进行定期巡检或不定期检查、测试、维护、保养及软件（不包含特殊应用软件的开发）升级。</w:t>
      </w:r>
    </w:p>
    <w:p w14:paraId="1969764F">
      <w:pPr>
        <w:keepNext w:val="0"/>
        <w:keepLines w:val="0"/>
        <w:pageBreakBefore w:val="0"/>
        <w:tabs>
          <w:tab w:val="left" w:pos="1440"/>
        </w:tabs>
        <w:kinsoku/>
        <w:wordWrap/>
        <w:overflowPunct/>
        <w:topLinePunct w:val="0"/>
        <w:autoSpaceDE w:val="0"/>
        <w:autoSpaceDN w:val="0"/>
        <w:bidi w:val="0"/>
        <w:adjustRightInd/>
        <w:spacing w:line="360" w:lineRule="auto"/>
        <w:ind w:left="0" w:right="0" w:firstLine="482" w:firstLineChars="20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（1）服务要求</w:t>
      </w:r>
    </w:p>
    <w:p w14:paraId="7DEC7090">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1、定期巡检</w:t>
      </w:r>
    </w:p>
    <w:p w14:paraId="72A74988">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1.1按照要求进行巡检维保，相关维保或修理记录需每个点的协管员确认签字。每次巡检后，对运行状况出具书面巡检报告，由区人防办签收保存。</w:t>
      </w:r>
    </w:p>
    <w:p w14:paraId="16BCE51D">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2、不定期巡检（故障响应）</w:t>
      </w:r>
    </w:p>
    <w:p w14:paraId="67AE4301">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2.1紧急情况下，接到报修通知，4小时内赶到现场；</w:t>
      </w:r>
    </w:p>
    <w:p w14:paraId="234D636B">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2.2一般故障维护，在3个工作日内维修完毕。</w:t>
      </w:r>
    </w:p>
    <w:p w14:paraId="6AEBC27B">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3、警报鸣放保障</w:t>
      </w:r>
    </w:p>
    <w:p w14:paraId="7190D4E1">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安排人员在警报鸣放期间提供技术支持，保障鸣放活动。</w:t>
      </w:r>
    </w:p>
    <w:p w14:paraId="5C43A0AA">
      <w:pPr>
        <w:keepNext w:val="0"/>
        <w:keepLines w:val="0"/>
        <w:pageBreakBefore w:val="0"/>
        <w:tabs>
          <w:tab w:val="left" w:pos="1440"/>
        </w:tabs>
        <w:kinsoku/>
        <w:wordWrap/>
        <w:overflowPunct/>
        <w:topLinePunct w:val="0"/>
        <w:autoSpaceDE w:val="0"/>
        <w:autoSpaceDN w:val="0"/>
        <w:bidi w:val="0"/>
        <w:adjustRightInd/>
        <w:spacing w:line="360" w:lineRule="auto"/>
        <w:ind w:left="0" w:right="0" w:firstLine="482" w:firstLineChars="20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（2）维护内容</w:t>
      </w:r>
    </w:p>
    <w:p w14:paraId="29778D60">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1、多媒体警报点</w:t>
      </w:r>
    </w:p>
    <w:p w14:paraId="6A7759C3">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①设备日常使用的各项功能检测</w:t>
      </w:r>
    </w:p>
    <w:p w14:paraId="7FBB8F63">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②无线信号的测试</w:t>
      </w:r>
    </w:p>
    <w:p w14:paraId="5978CB57">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③控制信号的输出和响应</w:t>
      </w:r>
    </w:p>
    <w:p w14:paraId="0A1DA48C">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④电声警报喇叭声音输出测试</w:t>
      </w:r>
    </w:p>
    <w:p w14:paraId="2E3E3D77">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⑤显示屏日常显示维护</w:t>
      </w:r>
    </w:p>
    <w:p w14:paraId="24C8D752">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⑥网络和播控系统日常维护</w:t>
      </w:r>
    </w:p>
    <w:p w14:paraId="47F93D81">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2、电声警报一体机</w:t>
      </w:r>
    </w:p>
    <w:p w14:paraId="3FB95A1A">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①设备日常使用的各项功能检测</w:t>
      </w:r>
    </w:p>
    <w:p w14:paraId="44C261ED">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②无线信号的测试</w:t>
      </w:r>
    </w:p>
    <w:p w14:paraId="703389B3">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③控制信号的输出和响应</w:t>
      </w:r>
    </w:p>
    <w:p w14:paraId="0436989C">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④电声警报喇叭声音输出测试</w:t>
      </w:r>
    </w:p>
    <w:p w14:paraId="3D894076">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⑤设备外观清洗及保养</w:t>
      </w:r>
    </w:p>
    <w:p w14:paraId="557AB3A6">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3、多媒体发布系统运维托管</w:t>
      </w:r>
    </w:p>
    <w:p w14:paraId="5F4ADDC4">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①</w:t>
      </w:r>
      <w:r>
        <w:rPr>
          <w:rFonts w:hint="eastAsia" w:ascii="宋体" w:hAnsi="宋体" w:eastAsia="宋体" w:cs="宋体"/>
          <w:color w:val="auto"/>
          <w:sz w:val="24"/>
          <w:szCs w:val="24"/>
          <w:highlight w:val="none"/>
        </w:rPr>
        <w:t>7*24h日常的管理维护</w:t>
      </w:r>
    </w:p>
    <w:p w14:paraId="562A88B6">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②专线网络供给、双服务器备份管理，保障系统稳定运行</w:t>
      </w:r>
    </w:p>
    <w:p w14:paraId="38CB8629">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③</w:t>
      </w:r>
      <w:r>
        <w:rPr>
          <w:rFonts w:hint="eastAsia" w:ascii="宋体" w:hAnsi="宋体" w:eastAsia="宋体" w:cs="宋体"/>
          <w:color w:val="auto"/>
          <w:sz w:val="24"/>
          <w:szCs w:val="24"/>
          <w:highlight w:val="none"/>
        </w:rPr>
        <w:t>对软件定期和不定期的升级维护，提供终端数量无限扩容功能</w:t>
      </w:r>
    </w:p>
    <w:p w14:paraId="72E696C7">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4、</w:t>
      </w:r>
      <w:r>
        <w:rPr>
          <w:rFonts w:hint="eastAsia" w:ascii="宋体" w:hAnsi="宋体" w:eastAsia="宋体" w:cs="宋体"/>
          <w:color w:val="auto"/>
          <w:sz w:val="24"/>
          <w:szCs w:val="24"/>
          <w:highlight w:val="none"/>
        </w:rPr>
        <w:t>警报控制网络系统维护</w:t>
      </w:r>
    </w:p>
    <w:p w14:paraId="13333FDD">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①对分控中心和中中继设备维护</w:t>
      </w:r>
    </w:p>
    <w:p w14:paraId="3025C698">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②</w:t>
      </w:r>
      <w:r>
        <w:rPr>
          <w:rFonts w:hint="eastAsia" w:ascii="宋体" w:hAnsi="宋体" w:eastAsia="宋体" w:cs="宋体"/>
          <w:color w:val="auto"/>
          <w:sz w:val="24"/>
          <w:szCs w:val="24"/>
          <w:highlight w:val="none"/>
        </w:rPr>
        <w:t>与市级警报控制网络系统整体互联互通维护</w:t>
      </w:r>
    </w:p>
    <w:p w14:paraId="34408FBC">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5、</w:t>
      </w:r>
      <w:r>
        <w:rPr>
          <w:rFonts w:hint="eastAsia" w:ascii="宋体" w:hAnsi="宋体" w:eastAsia="宋体" w:cs="宋体"/>
          <w:color w:val="auto"/>
          <w:sz w:val="24"/>
          <w:szCs w:val="24"/>
          <w:highlight w:val="none"/>
        </w:rPr>
        <w:t>警报业务培训</w:t>
      </w:r>
    </w:p>
    <w:p w14:paraId="2BD6E2F5">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①根据要求</w:t>
      </w:r>
      <w:r>
        <w:rPr>
          <w:rFonts w:hint="eastAsia" w:ascii="宋体" w:hAnsi="宋体" w:eastAsia="宋体" w:cs="宋体"/>
          <w:color w:val="auto"/>
          <w:sz w:val="24"/>
          <w:szCs w:val="24"/>
          <w:highlight w:val="none"/>
        </w:rPr>
        <w:t>对所有警报管理人员培训</w:t>
      </w:r>
    </w:p>
    <w:p w14:paraId="6DCDABAA">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②</w:t>
      </w:r>
      <w:r>
        <w:rPr>
          <w:rFonts w:hint="eastAsia" w:ascii="宋体" w:hAnsi="宋体" w:eastAsia="宋体" w:cs="宋体"/>
          <w:color w:val="auto"/>
          <w:sz w:val="24"/>
          <w:szCs w:val="24"/>
          <w:highlight w:val="none"/>
        </w:rPr>
        <w:t>警报设备和播控软件操作技术指导</w:t>
      </w:r>
    </w:p>
    <w:p w14:paraId="063F90B9">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hint="eastAsia" w:ascii="宋体" w:hAnsi="宋体" w:eastAsia="宋体" w:cs="宋体"/>
          <w:color w:val="auto"/>
          <w:sz w:val="24"/>
          <w:szCs w:val="24"/>
          <w:highlight w:val="none"/>
        </w:rPr>
      </w:pPr>
      <w:r>
        <w:rPr>
          <w:rFonts w:hint="eastAsia" w:ascii="Arial" w:hAnsi="Arial" w:eastAsia="宋体" w:cs="Arial"/>
          <w:color w:val="auto"/>
          <w:spacing w:val="8"/>
          <w:sz w:val="24"/>
          <w:szCs w:val="24"/>
          <w:highlight w:val="none"/>
        </w:rPr>
        <w:t>③</w:t>
      </w:r>
      <w:r>
        <w:rPr>
          <w:rFonts w:hint="eastAsia" w:ascii="宋体" w:hAnsi="宋体" w:eastAsia="宋体" w:cs="宋体"/>
          <w:color w:val="auto"/>
          <w:sz w:val="24"/>
          <w:szCs w:val="24"/>
          <w:highlight w:val="none"/>
        </w:rPr>
        <w:t>警报设备常规维修维护检测技术指导</w:t>
      </w:r>
    </w:p>
    <w:p w14:paraId="4F9FB557">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6、</w:t>
      </w:r>
      <w:r>
        <w:rPr>
          <w:rFonts w:hint="eastAsia" w:ascii="宋体" w:hAnsi="宋体" w:eastAsia="宋体" w:cs="宋体"/>
          <w:color w:val="auto"/>
          <w:sz w:val="24"/>
          <w:szCs w:val="24"/>
          <w:highlight w:val="none"/>
        </w:rPr>
        <w:t>警报试鸣保障</w:t>
      </w:r>
    </w:p>
    <w:p w14:paraId="3CFCA3EC">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hint="eastAsia" w:ascii="宋体" w:hAnsi="宋体" w:eastAsia="宋体" w:cs="宋体"/>
          <w:color w:val="auto"/>
          <w:sz w:val="24"/>
          <w:szCs w:val="24"/>
          <w:highlight w:val="none"/>
        </w:rPr>
      </w:pPr>
      <w:r>
        <w:rPr>
          <w:rFonts w:hint="eastAsia" w:ascii="Arial" w:hAnsi="Arial" w:eastAsia="宋体" w:cs="Arial"/>
          <w:color w:val="auto"/>
          <w:spacing w:val="8"/>
          <w:sz w:val="24"/>
          <w:szCs w:val="24"/>
          <w:highlight w:val="none"/>
        </w:rPr>
        <w:t>①</w:t>
      </w:r>
      <w:r>
        <w:rPr>
          <w:rFonts w:hint="eastAsia" w:ascii="宋体" w:hAnsi="宋体" w:eastAsia="宋体" w:cs="宋体"/>
          <w:color w:val="auto"/>
          <w:sz w:val="24"/>
          <w:szCs w:val="24"/>
          <w:highlight w:val="none"/>
        </w:rPr>
        <w:t>每年两次的试鸣保障</w:t>
      </w:r>
    </w:p>
    <w:p w14:paraId="43295BFE">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②</w:t>
      </w:r>
      <w:r>
        <w:rPr>
          <w:rFonts w:hint="eastAsia" w:ascii="宋体" w:hAnsi="宋体" w:eastAsia="宋体" w:cs="宋体"/>
          <w:color w:val="auto"/>
          <w:sz w:val="24"/>
          <w:szCs w:val="24"/>
          <w:highlight w:val="none"/>
        </w:rPr>
        <w:t>对试鸣任务中可能存在的部分重点警音盲区进行保障</w:t>
      </w:r>
    </w:p>
    <w:p w14:paraId="24BAEF26">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hint="eastAsia" w:ascii="宋体" w:hAnsi="宋体" w:eastAsia="宋体" w:cs="宋体"/>
          <w:color w:val="auto"/>
          <w:sz w:val="24"/>
          <w:szCs w:val="24"/>
          <w:highlight w:val="none"/>
        </w:rPr>
      </w:pPr>
      <w:r>
        <w:rPr>
          <w:rFonts w:hint="eastAsia" w:ascii="Arial" w:hAnsi="Arial" w:eastAsia="宋体" w:cs="Arial"/>
          <w:color w:val="auto"/>
          <w:spacing w:val="8"/>
          <w:sz w:val="24"/>
          <w:szCs w:val="24"/>
          <w:highlight w:val="none"/>
        </w:rPr>
        <w:t>③</w:t>
      </w:r>
      <w:r>
        <w:rPr>
          <w:rFonts w:hint="eastAsia" w:ascii="宋体" w:hAnsi="宋体" w:eastAsia="宋体" w:cs="宋体"/>
          <w:color w:val="auto"/>
          <w:sz w:val="24"/>
          <w:szCs w:val="24"/>
          <w:highlight w:val="none"/>
        </w:rPr>
        <w:t>对不定期组织的演练进行现场保障</w:t>
      </w:r>
    </w:p>
    <w:p w14:paraId="32755069">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hint="eastAsia" w:ascii="宋体" w:hAnsi="宋体" w:eastAsia="宋体" w:cs="宋体"/>
          <w:color w:val="auto"/>
          <w:sz w:val="24"/>
          <w:szCs w:val="24"/>
          <w:highlight w:val="none"/>
        </w:rPr>
      </w:pPr>
      <w:r>
        <w:rPr>
          <w:rFonts w:hint="eastAsia" w:ascii="Arial" w:hAnsi="Arial" w:eastAsia="宋体" w:cs="Arial"/>
          <w:color w:val="auto"/>
          <w:spacing w:val="8"/>
          <w:sz w:val="24"/>
          <w:szCs w:val="24"/>
          <w:highlight w:val="none"/>
        </w:rPr>
        <w:t>④</w:t>
      </w:r>
      <w:r>
        <w:rPr>
          <w:rFonts w:hint="eastAsia" w:ascii="宋体" w:hAnsi="宋体" w:eastAsia="宋体" w:cs="宋体"/>
          <w:color w:val="auto"/>
          <w:sz w:val="24"/>
          <w:szCs w:val="24"/>
          <w:highlight w:val="none"/>
        </w:rPr>
        <w:t>对突发情况下临时的警报试鸣任务进行保障</w:t>
      </w:r>
    </w:p>
    <w:p w14:paraId="599A8A2F">
      <w:pPr>
        <w:keepNext w:val="0"/>
        <w:keepLines w:val="0"/>
        <w:pageBreakBefore w:val="0"/>
        <w:tabs>
          <w:tab w:val="left" w:pos="1440"/>
        </w:tabs>
        <w:kinsoku/>
        <w:wordWrap/>
        <w:overflowPunct/>
        <w:topLinePunct w:val="0"/>
        <w:autoSpaceDE w:val="0"/>
        <w:autoSpaceDN w:val="0"/>
        <w:bidi w:val="0"/>
        <w:adjustRightInd/>
        <w:spacing w:line="360" w:lineRule="auto"/>
        <w:ind w:left="0" w:right="0" w:firstLine="482" w:firstLineChars="20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（四）要求</w:t>
      </w:r>
    </w:p>
    <w:p w14:paraId="18B41634">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乙方责任：</w:t>
      </w:r>
    </w:p>
    <w:p w14:paraId="4FC4764C">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1、按采购人要求按时、按质、按量完成相关设备的维护任务，如遇维护过程中出现复杂技术问题，及时协调原厂解决。</w:t>
      </w:r>
    </w:p>
    <w:p w14:paraId="3EFB1E4C">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2、提供的备品、备件等质量合格。</w:t>
      </w:r>
    </w:p>
    <w:p w14:paraId="42C61789">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3、提供产品必要的技术培训及技术指导等。</w:t>
      </w:r>
    </w:p>
    <w:p w14:paraId="4481B903">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4、按采购人要求精心服务，确保系统状态良好。</w:t>
      </w:r>
    </w:p>
    <w:p w14:paraId="3FA3848D">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5、供应商在服务期必须遵守采购人的安全、保密、消防等规章制度，由于供应商责任（如违章或操作不当等）发生的人身、设备、财产损失等安全事故，如警报器或控制器无故自燃、或铁架发生掉落产生的人身伤害或财产损失，由供应商全权负责，与采购人无关。</w:t>
      </w:r>
    </w:p>
    <w:p w14:paraId="7F20F49A">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6、供应商在服务中遇有隐蔽工程应提前24小时书面通知采购人，经验收合格确认后方可封闭，否则责任由供应商自负。</w:t>
      </w:r>
    </w:p>
    <w:p w14:paraId="2E54C0EA">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7、供应商在服务期间应注意文明服务，服务完毕时应做到工完、料净、场地清。</w:t>
      </w:r>
    </w:p>
    <w:p w14:paraId="0479AC59">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8、供应商在维保服务时所需交通、维修工具等由供应商自行提供。</w:t>
      </w:r>
    </w:p>
    <w:p w14:paraId="4AD595EB">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甲方责任：</w:t>
      </w:r>
    </w:p>
    <w:p w14:paraId="7EE52C10">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1、配合服务现场提供电源及必要的环境。</w:t>
      </w:r>
    </w:p>
    <w:p w14:paraId="38D85DE5">
      <w:pPr>
        <w:keepNext w:val="0"/>
        <w:keepLines w:val="0"/>
        <w:pageBreakBefore w:val="0"/>
        <w:widowControl/>
        <w:shd w:val="clear" w:color="auto" w:fill="FFFFFF"/>
        <w:kinsoku/>
        <w:wordWrap/>
        <w:overflowPunct/>
        <w:topLinePunct w:val="0"/>
        <w:autoSpaceDE w:val="0"/>
        <w:autoSpaceDN w:val="0"/>
        <w:bidi w:val="0"/>
        <w:adjustRightInd/>
        <w:spacing w:line="360" w:lineRule="auto"/>
        <w:ind w:left="0" w:right="0" w:firstLine="512" w:firstLineChars="200"/>
        <w:textAlignment w:val="auto"/>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2、向乙方交代现场的安全、消防注意事项，并有权实施安全监督。</w:t>
      </w:r>
    </w:p>
    <w:p w14:paraId="68831CA4">
      <w:pPr>
        <w:keepNext w:val="0"/>
        <w:keepLines w:val="0"/>
        <w:pageBreakBefore w:val="0"/>
        <w:shd w:val="clear"/>
        <w:kinsoku/>
        <w:wordWrap/>
        <w:overflowPunct/>
        <w:topLinePunct w:val="0"/>
        <w:autoSpaceDE w:val="0"/>
        <w:autoSpaceDN w:val="0"/>
        <w:bidi w:val="0"/>
        <w:adjustRightInd/>
        <w:snapToGrid w:val="0"/>
        <w:spacing w:line="360" w:lineRule="auto"/>
        <w:ind w:left="0" w:right="0" w:firstLine="512" w:firstLineChars="200"/>
        <w:jc w:val="both"/>
        <w:textAlignment w:val="auto"/>
        <w:outlineLvl w:val="0"/>
        <w:rPr>
          <w:rFonts w:hint="eastAsia" w:ascii="微软雅黑" w:hAnsi="微软雅黑" w:eastAsia="微软雅黑" w:cs="微软雅黑"/>
          <w:b/>
          <w:color w:val="auto"/>
          <w:sz w:val="24"/>
          <w:szCs w:val="24"/>
          <w:highlight w:val="none"/>
        </w:rPr>
      </w:pPr>
      <w:r>
        <w:rPr>
          <w:rFonts w:hint="eastAsia" w:ascii="Arial" w:hAnsi="Arial" w:eastAsia="宋体" w:cs="Arial"/>
          <w:color w:val="auto"/>
          <w:spacing w:val="8"/>
          <w:sz w:val="24"/>
          <w:szCs w:val="24"/>
          <w:highlight w:val="none"/>
        </w:rPr>
        <w:t>3、向乙方进行技术交底，提供服务所需相关资料</w:t>
      </w:r>
      <w:bookmarkEnd w:id="48"/>
    </w:p>
    <w:p w14:paraId="3BF1B607">
      <w:pPr>
        <w:widowControl/>
        <w:adjustRightInd w:val="0"/>
        <w:jc w:val="left"/>
        <w:rPr>
          <w:rFonts w:hint="eastAsia" w:ascii="宋体" w:hAnsi="宋体" w:eastAsia="宋体" w:cs="宋体"/>
          <w:bCs/>
          <w:color w:val="auto"/>
          <w:sz w:val="30"/>
          <w:szCs w:val="30"/>
          <w:highlight w:val="none"/>
        </w:rPr>
      </w:pPr>
      <w:r>
        <w:rPr>
          <w:rFonts w:hint="eastAsia" w:ascii="宋体" w:hAnsi="宋体" w:eastAsia="宋体" w:cs="宋体"/>
          <w:b/>
          <w:color w:val="auto"/>
          <w:sz w:val="32"/>
          <w:szCs w:val="32"/>
          <w:highlight w:val="none"/>
        </w:rPr>
        <w:t>（五）维护内容及要求</w:t>
      </w:r>
    </w:p>
    <w:tbl>
      <w:tblPr>
        <w:tblStyle w:val="2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096"/>
        <w:gridCol w:w="4006"/>
        <w:gridCol w:w="709"/>
        <w:gridCol w:w="992"/>
        <w:gridCol w:w="1276"/>
      </w:tblGrid>
      <w:tr w14:paraId="3B5D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42E10A87">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1096" w:type="dxa"/>
            <w:tcBorders>
              <w:top w:val="single" w:color="auto" w:sz="4" w:space="0"/>
              <w:left w:val="single" w:color="auto" w:sz="4" w:space="0"/>
              <w:right w:val="single" w:color="auto" w:sz="4" w:space="0"/>
            </w:tcBorders>
            <w:vAlign w:val="center"/>
          </w:tcPr>
          <w:p w14:paraId="4E5DAAAB">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w:t>
            </w:r>
          </w:p>
        </w:tc>
        <w:tc>
          <w:tcPr>
            <w:tcW w:w="4006" w:type="dxa"/>
            <w:tcBorders>
              <w:top w:val="single" w:color="auto" w:sz="4" w:space="0"/>
              <w:left w:val="single" w:color="auto" w:sz="4" w:space="0"/>
              <w:right w:val="single" w:color="auto" w:sz="4" w:space="0"/>
            </w:tcBorders>
            <w:vAlign w:val="center"/>
          </w:tcPr>
          <w:p w14:paraId="7A6942DA">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包含内容</w:t>
            </w:r>
          </w:p>
        </w:tc>
        <w:tc>
          <w:tcPr>
            <w:tcW w:w="709" w:type="dxa"/>
            <w:tcBorders>
              <w:top w:val="single" w:color="auto" w:sz="4" w:space="0"/>
              <w:left w:val="single" w:color="auto" w:sz="4" w:space="0"/>
              <w:right w:val="single" w:color="auto" w:sz="4" w:space="0"/>
            </w:tcBorders>
            <w:vAlign w:val="center"/>
          </w:tcPr>
          <w:p w14:paraId="33369224">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处理</w:t>
            </w:r>
          </w:p>
          <w:p w14:paraId="4F914D1D">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概率</w:t>
            </w:r>
          </w:p>
        </w:tc>
        <w:tc>
          <w:tcPr>
            <w:tcW w:w="992" w:type="dxa"/>
            <w:tcBorders>
              <w:top w:val="single" w:color="auto" w:sz="4" w:space="0"/>
              <w:left w:val="single" w:color="auto" w:sz="4" w:space="0"/>
              <w:right w:val="single" w:color="auto" w:sz="4" w:space="0"/>
            </w:tcBorders>
            <w:vAlign w:val="center"/>
          </w:tcPr>
          <w:p w14:paraId="144829CE">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276" w:type="dxa"/>
            <w:tcBorders>
              <w:top w:val="single" w:color="auto" w:sz="4" w:space="0"/>
              <w:left w:val="single" w:color="auto" w:sz="4" w:space="0"/>
              <w:bottom w:val="single" w:color="auto" w:sz="4" w:space="0"/>
              <w:right w:val="single" w:color="auto" w:sz="4" w:space="0"/>
            </w:tcBorders>
            <w:vAlign w:val="center"/>
          </w:tcPr>
          <w:p w14:paraId="2F787644">
            <w:pPr>
              <w:widowControl/>
              <w:adjustRightInd w:val="0"/>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备注</w:t>
            </w:r>
          </w:p>
        </w:tc>
      </w:tr>
      <w:tr w14:paraId="4981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18568038">
            <w:pPr>
              <w:widowControl/>
              <w:adjustRightInd w:val="0"/>
              <w:jc w:val="left"/>
              <w:rPr>
                <w:rFonts w:hint="eastAsia" w:ascii="宋体" w:hAnsi="宋体" w:eastAsia="宋体" w:cs="宋体"/>
                <w:b/>
                <w:color w:val="auto"/>
                <w:sz w:val="24"/>
                <w:szCs w:val="24"/>
                <w:highlight w:val="none"/>
                <w:lang w:val="zh-CN"/>
              </w:rPr>
            </w:pPr>
            <w:r>
              <w:rPr>
                <w:rFonts w:hint="eastAsia" w:ascii="宋体" w:hAnsi="宋体" w:eastAsia="宋体" w:cs="宋体"/>
                <w:b/>
                <w:bCs/>
                <w:color w:val="auto"/>
                <w:sz w:val="24"/>
                <w:szCs w:val="24"/>
                <w:highlight w:val="none"/>
              </w:rPr>
              <w:t>一、多媒体警报器巡检</w:t>
            </w:r>
          </w:p>
        </w:tc>
      </w:tr>
      <w:tr w14:paraId="2C28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0EE31FD9">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p>
        </w:tc>
        <w:tc>
          <w:tcPr>
            <w:tcW w:w="1096" w:type="dxa"/>
            <w:tcBorders>
              <w:left w:val="single" w:color="auto" w:sz="4" w:space="0"/>
              <w:right w:val="single" w:color="auto" w:sz="4" w:space="0"/>
            </w:tcBorders>
            <w:vAlign w:val="center"/>
          </w:tcPr>
          <w:p w14:paraId="3A498161">
            <w:pPr>
              <w:ind w:left="-119" w:leftChars="-54" w:right="-73" w:rightChars="-33" w:firstLine="28" w:firstLineChars="1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警报设备常规巡检</w:t>
            </w:r>
          </w:p>
        </w:tc>
        <w:tc>
          <w:tcPr>
            <w:tcW w:w="4006" w:type="dxa"/>
            <w:tcBorders>
              <w:left w:val="single" w:color="auto" w:sz="4" w:space="0"/>
              <w:right w:val="single" w:color="auto" w:sz="4" w:space="0"/>
            </w:tcBorders>
            <w:vAlign w:val="center"/>
          </w:tcPr>
          <w:p w14:paraId="30F52CE6">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1)警报设备整体完整性和完好性检查；</w:t>
            </w:r>
          </w:p>
          <w:p w14:paraId="48C8320B">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2)设备电源供电情况</w:t>
            </w:r>
            <w:r>
              <w:rPr>
                <w:rFonts w:hint="eastAsia" w:ascii="宋体" w:hAnsi="宋体" w:eastAsia="宋体" w:cs="宋体"/>
                <w:color w:val="auto"/>
                <w:sz w:val="24"/>
                <w:szCs w:val="24"/>
                <w:highlight w:val="none"/>
              </w:rPr>
              <w:t>和接地情况</w:t>
            </w:r>
            <w:r>
              <w:rPr>
                <w:rFonts w:hint="eastAsia" w:ascii="宋体" w:hAnsi="宋体" w:eastAsia="宋体" w:cs="宋体"/>
                <w:color w:val="auto"/>
                <w:sz w:val="24"/>
                <w:szCs w:val="24"/>
                <w:highlight w:val="none"/>
                <w:lang w:val="zh-CN"/>
              </w:rPr>
              <w:t>检查；</w:t>
            </w:r>
          </w:p>
          <w:p w14:paraId="4334BC91">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3)设备开机自检</w:t>
            </w:r>
            <w:r>
              <w:rPr>
                <w:rFonts w:hint="eastAsia" w:ascii="宋体" w:hAnsi="宋体" w:eastAsia="宋体" w:cs="宋体"/>
                <w:color w:val="auto"/>
                <w:sz w:val="24"/>
                <w:szCs w:val="24"/>
                <w:highlight w:val="none"/>
              </w:rPr>
              <w:t>功能</w:t>
            </w:r>
            <w:r>
              <w:rPr>
                <w:rFonts w:hint="eastAsia" w:ascii="宋体" w:hAnsi="宋体" w:eastAsia="宋体" w:cs="宋体"/>
                <w:color w:val="auto"/>
                <w:sz w:val="24"/>
                <w:szCs w:val="24"/>
                <w:highlight w:val="none"/>
                <w:lang w:val="zh-CN"/>
              </w:rPr>
              <w:t>测试；</w:t>
            </w:r>
          </w:p>
          <w:p w14:paraId="5932E815">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4)与中心台的语音通联情况测试；</w:t>
            </w:r>
          </w:p>
          <w:p w14:paraId="10FE4C91">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5)语音信号等级</w:t>
            </w:r>
            <w:r>
              <w:rPr>
                <w:rFonts w:hint="eastAsia" w:ascii="宋体" w:hAnsi="宋体" w:eastAsia="宋体" w:cs="宋体"/>
                <w:color w:val="auto"/>
                <w:sz w:val="24"/>
                <w:szCs w:val="24"/>
                <w:highlight w:val="none"/>
              </w:rPr>
              <w:t>测试</w:t>
            </w:r>
            <w:r>
              <w:rPr>
                <w:rFonts w:hint="eastAsia" w:ascii="宋体" w:hAnsi="宋体" w:eastAsia="宋体" w:cs="宋体"/>
                <w:color w:val="auto"/>
                <w:sz w:val="24"/>
                <w:szCs w:val="24"/>
                <w:highlight w:val="none"/>
                <w:lang w:val="zh-CN"/>
              </w:rPr>
              <w:t>判定；</w:t>
            </w:r>
          </w:p>
          <w:p w14:paraId="06CC0F7A">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)手动按键</w:t>
            </w:r>
            <w:r>
              <w:rPr>
                <w:rFonts w:hint="eastAsia" w:ascii="宋体" w:hAnsi="宋体" w:eastAsia="宋体" w:cs="宋体"/>
                <w:color w:val="auto"/>
                <w:sz w:val="24"/>
                <w:szCs w:val="24"/>
                <w:highlight w:val="none"/>
              </w:rPr>
              <w:t>及键盘锁功能</w:t>
            </w:r>
            <w:r>
              <w:rPr>
                <w:rFonts w:hint="eastAsia" w:ascii="宋体" w:hAnsi="宋体" w:eastAsia="宋体" w:cs="宋体"/>
                <w:color w:val="auto"/>
                <w:sz w:val="24"/>
                <w:szCs w:val="24"/>
                <w:highlight w:val="none"/>
                <w:lang w:val="zh-CN"/>
              </w:rPr>
              <w:t>测试；</w:t>
            </w:r>
          </w:p>
          <w:p w14:paraId="5D7A62A8">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人防警报专用</w:t>
            </w:r>
            <w:r>
              <w:rPr>
                <w:rFonts w:hint="eastAsia" w:ascii="宋体" w:hAnsi="宋体" w:eastAsia="宋体" w:cs="宋体"/>
                <w:color w:val="auto"/>
                <w:sz w:val="24"/>
                <w:szCs w:val="24"/>
                <w:highlight w:val="none"/>
                <w:lang w:val="zh-CN"/>
              </w:rPr>
              <w:t>信道切换测试；</w:t>
            </w:r>
          </w:p>
          <w:p w14:paraId="3B27AEBC">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)电声警报鸣放声音输出测试；</w:t>
            </w:r>
          </w:p>
          <w:p w14:paraId="7C6724C1">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警报</w:t>
            </w:r>
            <w:r>
              <w:rPr>
                <w:rFonts w:hint="eastAsia" w:ascii="宋体" w:hAnsi="宋体" w:eastAsia="宋体" w:cs="宋体"/>
                <w:color w:val="auto"/>
                <w:sz w:val="24"/>
                <w:szCs w:val="24"/>
                <w:highlight w:val="none"/>
                <w:lang w:val="zh-CN"/>
              </w:rPr>
              <w:t>数据接收情况测试；</w:t>
            </w:r>
          </w:p>
          <w:p w14:paraId="1BFA04BD">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警报</w:t>
            </w:r>
            <w:r>
              <w:rPr>
                <w:rFonts w:hint="eastAsia" w:ascii="宋体" w:hAnsi="宋体" w:eastAsia="宋体" w:cs="宋体"/>
                <w:color w:val="auto"/>
                <w:sz w:val="24"/>
                <w:szCs w:val="24"/>
                <w:highlight w:val="none"/>
                <w:lang w:val="zh-CN"/>
              </w:rPr>
              <w:t>数据发送情况测试；</w:t>
            </w:r>
          </w:p>
          <w:p w14:paraId="61948D9E">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zh-CN"/>
              </w:rPr>
              <w:t>)串口命令输出测试；</w:t>
            </w:r>
          </w:p>
          <w:p w14:paraId="1B09C0C4">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12)机箱除尘清洁；</w:t>
            </w:r>
          </w:p>
        </w:tc>
        <w:tc>
          <w:tcPr>
            <w:tcW w:w="709" w:type="dxa"/>
            <w:tcBorders>
              <w:left w:val="single" w:color="auto" w:sz="4" w:space="0"/>
              <w:right w:val="single" w:color="auto" w:sz="4" w:space="0"/>
            </w:tcBorders>
            <w:vAlign w:val="center"/>
          </w:tcPr>
          <w:p w14:paraId="6034D4ED">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992" w:type="dxa"/>
            <w:tcBorders>
              <w:left w:val="single" w:color="auto" w:sz="4" w:space="0"/>
              <w:right w:val="single" w:color="auto" w:sz="4" w:space="0"/>
            </w:tcBorders>
            <w:vAlign w:val="center"/>
          </w:tcPr>
          <w:p w14:paraId="65D96B00">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257台</w:t>
            </w:r>
          </w:p>
        </w:tc>
        <w:tc>
          <w:tcPr>
            <w:tcW w:w="1276" w:type="dxa"/>
            <w:tcBorders>
              <w:top w:val="single" w:color="auto" w:sz="4" w:space="0"/>
              <w:left w:val="single" w:color="auto" w:sz="4" w:space="0"/>
              <w:bottom w:val="single" w:color="auto" w:sz="4" w:space="0"/>
              <w:right w:val="single" w:color="auto" w:sz="4" w:space="0"/>
            </w:tcBorders>
            <w:vAlign w:val="center"/>
          </w:tcPr>
          <w:p w14:paraId="60EAD636">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每季度巡检一次</w:t>
            </w:r>
          </w:p>
        </w:tc>
      </w:tr>
      <w:tr w14:paraId="436B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Align w:val="center"/>
          </w:tcPr>
          <w:p w14:paraId="2FD18DD3">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096" w:type="dxa"/>
            <w:vAlign w:val="center"/>
          </w:tcPr>
          <w:p w14:paraId="153A9F49">
            <w:pPr>
              <w:ind w:left="-119" w:leftChars="-54" w:right="-73" w:rightChars="-33" w:firstLine="28" w:firstLineChars="1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LED屏幕</w:t>
            </w:r>
          </w:p>
          <w:p w14:paraId="04FD7FE0">
            <w:pPr>
              <w:ind w:left="-119" w:leftChars="-54" w:right="-73" w:rightChars="-33" w:firstLine="28" w:firstLineChars="1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常规巡检</w:t>
            </w:r>
          </w:p>
        </w:tc>
        <w:tc>
          <w:tcPr>
            <w:tcW w:w="4006" w:type="dxa"/>
            <w:tcBorders>
              <w:left w:val="single" w:color="auto" w:sz="4" w:space="0"/>
              <w:right w:val="single" w:color="auto" w:sz="4" w:space="0"/>
            </w:tcBorders>
            <w:vAlign w:val="center"/>
          </w:tcPr>
          <w:p w14:paraId="0C1F6B60">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1)LED屏幕的整体完整性和完好性检查；</w:t>
            </w:r>
          </w:p>
          <w:p w14:paraId="2C6701CA">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2)LED屏幕的整体供电电源线路</w:t>
            </w:r>
            <w:r>
              <w:rPr>
                <w:rFonts w:hint="eastAsia" w:ascii="宋体" w:hAnsi="宋体" w:eastAsia="宋体" w:cs="宋体"/>
                <w:color w:val="auto"/>
                <w:sz w:val="24"/>
                <w:szCs w:val="24"/>
                <w:highlight w:val="none"/>
              </w:rPr>
              <w:t>埋设情况及</w:t>
            </w:r>
            <w:r>
              <w:rPr>
                <w:rFonts w:hint="eastAsia" w:ascii="宋体" w:hAnsi="宋体" w:eastAsia="宋体" w:cs="宋体"/>
                <w:color w:val="auto"/>
                <w:sz w:val="24"/>
                <w:szCs w:val="24"/>
                <w:highlight w:val="none"/>
                <w:lang w:val="zh-CN"/>
              </w:rPr>
              <w:t>安全性</w:t>
            </w:r>
            <w:r>
              <w:rPr>
                <w:rFonts w:hint="eastAsia" w:ascii="宋体" w:hAnsi="宋体" w:eastAsia="宋体" w:cs="宋体"/>
                <w:color w:val="auto"/>
                <w:sz w:val="24"/>
                <w:szCs w:val="24"/>
                <w:highlight w:val="none"/>
              </w:rPr>
              <w:t>检查</w:t>
            </w:r>
            <w:r>
              <w:rPr>
                <w:rFonts w:hint="eastAsia" w:ascii="宋体" w:hAnsi="宋体" w:eastAsia="宋体" w:cs="宋体"/>
                <w:color w:val="auto"/>
                <w:sz w:val="24"/>
                <w:szCs w:val="24"/>
                <w:highlight w:val="none"/>
                <w:lang w:val="zh-CN"/>
              </w:rPr>
              <w:t>；</w:t>
            </w:r>
          </w:p>
          <w:p w14:paraId="06BC79E7">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3)LED屏幕的接地</w:t>
            </w:r>
            <w:r>
              <w:rPr>
                <w:rFonts w:hint="eastAsia" w:ascii="宋体" w:hAnsi="宋体" w:eastAsia="宋体" w:cs="宋体"/>
                <w:color w:val="auto"/>
                <w:sz w:val="24"/>
                <w:szCs w:val="24"/>
                <w:highlight w:val="none"/>
              </w:rPr>
              <w:t>性能</w:t>
            </w:r>
            <w:r>
              <w:rPr>
                <w:rFonts w:hint="eastAsia" w:ascii="宋体" w:hAnsi="宋体" w:eastAsia="宋体" w:cs="宋体"/>
                <w:color w:val="auto"/>
                <w:sz w:val="24"/>
                <w:szCs w:val="24"/>
                <w:highlight w:val="none"/>
                <w:lang w:val="zh-CN"/>
              </w:rPr>
              <w:t>检测；</w:t>
            </w:r>
          </w:p>
          <w:p w14:paraId="079D4C64">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4)LED屏幕的防水性能测试；</w:t>
            </w:r>
          </w:p>
          <w:p w14:paraId="38885805">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5)LED屏幕的除尘清洁；</w:t>
            </w:r>
          </w:p>
          <w:p w14:paraId="61A57A6D">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6)LED模组的外套件情况检查；</w:t>
            </w:r>
          </w:p>
          <w:p w14:paraId="245693CC">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7)LED模组的灯管的瞎点率判断；</w:t>
            </w:r>
          </w:p>
          <w:p w14:paraId="2870B7AD">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8)LED模组的亮度等级测试和判断；</w:t>
            </w:r>
          </w:p>
          <w:p w14:paraId="07433507">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9)LED箱体的门锁闭合情况检查；</w:t>
            </w:r>
          </w:p>
          <w:p w14:paraId="38560477">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10)LED箱体的散热风扇工作情况检查；</w:t>
            </w:r>
          </w:p>
          <w:p w14:paraId="56F6288A">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11)LED模组跨接电源线</w:t>
            </w:r>
            <w:r>
              <w:rPr>
                <w:rFonts w:hint="eastAsia" w:ascii="宋体" w:hAnsi="宋体" w:eastAsia="宋体" w:cs="宋体"/>
                <w:color w:val="auto"/>
                <w:sz w:val="24"/>
                <w:szCs w:val="24"/>
                <w:highlight w:val="none"/>
              </w:rPr>
              <w:t>及排线接触</w:t>
            </w:r>
            <w:r>
              <w:rPr>
                <w:rFonts w:hint="eastAsia" w:ascii="宋体" w:hAnsi="宋体" w:eastAsia="宋体" w:cs="宋体"/>
                <w:color w:val="auto"/>
                <w:sz w:val="24"/>
                <w:szCs w:val="24"/>
                <w:highlight w:val="none"/>
                <w:lang w:val="zh-CN"/>
              </w:rPr>
              <w:t>情况检查；</w:t>
            </w:r>
          </w:p>
          <w:p w14:paraId="3C7E11C5">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12)LED</w:t>
            </w:r>
            <w:r>
              <w:rPr>
                <w:rFonts w:hint="eastAsia" w:ascii="宋体" w:hAnsi="宋体" w:eastAsia="宋体" w:cs="宋体"/>
                <w:color w:val="auto"/>
                <w:sz w:val="24"/>
                <w:szCs w:val="24"/>
                <w:highlight w:val="none"/>
              </w:rPr>
              <w:t>箱体</w:t>
            </w:r>
            <w:r>
              <w:rPr>
                <w:rFonts w:hint="eastAsia" w:ascii="宋体" w:hAnsi="宋体" w:eastAsia="宋体" w:cs="宋体"/>
                <w:color w:val="auto"/>
                <w:sz w:val="24"/>
                <w:szCs w:val="24"/>
                <w:highlight w:val="none"/>
                <w:lang w:val="zh-CN"/>
              </w:rPr>
              <w:t>跨接</w:t>
            </w:r>
            <w:r>
              <w:rPr>
                <w:rFonts w:hint="eastAsia" w:ascii="宋体" w:hAnsi="宋体" w:eastAsia="宋体" w:cs="宋体"/>
                <w:color w:val="auto"/>
                <w:sz w:val="24"/>
                <w:szCs w:val="24"/>
                <w:highlight w:val="none"/>
              </w:rPr>
              <w:t>电源线</w:t>
            </w:r>
            <w:r>
              <w:rPr>
                <w:rFonts w:hint="eastAsia" w:ascii="宋体" w:hAnsi="宋体" w:eastAsia="宋体" w:cs="宋体"/>
                <w:color w:val="auto"/>
                <w:sz w:val="24"/>
                <w:szCs w:val="24"/>
                <w:highlight w:val="none"/>
                <w:lang w:val="zh-CN"/>
              </w:rPr>
              <w:t>情况检查；</w:t>
            </w:r>
          </w:p>
          <w:p w14:paraId="4B7C9206">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13)LED发送卡</w:t>
            </w:r>
            <w:r>
              <w:rPr>
                <w:rFonts w:hint="eastAsia" w:ascii="宋体" w:hAnsi="宋体" w:eastAsia="宋体" w:cs="宋体"/>
                <w:color w:val="auto"/>
                <w:sz w:val="24"/>
                <w:szCs w:val="24"/>
                <w:highlight w:val="none"/>
              </w:rPr>
              <w:t>的输入</w:t>
            </w:r>
            <w:r>
              <w:rPr>
                <w:rFonts w:hint="eastAsia" w:ascii="宋体" w:hAnsi="宋体" w:eastAsia="宋体" w:cs="宋体"/>
                <w:color w:val="auto"/>
                <w:sz w:val="24"/>
                <w:szCs w:val="24"/>
                <w:highlight w:val="none"/>
                <w:lang w:val="zh-CN"/>
              </w:rPr>
              <w:t>输出测试；</w:t>
            </w:r>
          </w:p>
          <w:p w14:paraId="04FAD9C2">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14)LED接收卡的输入输出测试；</w:t>
            </w:r>
          </w:p>
        </w:tc>
        <w:tc>
          <w:tcPr>
            <w:tcW w:w="709" w:type="dxa"/>
            <w:tcBorders>
              <w:left w:val="single" w:color="auto" w:sz="4" w:space="0"/>
              <w:right w:val="single" w:color="auto" w:sz="4" w:space="0"/>
            </w:tcBorders>
            <w:vAlign w:val="center"/>
          </w:tcPr>
          <w:p w14:paraId="26809855">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992" w:type="dxa"/>
            <w:tcBorders>
              <w:left w:val="single" w:color="auto" w:sz="4" w:space="0"/>
              <w:right w:val="single" w:color="auto" w:sz="4" w:space="0"/>
            </w:tcBorders>
            <w:vAlign w:val="center"/>
          </w:tcPr>
          <w:p w14:paraId="2E60B8D7">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257台</w:t>
            </w:r>
          </w:p>
        </w:tc>
        <w:tc>
          <w:tcPr>
            <w:tcW w:w="1276" w:type="dxa"/>
            <w:tcBorders>
              <w:top w:val="single" w:color="auto" w:sz="4" w:space="0"/>
              <w:left w:val="single" w:color="auto" w:sz="4" w:space="0"/>
              <w:bottom w:val="single" w:color="auto" w:sz="4" w:space="0"/>
              <w:right w:val="single" w:color="auto" w:sz="4" w:space="0"/>
            </w:tcBorders>
            <w:vAlign w:val="center"/>
          </w:tcPr>
          <w:p w14:paraId="4F9FE047">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每季度巡检一次</w:t>
            </w:r>
          </w:p>
        </w:tc>
      </w:tr>
      <w:tr w14:paraId="43F0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Align w:val="center"/>
          </w:tcPr>
          <w:p w14:paraId="1E2D89FD">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096" w:type="dxa"/>
            <w:vAlign w:val="center"/>
          </w:tcPr>
          <w:p w14:paraId="5413732B">
            <w:pPr>
              <w:ind w:left="-119" w:leftChars="-54" w:right="-73" w:rightChars="-33" w:firstLine="28" w:firstLineChars="1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播控系统常规巡检</w:t>
            </w:r>
          </w:p>
        </w:tc>
        <w:tc>
          <w:tcPr>
            <w:tcW w:w="4006" w:type="dxa"/>
            <w:tcBorders>
              <w:left w:val="single" w:color="auto" w:sz="4" w:space="0"/>
              <w:right w:val="single" w:color="auto" w:sz="4" w:space="0"/>
            </w:tcBorders>
            <w:vAlign w:val="center"/>
          </w:tcPr>
          <w:p w14:paraId="093624AC">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1)播控系统的整体完整性和完好性检查；</w:t>
            </w:r>
          </w:p>
          <w:p w14:paraId="7D298B1C">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2)终端播控系统与后台服务的链路</w:t>
            </w:r>
            <w:r>
              <w:rPr>
                <w:rFonts w:hint="eastAsia" w:ascii="宋体" w:hAnsi="宋体" w:eastAsia="宋体" w:cs="宋体"/>
                <w:color w:val="auto"/>
                <w:sz w:val="24"/>
                <w:szCs w:val="24"/>
                <w:highlight w:val="none"/>
              </w:rPr>
              <w:t>连接情况</w:t>
            </w:r>
            <w:r>
              <w:rPr>
                <w:rFonts w:hint="eastAsia" w:ascii="宋体" w:hAnsi="宋体" w:eastAsia="宋体" w:cs="宋体"/>
                <w:color w:val="auto"/>
                <w:sz w:val="24"/>
                <w:szCs w:val="24"/>
                <w:highlight w:val="none"/>
                <w:lang w:val="zh-CN"/>
              </w:rPr>
              <w:t>测试；</w:t>
            </w:r>
          </w:p>
          <w:p w14:paraId="3DCAACF4">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3)播控终端的信号输出测试；</w:t>
            </w:r>
          </w:p>
          <w:p w14:paraId="2359E92E">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4)播控终端的</w:t>
            </w:r>
            <w:r>
              <w:rPr>
                <w:rFonts w:hint="eastAsia" w:ascii="宋体" w:hAnsi="宋体" w:eastAsia="宋体" w:cs="宋体"/>
                <w:color w:val="auto"/>
                <w:sz w:val="24"/>
                <w:szCs w:val="24"/>
                <w:highlight w:val="none"/>
              </w:rPr>
              <w:t>单机</w:t>
            </w:r>
            <w:r>
              <w:rPr>
                <w:rFonts w:hint="eastAsia" w:ascii="宋体" w:hAnsi="宋体" w:eastAsia="宋体" w:cs="宋体"/>
                <w:color w:val="auto"/>
                <w:sz w:val="24"/>
                <w:szCs w:val="24"/>
                <w:highlight w:val="none"/>
                <w:lang w:val="zh-CN"/>
              </w:rPr>
              <w:t>与网络</w:t>
            </w:r>
            <w:r>
              <w:rPr>
                <w:rFonts w:hint="eastAsia" w:ascii="宋体" w:hAnsi="宋体" w:eastAsia="宋体" w:cs="宋体"/>
                <w:color w:val="auto"/>
                <w:sz w:val="24"/>
                <w:szCs w:val="24"/>
                <w:highlight w:val="none"/>
              </w:rPr>
              <w:t>模式</w:t>
            </w:r>
            <w:r>
              <w:rPr>
                <w:rFonts w:hint="eastAsia" w:ascii="宋体" w:hAnsi="宋体" w:eastAsia="宋体" w:cs="宋体"/>
                <w:color w:val="auto"/>
                <w:sz w:val="24"/>
                <w:szCs w:val="24"/>
                <w:highlight w:val="none"/>
                <w:lang w:val="zh-CN"/>
              </w:rPr>
              <w:t>切换测试；</w:t>
            </w:r>
          </w:p>
          <w:p w14:paraId="4B5349B3">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5)4G路由器的有无线信号测试；</w:t>
            </w:r>
          </w:p>
          <w:p w14:paraId="553F3683">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6)播控终端内存</w:t>
            </w:r>
            <w:r>
              <w:rPr>
                <w:rFonts w:hint="eastAsia" w:ascii="宋体" w:hAnsi="宋体" w:eastAsia="宋体" w:cs="宋体"/>
                <w:color w:val="auto"/>
                <w:sz w:val="24"/>
                <w:szCs w:val="24"/>
                <w:highlight w:val="none"/>
              </w:rPr>
              <w:t>自动</w:t>
            </w:r>
            <w:r>
              <w:rPr>
                <w:rFonts w:hint="eastAsia" w:ascii="宋体" w:hAnsi="宋体" w:eastAsia="宋体" w:cs="宋体"/>
                <w:color w:val="auto"/>
                <w:sz w:val="24"/>
                <w:szCs w:val="24"/>
                <w:highlight w:val="none"/>
                <w:lang w:val="zh-CN"/>
              </w:rPr>
              <w:t>清理测试；</w:t>
            </w:r>
          </w:p>
          <w:p w14:paraId="751B1B4D">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7)多媒体警报视频融合终端的监控画面切换测试；</w:t>
            </w:r>
          </w:p>
          <w:p w14:paraId="2BF33F67">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8)多媒体警报视频融合终端的多格式信号输入输出测试；</w:t>
            </w:r>
          </w:p>
          <w:p w14:paraId="2DD41195">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9)多媒体警报视频融合终端的本地U盘</w:t>
            </w:r>
            <w:r>
              <w:rPr>
                <w:rFonts w:hint="eastAsia" w:ascii="宋体" w:hAnsi="宋体" w:eastAsia="宋体" w:cs="宋体"/>
                <w:color w:val="auto"/>
                <w:sz w:val="24"/>
                <w:szCs w:val="24"/>
                <w:highlight w:val="none"/>
              </w:rPr>
              <w:t>节目播放</w:t>
            </w:r>
            <w:r>
              <w:rPr>
                <w:rFonts w:hint="eastAsia" w:ascii="宋体" w:hAnsi="宋体" w:eastAsia="宋体" w:cs="宋体"/>
                <w:color w:val="auto"/>
                <w:sz w:val="24"/>
                <w:szCs w:val="24"/>
                <w:highlight w:val="none"/>
                <w:lang w:val="zh-CN"/>
              </w:rPr>
              <w:t>测试；</w:t>
            </w:r>
          </w:p>
          <w:p w14:paraId="3BB35FB0">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10)多媒体警报视频融合终端的一键发送参数测试；</w:t>
            </w:r>
          </w:p>
        </w:tc>
        <w:tc>
          <w:tcPr>
            <w:tcW w:w="709" w:type="dxa"/>
            <w:tcBorders>
              <w:left w:val="single" w:color="auto" w:sz="4" w:space="0"/>
              <w:right w:val="single" w:color="auto" w:sz="4" w:space="0"/>
            </w:tcBorders>
            <w:vAlign w:val="center"/>
          </w:tcPr>
          <w:p w14:paraId="6B6AC59E">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992" w:type="dxa"/>
            <w:tcBorders>
              <w:left w:val="single" w:color="auto" w:sz="4" w:space="0"/>
              <w:right w:val="single" w:color="auto" w:sz="4" w:space="0"/>
            </w:tcBorders>
            <w:vAlign w:val="center"/>
          </w:tcPr>
          <w:p w14:paraId="7A2C20B3">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257台</w:t>
            </w:r>
          </w:p>
        </w:tc>
        <w:tc>
          <w:tcPr>
            <w:tcW w:w="1276" w:type="dxa"/>
            <w:tcBorders>
              <w:top w:val="single" w:color="auto" w:sz="4" w:space="0"/>
              <w:left w:val="single" w:color="auto" w:sz="4" w:space="0"/>
              <w:bottom w:val="single" w:color="auto" w:sz="4" w:space="0"/>
              <w:right w:val="single" w:color="auto" w:sz="4" w:space="0"/>
            </w:tcBorders>
            <w:vAlign w:val="center"/>
          </w:tcPr>
          <w:p w14:paraId="09EF7F39">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每季度巡检一次</w:t>
            </w:r>
          </w:p>
        </w:tc>
      </w:tr>
      <w:tr w14:paraId="32E4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jc w:val="center"/>
        </w:trPr>
        <w:tc>
          <w:tcPr>
            <w:tcW w:w="1128" w:type="dxa"/>
            <w:tcBorders>
              <w:top w:val="single" w:color="auto" w:sz="4" w:space="0"/>
              <w:left w:val="single" w:color="auto" w:sz="4" w:space="0"/>
              <w:bottom w:val="single" w:color="auto" w:sz="4" w:space="0"/>
              <w:right w:val="single" w:color="auto" w:sz="4" w:space="0"/>
            </w:tcBorders>
            <w:vAlign w:val="center"/>
          </w:tcPr>
          <w:p w14:paraId="76F2A392">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096" w:type="dxa"/>
            <w:tcBorders>
              <w:left w:val="single" w:color="auto" w:sz="4" w:space="0"/>
              <w:bottom w:val="single" w:color="auto" w:sz="4" w:space="0"/>
              <w:right w:val="single" w:color="auto" w:sz="4" w:space="0"/>
            </w:tcBorders>
            <w:vAlign w:val="center"/>
          </w:tcPr>
          <w:p w14:paraId="557A1E16">
            <w:pPr>
              <w:ind w:left="-119" w:leftChars="-54" w:right="-73" w:rightChars="-33" w:firstLine="28" w:firstLineChars="1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框架部分常规巡检</w:t>
            </w:r>
          </w:p>
        </w:tc>
        <w:tc>
          <w:tcPr>
            <w:tcW w:w="4006" w:type="dxa"/>
            <w:tcBorders>
              <w:left w:val="single" w:color="auto" w:sz="4" w:space="0"/>
              <w:right w:val="single" w:color="auto" w:sz="4" w:space="0"/>
            </w:tcBorders>
            <w:vAlign w:val="center"/>
          </w:tcPr>
          <w:p w14:paraId="48E10A2F">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1)屏体外观及框架的整体完整性和完好性检查；</w:t>
            </w:r>
          </w:p>
          <w:p w14:paraId="7C507EE4">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2)设备不锈钢外观</w:t>
            </w:r>
            <w:r>
              <w:rPr>
                <w:rFonts w:hint="eastAsia" w:ascii="宋体" w:hAnsi="宋体" w:eastAsia="宋体" w:cs="宋体"/>
                <w:color w:val="auto"/>
                <w:sz w:val="24"/>
                <w:szCs w:val="24"/>
                <w:highlight w:val="none"/>
              </w:rPr>
              <w:t>是否存在小广告需要</w:t>
            </w:r>
            <w:r>
              <w:rPr>
                <w:rFonts w:hint="eastAsia" w:ascii="宋体" w:hAnsi="宋体" w:eastAsia="宋体" w:cs="宋体"/>
                <w:color w:val="auto"/>
                <w:sz w:val="24"/>
                <w:szCs w:val="24"/>
                <w:highlight w:val="none"/>
                <w:lang w:val="zh-CN"/>
              </w:rPr>
              <w:t>清理和清洗；</w:t>
            </w:r>
          </w:p>
          <w:p w14:paraId="3720FE85">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3)设备不锈钢外观</w:t>
            </w:r>
            <w:r>
              <w:rPr>
                <w:rFonts w:hint="eastAsia" w:ascii="宋体" w:hAnsi="宋体" w:eastAsia="宋体" w:cs="宋体"/>
                <w:color w:val="auto"/>
                <w:sz w:val="24"/>
                <w:szCs w:val="24"/>
                <w:highlight w:val="none"/>
              </w:rPr>
              <w:t>是否需要除尘</w:t>
            </w:r>
            <w:r>
              <w:rPr>
                <w:rFonts w:hint="eastAsia" w:ascii="宋体" w:hAnsi="宋体" w:eastAsia="宋体" w:cs="宋体"/>
                <w:color w:val="auto"/>
                <w:sz w:val="24"/>
                <w:szCs w:val="24"/>
                <w:highlight w:val="none"/>
                <w:lang w:val="zh-CN"/>
              </w:rPr>
              <w:t>保养；</w:t>
            </w:r>
          </w:p>
          <w:p w14:paraId="07D0FA61">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4)不锈钢拼缝和焊点的检查；</w:t>
            </w:r>
          </w:p>
          <w:p w14:paraId="77220858">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w:t>
            </w:r>
            <w:r>
              <w:rPr>
                <w:rFonts w:hint="eastAsia" w:ascii="宋体" w:hAnsi="宋体" w:eastAsia="宋体" w:cs="宋体"/>
                <w:color w:val="auto"/>
                <w:sz w:val="24"/>
                <w:szCs w:val="24"/>
                <w:highlight w:val="none"/>
              </w:rPr>
              <w:t>屏体</w:t>
            </w:r>
            <w:r>
              <w:rPr>
                <w:rFonts w:hint="eastAsia" w:ascii="宋体" w:hAnsi="宋体" w:eastAsia="宋体" w:cs="宋体"/>
                <w:color w:val="auto"/>
                <w:sz w:val="24"/>
                <w:szCs w:val="24"/>
                <w:highlight w:val="none"/>
                <w:lang w:val="zh-CN"/>
              </w:rPr>
              <w:t>拼接部位的螺丝</w:t>
            </w:r>
            <w:r>
              <w:rPr>
                <w:rFonts w:hint="eastAsia" w:ascii="宋体" w:hAnsi="宋体" w:eastAsia="宋体" w:cs="宋体"/>
                <w:color w:val="auto"/>
                <w:sz w:val="24"/>
                <w:szCs w:val="24"/>
                <w:highlight w:val="none"/>
              </w:rPr>
              <w:t>松紧度</w:t>
            </w:r>
            <w:r>
              <w:rPr>
                <w:rFonts w:hint="eastAsia" w:ascii="宋体" w:hAnsi="宋体" w:eastAsia="宋体" w:cs="宋体"/>
                <w:color w:val="auto"/>
                <w:sz w:val="24"/>
                <w:szCs w:val="24"/>
                <w:highlight w:val="none"/>
                <w:lang w:val="zh-CN"/>
              </w:rPr>
              <w:t>检查</w:t>
            </w:r>
            <w:r>
              <w:rPr>
                <w:rFonts w:hint="eastAsia" w:ascii="宋体" w:hAnsi="宋体" w:eastAsia="宋体" w:cs="宋体"/>
                <w:color w:val="auto"/>
                <w:sz w:val="24"/>
                <w:szCs w:val="24"/>
                <w:highlight w:val="none"/>
              </w:rPr>
              <w:t>及判断是否需要加</w:t>
            </w:r>
            <w:r>
              <w:rPr>
                <w:rFonts w:hint="eastAsia" w:ascii="宋体" w:hAnsi="宋体" w:eastAsia="宋体" w:cs="宋体"/>
                <w:color w:val="auto"/>
                <w:sz w:val="24"/>
                <w:szCs w:val="24"/>
                <w:highlight w:val="none"/>
                <w:lang w:val="zh-CN"/>
              </w:rPr>
              <w:t>固处理；</w:t>
            </w:r>
          </w:p>
          <w:p w14:paraId="6FA6FF24">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6)屏体框架方钢和槽钢的焊接处检查；</w:t>
            </w:r>
          </w:p>
          <w:p w14:paraId="74970CEC">
            <w:pPr>
              <w:widowControl/>
              <w:adjustRightInd w:val="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7)屏体地基和地脚螺栓的检查；</w:t>
            </w:r>
          </w:p>
          <w:p w14:paraId="61D7BBE2">
            <w:pPr>
              <w:widowControl/>
              <w:adjustRightIn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屏体是否存在倾斜的检查；</w:t>
            </w:r>
          </w:p>
        </w:tc>
        <w:tc>
          <w:tcPr>
            <w:tcW w:w="709" w:type="dxa"/>
            <w:tcBorders>
              <w:left w:val="single" w:color="auto" w:sz="4" w:space="0"/>
              <w:right w:val="single" w:color="auto" w:sz="4" w:space="0"/>
            </w:tcBorders>
            <w:vAlign w:val="center"/>
          </w:tcPr>
          <w:p w14:paraId="2C4FBA93">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992" w:type="dxa"/>
            <w:tcBorders>
              <w:left w:val="single" w:color="auto" w:sz="4" w:space="0"/>
              <w:right w:val="single" w:color="auto" w:sz="4" w:space="0"/>
            </w:tcBorders>
            <w:vAlign w:val="center"/>
          </w:tcPr>
          <w:p w14:paraId="09B55B58">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257台</w:t>
            </w:r>
          </w:p>
        </w:tc>
        <w:tc>
          <w:tcPr>
            <w:tcW w:w="1276" w:type="dxa"/>
            <w:tcBorders>
              <w:top w:val="single" w:color="auto" w:sz="4" w:space="0"/>
              <w:left w:val="single" w:color="auto" w:sz="4" w:space="0"/>
              <w:bottom w:val="single" w:color="auto" w:sz="4" w:space="0"/>
              <w:right w:val="single" w:color="auto" w:sz="4" w:space="0"/>
            </w:tcBorders>
            <w:vAlign w:val="center"/>
          </w:tcPr>
          <w:p w14:paraId="0D7DEC74">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每季度巡检一次</w:t>
            </w:r>
          </w:p>
        </w:tc>
      </w:tr>
      <w:tr w14:paraId="2328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10C2FB22">
            <w:pPr>
              <w:widowControl/>
              <w:adjustRightInd w:val="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二、电声警报一体机巡检</w:t>
            </w:r>
          </w:p>
        </w:tc>
      </w:tr>
      <w:tr w14:paraId="7DFA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75AFCE3F">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1096" w:type="dxa"/>
            <w:tcBorders>
              <w:left w:val="single" w:color="auto" w:sz="4" w:space="0"/>
              <w:right w:val="single" w:color="auto" w:sz="4" w:space="0"/>
            </w:tcBorders>
            <w:vAlign w:val="center"/>
          </w:tcPr>
          <w:p w14:paraId="74883807">
            <w:pPr>
              <w:jc w:val="center"/>
              <w:rPr>
                <w:rFonts w:hint="eastAsia"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控制箱维护</w:t>
            </w:r>
          </w:p>
        </w:tc>
        <w:tc>
          <w:tcPr>
            <w:tcW w:w="4006" w:type="dxa"/>
            <w:tcBorders>
              <w:left w:val="single" w:color="auto" w:sz="4" w:space="0"/>
              <w:right w:val="single" w:color="auto" w:sz="4" w:space="0"/>
            </w:tcBorders>
            <w:vAlign w:val="center"/>
          </w:tcPr>
          <w:p w14:paraId="28DA492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对设备表面除尘除锈，保证设备干净，内外无灰尘、无积水、无锈渣等；</w:t>
            </w:r>
          </w:p>
          <w:p w14:paraId="5935F4B9">
            <w:pPr>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 xml:space="preserve">保持通道无遮挡，设备周边无易燃易爆腐蚀性强的物品； </w:t>
            </w:r>
          </w:p>
        </w:tc>
        <w:tc>
          <w:tcPr>
            <w:tcW w:w="709" w:type="dxa"/>
            <w:tcBorders>
              <w:left w:val="single" w:color="auto" w:sz="4" w:space="0"/>
              <w:right w:val="single" w:color="auto" w:sz="4" w:space="0"/>
            </w:tcBorders>
            <w:vAlign w:val="center"/>
          </w:tcPr>
          <w:p w14:paraId="05FA51F3">
            <w:pPr>
              <w:widowControl/>
              <w:adjustRightIn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14:paraId="6F268A9A">
            <w:pPr>
              <w:spacing w:line="360" w:lineRule="auto"/>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155</w:t>
            </w:r>
          </w:p>
        </w:tc>
        <w:tc>
          <w:tcPr>
            <w:tcW w:w="1276" w:type="dxa"/>
            <w:vMerge w:val="restart"/>
            <w:tcBorders>
              <w:top w:val="single" w:color="auto" w:sz="4" w:space="0"/>
              <w:left w:val="single" w:color="auto" w:sz="4" w:space="0"/>
              <w:right w:val="single" w:color="auto" w:sz="4" w:space="0"/>
            </w:tcBorders>
            <w:vAlign w:val="center"/>
          </w:tcPr>
          <w:p w14:paraId="34A0200B">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每半年巡检一次</w:t>
            </w:r>
          </w:p>
        </w:tc>
      </w:tr>
      <w:tr w14:paraId="10D7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00CF18F8">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096" w:type="dxa"/>
            <w:tcBorders>
              <w:left w:val="single" w:color="auto" w:sz="4" w:space="0"/>
              <w:right w:val="single" w:color="auto" w:sz="4" w:space="0"/>
            </w:tcBorders>
            <w:vAlign w:val="center"/>
          </w:tcPr>
          <w:p w14:paraId="23FD8EAE">
            <w:pPr>
              <w:jc w:val="center"/>
              <w:rPr>
                <w:rFonts w:hint="eastAsia"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喇叭及支架检查</w:t>
            </w:r>
          </w:p>
        </w:tc>
        <w:tc>
          <w:tcPr>
            <w:tcW w:w="4006" w:type="dxa"/>
            <w:tcBorders>
              <w:left w:val="single" w:color="auto" w:sz="4" w:space="0"/>
              <w:right w:val="single" w:color="auto" w:sz="4" w:space="0"/>
            </w:tcBorders>
            <w:vAlign w:val="center"/>
          </w:tcPr>
          <w:p w14:paraId="51575F9C">
            <w:pPr>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对扬声器支架进行检查，判断设备固定牢固、无锈蚀，扬声器及天线无损坏、无松动，扬声器和音频线防水处理无损坏，判断是否需要加固、除锈、刷漆处理；</w:t>
            </w:r>
          </w:p>
        </w:tc>
        <w:tc>
          <w:tcPr>
            <w:tcW w:w="709" w:type="dxa"/>
            <w:tcBorders>
              <w:left w:val="single" w:color="auto" w:sz="4" w:space="0"/>
              <w:right w:val="single" w:color="auto" w:sz="4" w:space="0"/>
            </w:tcBorders>
            <w:vAlign w:val="center"/>
          </w:tcPr>
          <w:p w14:paraId="1FFBC412">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14:paraId="189DA0FC">
            <w:pPr>
              <w:spacing w:line="360" w:lineRule="auto"/>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155 </w:t>
            </w:r>
          </w:p>
        </w:tc>
        <w:tc>
          <w:tcPr>
            <w:tcW w:w="1276" w:type="dxa"/>
            <w:vMerge w:val="continue"/>
            <w:tcBorders>
              <w:left w:val="single" w:color="auto" w:sz="4" w:space="0"/>
              <w:right w:val="single" w:color="auto" w:sz="4" w:space="0"/>
            </w:tcBorders>
            <w:vAlign w:val="center"/>
          </w:tcPr>
          <w:p w14:paraId="7235B118">
            <w:pPr>
              <w:widowControl/>
              <w:adjustRightInd w:val="0"/>
              <w:jc w:val="center"/>
              <w:rPr>
                <w:rFonts w:hint="eastAsia" w:ascii="宋体" w:hAnsi="宋体" w:eastAsia="宋体" w:cs="宋体"/>
                <w:color w:val="auto"/>
                <w:sz w:val="24"/>
                <w:szCs w:val="24"/>
                <w:highlight w:val="none"/>
              </w:rPr>
            </w:pPr>
          </w:p>
        </w:tc>
      </w:tr>
      <w:tr w14:paraId="48B3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459980AF">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096" w:type="dxa"/>
            <w:tcBorders>
              <w:left w:val="single" w:color="auto" w:sz="4" w:space="0"/>
              <w:right w:val="single" w:color="auto" w:sz="4" w:space="0"/>
            </w:tcBorders>
            <w:vAlign w:val="center"/>
          </w:tcPr>
          <w:p w14:paraId="2CEAA506">
            <w:pPr>
              <w:jc w:val="center"/>
              <w:rPr>
                <w:rFonts w:hint="eastAsia"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线路检查</w:t>
            </w:r>
          </w:p>
        </w:tc>
        <w:tc>
          <w:tcPr>
            <w:tcW w:w="4006" w:type="dxa"/>
            <w:tcBorders>
              <w:left w:val="single" w:color="auto" w:sz="4" w:space="0"/>
              <w:right w:val="single" w:color="auto" w:sz="4" w:space="0"/>
            </w:tcBorders>
            <w:vAlign w:val="center"/>
          </w:tcPr>
          <w:p w14:paraId="40C99CCA">
            <w:pPr>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检查控制线、电源线、接收天线接合是否牢固，无断路、短路及老化现象，对有安全隐患的问题记录，后期进行处理；</w:t>
            </w:r>
          </w:p>
        </w:tc>
        <w:tc>
          <w:tcPr>
            <w:tcW w:w="709" w:type="dxa"/>
            <w:tcBorders>
              <w:left w:val="single" w:color="auto" w:sz="4" w:space="0"/>
              <w:right w:val="single" w:color="auto" w:sz="4" w:space="0"/>
            </w:tcBorders>
            <w:vAlign w:val="center"/>
          </w:tcPr>
          <w:p w14:paraId="1190C169">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14:paraId="79588C51">
            <w:pPr>
              <w:spacing w:line="360" w:lineRule="auto"/>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155 </w:t>
            </w:r>
          </w:p>
        </w:tc>
        <w:tc>
          <w:tcPr>
            <w:tcW w:w="1276" w:type="dxa"/>
            <w:vMerge w:val="continue"/>
            <w:tcBorders>
              <w:left w:val="single" w:color="auto" w:sz="4" w:space="0"/>
              <w:right w:val="single" w:color="auto" w:sz="4" w:space="0"/>
            </w:tcBorders>
            <w:vAlign w:val="center"/>
          </w:tcPr>
          <w:p w14:paraId="550C01F3">
            <w:pPr>
              <w:widowControl/>
              <w:adjustRightInd w:val="0"/>
              <w:jc w:val="center"/>
              <w:rPr>
                <w:rFonts w:hint="eastAsia" w:ascii="宋体" w:hAnsi="宋体" w:eastAsia="宋体" w:cs="宋体"/>
                <w:color w:val="auto"/>
                <w:sz w:val="24"/>
                <w:szCs w:val="24"/>
                <w:highlight w:val="none"/>
              </w:rPr>
            </w:pPr>
          </w:p>
        </w:tc>
      </w:tr>
      <w:tr w14:paraId="719E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30A5B1A3">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096" w:type="dxa"/>
            <w:tcBorders>
              <w:left w:val="single" w:color="auto" w:sz="4" w:space="0"/>
              <w:right w:val="single" w:color="auto" w:sz="4" w:space="0"/>
            </w:tcBorders>
            <w:vAlign w:val="center"/>
          </w:tcPr>
          <w:p w14:paraId="5F9C8BCF">
            <w:pPr>
              <w:jc w:val="center"/>
              <w:rPr>
                <w:rFonts w:hint="eastAsia"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本地功能测试</w:t>
            </w:r>
          </w:p>
        </w:tc>
        <w:tc>
          <w:tcPr>
            <w:tcW w:w="4006" w:type="dxa"/>
            <w:tcBorders>
              <w:left w:val="single" w:color="auto" w:sz="4" w:space="0"/>
              <w:right w:val="single" w:color="auto" w:sz="4" w:space="0"/>
            </w:tcBorders>
            <w:vAlign w:val="center"/>
          </w:tcPr>
          <w:p w14:paraId="13AC7CF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手动控制检查：检查是否可以通过按键进行手动控制操作，包括解锁和闭锁、上电和关电、内外置的切换，以及手动测试扬声器与功放是否工作正常。</w:t>
            </w:r>
          </w:p>
        </w:tc>
        <w:tc>
          <w:tcPr>
            <w:tcW w:w="709" w:type="dxa"/>
            <w:tcBorders>
              <w:left w:val="single" w:color="auto" w:sz="4" w:space="0"/>
              <w:right w:val="single" w:color="auto" w:sz="4" w:space="0"/>
            </w:tcBorders>
            <w:vAlign w:val="center"/>
          </w:tcPr>
          <w:p w14:paraId="5B43A1E4">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14:paraId="4CA69992">
            <w:pPr>
              <w:spacing w:line="360" w:lineRule="auto"/>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155</w:t>
            </w:r>
          </w:p>
        </w:tc>
        <w:tc>
          <w:tcPr>
            <w:tcW w:w="1276" w:type="dxa"/>
            <w:vMerge w:val="continue"/>
            <w:tcBorders>
              <w:left w:val="single" w:color="auto" w:sz="4" w:space="0"/>
              <w:right w:val="single" w:color="auto" w:sz="4" w:space="0"/>
            </w:tcBorders>
            <w:vAlign w:val="center"/>
          </w:tcPr>
          <w:p w14:paraId="2E5E458A">
            <w:pPr>
              <w:widowControl/>
              <w:adjustRightInd w:val="0"/>
              <w:jc w:val="center"/>
              <w:rPr>
                <w:rFonts w:hint="eastAsia" w:ascii="宋体" w:hAnsi="宋体" w:eastAsia="宋体" w:cs="宋体"/>
                <w:color w:val="auto"/>
                <w:sz w:val="24"/>
                <w:szCs w:val="24"/>
                <w:highlight w:val="none"/>
              </w:rPr>
            </w:pPr>
          </w:p>
        </w:tc>
      </w:tr>
      <w:tr w14:paraId="5033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6AC44C9F">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096" w:type="dxa"/>
            <w:tcBorders>
              <w:left w:val="single" w:color="auto" w:sz="4" w:space="0"/>
              <w:right w:val="single" w:color="auto" w:sz="4" w:space="0"/>
            </w:tcBorders>
            <w:vAlign w:val="center"/>
          </w:tcPr>
          <w:p w14:paraId="07BC5717">
            <w:pPr>
              <w:jc w:val="center"/>
              <w:rPr>
                <w:rFonts w:hint="eastAsia"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遥控功能测试</w:t>
            </w:r>
          </w:p>
        </w:tc>
        <w:tc>
          <w:tcPr>
            <w:tcW w:w="4006" w:type="dxa"/>
            <w:tcBorders>
              <w:left w:val="single" w:color="auto" w:sz="4" w:space="0"/>
              <w:right w:val="single" w:color="auto" w:sz="4" w:space="0"/>
            </w:tcBorders>
            <w:vAlign w:val="center"/>
          </w:tcPr>
          <w:p w14:paraId="5F65D36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1）遥控通话检查：操作手咪，检测是否可以与控制中心进行语音通话；</w:t>
            </w:r>
          </w:p>
          <w:p w14:paraId="606C5CF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2）遥控控制检查：检查是否可以通过电台及天馈线进行遥控控制操作，包括解锁和闭锁、上电和关电、电声内外置，以及遥控测试扬声器与功放是否工作正常；</w:t>
            </w:r>
          </w:p>
          <w:p w14:paraId="3837C9FF">
            <w:pPr>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3）有线控制检查：通过拨号测试，检查终端有线号码是否正确、有效；控制中心是否可以有线连接控制，实现2）所实现的功能（如有）；</w:t>
            </w:r>
          </w:p>
        </w:tc>
        <w:tc>
          <w:tcPr>
            <w:tcW w:w="709" w:type="dxa"/>
            <w:tcBorders>
              <w:left w:val="single" w:color="auto" w:sz="4" w:space="0"/>
              <w:right w:val="single" w:color="auto" w:sz="4" w:space="0"/>
            </w:tcBorders>
            <w:vAlign w:val="center"/>
          </w:tcPr>
          <w:p w14:paraId="4F4D1A0C">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14:paraId="5BED131A">
            <w:pPr>
              <w:spacing w:line="360" w:lineRule="auto"/>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155</w:t>
            </w:r>
          </w:p>
        </w:tc>
        <w:tc>
          <w:tcPr>
            <w:tcW w:w="1276" w:type="dxa"/>
            <w:vMerge w:val="continue"/>
            <w:tcBorders>
              <w:left w:val="single" w:color="auto" w:sz="4" w:space="0"/>
              <w:bottom w:val="single" w:color="auto" w:sz="4" w:space="0"/>
              <w:right w:val="single" w:color="auto" w:sz="4" w:space="0"/>
            </w:tcBorders>
            <w:vAlign w:val="center"/>
          </w:tcPr>
          <w:p w14:paraId="3102B6FF">
            <w:pPr>
              <w:widowControl/>
              <w:adjustRightInd w:val="0"/>
              <w:jc w:val="center"/>
              <w:rPr>
                <w:rFonts w:hint="eastAsia" w:ascii="宋体" w:hAnsi="宋体" w:eastAsia="宋体" w:cs="宋体"/>
                <w:color w:val="auto"/>
                <w:sz w:val="24"/>
                <w:szCs w:val="24"/>
                <w:highlight w:val="none"/>
              </w:rPr>
            </w:pPr>
          </w:p>
        </w:tc>
      </w:tr>
      <w:tr w14:paraId="36C8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527A3ECF">
            <w:pPr>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三、多媒体发布系统运维托管</w:t>
            </w:r>
          </w:p>
        </w:tc>
      </w:tr>
      <w:tr w14:paraId="59CD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40210A95">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096" w:type="dxa"/>
            <w:tcBorders>
              <w:top w:val="single" w:color="auto" w:sz="4" w:space="0"/>
              <w:left w:val="single" w:color="auto" w:sz="4" w:space="0"/>
              <w:bottom w:val="single" w:color="auto" w:sz="4" w:space="0"/>
              <w:right w:val="single" w:color="auto" w:sz="4" w:space="0"/>
            </w:tcBorders>
            <w:vAlign w:val="center"/>
          </w:tcPr>
          <w:p w14:paraId="4E9FCAB9">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多媒体发布系统运维托管</w:t>
            </w:r>
          </w:p>
        </w:tc>
        <w:tc>
          <w:tcPr>
            <w:tcW w:w="4006" w:type="dxa"/>
            <w:tcBorders>
              <w:top w:val="single" w:color="auto" w:sz="4" w:space="0"/>
              <w:left w:val="single" w:color="auto" w:sz="4" w:space="0"/>
              <w:bottom w:val="single" w:color="auto" w:sz="4" w:space="0"/>
              <w:right w:val="single" w:color="auto" w:sz="4" w:space="0"/>
            </w:tcBorders>
            <w:vAlign w:val="center"/>
          </w:tcPr>
          <w:p w14:paraId="6330F7D1">
            <w:pPr>
              <w:numPr>
                <w:ilvl w:val="0"/>
                <w:numId w:val="5"/>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利用本公司平台及相关资源，对多媒体警报信息发布系统进行7*24h日常的管理维护，保证服务器电源和专线网络的供给，确保设备平稳运行。</w:t>
            </w:r>
          </w:p>
          <w:p w14:paraId="689FFA3E">
            <w:pPr>
              <w:numPr>
                <w:ilvl w:val="0"/>
                <w:numId w:val="5"/>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架设备份服务器对多媒体警报信息发布系统进行数据备份，在主服务器遇极端情况下，由备份服务器及时替换，保证系统正常运行。</w:t>
            </w:r>
          </w:p>
          <w:p w14:paraId="5C501D40">
            <w:pPr>
              <w:numPr>
                <w:ilvl w:val="0"/>
                <w:numId w:val="5"/>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对信息发布软件进行定期和不定期的升级维护，满足用户的使用需求。保证信息发布系统的网络安全。</w:t>
            </w:r>
          </w:p>
          <w:p w14:paraId="087EFC57">
            <w:pPr>
              <w:numPr>
                <w:ilvl w:val="0"/>
                <w:numId w:val="5"/>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除系统现有的终端外，提供终端数量无限扩容功能，并保证扩容后的系统稳定运行。</w:t>
            </w:r>
          </w:p>
          <w:p w14:paraId="0AA35227">
            <w:pPr>
              <w:numPr>
                <w:ilvl w:val="0"/>
                <w:numId w:val="5"/>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对现有257套终端的信息发布提供保障与支持，对点位管理员进行不限次使用指导及发布包更新，特殊情况下协助或帮助发布信息。</w:t>
            </w:r>
          </w:p>
          <w:p w14:paraId="36934CA7">
            <w:pPr>
              <w:numPr>
                <w:ilvl w:val="0"/>
                <w:numId w:val="5"/>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对现有257套终端的信息发布实行审核和信息查询备份设置，避免信息内容误发。</w:t>
            </w:r>
          </w:p>
        </w:tc>
        <w:tc>
          <w:tcPr>
            <w:tcW w:w="709" w:type="dxa"/>
            <w:tcBorders>
              <w:top w:val="single" w:color="auto" w:sz="4" w:space="0"/>
              <w:left w:val="single" w:color="auto" w:sz="4" w:space="0"/>
              <w:bottom w:val="single" w:color="auto" w:sz="4" w:space="0"/>
              <w:right w:val="single" w:color="auto" w:sz="4" w:space="0"/>
            </w:tcBorders>
            <w:vAlign w:val="center"/>
          </w:tcPr>
          <w:p w14:paraId="4BF07C22">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63D6F98B">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w:t>
            </w:r>
          </w:p>
        </w:tc>
        <w:tc>
          <w:tcPr>
            <w:tcW w:w="1276" w:type="dxa"/>
            <w:tcBorders>
              <w:top w:val="single" w:color="auto" w:sz="4" w:space="0"/>
              <w:left w:val="single" w:color="auto" w:sz="4" w:space="0"/>
              <w:bottom w:val="single" w:color="auto" w:sz="4" w:space="0"/>
              <w:right w:val="single" w:color="auto" w:sz="4" w:space="0"/>
            </w:tcBorders>
            <w:vAlign w:val="center"/>
          </w:tcPr>
          <w:p w14:paraId="4930377E">
            <w:pPr>
              <w:jc w:val="center"/>
              <w:rPr>
                <w:rFonts w:hint="eastAsia" w:ascii="宋体" w:hAnsi="宋体" w:eastAsia="宋体" w:cs="宋体"/>
                <w:color w:val="auto"/>
                <w:sz w:val="24"/>
                <w:szCs w:val="24"/>
                <w:highlight w:val="none"/>
              </w:rPr>
            </w:pPr>
          </w:p>
        </w:tc>
      </w:tr>
      <w:tr w14:paraId="7ECB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41DE0DFC">
            <w:pPr>
              <w:ind w:left="-147" w:leftChars="-67" w:right="-73" w:rightChars="-33"/>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四、警报控制网络系统维护</w:t>
            </w:r>
          </w:p>
        </w:tc>
      </w:tr>
      <w:tr w14:paraId="5C1D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5B9B102B">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096" w:type="dxa"/>
            <w:tcBorders>
              <w:top w:val="single" w:color="auto" w:sz="4" w:space="0"/>
              <w:left w:val="single" w:color="auto" w:sz="4" w:space="0"/>
              <w:bottom w:val="single" w:color="auto" w:sz="4" w:space="0"/>
              <w:right w:val="single" w:color="auto" w:sz="4" w:space="0"/>
            </w:tcBorders>
            <w:vAlign w:val="center"/>
          </w:tcPr>
          <w:p w14:paraId="66C82174">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分控中心和中继维护</w:t>
            </w:r>
          </w:p>
        </w:tc>
        <w:tc>
          <w:tcPr>
            <w:tcW w:w="4006" w:type="dxa"/>
            <w:tcBorders>
              <w:top w:val="single" w:color="auto" w:sz="4" w:space="0"/>
              <w:left w:val="single" w:color="auto" w:sz="4" w:space="0"/>
              <w:bottom w:val="single" w:color="auto" w:sz="4" w:space="0"/>
              <w:right w:val="single" w:color="auto" w:sz="4" w:space="0"/>
            </w:tcBorders>
            <w:vAlign w:val="center"/>
          </w:tcPr>
          <w:p w14:paraId="26B84532">
            <w:pPr>
              <w:numPr>
                <w:ilvl w:val="0"/>
                <w:numId w:val="6"/>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每个季度对2个分控中心和2个中继站的设备巡检维护；</w:t>
            </w:r>
          </w:p>
          <w:p w14:paraId="064351C7">
            <w:pPr>
              <w:numPr>
                <w:ilvl w:val="0"/>
                <w:numId w:val="6"/>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定期或不定期进行设备信号测试和维护；</w:t>
            </w:r>
          </w:p>
          <w:p w14:paraId="5FA50520">
            <w:pPr>
              <w:numPr>
                <w:ilvl w:val="0"/>
                <w:numId w:val="6"/>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控制软件的不定期的升级与维护；</w:t>
            </w:r>
          </w:p>
          <w:p w14:paraId="58C2818D">
            <w:pPr>
              <w:numPr>
                <w:ilvl w:val="0"/>
                <w:numId w:val="6"/>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天馈线巡查维护；</w:t>
            </w:r>
          </w:p>
        </w:tc>
        <w:tc>
          <w:tcPr>
            <w:tcW w:w="709" w:type="dxa"/>
            <w:tcBorders>
              <w:top w:val="single" w:color="auto" w:sz="4" w:space="0"/>
              <w:left w:val="single" w:color="auto" w:sz="4" w:space="0"/>
              <w:bottom w:val="single" w:color="auto" w:sz="4" w:space="0"/>
              <w:right w:val="single" w:color="auto" w:sz="4" w:space="0"/>
            </w:tcBorders>
            <w:vAlign w:val="center"/>
          </w:tcPr>
          <w:p w14:paraId="38F0F1C3">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0E77A321">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w:t>
            </w:r>
          </w:p>
        </w:tc>
        <w:tc>
          <w:tcPr>
            <w:tcW w:w="1276" w:type="dxa"/>
            <w:tcBorders>
              <w:top w:val="single" w:color="auto" w:sz="4" w:space="0"/>
              <w:left w:val="single" w:color="auto" w:sz="4" w:space="0"/>
              <w:bottom w:val="single" w:color="auto" w:sz="4" w:space="0"/>
              <w:right w:val="single" w:color="auto" w:sz="4" w:space="0"/>
            </w:tcBorders>
            <w:vAlign w:val="center"/>
          </w:tcPr>
          <w:p w14:paraId="1EB9E1F0">
            <w:pPr>
              <w:ind w:left="-147" w:leftChars="-67" w:right="-73" w:rightChars="-33"/>
              <w:jc w:val="center"/>
              <w:rPr>
                <w:rFonts w:hint="eastAsia" w:ascii="宋体" w:hAnsi="宋体" w:eastAsia="宋体" w:cs="宋体"/>
                <w:color w:val="auto"/>
                <w:sz w:val="24"/>
                <w:szCs w:val="24"/>
                <w:highlight w:val="none"/>
              </w:rPr>
            </w:pPr>
          </w:p>
        </w:tc>
      </w:tr>
      <w:tr w14:paraId="382A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6F63B353">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096" w:type="dxa"/>
            <w:tcBorders>
              <w:top w:val="single" w:color="auto" w:sz="4" w:space="0"/>
              <w:left w:val="single" w:color="auto" w:sz="4" w:space="0"/>
              <w:bottom w:val="single" w:color="auto" w:sz="4" w:space="0"/>
              <w:right w:val="single" w:color="auto" w:sz="4" w:space="0"/>
            </w:tcBorders>
            <w:vAlign w:val="center"/>
          </w:tcPr>
          <w:p w14:paraId="5EE360BA">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与市级警报控制网络系统整体互联互通测试维护</w:t>
            </w:r>
          </w:p>
        </w:tc>
        <w:tc>
          <w:tcPr>
            <w:tcW w:w="4006" w:type="dxa"/>
            <w:tcBorders>
              <w:top w:val="single" w:color="auto" w:sz="4" w:space="0"/>
              <w:left w:val="single" w:color="auto" w:sz="4" w:space="0"/>
              <w:bottom w:val="single" w:color="auto" w:sz="4" w:space="0"/>
              <w:right w:val="single" w:color="auto" w:sz="4" w:space="0"/>
            </w:tcBorders>
            <w:vAlign w:val="center"/>
          </w:tcPr>
          <w:p w14:paraId="540296DC">
            <w:pPr>
              <w:numPr>
                <w:ilvl w:val="0"/>
                <w:numId w:val="7"/>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不定期配合南京市级警报控制中心进行全市警报控制网络的联调和功能测试，确保各项测试指标正常、功能完好；</w:t>
            </w:r>
          </w:p>
          <w:p w14:paraId="02626738">
            <w:pPr>
              <w:numPr>
                <w:ilvl w:val="0"/>
                <w:numId w:val="7"/>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通过定期或不定期的升级与维护，确保本辖区警报分控网络与南京市市级警报控制网络互联互通并稳定可靠运行。</w:t>
            </w:r>
          </w:p>
          <w:p w14:paraId="141E7509">
            <w:pPr>
              <w:numPr>
                <w:ilvl w:val="0"/>
                <w:numId w:val="7"/>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警控系统网络各项常规功能检查、发射台功能检测、网络通信信道测试；</w:t>
            </w:r>
          </w:p>
          <w:p w14:paraId="6F7C9BC2">
            <w:pPr>
              <w:numPr>
                <w:ilvl w:val="0"/>
                <w:numId w:val="7"/>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中央有线遥控终端检测、警报专用有线综合终端检测维护；</w:t>
            </w:r>
          </w:p>
          <w:p w14:paraId="1A7048E1">
            <w:pPr>
              <w:numPr>
                <w:ilvl w:val="0"/>
                <w:numId w:val="7"/>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控制网络软件升级、备份系统信息同步；</w:t>
            </w:r>
            <w:bookmarkStart w:id="49" w:name="OLE_LINK1"/>
            <w:r>
              <w:rPr>
                <w:rFonts w:hint="eastAsia" w:ascii="宋体" w:hAnsi="宋体" w:eastAsia="宋体" w:cs="宋体"/>
                <w:color w:val="auto"/>
                <w:sz w:val="24"/>
                <w:szCs w:val="24"/>
                <w:highlight w:val="none"/>
              </w:rPr>
              <w:t>2个分控中心、2个中继站</w:t>
            </w:r>
            <w:bookmarkEnd w:id="49"/>
            <w:r>
              <w:rPr>
                <w:rFonts w:hint="eastAsia" w:ascii="宋体" w:hAnsi="宋体" w:eastAsia="宋体" w:cs="宋体"/>
                <w:color w:val="auto"/>
                <w:sz w:val="24"/>
                <w:szCs w:val="24"/>
                <w:highlight w:val="none"/>
              </w:rPr>
              <w:t>运行情况检测；</w:t>
            </w:r>
          </w:p>
        </w:tc>
        <w:tc>
          <w:tcPr>
            <w:tcW w:w="709" w:type="dxa"/>
            <w:tcBorders>
              <w:top w:val="single" w:color="auto" w:sz="4" w:space="0"/>
              <w:left w:val="single" w:color="auto" w:sz="4" w:space="0"/>
              <w:bottom w:val="single" w:color="auto" w:sz="4" w:space="0"/>
              <w:right w:val="single" w:color="auto" w:sz="4" w:space="0"/>
            </w:tcBorders>
            <w:vAlign w:val="center"/>
          </w:tcPr>
          <w:p w14:paraId="60A8ACB0">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41F5CAAF">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w:t>
            </w:r>
          </w:p>
        </w:tc>
        <w:tc>
          <w:tcPr>
            <w:tcW w:w="1276" w:type="dxa"/>
            <w:tcBorders>
              <w:top w:val="single" w:color="auto" w:sz="4" w:space="0"/>
              <w:left w:val="single" w:color="auto" w:sz="4" w:space="0"/>
              <w:bottom w:val="single" w:color="auto" w:sz="4" w:space="0"/>
              <w:right w:val="single" w:color="auto" w:sz="4" w:space="0"/>
            </w:tcBorders>
            <w:vAlign w:val="center"/>
          </w:tcPr>
          <w:p w14:paraId="0D6D60E3">
            <w:pPr>
              <w:ind w:left="-147" w:leftChars="-67" w:right="-73" w:rightChars="-33"/>
              <w:jc w:val="center"/>
              <w:rPr>
                <w:rFonts w:hint="eastAsia" w:ascii="宋体" w:hAnsi="宋体" w:eastAsia="宋体" w:cs="宋体"/>
                <w:color w:val="auto"/>
                <w:sz w:val="24"/>
                <w:szCs w:val="24"/>
                <w:highlight w:val="none"/>
              </w:rPr>
            </w:pPr>
          </w:p>
        </w:tc>
      </w:tr>
      <w:tr w14:paraId="1410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4361A558">
            <w:pPr>
              <w:ind w:left="-147" w:leftChars="-67" w:right="-73" w:rightChars="-33"/>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五、设备普查</w:t>
            </w:r>
          </w:p>
        </w:tc>
      </w:tr>
      <w:tr w14:paraId="5B4B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7A447DBE">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096" w:type="dxa"/>
            <w:tcBorders>
              <w:top w:val="single" w:color="auto" w:sz="4" w:space="0"/>
              <w:left w:val="single" w:color="auto" w:sz="4" w:space="0"/>
              <w:bottom w:val="single" w:color="auto" w:sz="4" w:space="0"/>
              <w:right w:val="single" w:color="auto" w:sz="4" w:space="0"/>
            </w:tcBorders>
            <w:vAlign w:val="center"/>
          </w:tcPr>
          <w:p w14:paraId="3098DB09">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设备普查</w:t>
            </w:r>
          </w:p>
        </w:tc>
        <w:tc>
          <w:tcPr>
            <w:tcW w:w="4006" w:type="dxa"/>
            <w:tcBorders>
              <w:top w:val="single" w:color="auto" w:sz="4" w:space="0"/>
              <w:left w:val="single" w:color="auto" w:sz="4" w:space="0"/>
              <w:bottom w:val="single" w:color="auto" w:sz="4" w:space="0"/>
              <w:right w:val="single" w:color="auto" w:sz="4" w:space="0"/>
            </w:tcBorders>
            <w:vAlign w:val="center"/>
          </w:tcPr>
          <w:p w14:paraId="32CAA9FF">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每年两次不定期配合市防办进行的设备普查，包含：</w:t>
            </w:r>
          </w:p>
          <w:p w14:paraId="23E866DE">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1）所有警报设备整体完整性和完好性检查，包含一体机和多媒体；</w:t>
            </w:r>
          </w:p>
          <w:p w14:paraId="25BF1436">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2）设备电源供电情况检查；</w:t>
            </w:r>
          </w:p>
          <w:p w14:paraId="2E7732FC">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3）时控开关时间及功能检查；</w:t>
            </w:r>
          </w:p>
          <w:p w14:paraId="2DEBBF72">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4）设备开机自检测试；</w:t>
            </w:r>
          </w:p>
          <w:p w14:paraId="481C4058">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5）天馈系统检查：馈线接口是否连接完好；室外天线架设是否正常。</w:t>
            </w:r>
          </w:p>
          <w:p w14:paraId="7EDD5831">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6）测试：手动测试警报器是否能正常鸣响；通过分控中心无线测试信号接收是否正常。</w:t>
            </w:r>
          </w:p>
          <w:p w14:paraId="0C8D430B">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7）维护人员：确认维护人员有无变更。</w:t>
            </w:r>
          </w:p>
          <w:p w14:paraId="7317A93B">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8）在市防办指定的警报终端维保平台上对终端进行二维码扫码，登记巡检现场照片及设备运行信息。</w:t>
            </w:r>
          </w:p>
        </w:tc>
        <w:tc>
          <w:tcPr>
            <w:tcW w:w="709" w:type="dxa"/>
            <w:tcBorders>
              <w:top w:val="single" w:color="auto" w:sz="4" w:space="0"/>
              <w:left w:val="single" w:color="auto" w:sz="4" w:space="0"/>
              <w:bottom w:val="single" w:color="auto" w:sz="4" w:space="0"/>
              <w:right w:val="single" w:color="auto" w:sz="4" w:space="0"/>
            </w:tcBorders>
            <w:vAlign w:val="center"/>
          </w:tcPr>
          <w:p w14:paraId="6DC428C7">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195D4D50">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412台</w:t>
            </w:r>
          </w:p>
        </w:tc>
        <w:tc>
          <w:tcPr>
            <w:tcW w:w="1276" w:type="dxa"/>
            <w:tcBorders>
              <w:top w:val="single" w:color="auto" w:sz="4" w:space="0"/>
              <w:left w:val="single" w:color="auto" w:sz="4" w:space="0"/>
              <w:bottom w:val="single" w:color="auto" w:sz="4" w:space="0"/>
              <w:right w:val="single" w:color="auto" w:sz="4" w:space="0"/>
            </w:tcBorders>
            <w:vAlign w:val="center"/>
          </w:tcPr>
          <w:p w14:paraId="2B6BA2A5">
            <w:pPr>
              <w:ind w:left="-147" w:leftChars="-67" w:right="-73" w:rightChars="-33"/>
              <w:jc w:val="center"/>
              <w:rPr>
                <w:rFonts w:hint="eastAsia" w:ascii="宋体" w:hAnsi="宋体" w:eastAsia="宋体" w:cs="宋体"/>
                <w:color w:val="auto"/>
                <w:sz w:val="24"/>
                <w:szCs w:val="24"/>
                <w:highlight w:val="none"/>
              </w:rPr>
            </w:pPr>
          </w:p>
        </w:tc>
      </w:tr>
      <w:tr w14:paraId="53BB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552DA90F">
            <w:pPr>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六、培训</w:t>
            </w:r>
          </w:p>
        </w:tc>
      </w:tr>
      <w:tr w14:paraId="0CC6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5B084D21">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096" w:type="dxa"/>
            <w:tcBorders>
              <w:top w:val="single" w:color="auto" w:sz="4" w:space="0"/>
              <w:left w:val="single" w:color="auto" w:sz="4" w:space="0"/>
              <w:bottom w:val="single" w:color="auto" w:sz="4" w:space="0"/>
              <w:right w:val="single" w:color="auto" w:sz="4" w:space="0"/>
            </w:tcBorders>
            <w:vAlign w:val="center"/>
          </w:tcPr>
          <w:p w14:paraId="6883E3C5">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培训</w:t>
            </w:r>
          </w:p>
        </w:tc>
        <w:tc>
          <w:tcPr>
            <w:tcW w:w="4006" w:type="dxa"/>
            <w:tcBorders>
              <w:top w:val="single" w:color="auto" w:sz="4" w:space="0"/>
              <w:left w:val="single" w:color="auto" w:sz="4" w:space="0"/>
              <w:bottom w:val="single" w:color="auto" w:sz="4" w:space="0"/>
              <w:right w:val="single" w:color="auto" w:sz="4" w:space="0"/>
            </w:tcBorders>
            <w:vAlign w:val="center"/>
          </w:tcPr>
          <w:p w14:paraId="26C5F547">
            <w:pPr>
              <w:numPr>
                <w:ilvl w:val="0"/>
                <w:numId w:val="8"/>
              </w:numPr>
              <w:tabs>
                <w:tab w:val="left" w:pos="312"/>
              </w:tabs>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每年组织两次对所有警报器管理人员的培训；</w:t>
            </w:r>
          </w:p>
          <w:p w14:paraId="135F702D">
            <w:pPr>
              <w:numPr>
                <w:ilvl w:val="0"/>
                <w:numId w:val="8"/>
              </w:numPr>
              <w:tabs>
                <w:tab w:val="left" w:pos="312"/>
              </w:tabs>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警报设备和播控软件操作技术指导；</w:t>
            </w:r>
          </w:p>
          <w:p w14:paraId="4F5F177C">
            <w:pPr>
              <w:numPr>
                <w:ilvl w:val="0"/>
                <w:numId w:val="8"/>
              </w:numPr>
              <w:tabs>
                <w:tab w:val="left" w:pos="312"/>
              </w:tabs>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警报设备常规维修维护技术指导；</w:t>
            </w:r>
          </w:p>
        </w:tc>
        <w:tc>
          <w:tcPr>
            <w:tcW w:w="709" w:type="dxa"/>
            <w:tcBorders>
              <w:top w:val="single" w:color="auto" w:sz="4" w:space="0"/>
              <w:left w:val="single" w:color="auto" w:sz="4" w:space="0"/>
              <w:bottom w:val="single" w:color="auto" w:sz="4" w:space="0"/>
              <w:right w:val="single" w:color="auto" w:sz="4" w:space="0"/>
            </w:tcBorders>
            <w:vAlign w:val="center"/>
          </w:tcPr>
          <w:p w14:paraId="0E14BF2D">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4CF6CDA1">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w:t>
            </w:r>
          </w:p>
        </w:tc>
        <w:tc>
          <w:tcPr>
            <w:tcW w:w="1276" w:type="dxa"/>
            <w:tcBorders>
              <w:top w:val="single" w:color="auto" w:sz="4" w:space="0"/>
              <w:left w:val="single" w:color="auto" w:sz="4" w:space="0"/>
              <w:bottom w:val="single" w:color="auto" w:sz="4" w:space="0"/>
              <w:right w:val="single" w:color="auto" w:sz="4" w:space="0"/>
            </w:tcBorders>
            <w:vAlign w:val="center"/>
          </w:tcPr>
          <w:p w14:paraId="333B80BE">
            <w:pPr>
              <w:jc w:val="center"/>
              <w:rPr>
                <w:rFonts w:hint="eastAsia" w:ascii="宋体" w:hAnsi="宋体" w:eastAsia="宋体" w:cs="宋体"/>
                <w:color w:val="auto"/>
                <w:sz w:val="24"/>
                <w:szCs w:val="24"/>
                <w:highlight w:val="none"/>
              </w:rPr>
            </w:pPr>
          </w:p>
        </w:tc>
      </w:tr>
      <w:tr w14:paraId="1508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07" w:type="dxa"/>
            <w:gridSpan w:val="6"/>
            <w:tcBorders>
              <w:top w:val="single" w:color="auto" w:sz="4" w:space="0"/>
              <w:left w:val="single" w:color="auto" w:sz="4" w:space="0"/>
              <w:bottom w:val="single" w:color="auto" w:sz="4" w:space="0"/>
              <w:right w:val="single" w:color="auto" w:sz="4" w:space="0"/>
            </w:tcBorders>
            <w:vAlign w:val="center"/>
          </w:tcPr>
          <w:p w14:paraId="3E8F2842">
            <w:pPr>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七、警报试鸣保障</w:t>
            </w:r>
          </w:p>
        </w:tc>
      </w:tr>
      <w:tr w14:paraId="7FF6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tcBorders>
              <w:top w:val="single" w:color="auto" w:sz="4" w:space="0"/>
              <w:left w:val="single" w:color="auto" w:sz="4" w:space="0"/>
              <w:bottom w:val="single" w:color="auto" w:sz="4" w:space="0"/>
              <w:right w:val="single" w:color="auto" w:sz="4" w:space="0"/>
            </w:tcBorders>
            <w:vAlign w:val="center"/>
          </w:tcPr>
          <w:p w14:paraId="763AD953">
            <w:pPr>
              <w:ind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096" w:type="dxa"/>
            <w:tcBorders>
              <w:top w:val="single" w:color="auto" w:sz="4" w:space="0"/>
              <w:left w:val="single" w:color="auto" w:sz="4" w:space="0"/>
              <w:bottom w:val="single" w:color="auto" w:sz="4" w:space="0"/>
              <w:right w:val="single" w:color="auto" w:sz="4" w:space="0"/>
            </w:tcBorders>
            <w:vAlign w:val="center"/>
          </w:tcPr>
          <w:p w14:paraId="4AB03206">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w:t>
            </w:r>
          </w:p>
          <w:p w14:paraId="647BE72B">
            <w:pPr>
              <w:widowControl/>
              <w:adjustRightIn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试鸣保障</w:t>
            </w:r>
          </w:p>
        </w:tc>
        <w:tc>
          <w:tcPr>
            <w:tcW w:w="4006" w:type="dxa"/>
            <w:tcBorders>
              <w:top w:val="single" w:color="auto" w:sz="4" w:space="0"/>
              <w:left w:val="single" w:color="auto" w:sz="4" w:space="0"/>
              <w:bottom w:val="single" w:color="auto" w:sz="4" w:space="0"/>
              <w:right w:val="single" w:color="auto" w:sz="4" w:space="0"/>
            </w:tcBorders>
            <w:vAlign w:val="center"/>
          </w:tcPr>
          <w:p w14:paraId="00605868">
            <w:pPr>
              <w:numPr>
                <w:ilvl w:val="0"/>
                <w:numId w:val="9"/>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对警报器每年两次的试鸣保障；</w:t>
            </w:r>
          </w:p>
          <w:p w14:paraId="0B2C43F5">
            <w:pPr>
              <w:numPr>
                <w:ilvl w:val="0"/>
                <w:numId w:val="9"/>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对人防不定期组织的演练进行现场保障；</w:t>
            </w:r>
          </w:p>
          <w:p w14:paraId="3C37CDFF">
            <w:pPr>
              <w:numPr>
                <w:ilvl w:val="0"/>
                <w:numId w:val="9"/>
              </w:num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对突发情况下临时的警报试鸣任务进行保障；</w:t>
            </w:r>
          </w:p>
        </w:tc>
        <w:tc>
          <w:tcPr>
            <w:tcW w:w="709" w:type="dxa"/>
            <w:tcBorders>
              <w:top w:val="single" w:color="auto" w:sz="4" w:space="0"/>
              <w:left w:val="single" w:color="auto" w:sz="4" w:space="0"/>
              <w:bottom w:val="single" w:color="auto" w:sz="4" w:space="0"/>
              <w:right w:val="single" w:color="auto" w:sz="4" w:space="0"/>
            </w:tcBorders>
            <w:vAlign w:val="center"/>
          </w:tcPr>
          <w:p w14:paraId="43E67623">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7B4EE458">
            <w:pPr>
              <w:ind w:left="-147" w:leftChars="-67" w:right="-73" w:rightChars="-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w:t>
            </w:r>
          </w:p>
        </w:tc>
        <w:tc>
          <w:tcPr>
            <w:tcW w:w="1276" w:type="dxa"/>
            <w:tcBorders>
              <w:top w:val="single" w:color="auto" w:sz="4" w:space="0"/>
              <w:left w:val="single" w:color="auto" w:sz="4" w:space="0"/>
              <w:bottom w:val="single" w:color="auto" w:sz="4" w:space="0"/>
              <w:right w:val="single" w:color="auto" w:sz="4" w:space="0"/>
            </w:tcBorders>
            <w:vAlign w:val="center"/>
          </w:tcPr>
          <w:p w14:paraId="1C9AF6B0">
            <w:pPr>
              <w:jc w:val="center"/>
              <w:rPr>
                <w:rFonts w:hint="eastAsia" w:ascii="宋体" w:hAnsi="宋体" w:eastAsia="宋体" w:cs="宋体"/>
                <w:color w:val="auto"/>
                <w:sz w:val="24"/>
                <w:szCs w:val="24"/>
                <w:highlight w:val="none"/>
              </w:rPr>
            </w:pPr>
          </w:p>
        </w:tc>
      </w:tr>
    </w:tbl>
    <w:p w14:paraId="2CF3BAF9">
      <w:pPr>
        <w:tabs>
          <w:tab w:val="left" w:pos="1440"/>
        </w:tabs>
        <w:spacing w:line="360" w:lineRule="auto"/>
        <w:ind w:firstLine="482" w:firstLineChars="200"/>
        <w:jc w:val="left"/>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（五）费用说明</w:t>
      </w:r>
    </w:p>
    <w:p w14:paraId="1D58B601">
      <w:pPr>
        <w:widowControl/>
        <w:shd w:val="clear" w:color="auto" w:fill="FFFFFF"/>
        <w:spacing w:line="360" w:lineRule="auto"/>
        <w:ind w:firstLine="370"/>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1、本次招标的预算金额（或最高限价）</w:t>
      </w:r>
      <w:r>
        <w:rPr>
          <w:rFonts w:hint="eastAsia" w:ascii="Arial" w:hAnsi="Arial" w:eastAsia="宋体" w:cs="Arial"/>
          <w:color w:val="auto"/>
          <w:spacing w:val="8"/>
          <w:sz w:val="24"/>
          <w:szCs w:val="24"/>
          <w:highlight w:val="none"/>
        </w:rPr>
        <w:t>为人民币【80】万元</w:t>
      </w:r>
      <w:r>
        <w:rPr>
          <w:rFonts w:hint="eastAsia" w:ascii="Arial" w:hAnsi="Arial" w:eastAsia="宋体" w:cs="Arial"/>
          <w:color w:val="auto"/>
          <w:spacing w:val="8"/>
          <w:sz w:val="24"/>
          <w:szCs w:val="24"/>
          <w:highlight w:val="none"/>
        </w:rPr>
        <w:t>，该预算仅针对“巡检维护服务”的固定费用。</w:t>
      </w:r>
    </w:p>
    <w:p w14:paraId="6F4B0C24">
      <w:pPr>
        <w:widowControl/>
        <w:shd w:val="clear" w:color="auto" w:fill="FFFFFF"/>
        <w:spacing w:line="360" w:lineRule="auto"/>
        <w:ind w:firstLine="512" w:firstLineChars="200"/>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2、针对合同履行中可能发生的“维修服务费”（包含合理的人工、车辆费、配件费、机械费等），其费用未包含在本次招标预算内，将根据招标文件附件1“备品备件价格清单”中单价及实际发生的维修工作量，按实结算</w:t>
      </w:r>
      <w:r>
        <w:rPr>
          <w:rFonts w:hint="eastAsia" w:ascii="Arial" w:hAnsi="Arial" w:eastAsia="宋体" w:cs="Arial"/>
          <w:color w:val="auto"/>
          <w:spacing w:val="8"/>
          <w:sz w:val="24"/>
          <w:szCs w:val="24"/>
          <w:highlight w:val="none"/>
          <w:lang w:eastAsia="zh-CN"/>
        </w:rPr>
        <w:t>，</w:t>
      </w:r>
      <w:r>
        <w:rPr>
          <w:rFonts w:hint="eastAsia" w:ascii="Arial" w:hAnsi="Arial" w:eastAsia="宋体" w:cs="Arial"/>
          <w:color w:val="auto"/>
          <w:spacing w:val="8"/>
          <w:sz w:val="24"/>
          <w:szCs w:val="24"/>
          <w:highlight w:val="none"/>
        </w:rPr>
        <w:t>每次维修记录需经维修点警报设备维管员签字确认且维修设备能持续正常工作【30】日以后，方可作为一次完整的维修记录结算维修服务费。</w:t>
      </w:r>
    </w:p>
    <w:p w14:paraId="2D1DC1BB">
      <w:pPr>
        <w:widowControl/>
        <w:shd w:val="clear" w:color="auto" w:fill="FFFFFF"/>
        <w:spacing w:line="360" w:lineRule="auto"/>
        <w:ind w:firstLine="512" w:firstLineChars="200"/>
        <w:rPr>
          <w:rFonts w:ascii="Arial" w:hAnsi="Arial" w:eastAsia="宋体" w:cs="Arial"/>
          <w:color w:val="auto"/>
          <w:spacing w:val="8"/>
          <w:sz w:val="24"/>
          <w:szCs w:val="24"/>
          <w:highlight w:val="none"/>
        </w:rPr>
      </w:pPr>
      <w:r>
        <w:rPr>
          <w:rFonts w:hint="eastAsia" w:ascii="Arial" w:hAnsi="Arial" w:eastAsia="宋体" w:cs="Arial"/>
          <w:color w:val="auto"/>
          <w:spacing w:val="8"/>
          <w:sz w:val="24"/>
          <w:szCs w:val="24"/>
          <w:highlight w:val="none"/>
        </w:rPr>
        <w:t>维修服务费以季度为单元结算。供应商按周期提交结算申请，待采购人审核完毕且双方对结算金额共同确认后，予以支付。</w:t>
      </w:r>
    </w:p>
    <w:p w14:paraId="699DF820">
      <w:pPr>
        <w:tabs>
          <w:tab w:val="left" w:pos="1440"/>
        </w:tabs>
        <w:spacing w:line="360" w:lineRule="auto"/>
        <w:ind w:firstLine="482" w:firstLineChars="200"/>
        <w:jc w:val="left"/>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（六）质保要求</w:t>
      </w:r>
    </w:p>
    <w:p w14:paraId="33CE1126">
      <w:pPr>
        <w:widowControl/>
        <w:shd w:val="clear" w:color="auto" w:fill="FFFFFF"/>
        <w:spacing w:line="360" w:lineRule="auto"/>
        <w:ind w:firstLine="370"/>
        <w:rPr>
          <w:rFonts w:ascii="宋体" w:hAnsi="宋体" w:eastAsia="宋体" w:cs="宋体"/>
          <w:b/>
          <w:color w:val="auto"/>
          <w:sz w:val="24"/>
          <w:szCs w:val="24"/>
          <w:highlight w:val="none"/>
        </w:rPr>
      </w:pPr>
      <w:r>
        <w:rPr>
          <w:rFonts w:hint="eastAsia" w:ascii="Arial" w:hAnsi="Arial" w:eastAsia="宋体" w:cs="Arial"/>
          <w:color w:val="auto"/>
          <w:spacing w:val="8"/>
          <w:sz w:val="24"/>
          <w:szCs w:val="24"/>
          <w:highlight w:val="none"/>
        </w:rPr>
        <w:t>维修更换的配件，技术、功能等不得低于附件要求，不得影响项目整体性能的实现。质保1年（易损件1年），自维修更换签字确认日起，开始进入质保期。</w:t>
      </w:r>
    </w:p>
    <w:p w14:paraId="783FF1D3">
      <w:pPr>
        <w:pStyle w:val="2"/>
        <w:jc w:val="center"/>
        <w:rPr>
          <w:rFonts w:hint="eastAsia"/>
          <w:color w:val="auto"/>
          <w:highlight w:val="none"/>
        </w:rPr>
      </w:pPr>
    </w:p>
    <w:p w14:paraId="5BD31E6B">
      <w:pPr>
        <w:pStyle w:val="2"/>
        <w:jc w:val="center"/>
        <w:rPr>
          <w:rFonts w:hint="eastAsia"/>
          <w:color w:val="auto"/>
          <w:highlight w:val="none"/>
        </w:rPr>
      </w:pPr>
    </w:p>
    <w:p w14:paraId="3ED21B3C">
      <w:pPr>
        <w:pStyle w:val="2"/>
        <w:jc w:val="center"/>
        <w:rPr>
          <w:rFonts w:hint="eastAsia"/>
          <w:color w:val="auto"/>
          <w:highlight w:val="none"/>
        </w:rPr>
      </w:pPr>
    </w:p>
    <w:p w14:paraId="4C97F396">
      <w:pPr>
        <w:pStyle w:val="2"/>
        <w:jc w:val="center"/>
        <w:rPr>
          <w:rFonts w:hint="eastAsia"/>
          <w:color w:val="auto"/>
          <w:highlight w:val="none"/>
        </w:rPr>
      </w:pPr>
    </w:p>
    <w:p w14:paraId="5E88D082">
      <w:pPr>
        <w:pStyle w:val="2"/>
        <w:jc w:val="center"/>
        <w:rPr>
          <w:rFonts w:hint="eastAsia"/>
          <w:color w:val="auto"/>
          <w:highlight w:val="none"/>
        </w:rPr>
      </w:pPr>
    </w:p>
    <w:p w14:paraId="521E97B3">
      <w:pPr>
        <w:pStyle w:val="2"/>
        <w:jc w:val="center"/>
        <w:rPr>
          <w:rFonts w:hint="eastAsia"/>
          <w:color w:val="auto"/>
          <w:highlight w:val="none"/>
        </w:rPr>
      </w:pPr>
    </w:p>
    <w:p w14:paraId="5BD8D0F9">
      <w:pPr>
        <w:pStyle w:val="2"/>
        <w:jc w:val="center"/>
        <w:rPr>
          <w:rFonts w:hint="eastAsia"/>
          <w:color w:val="auto"/>
          <w:highlight w:val="none"/>
        </w:rPr>
      </w:pPr>
    </w:p>
    <w:p w14:paraId="24569601">
      <w:pPr>
        <w:pStyle w:val="2"/>
        <w:jc w:val="center"/>
        <w:rPr>
          <w:color w:val="auto"/>
          <w:highlight w:val="none"/>
        </w:rPr>
      </w:pPr>
      <w:r>
        <w:rPr>
          <w:rFonts w:hint="eastAsia"/>
          <w:color w:val="auto"/>
          <w:highlight w:val="none"/>
        </w:rPr>
        <w:t>二、附件1 备品备件价格清单</w:t>
      </w:r>
    </w:p>
    <w:p w14:paraId="28C55E36">
      <w:pPr>
        <w:jc w:val="left"/>
        <w:rPr>
          <w:rFonts w:hint="eastAsia" w:ascii="宋体" w:hAnsi="宋体" w:eastAsia="宋体" w:cs="宋体"/>
          <w:b/>
          <w:bCs/>
          <w:color w:val="auto"/>
          <w:sz w:val="24"/>
          <w:szCs w:val="24"/>
          <w:highlight w:val="none"/>
        </w:rPr>
      </w:pPr>
      <w:bookmarkStart w:id="50" w:name="_Hlk219709505"/>
      <w:r>
        <w:rPr>
          <w:rFonts w:hint="eastAsia" w:ascii="宋体" w:hAnsi="宋体" w:eastAsia="宋体" w:cs="宋体"/>
          <w:b/>
          <w:bCs/>
          <w:color w:val="auto"/>
          <w:sz w:val="24"/>
          <w:szCs w:val="24"/>
          <w:highlight w:val="none"/>
        </w:rPr>
        <w:t>备品备件价格清单</w:t>
      </w:r>
    </w:p>
    <w:bookmarkEnd w:id="50"/>
    <w:p w14:paraId="36BBF9C9">
      <w:pPr>
        <w:jc w:val="left"/>
        <w:rPr>
          <w:rFonts w:hint="eastAsia" w:ascii="宋体" w:hAnsi="宋体" w:eastAsia="宋体" w:cs="宋体"/>
          <w:b/>
          <w:bCs/>
          <w:color w:val="auto"/>
          <w:sz w:val="24"/>
          <w:szCs w:val="24"/>
          <w:highlight w:val="none"/>
        </w:rPr>
      </w:pPr>
    </w:p>
    <w:tbl>
      <w:tblPr>
        <w:tblStyle w:val="21"/>
        <w:tblW w:w="10189"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190"/>
        <w:gridCol w:w="72"/>
        <w:gridCol w:w="5502"/>
        <w:gridCol w:w="1186"/>
        <w:gridCol w:w="1476"/>
      </w:tblGrid>
      <w:tr w14:paraId="6133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0189" w:type="dxa"/>
            <w:gridSpan w:val="6"/>
            <w:vAlign w:val="center"/>
          </w:tcPr>
          <w:p w14:paraId="646A6863">
            <w:pPr>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一、电声警报一体机相关配件</w:t>
            </w:r>
          </w:p>
        </w:tc>
      </w:tr>
      <w:tr w14:paraId="31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63" w:type="dxa"/>
            <w:vAlign w:val="center"/>
          </w:tcPr>
          <w:p w14:paraId="1190089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62" w:type="dxa"/>
            <w:gridSpan w:val="2"/>
            <w:vAlign w:val="center"/>
          </w:tcPr>
          <w:p w14:paraId="5DA6621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配件名称</w:t>
            </w:r>
          </w:p>
        </w:tc>
        <w:tc>
          <w:tcPr>
            <w:tcW w:w="5502" w:type="dxa"/>
            <w:vAlign w:val="center"/>
          </w:tcPr>
          <w:p w14:paraId="530E195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技术性能</w:t>
            </w:r>
          </w:p>
        </w:tc>
        <w:tc>
          <w:tcPr>
            <w:tcW w:w="1186" w:type="dxa"/>
            <w:vAlign w:val="center"/>
          </w:tcPr>
          <w:p w14:paraId="5EF0258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故障率</w:t>
            </w:r>
          </w:p>
        </w:tc>
        <w:tc>
          <w:tcPr>
            <w:tcW w:w="1476" w:type="dxa"/>
            <w:vAlign w:val="center"/>
          </w:tcPr>
          <w:p w14:paraId="3DDBB77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r>
      <w:tr w14:paraId="234D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4A9F48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62" w:type="dxa"/>
            <w:gridSpan w:val="2"/>
            <w:shd w:val="clear" w:color="auto" w:fill="FFFFFF"/>
            <w:vAlign w:val="center"/>
          </w:tcPr>
          <w:p w14:paraId="47174A6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数字电台</w:t>
            </w:r>
          </w:p>
        </w:tc>
        <w:tc>
          <w:tcPr>
            <w:tcW w:w="5502" w:type="dxa"/>
          </w:tcPr>
          <w:p w14:paraId="638DCC9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符合《人民防空警报控制系统用抗干扰无线数字传输单元通用规范》（RFHB 05-2014）要求，兼容现有警报控制系统。技术要求：</w:t>
            </w:r>
          </w:p>
          <w:p w14:paraId="51EFD7F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1.频率范围：国家人防办规定的最新频点</w:t>
            </w:r>
          </w:p>
          <w:p w14:paraId="793DD1C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2.信道间隔：12.5kHz</w:t>
            </w:r>
          </w:p>
          <w:p w14:paraId="53A5F3C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3.调制方式：4FSK、TFSK带内扩频</w:t>
            </w:r>
          </w:p>
          <w:p w14:paraId="2086A29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4.多址方式：FDMA或两时隙TDMA</w:t>
            </w:r>
          </w:p>
          <w:p w14:paraId="6819422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5.数据速率：2400bit/s、1200bit/s、600bit/s、300bit/s、150bit/s自适应</w:t>
            </w:r>
          </w:p>
          <w:p w14:paraId="2C0B488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6.音频范围：300Hz～3000Hz</w:t>
            </w:r>
          </w:p>
          <w:p w14:paraId="47E9462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7.音频阻抗：600Ω</w:t>
            </w:r>
          </w:p>
          <w:p w14:paraId="5B34C5A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8.数字灵敏度：≤-123dBm(600bps，丢包率为5×10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p w14:paraId="128F1A5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9.抗同频干扰：≥3dB(600bps，丢包率为5×10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p w14:paraId="16F3504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10.抗单频干扰性：≥3dB(600bps,丢包率为5×10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p w14:paraId="0F5C971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11.抗白噪声性：≥3dB(600bps,丢包率为5×10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tc>
        <w:tc>
          <w:tcPr>
            <w:tcW w:w="1186" w:type="dxa"/>
            <w:vAlign w:val="center"/>
          </w:tcPr>
          <w:p w14:paraId="6E1DA75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02A8DDB1">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4000</w:t>
            </w:r>
          </w:p>
        </w:tc>
      </w:tr>
      <w:tr w14:paraId="253D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153CA4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62" w:type="dxa"/>
            <w:gridSpan w:val="2"/>
            <w:shd w:val="clear" w:color="auto" w:fill="FFFFFF"/>
            <w:vAlign w:val="center"/>
          </w:tcPr>
          <w:p w14:paraId="36851C8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开关电源</w:t>
            </w:r>
          </w:p>
        </w:tc>
        <w:tc>
          <w:tcPr>
            <w:tcW w:w="5502" w:type="dxa"/>
            <w:vAlign w:val="center"/>
          </w:tcPr>
          <w:p w14:paraId="2BA3589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一体机功放电源，功率1100w，输出65v直流</w:t>
            </w:r>
          </w:p>
        </w:tc>
        <w:tc>
          <w:tcPr>
            <w:tcW w:w="1186" w:type="dxa"/>
            <w:vAlign w:val="center"/>
          </w:tcPr>
          <w:p w14:paraId="348B00A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53A6134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1370</w:t>
            </w:r>
          </w:p>
        </w:tc>
      </w:tr>
      <w:tr w14:paraId="0F6E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118395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62" w:type="dxa"/>
            <w:gridSpan w:val="2"/>
            <w:shd w:val="clear" w:color="auto" w:fill="FFFFFF"/>
            <w:vAlign w:val="center"/>
          </w:tcPr>
          <w:p w14:paraId="295BCC4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开关电源</w:t>
            </w:r>
          </w:p>
        </w:tc>
        <w:tc>
          <w:tcPr>
            <w:tcW w:w="5502" w:type="dxa"/>
            <w:vAlign w:val="center"/>
          </w:tcPr>
          <w:p w14:paraId="41B81F8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功率350w，输出12v直流</w:t>
            </w:r>
          </w:p>
        </w:tc>
        <w:tc>
          <w:tcPr>
            <w:tcW w:w="1186" w:type="dxa"/>
            <w:vAlign w:val="center"/>
          </w:tcPr>
          <w:p w14:paraId="4F9D405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EB98D49">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635</w:t>
            </w:r>
          </w:p>
        </w:tc>
      </w:tr>
      <w:tr w14:paraId="746F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EFE9E7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62" w:type="dxa"/>
            <w:gridSpan w:val="2"/>
            <w:shd w:val="clear" w:color="auto" w:fill="FFFFFF"/>
            <w:vAlign w:val="center"/>
          </w:tcPr>
          <w:p w14:paraId="5913267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开关电源</w:t>
            </w:r>
          </w:p>
        </w:tc>
        <w:tc>
          <w:tcPr>
            <w:tcW w:w="5502" w:type="dxa"/>
            <w:vAlign w:val="center"/>
          </w:tcPr>
          <w:p w14:paraId="4EB82D4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功率150w，输出12v直流</w:t>
            </w:r>
          </w:p>
        </w:tc>
        <w:tc>
          <w:tcPr>
            <w:tcW w:w="1186" w:type="dxa"/>
            <w:vAlign w:val="center"/>
          </w:tcPr>
          <w:p w14:paraId="0AAEBD0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6C96E8D8">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3C92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86E5C4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62" w:type="dxa"/>
            <w:gridSpan w:val="2"/>
            <w:shd w:val="clear" w:color="auto" w:fill="FFFFFF"/>
            <w:vAlign w:val="center"/>
          </w:tcPr>
          <w:p w14:paraId="3CD6AAB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开关电源</w:t>
            </w:r>
          </w:p>
        </w:tc>
        <w:tc>
          <w:tcPr>
            <w:tcW w:w="5502" w:type="dxa"/>
            <w:vAlign w:val="center"/>
          </w:tcPr>
          <w:p w14:paraId="125F2A3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功率15w，输出12v直流</w:t>
            </w:r>
          </w:p>
        </w:tc>
        <w:tc>
          <w:tcPr>
            <w:tcW w:w="1186" w:type="dxa"/>
            <w:vAlign w:val="center"/>
          </w:tcPr>
          <w:p w14:paraId="67E402C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14B9B5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215</w:t>
            </w:r>
          </w:p>
        </w:tc>
      </w:tr>
      <w:tr w14:paraId="5A1D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91685F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62" w:type="dxa"/>
            <w:gridSpan w:val="2"/>
            <w:shd w:val="clear" w:color="auto" w:fill="FFFFFF"/>
            <w:vAlign w:val="center"/>
          </w:tcPr>
          <w:p w14:paraId="201D3A3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开关电源</w:t>
            </w:r>
          </w:p>
        </w:tc>
        <w:tc>
          <w:tcPr>
            <w:tcW w:w="5502" w:type="dxa"/>
            <w:vAlign w:val="center"/>
          </w:tcPr>
          <w:p w14:paraId="1C4FAE7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功率500w，输出12v直流</w:t>
            </w:r>
          </w:p>
        </w:tc>
        <w:tc>
          <w:tcPr>
            <w:tcW w:w="1186" w:type="dxa"/>
            <w:vAlign w:val="center"/>
          </w:tcPr>
          <w:p w14:paraId="37E40A0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2628F3B">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1580</w:t>
            </w:r>
          </w:p>
        </w:tc>
      </w:tr>
      <w:tr w14:paraId="5AD4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E1A044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62" w:type="dxa"/>
            <w:gridSpan w:val="2"/>
            <w:shd w:val="clear" w:color="auto" w:fill="FFFFFF"/>
            <w:vAlign w:val="center"/>
          </w:tcPr>
          <w:p w14:paraId="07227CD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大功率DC-DC直流转换器</w:t>
            </w:r>
          </w:p>
        </w:tc>
        <w:tc>
          <w:tcPr>
            <w:tcW w:w="5502" w:type="dxa"/>
            <w:vAlign w:val="center"/>
          </w:tcPr>
          <w:p w14:paraId="511B4F2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48v直流转12v直流</w:t>
            </w:r>
          </w:p>
        </w:tc>
        <w:tc>
          <w:tcPr>
            <w:tcW w:w="1186" w:type="dxa"/>
            <w:vAlign w:val="center"/>
          </w:tcPr>
          <w:p w14:paraId="1FB8038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716C17A6">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215</w:t>
            </w:r>
          </w:p>
        </w:tc>
      </w:tr>
      <w:tr w14:paraId="01D2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9832CD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62" w:type="dxa"/>
            <w:gridSpan w:val="2"/>
            <w:shd w:val="clear" w:color="auto" w:fill="FFFFFF"/>
            <w:vAlign w:val="center"/>
          </w:tcPr>
          <w:p w14:paraId="585C104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功放</w:t>
            </w:r>
          </w:p>
        </w:tc>
        <w:tc>
          <w:tcPr>
            <w:tcW w:w="5502" w:type="dxa"/>
            <w:vAlign w:val="center"/>
          </w:tcPr>
          <w:p w14:paraId="5EE8EA9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300w功放</w:t>
            </w:r>
          </w:p>
        </w:tc>
        <w:tc>
          <w:tcPr>
            <w:tcW w:w="1186" w:type="dxa"/>
            <w:vAlign w:val="center"/>
          </w:tcPr>
          <w:p w14:paraId="287BFC7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792479D">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685</w:t>
            </w:r>
          </w:p>
        </w:tc>
      </w:tr>
      <w:tr w14:paraId="7859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5B0B02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262" w:type="dxa"/>
            <w:gridSpan w:val="2"/>
            <w:vAlign w:val="center"/>
          </w:tcPr>
          <w:p w14:paraId="166249A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功放</w:t>
            </w:r>
          </w:p>
        </w:tc>
        <w:tc>
          <w:tcPr>
            <w:tcW w:w="5502" w:type="dxa"/>
            <w:vAlign w:val="center"/>
          </w:tcPr>
          <w:p w14:paraId="53B107F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500w功放</w:t>
            </w:r>
          </w:p>
        </w:tc>
        <w:tc>
          <w:tcPr>
            <w:tcW w:w="1186" w:type="dxa"/>
            <w:vAlign w:val="center"/>
          </w:tcPr>
          <w:p w14:paraId="498AE5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7093FCE6">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1055</w:t>
            </w:r>
          </w:p>
        </w:tc>
      </w:tr>
      <w:tr w14:paraId="6BA7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F8E63D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262" w:type="dxa"/>
            <w:gridSpan w:val="2"/>
            <w:shd w:val="clear" w:color="auto" w:fill="FFFFFF"/>
            <w:vAlign w:val="center"/>
          </w:tcPr>
          <w:p w14:paraId="0498039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交流接触器</w:t>
            </w:r>
          </w:p>
        </w:tc>
        <w:tc>
          <w:tcPr>
            <w:tcW w:w="5502" w:type="dxa"/>
            <w:vAlign w:val="center"/>
          </w:tcPr>
          <w:p w14:paraId="56CEC0A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额定工作电流32A，1组常开辅助触点，220V控制</w:t>
            </w:r>
          </w:p>
        </w:tc>
        <w:tc>
          <w:tcPr>
            <w:tcW w:w="1186" w:type="dxa"/>
            <w:vAlign w:val="center"/>
          </w:tcPr>
          <w:p w14:paraId="54C27A3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43D8B514">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160</w:t>
            </w:r>
          </w:p>
        </w:tc>
      </w:tr>
      <w:tr w14:paraId="1ECA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6C75B6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262" w:type="dxa"/>
            <w:gridSpan w:val="2"/>
            <w:vAlign w:val="center"/>
          </w:tcPr>
          <w:p w14:paraId="79096D4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液晶</w:t>
            </w:r>
          </w:p>
        </w:tc>
        <w:tc>
          <w:tcPr>
            <w:tcW w:w="5502" w:type="dxa"/>
            <w:vAlign w:val="center"/>
          </w:tcPr>
          <w:p w14:paraId="79B2433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一体机液晶显示屏</w:t>
            </w:r>
          </w:p>
        </w:tc>
        <w:tc>
          <w:tcPr>
            <w:tcW w:w="1186" w:type="dxa"/>
          </w:tcPr>
          <w:p w14:paraId="46C969B9">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7E9C8D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2F9F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3C791C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262" w:type="dxa"/>
            <w:gridSpan w:val="2"/>
            <w:shd w:val="clear" w:color="auto" w:fill="FFFFFF"/>
            <w:vAlign w:val="center"/>
          </w:tcPr>
          <w:p w14:paraId="2A31614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传感器</w:t>
            </w:r>
          </w:p>
        </w:tc>
        <w:tc>
          <w:tcPr>
            <w:tcW w:w="5502" w:type="dxa"/>
            <w:vAlign w:val="center"/>
          </w:tcPr>
          <w:p w14:paraId="436CD72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将被测信号转换成电流或电压信号</w:t>
            </w:r>
          </w:p>
        </w:tc>
        <w:tc>
          <w:tcPr>
            <w:tcW w:w="1186" w:type="dxa"/>
            <w:vAlign w:val="center"/>
          </w:tcPr>
          <w:p w14:paraId="4186B3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6793E404">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65</w:t>
            </w:r>
          </w:p>
        </w:tc>
      </w:tr>
      <w:tr w14:paraId="0F4B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CC6B6B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262" w:type="dxa"/>
            <w:gridSpan w:val="2"/>
            <w:shd w:val="clear" w:color="auto" w:fill="FFFFFF"/>
            <w:vAlign w:val="center"/>
          </w:tcPr>
          <w:p w14:paraId="3E5B3D0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线路板（防误鸣检测板）</w:t>
            </w:r>
          </w:p>
        </w:tc>
        <w:tc>
          <w:tcPr>
            <w:tcW w:w="5502" w:type="dxa"/>
            <w:vAlign w:val="center"/>
          </w:tcPr>
          <w:p w14:paraId="4D410D2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检测与控制误鸣信息</w:t>
            </w:r>
          </w:p>
        </w:tc>
        <w:tc>
          <w:tcPr>
            <w:tcW w:w="1186" w:type="dxa"/>
            <w:vAlign w:val="center"/>
          </w:tcPr>
          <w:p w14:paraId="53A1B82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7E229219">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1580</w:t>
            </w:r>
          </w:p>
        </w:tc>
      </w:tr>
      <w:tr w14:paraId="69C5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6090EC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262" w:type="dxa"/>
            <w:gridSpan w:val="2"/>
            <w:vAlign w:val="center"/>
          </w:tcPr>
          <w:p w14:paraId="0489134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线路板（解闭锁&amp;鸣警按键板）</w:t>
            </w:r>
          </w:p>
        </w:tc>
        <w:tc>
          <w:tcPr>
            <w:tcW w:w="5502" w:type="dxa"/>
            <w:vAlign w:val="center"/>
          </w:tcPr>
          <w:p w14:paraId="19B577F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用于中央站按键板配合使用</w:t>
            </w:r>
          </w:p>
        </w:tc>
        <w:tc>
          <w:tcPr>
            <w:tcW w:w="1186" w:type="dxa"/>
            <w:vAlign w:val="center"/>
          </w:tcPr>
          <w:p w14:paraId="61C80B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260E1D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275</w:t>
            </w:r>
          </w:p>
        </w:tc>
      </w:tr>
      <w:tr w14:paraId="7170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C41B2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262" w:type="dxa"/>
            <w:gridSpan w:val="2"/>
            <w:shd w:val="clear" w:color="auto" w:fill="FFFFFF"/>
            <w:vAlign w:val="center"/>
          </w:tcPr>
          <w:p w14:paraId="5F5C84D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线路板（一体机长按键板）</w:t>
            </w:r>
          </w:p>
        </w:tc>
        <w:tc>
          <w:tcPr>
            <w:tcW w:w="5502" w:type="dxa"/>
            <w:vAlign w:val="center"/>
          </w:tcPr>
          <w:p w14:paraId="7B6123E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一体机使用的按键板</w:t>
            </w:r>
          </w:p>
        </w:tc>
        <w:tc>
          <w:tcPr>
            <w:tcW w:w="1186" w:type="dxa"/>
            <w:vAlign w:val="center"/>
          </w:tcPr>
          <w:p w14:paraId="58ABB2D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DF9564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71D3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30BDEA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262" w:type="dxa"/>
            <w:gridSpan w:val="2"/>
            <w:shd w:val="clear" w:color="auto" w:fill="FFFFFF"/>
            <w:vAlign w:val="center"/>
          </w:tcPr>
          <w:p w14:paraId="7969591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线路板（信道选择按键板）</w:t>
            </w:r>
          </w:p>
        </w:tc>
        <w:tc>
          <w:tcPr>
            <w:tcW w:w="5502" w:type="dxa"/>
            <w:vAlign w:val="center"/>
          </w:tcPr>
          <w:p w14:paraId="598C094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用于信道的切换</w:t>
            </w:r>
          </w:p>
        </w:tc>
        <w:tc>
          <w:tcPr>
            <w:tcW w:w="1186" w:type="dxa"/>
            <w:vAlign w:val="center"/>
          </w:tcPr>
          <w:p w14:paraId="6C4C904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047E96E">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160</w:t>
            </w:r>
          </w:p>
        </w:tc>
      </w:tr>
      <w:tr w14:paraId="266B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6F4D03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262" w:type="dxa"/>
            <w:gridSpan w:val="2"/>
            <w:shd w:val="clear" w:color="auto" w:fill="FFFFFF"/>
            <w:vAlign w:val="center"/>
          </w:tcPr>
          <w:p w14:paraId="38E5DEE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线路板（main板）</w:t>
            </w:r>
          </w:p>
        </w:tc>
        <w:tc>
          <w:tcPr>
            <w:tcW w:w="5502" w:type="dxa"/>
            <w:shd w:val="clear" w:color="auto" w:fill="FFFFFF"/>
            <w:vAlign w:val="center"/>
          </w:tcPr>
          <w:p w14:paraId="65A5DBF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一体机使用的侧面控制板</w:t>
            </w:r>
          </w:p>
        </w:tc>
        <w:tc>
          <w:tcPr>
            <w:tcW w:w="1186" w:type="dxa"/>
            <w:vAlign w:val="center"/>
          </w:tcPr>
          <w:p w14:paraId="26F5C4C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3D8B5C9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3160</w:t>
            </w:r>
          </w:p>
        </w:tc>
      </w:tr>
      <w:tr w14:paraId="4934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192ADF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262" w:type="dxa"/>
            <w:gridSpan w:val="2"/>
            <w:shd w:val="clear" w:color="auto" w:fill="FFFFFF"/>
            <w:vAlign w:val="center"/>
          </w:tcPr>
          <w:p w14:paraId="43288D0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线路板（一体机扩音接口板）</w:t>
            </w:r>
          </w:p>
        </w:tc>
        <w:tc>
          <w:tcPr>
            <w:tcW w:w="5502" w:type="dxa"/>
            <w:vAlign w:val="center"/>
          </w:tcPr>
          <w:p w14:paraId="05B8585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一体机中用于话筒音量线路等控制板</w:t>
            </w:r>
          </w:p>
        </w:tc>
        <w:tc>
          <w:tcPr>
            <w:tcW w:w="1186" w:type="dxa"/>
            <w:vAlign w:val="center"/>
          </w:tcPr>
          <w:p w14:paraId="0C22881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23CB4C1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110</w:t>
            </w:r>
          </w:p>
        </w:tc>
      </w:tr>
      <w:tr w14:paraId="0080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C0F680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262" w:type="dxa"/>
            <w:gridSpan w:val="2"/>
            <w:shd w:val="clear" w:color="auto" w:fill="FFFFFF"/>
            <w:vAlign w:val="center"/>
          </w:tcPr>
          <w:p w14:paraId="2615A6F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线路板（DC-DC转换板）</w:t>
            </w:r>
          </w:p>
        </w:tc>
        <w:tc>
          <w:tcPr>
            <w:tcW w:w="5502" w:type="dxa"/>
            <w:vAlign w:val="center"/>
          </w:tcPr>
          <w:p w14:paraId="27B1FE0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48v和12v的保护板</w:t>
            </w:r>
          </w:p>
        </w:tc>
        <w:tc>
          <w:tcPr>
            <w:tcW w:w="1186" w:type="dxa"/>
            <w:vAlign w:val="center"/>
          </w:tcPr>
          <w:p w14:paraId="726C5A1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1CA147A">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160</w:t>
            </w:r>
          </w:p>
        </w:tc>
      </w:tr>
      <w:tr w14:paraId="4DFF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B2C29E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262" w:type="dxa"/>
            <w:gridSpan w:val="2"/>
            <w:shd w:val="clear" w:color="auto" w:fill="FFFFFF"/>
            <w:vAlign w:val="center"/>
          </w:tcPr>
          <w:p w14:paraId="48513D8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线路板（power板）</w:t>
            </w:r>
          </w:p>
        </w:tc>
        <w:tc>
          <w:tcPr>
            <w:tcW w:w="5502" w:type="dxa"/>
            <w:vAlign w:val="center"/>
          </w:tcPr>
          <w:p w14:paraId="6FB2D7A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用于一体机中功放的输入控制等</w:t>
            </w:r>
          </w:p>
        </w:tc>
        <w:tc>
          <w:tcPr>
            <w:tcW w:w="1186" w:type="dxa"/>
            <w:vAlign w:val="center"/>
          </w:tcPr>
          <w:p w14:paraId="3B074F6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227DC51D">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3160</w:t>
            </w:r>
          </w:p>
        </w:tc>
      </w:tr>
      <w:tr w14:paraId="6353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2C9E72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262" w:type="dxa"/>
            <w:gridSpan w:val="2"/>
            <w:shd w:val="clear" w:color="auto" w:fill="FFFFFF"/>
            <w:vAlign w:val="center"/>
          </w:tcPr>
          <w:p w14:paraId="76B623A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线路板（交流检测板，即将作废）</w:t>
            </w:r>
          </w:p>
        </w:tc>
        <w:tc>
          <w:tcPr>
            <w:tcW w:w="5502" w:type="dxa"/>
            <w:vAlign w:val="center"/>
          </w:tcPr>
          <w:p w14:paraId="44829F0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检测交直流信号</w:t>
            </w:r>
          </w:p>
        </w:tc>
        <w:tc>
          <w:tcPr>
            <w:tcW w:w="1186" w:type="dxa"/>
            <w:vAlign w:val="center"/>
          </w:tcPr>
          <w:p w14:paraId="621A9B0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1BAB8E2">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38B3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547BEF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262" w:type="dxa"/>
            <w:gridSpan w:val="2"/>
            <w:shd w:val="clear" w:color="auto" w:fill="FFFFFF"/>
            <w:vAlign w:val="center"/>
          </w:tcPr>
          <w:p w14:paraId="7C74AA5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线路板（日精/数字电台主板）</w:t>
            </w:r>
          </w:p>
        </w:tc>
        <w:tc>
          <w:tcPr>
            <w:tcW w:w="5502" w:type="dxa"/>
            <w:vAlign w:val="center"/>
          </w:tcPr>
          <w:p w14:paraId="22B8C64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警报控制主板</w:t>
            </w:r>
          </w:p>
        </w:tc>
        <w:tc>
          <w:tcPr>
            <w:tcW w:w="1186" w:type="dxa"/>
            <w:vAlign w:val="center"/>
          </w:tcPr>
          <w:p w14:paraId="259C05B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6D92EDA1">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2635</w:t>
            </w:r>
          </w:p>
        </w:tc>
      </w:tr>
      <w:tr w14:paraId="336D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9B706B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262" w:type="dxa"/>
            <w:gridSpan w:val="2"/>
            <w:shd w:val="clear" w:color="auto" w:fill="FFFFFF"/>
            <w:vAlign w:val="center"/>
          </w:tcPr>
          <w:p w14:paraId="0D89EA7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线路板（手咪接口板）</w:t>
            </w:r>
          </w:p>
        </w:tc>
        <w:tc>
          <w:tcPr>
            <w:tcW w:w="5502" w:type="dxa"/>
            <w:vAlign w:val="center"/>
          </w:tcPr>
          <w:p w14:paraId="7EF5538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用于接手咪的控制板</w:t>
            </w:r>
          </w:p>
        </w:tc>
        <w:tc>
          <w:tcPr>
            <w:tcW w:w="1186" w:type="dxa"/>
            <w:vAlign w:val="center"/>
          </w:tcPr>
          <w:p w14:paraId="2491B8D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056CA11E">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215</w:t>
            </w:r>
          </w:p>
        </w:tc>
      </w:tr>
      <w:tr w14:paraId="238C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343D82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262" w:type="dxa"/>
            <w:gridSpan w:val="2"/>
            <w:shd w:val="clear" w:color="auto" w:fill="FFFFFF"/>
            <w:vAlign w:val="center"/>
          </w:tcPr>
          <w:p w14:paraId="2CC8583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线路板（数字电台接口板）</w:t>
            </w:r>
          </w:p>
        </w:tc>
        <w:tc>
          <w:tcPr>
            <w:tcW w:w="5502" w:type="dxa"/>
            <w:vAlign w:val="center"/>
          </w:tcPr>
          <w:p w14:paraId="1CEDF09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电台数据线的转接板 </w:t>
            </w:r>
          </w:p>
        </w:tc>
        <w:tc>
          <w:tcPr>
            <w:tcW w:w="1186" w:type="dxa"/>
            <w:vAlign w:val="center"/>
          </w:tcPr>
          <w:p w14:paraId="6F3438F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17AEAB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50</w:t>
            </w:r>
          </w:p>
        </w:tc>
      </w:tr>
      <w:tr w14:paraId="0FA2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F5A720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262" w:type="dxa"/>
            <w:gridSpan w:val="2"/>
            <w:shd w:val="clear" w:color="auto" w:fill="FFFFFF"/>
            <w:vAlign w:val="center"/>
          </w:tcPr>
          <w:p w14:paraId="2BD44BA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线路板（控制器用按键）</w:t>
            </w:r>
          </w:p>
        </w:tc>
        <w:tc>
          <w:tcPr>
            <w:tcW w:w="5502" w:type="dxa"/>
            <w:vAlign w:val="center"/>
          </w:tcPr>
          <w:p w14:paraId="0A66535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控制器的按键板</w:t>
            </w:r>
          </w:p>
        </w:tc>
        <w:tc>
          <w:tcPr>
            <w:tcW w:w="1186" w:type="dxa"/>
          </w:tcPr>
          <w:p w14:paraId="12979051">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B881BE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215</w:t>
            </w:r>
          </w:p>
        </w:tc>
      </w:tr>
      <w:tr w14:paraId="2A2F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F5DD55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262" w:type="dxa"/>
            <w:gridSpan w:val="2"/>
            <w:shd w:val="clear" w:color="auto" w:fill="FFFFFF"/>
            <w:vAlign w:val="center"/>
          </w:tcPr>
          <w:p w14:paraId="7DCD684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线路板（交流直流供电转换板）</w:t>
            </w:r>
          </w:p>
        </w:tc>
        <w:tc>
          <w:tcPr>
            <w:tcW w:w="5502" w:type="dxa"/>
            <w:vAlign w:val="center"/>
          </w:tcPr>
          <w:p w14:paraId="4C27571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控制器中电源对面的直流分配板</w:t>
            </w:r>
          </w:p>
        </w:tc>
        <w:tc>
          <w:tcPr>
            <w:tcW w:w="1186" w:type="dxa"/>
            <w:vAlign w:val="center"/>
          </w:tcPr>
          <w:p w14:paraId="1C46119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76" w:type="dxa"/>
            <w:vAlign w:val="center"/>
          </w:tcPr>
          <w:p w14:paraId="471C77D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3F1F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B6256F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262" w:type="dxa"/>
            <w:gridSpan w:val="2"/>
            <w:shd w:val="clear" w:color="auto" w:fill="FFFFFF"/>
            <w:vAlign w:val="center"/>
          </w:tcPr>
          <w:p w14:paraId="36B02BD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线路板（200M主板）</w:t>
            </w:r>
          </w:p>
        </w:tc>
        <w:tc>
          <w:tcPr>
            <w:tcW w:w="5502" w:type="dxa"/>
            <w:shd w:val="clear" w:color="auto" w:fill="FFFFFF"/>
            <w:vAlign w:val="center"/>
          </w:tcPr>
          <w:p w14:paraId="1F8F6BD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负责接口协议处理，网络管理以及警报控制。控制主板一方面要对数字电台传输信令进行解析分析、信号处理，另一方面对警报器动作进行逻辑判断、诊断检测故障。</w:t>
            </w:r>
          </w:p>
        </w:tc>
        <w:tc>
          <w:tcPr>
            <w:tcW w:w="1186" w:type="dxa"/>
            <w:vAlign w:val="center"/>
          </w:tcPr>
          <w:p w14:paraId="5C28030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shd w:val="clear" w:color="auto" w:fill="FFFFFF"/>
            <w:vAlign w:val="center"/>
          </w:tcPr>
          <w:p w14:paraId="0609C03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2635</w:t>
            </w:r>
          </w:p>
        </w:tc>
      </w:tr>
      <w:tr w14:paraId="5912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7364C8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262" w:type="dxa"/>
            <w:gridSpan w:val="2"/>
            <w:shd w:val="clear" w:color="auto" w:fill="FFFFFF"/>
            <w:vAlign w:val="center"/>
          </w:tcPr>
          <w:p w14:paraId="69234DB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线路板（电声改造板）</w:t>
            </w:r>
          </w:p>
        </w:tc>
        <w:tc>
          <w:tcPr>
            <w:tcW w:w="5502" w:type="dxa"/>
            <w:shd w:val="clear" w:color="auto" w:fill="FFFFFF"/>
            <w:vAlign w:val="center"/>
          </w:tcPr>
          <w:p w14:paraId="0A68F11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用于改造其它类设备的转接口</w:t>
            </w:r>
          </w:p>
        </w:tc>
        <w:tc>
          <w:tcPr>
            <w:tcW w:w="1186" w:type="dxa"/>
            <w:vAlign w:val="center"/>
          </w:tcPr>
          <w:p w14:paraId="76F6057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573CF86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1580</w:t>
            </w:r>
          </w:p>
        </w:tc>
      </w:tr>
      <w:tr w14:paraId="77D7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40F914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262" w:type="dxa"/>
            <w:gridSpan w:val="2"/>
            <w:shd w:val="clear" w:color="auto" w:fill="FFFFFF"/>
            <w:vAlign w:val="center"/>
          </w:tcPr>
          <w:p w14:paraId="54455B7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线路板（交流检测板）</w:t>
            </w:r>
          </w:p>
        </w:tc>
        <w:tc>
          <w:tcPr>
            <w:tcW w:w="5502" w:type="dxa"/>
            <w:vAlign w:val="center"/>
          </w:tcPr>
          <w:p w14:paraId="03D3863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用于交流信号检测</w:t>
            </w:r>
          </w:p>
        </w:tc>
        <w:tc>
          <w:tcPr>
            <w:tcW w:w="1186" w:type="dxa"/>
            <w:vAlign w:val="center"/>
          </w:tcPr>
          <w:p w14:paraId="64D050C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26B7E4F8">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16B1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D41CBF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262" w:type="dxa"/>
            <w:gridSpan w:val="2"/>
            <w:shd w:val="clear" w:color="auto" w:fill="FFFFFF"/>
            <w:vAlign w:val="center"/>
          </w:tcPr>
          <w:p w14:paraId="503B36E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线路板（老防误鸣板）</w:t>
            </w:r>
          </w:p>
        </w:tc>
        <w:tc>
          <w:tcPr>
            <w:tcW w:w="5502" w:type="dxa"/>
            <w:shd w:val="clear" w:color="auto" w:fill="FFFFFF"/>
            <w:vAlign w:val="center"/>
          </w:tcPr>
          <w:p w14:paraId="0AB6D44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防误鸣检测板</w:t>
            </w:r>
          </w:p>
        </w:tc>
        <w:tc>
          <w:tcPr>
            <w:tcW w:w="1186" w:type="dxa"/>
            <w:vAlign w:val="center"/>
          </w:tcPr>
          <w:p w14:paraId="22FB5C4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200FBC2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2D2C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2B8837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262" w:type="dxa"/>
            <w:gridSpan w:val="2"/>
            <w:vAlign w:val="center"/>
          </w:tcPr>
          <w:p w14:paraId="3B9730B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线路板（继电器底座）</w:t>
            </w:r>
          </w:p>
        </w:tc>
        <w:tc>
          <w:tcPr>
            <w:tcW w:w="5502" w:type="dxa"/>
            <w:vAlign w:val="center"/>
          </w:tcPr>
          <w:p w14:paraId="323390F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直流部分白色继电器控制板</w:t>
            </w:r>
          </w:p>
        </w:tc>
        <w:tc>
          <w:tcPr>
            <w:tcW w:w="1186" w:type="dxa"/>
            <w:vAlign w:val="center"/>
          </w:tcPr>
          <w:p w14:paraId="7F4D93C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E2ADB4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50</w:t>
            </w:r>
          </w:p>
        </w:tc>
      </w:tr>
      <w:tr w14:paraId="66EB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84043C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262" w:type="dxa"/>
            <w:gridSpan w:val="2"/>
            <w:shd w:val="clear" w:color="auto" w:fill="FFFFFF"/>
            <w:vAlign w:val="center"/>
          </w:tcPr>
          <w:p w14:paraId="747497F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w:t>
            </w:r>
          </w:p>
        </w:tc>
        <w:tc>
          <w:tcPr>
            <w:tcW w:w="5502" w:type="dxa"/>
            <w:shd w:val="clear" w:color="auto" w:fill="FFFFFF"/>
            <w:vAlign w:val="center"/>
          </w:tcPr>
          <w:p w14:paraId="37F779F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SYV-50-5，纯铜同轴电缆，阻抗50Ω</w:t>
            </w:r>
          </w:p>
        </w:tc>
        <w:tc>
          <w:tcPr>
            <w:tcW w:w="1186" w:type="dxa"/>
            <w:vAlign w:val="center"/>
          </w:tcPr>
          <w:p w14:paraId="2C0E9CE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shd w:val="clear" w:color="auto" w:fill="FFFFFF"/>
            <w:vAlign w:val="center"/>
          </w:tcPr>
          <w:p w14:paraId="47A6D94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w:t>
            </w:r>
          </w:p>
        </w:tc>
      </w:tr>
      <w:tr w14:paraId="6743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3DF174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262" w:type="dxa"/>
            <w:gridSpan w:val="2"/>
            <w:shd w:val="clear" w:color="auto" w:fill="FFFFFF"/>
            <w:vAlign w:val="center"/>
          </w:tcPr>
          <w:p w14:paraId="508C99B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w:t>
            </w:r>
          </w:p>
        </w:tc>
        <w:tc>
          <w:tcPr>
            <w:tcW w:w="5502" w:type="dxa"/>
            <w:shd w:val="clear" w:color="auto" w:fill="FFFFFF"/>
            <w:vAlign w:val="center"/>
          </w:tcPr>
          <w:p w14:paraId="3CF0FD3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SYV-50-7，纯铜同轴电缆，阻抗50Ω</w:t>
            </w:r>
          </w:p>
        </w:tc>
        <w:tc>
          <w:tcPr>
            <w:tcW w:w="1186" w:type="dxa"/>
            <w:vAlign w:val="center"/>
          </w:tcPr>
          <w:p w14:paraId="042FA9C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3391465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22</w:t>
            </w:r>
          </w:p>
        </w:tc>
      </w:tr>
      <w:tr w14:paraId="0999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608C8F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262" w:type="dxa"/>
            <w:gridSpan w:val="2"/>
            <w:shd w:val="clear" w:color="auto" w:fill="FFFFFF"/>
            <w:vAlign w:val="center"/>
          </w:tcPr>
          <w:p w14:paraId="0A11913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w:t>
            </w:r>
          </w:p>
        </w:tc>
        <w:tc>
          <w:tcPr>
            <w:tcW w:w="5502" w:type="dxa"/>
            <w:shd w:val="clear" w:color="auto" w:fill="FFFFFF"/>
            <w:vAlign w:val="center"/>
          </w:tcPr>
          <w:p w14:paraId="5EFD497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SYV-50-9，纯铜同轴电缆，阻抗50Ω</w:t>
            </w:r>
          </w:p>
        </w:tc>
        <w:tc>
          <w:tcPr>
            <w:tcW w:w="1186" w:type="dxa"/>
            <w:vAlign w:val="center"/>
          </w:tcPr>
          <w:p w14:paraId="35F7590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6D20423A">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30</w:t>
            </w:r>
          </w:p>
        </w:tc>
      </w:tr>
      <w:tr w14:paraId="776D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7328F6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1262" w:type="dxa"/>
            <w:gridSpan w:val="2"/>
            <w:shd w:val="clear" w:color="auto" w:fill="FFFFFF"/>
            <w:vAlign w:val="center"/>
          </w:tcPr>
          <w:p w14:paraId="19B4BB9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馈线接头</w:t>
            </w:r>
          </w:p>
        </w:tc>
        <w:tc>
          <w:tcPr>
            <w:tcW w:w="5502" w:type="dxa"/>
            <w:shd w:val="clear" w:color="auto" w:fill="FFFFFF"/>
            <w:vAlign w:val="center"/>
          </w:tcPr>
          <w:p w14:paraId="458C45E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同轴电缆接头，粗针-5，阻抗50Ω</w:t>
            </w:r>
          </w:p>
        </w:tc>
        <w:tc>
          <w:tcPr>
            <w:tcW w:w="1186" w:type="dxa"/>
            <w:vAlign w:val="center"/>
          </w:tcPr>
          <w:p w14:paraId="31635AE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shd w:val="clear" w:color="auto" w:fill="FFFFFF"/>
            <w:vAlign w:val="center"/>
          </w:tcPr>
          <w:p w14:paraId="4BA44164">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w:t>
            </w:r>
          </w:p>
        </w:tc>
      </w:tr>
      <w:tr w14:paraId="225E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B02402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1262" w:type="dxa"/>
            <w:gridSpan w:val="2"/>
            <w:shd w:val="clear" w:color="auto" w:fill="FFFFFF"/>
            <w:vAlign w:val="center"/>
          </w:tcPr>
          <w:p w14:paraId="6063D13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馈线接头</w:t>
            </w:r>
          </w:p>
        </w:tc>
        <w:tc>
          <w:tcPr>
            <w:tcW w:w="5502" w:type="dxa"/>
            <w:shd w:val="clear" w:color="auto" w:fill="FFFFFF"/>
            <w:vAlign w:val="center"/>
          </w:tcPr>
          <w:p w14:paraId="705D010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同轴电缆接头，粗针-7，阻抗50Ω</w:t>
            </w:r>
          </w:p>
        </w:tc>
        <w:tc>
          <w:tcPr>
            <w:tcW w:w="1186" w:type="dxa"/>
            <w:vAlign w:val="center"/>
          </w:tcPr>
          <w:p w14:paraId="3AFDDE5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shd w:val="clear" w:color="auto" w:fill="FFFFFF"/>
            <w:vAlign w:val="center"/>
          </w:tcPr>
          <w:p w14:paraId="38474CE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22</w:t>
            </w:r>
          </w:p>
        </w:tc>
      </w:tr>
      <w:tr w14:paraId="1CBE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E4869B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1262" w:type="dxa"/>
            <w:gridSpan w:val="2"/>
            <w:shd w:val="clear" w:color="auto" w:fill="FFFFFF"/>
            <w:vAlign w:val="center"/>
          </w:tcPr>
          <w:p w14:paraId="0B0CD6F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馈线接头</w:t>
            </w:r>
          </w:p>
        </w:tc>
        <w:tc>
          <w:tcPr>
            <w:tcW w:w="5502" w:type="dxa"/>
            <w:shd w:val="clear" w:color="auto" w:fill="FFFFFF"/>
            <w:vAlign w:val="center"/>
          </w:tcPr>
          <w:p w14:paraId="06A0A0A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同轴电缆接头，粗针-9，阻抗50Ω</w:t>
            </w:r>
          </w:p>
        </w:tc>
        <w:tc>
          <w:tcPr>
            <w:tcW w:w="1186" w:type="dxa"/>
            <w:vAlign w:val="center"/>
          </w:tcPr>
          <w:p w14:paraId="5B3EBF2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shd w:val="clear" w:color="auto" w:fill="FFFFFF"/>
            <w:vAlign w:val="center"/>
          </w:tcPr>
          <w:p w14:paraId="1137979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22</w:t>
            </w:r>
          </w:p>
        </w:tc>
      </w:tr>
      <w:tr w14:paraId="1084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06D187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1262" w:type="dxa"/>
            <w:gridSpan w:val="2"/>
            <w:shd w:val="clear" w:color="auto" w:fill="FFFFFF"/>
            <w:vAlign w:val="center"/>
          </w:tcPr>
          <w:p w14:paraId="5450C13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馈线接头</w:t>
            </w:r>
          </w:p>
        </w:tc>
        <w:tc>
          <w:tcPr>
            <w:tcW w:w="5502" w:type="dxa"/>
            <w:shd w:val="clear" w:color="auto" w:fill="FFFFFF"/>
            <w:vAlign w:val="center"/>
          </w:tcPr>
          <w:p w14:paraId="3910F3A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同轴电缆接头，细针-5，阻抗50Ω</w:t>
            </w:r>
          </w:p>
        </w:tc>
        <w:tc>
          <w:tcPr>
            <w:tcW w:w="1186" w:type="dxa"/>
            <w:vAlign w:val="center"/>
          </w:tcPr>
          <w:p w14:paraId="5A5F5E7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17B832E2">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w:t>
            </w:r>
          </w:p>
        </w:tc>
      </w:tr>
      <w:tr w14:paraId="0DE1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045011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1262" w:type="dxa"/>
            <w:gridSpan w:val="2"/>
            <w:shd w:val="clear" w:color="auto" w:fill="FFFFFF"/>
            <w:vAlign w:val="center"/>
          </w:tcPr>
          <w:p w14:paraId="0248B2D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馈线接头</w:t>
            </w:r>
          </w:p>
        </w:tc>
        <w:tc>
          <w:tcPr>
            <w:tcW w:w="5502" w:type="dxa"/>
            <w:shd w:val="clear" w:color="auto" w:fill="FFFFFF"/>
            <w:vAlign w:val="center"/>
          </w:tcPr>
          <w:p w14:paraId="3A00CA6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同轴电缆接头，细针-7，阻抗50Ω</w:t>
            </w:r>
          </w:p>
        </w:tc>
        <w:tc>
          <w:tcPr>
            <w:tcW w:w="1186" w:type="dxa"/>
            <w:vAlign w:val="center"/>
          </w:tcPr>
          <w:p w14:paraId="4B60A5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55BB4F6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22</w:t>
            </w:r>
          </w:p>
        </w:tc>
      </w:tr>
      <w:tr w14:paraId="5F2A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A75CC1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262" w:type="dxa"/>
            <w:gridSpan w:val="2"/>
            <w:shd w:val="clear" w:color="auto" w:fill="FFFFFF"/>
            <w:vAlign w:val="center"/>
          </w:tcPr>
          <w:p w14:paraId="34223FE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馈线接头</w:t>
            </w:r>
          </w:p>
        </w:tc>
        <w:tc>
          <w:tcPr>
            <w:tcW w:w="5502" w:type="dxa"/>
            <w:shd w:val="clear" w:color="auto" w:fill="FFFFFF"/>
            <w:vAlign w:val="center"/>
          </w:tcPr>
          <w:p w14:paraId="20FB573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同轴电缆接头，细针-9，阻抗50Ω</w:t>
            </w:r>
          </w:p>
        </w:tc>
        <w:tc>
          <w:tcPr>
            <w:tcW w:w="1186" w:type="dxa"/>
            <w:vAlign w:val="center"/>
          </w:tcPr>
          <w:p w14:paraId="654CC27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4CCC92D6">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22</w:t>
            </w:r>
          </w:p>
        </w:tc>
      </w:tr>
      <w:tr w14:paraId="713E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B2EBF3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1262" w:type="dxa"/>
            <w:gridSpan w:val="2"/>
            <w:shd w:val="clear" w:color="auto" w:fill="FFFFFF"/>
            <w:vAlign w:val="center"/>
          </w:tcPr>
          <w:p w14:paraId="7B6AF26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02" w:type="dxa"/>
            <w:shd w:val="clear" w:color="auto" w:fill="FFFFFF"/>
            <w:vAlign w:val="center"/>
          </w:tcPr>
          <w:p w14:paraId="50E24DA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玻璃钢天线，频率范围220-240 MHZ，全向增益3.5db，垂直极化，长度约1.2M</w:t>
            </w:r>
          </w:p>
        </w:tc>
        <w:tc>
          <w:tcPr>
            <w:tcW w:w="1186" w:type="dxa"/>
            <w:vAlign w:val="center"/>
          </w:tcPr>
          <w:p w14:paraId="14C90F3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shd w:val="clear" w:color="auto" w:fill="FFFFFF"/>
            <w:vAlign w:val="center"/>
          </w:tcPr>
          <w:p w14:paraId="0058FF1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318E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55427A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1262" w:type="dxa"/>
            <w:gridSpan w:val="2"/>
            <w:shd w:val="clear" w:color="auto" w:fill="FFFFFF"/>
            <w:vAlign w:val="center"/>
          </w:tcPr>
          <w:p w14:paraId="0882C5E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02" w:type="dxa"/>
            <w:shd w:val="clear" w:color="auto" w:fill="FFFFFF"/>
            <w:vAlign w:val="center"/>
          </w:tcPr>
          <w:p w14:paraId="1BF00A2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玻璃钢天线，频率范围450-465 MHZ，全向增益3.5db，垂直极化，长度约1.2M</w:t>
            </w:r>
          </w:p>
        </w:tc>
        <w:tc>
          <w:tcPr>
            <w:tcW w:w="1186" w:type="dxa"/>
            <w:vAlign w:val="center"/>
          </w:tcPr>
          <w:p w14:paraId="62C1AFE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shd w:val="clear" w:color="auto" w:fill="FFFFFF"/>
            <w:vAlign w:val="center"/>
          </w:tcPr>
          <w:p w14:paraId="3B867D9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091F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46A539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1262" w:type="dxa"/>
            <w:gridSpan w:val="2"/>
            <w:shd w:val="clear" w:color="auto" w:fill="FFFFFF"/>
            <w:vAlign w:val="center"/>
          </w:tcPr>
          <w:p w14:paraId="6E15483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02" w:type="dxa"/>
            <w:vAlign w:val="center"/>
          </w:tcPr>
          <w:p w14:paraId="4180D5C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吸盘天线，频率范围220-240  MHZ，全向增益5.5db，垂直极化，长度约1.2M</w:t>
            </w:r>
          </w:p>
        </w:tc>
        <w:tc>
          <w:tcPr>
            <w:tcW w:w="1186" w:type="dxa"/>
            <w:vAlign w:val="center"/>
          </w:tcPr>
          <w:p w14:paraId="06950A2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1EB461FA">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7631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629508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1262" w:type="dxa"/>
            <w:gridSpan w:val="2"/>
            <w:shd w:val="clear" w:color="auto" w:fill="FFFFFF"/>
            <w:vAlign w:val="center"/>
          </w:tcPr>
          <w:p w14:paraId="4A023A3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02" w:type="dxa"/>
            <w:shd w:val="clear" w:color="auto" w:fill="FFFFFF"/>
            <w:vAlign w:val="center"/>
          </w:tcPr>
          <w:p w14:paraId="527FD8D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吸盘天线，频率范围450-465MHZ，全向增益5.5db，垂直极化，长度约1M</w:t>
            </w:r>
          </w:p>
        </w:tc>
        <w:tc>
          <w:tcPr>
            <w:tcW w:w="1186" w:type="dxa"/>
            <w:vAlign w:val="center"/>
          </w:tcPr>
          <w:p w14:paraId="0DADDAC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shd w:val="clear" w:color="auto" w:fill="FFFFFF"/>
            <w:vAlign w:val="center"/>
          </w:tcPr>
          <w:p w14:paraId="61AE48F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1D2C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1DC834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1262" w:type="dxa"/>
            <w:gridSpan w:val="2"/>
            <w:shd w:val="clear" w:color="auto" w:fill="FFFFFF"/>
            <w:vAlign w:val="center"/>
          </w:tcPr>
          <w:p w14:paraId="63A45EB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02" w:type="dxa"/>
            <w:vAlign w:val="center"/>
          </w:tcPr>
          <w:p w14:paraId="33D2168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玻璃钢天线，含卡口，频率范围220-240 MHZ，全向增益3.5db，垂直极化，长度约1M</w:t>
            </w:r>
          </w:p>
        </w:tc>
        <w:tc>
          <w:tcPr>
            <w:tcW w:w="1186" w:type="dxa"/>
            <w:vAlign w:val="center"/>
          </w:tcPr>
          <w:p w14:paraId="1DB70B8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476" w:type="dxa"/>
            <w:vAlign w:val="center"/>
          </w:tcPr>
          <w:p w14:paraId="1242867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311E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690762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1262" w:type="dxa"/>
            <w:gridSpan w:val="2"/>
            <w:shd w:val="clear" w:color="auto" w:fill="FFFFFF"/>
            <w:vAlign w:val="center"/>
          </w:tcPr>
          <w:p w14:paraId="7F11350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02" w:type="dxa"/>
            <w:shd w:val="clear" w:color="auto" w:fill="FFFFFF"/>
            <w:vAlign w:val="center"/>
          </w:tcPr>
          <w:p w14:paraId="522CCB6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定向天线，频率范围220-240MHZ，定向增益9db，垂直或水平极化，长度约1M</w:t>
            </w:r>
          </w:p>
        </w:tc>
        <w:tc>
          <w:tcPr>
            <w:tcW w:w="1186" w:type="dxa"/>
            <w:vAlign w:val="center"/>
          </w:tcPr>
          <w:p w14:paraId="1B83F12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2FC8457B">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635</w:t>
            </w:r>
          </w:p>
        </w:tc>
      </w:tr>
      <w:tr w14:paraId="3385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4CA766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1262" w:type="dxa"/>
            <w:gridSpan w:val="2"/>
            <w:shd w:val="clear" w:color="auto" w:fill="FFFFFF"/>
            <w:vAlign w:val="center"/>
          </w:tcPr>
          <w:p w14:paraId="162E7CE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四环阵天线</w:t>
            </w:r>
          </w:p>
        </w:tc>
        <w:tc>
          <w:tcPr>
            <w:tcW w:w="5502" w:type="dxa"/>
            <w:vAlign w:val="center"/>
          </w:tcPr>
          <w:p w14:paraId="107B930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四环阵天线，频率范围：220MHz-240MHz；增益：全向9dBi，定向12dBi；驻波比：≤1.5；标称阻抗：50Ω；极化方式：垂直</w:t>
            </w:r>
          </w:p>
        </w:tc>
        <w:tc>
          <w:tcPr>
            <w:tcW w:w="1186" w:type="dxa"/>
            <w:vAlign w:val="center"/>
          </w:tcPr>
          <w:p w14:paraId="6FC326F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2CBB966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1265</w:t>
            </w:r>
          </w:p>
        </w:tc>
      </w:tr>
      <w:tr w14:paraId="302E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30541B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1262" w:type="dxa"/>
            <w:gridSpan w:val="2"/>
            <w:shd w:val="clear" w:color="auto" w:fill="FFFFFF"/>
            <w:vAlign w:val="center"/>
          </w:tcPr>
          <w:p w14:paraId="1BB6EAD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八环阵天线</w:t>
            </w:r>
          </w:p>
        </w:tc>
        <w:tc>
          <w:tcPr>
            <w:tcW w:w="5502" w:type="dxa"/>
            <w:vAlign w:val="center"/>
          </w:tcPr>
          <w:p w14:paraId="535B058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八环阵天线，频率范围220-240MHZ，全向增益12db、定向增益15db，垂直极化</w:t>
            </w:r>
          </w:p>
        </w:tc>
        <w:tc>
          <w:tcPr>
            <w:tcW w:w="1186" w:type="dxa"/>
            <w:vAlign w:val="center"/>
          </w:tcPr>
          <w:p w14:paraId="65EFEF5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0BD107B">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2320</w:t>
            </w:r>
          </w:p>
        </w:tc>
      </w:tr>
      <w:tr w14:paraId="2CBE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04AC28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1262" w:type="dxa"/>
            <w:gridSpan w:val="2"/>
            <w:vAlign w:val="center"/>
          </w:tcPr>
          <w:p w14:paraId="7F16EAB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15米馈线</w:t>
            </w:r>
          </w:p>
        </w:tc>
        <w:tc>
          <w:tcPr>
            <w:tcW w:w="5502" w:type="dxa"/>
            <w:vAlign w:val="center"/>
          </w:tcPr>
          <w:p w14:paraId="2D36AD8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SYV-50-5，纯铜同轴电缆，阻抗50Ω</w:t>
            </w:r>
          </w:p>
        </w:tc>
        <w:tc>
          <w:tcPr>
            <w:tcW w:w="1186" w:type="dxa"/>
            <w:vAlign w:val="center"/>
          </w:tcPr>
          <w:p w14:paraId="25AB8EB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18F2D04">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240</w:t>
            </w:r>
          </w:p>
        </w:tc>
      </w:tr>
      <w:tr w14:paraId="6498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1118F8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1262" w:type="dxa"/>
            <w:gridSpan w:val="2"/>
            <w:vAlign w:val="center"/>
          </w:tcPr>
          <w:p w14:paraId="09BB039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天线支架</w:t>
            </w:r>
          </w:p>
        </w:tc>
        <w:tc>
          <w:tcPr>
            <w:tcW w:w="5502" w:type="dxa"/>
            <w:vAlign w:val="center"/>
          </w:tcPr>
          <w:p w14:paraId="66853C0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玻璃钢天线固定支架</w:t>
            </w:r>
          </w:p>
        </w:tc>
        <w:tc>
          <w:tcPr>
            <w:tcW w:w="1186" w:type="dxa"/>
            <w:vAlign w:val="center"/>
          </w:tcPr>
          <w:p w14:paraId="205D9F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476" w:type="dxa"/>
            <w:vAlign w:val="center"/>
          </w:tcPr>
          <w:p w14:paraId="42AF929B">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1BA0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81D484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262" w:type="dxa"/>
            <w:gridSpan w:val="2"/>
            <w:vAlign w:val="center"/>
          </w:tcPr>
          <w:p w14:paraId="5669D4B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号角扬声器</w:t>
            </w:r>
          </w:p>
        </w:tc>
        <w:tc>
          <w:tcPr>
            <w:tcW w:w="5502" w:type="dxa"/>
            <w:vAlign w:val="center"/>
          </w:tcPr>
          <w:p w14:paraId="3512F21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额定输出功率：600W；输入阻抗：8Ω；声压级：≥137dB/M ；额定频率范围：200-8000Hz</w:t>
            </w:r>
          </w:p>
        </w:tc>
        <w:tc>
          <w:tcPr>
            <w:tcW w:w="1186" w:type="dxa"/>
            <w:vAlign w:val="center"/>
          </w:tcPr>
          <w:p w14:paraId="32DDFB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0915927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2100</w:t>
            </w:r>
          </w:p>
        </w:tc>
      </w:tr>
      <w:tr w14:paraId="3627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C259CD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262" w:type="dxa"/>
            <w:gridSpan w:val="2"/>
            <w:shd w:val="clear" w:color="auto" w:fill="FFFFFF"/>
            <w:vAlign w:val="center"/>
          </w:tcPr>
          <w:p w14:paraId="79FE267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音头（警报器用）</w:t>
            </w:r>
          </w:p>
        </w:tc>
        <w:tc>
          <w:tcPr>
            <w:tcW w:w="5502" w:type="dxa"/>
            <w:shd w:val="clear" w:color="auto" w:fill="FFFFFF"/>
            <w:vAlign w:val="center"/>
          </w:tcPr>
          <w:p w14:paraId="2615842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额定输出功率：150W；输入阻抗：8Ω；额定频率范围：200-8000Hz</w:t>
            </w:r>
          </w:p>
        </w:tc>
        <w:tc>
          <w:tcPr>
            <w:tcW w:w="1186" w:type="dxa"/>
            <w:vAlign w:val="center"/>
          </w:tcPr>
          <w:p w14:paraId="227BDAE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76" w:type="dxa"/>
            <w:shd w:val="clear" w:color="auto" w:fill="FFFFFF"/>
            <w:vAlign w:val="center"/>
          </w:tcPr>
          <w:p w14:paraId="0489D119">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16C3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06438C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1262" w:type="dxa"/>
            <w:gridSpan w:val="2"/>
            <w:vAlign w:val="center"/>
          </w:tcPr>
          <w:p w14:paraId="3FE396D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喇叭线</w:t>
            </w:r>
          </w:p>
        </w:tc>
        <w:tc>
          <w:tcPr>
            <w:tcW w:w="5502" w:type="dxa"/>
            <w:vAlign w:val="center"/>
          </w:tcPr>
          <w:p w14:paraId="191EA0C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RVV4*2.5,每台设备标配50米</w:t>
            </w:r>
          </w:p>
        </w:tc>
        <w:tc>
          <w:tcPr>
            <w:tcW w:w="1186" w:type="dxa"/>
          </w:tcPr>
          <w:p w14:paraId="470BCB7D">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76" w:type="dxa"/>
            <w:vAlign w:val="center"/>
          </w:tcPr>
          <w:p w14:paraId="2A8A4D48">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22</w:t>
            </w:r>
          </w:p>
        </w:tc>
      </w:tr>
      <w:tr w14:paraId="7F23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8CF7B4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1262" w:type="dxa"/>
            <w:gridSpan w:val="2"/>
            <w:shd w:val="clear" w:color="auto" w:fill="FFFFFF"/>
            <w:vAlign w:val="center"/>
          </w:tcPr>
          <w:p w14:paraId="7AB9BDF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警报器支架</w:t>
            </w:r>
          </w:p>
        </w:tc>
        <w:tc>
          <w:tcPr>
            <w:tcW w:w="5502" w:type="dxa"/>
            <w:shd w:val="clear" w:color="auto" w:fill="FFFFFF"/>
            <w:vAlign w:val="center"/>
          </w:tcPr>
          <w:p w14:paraId="42BA99A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电声警报器喇叭固定支架，定制</w:t>
            </w:r>
          </w:p>
        </w:tc>
        <w:tc>
          <w:tcPr>
            <w:tcW w:w="1186" w:type="dxa"/>
            <w:vAlign w:val="center"/>
          </w:tcPr>
          <w:p w14:paraId="0BA4A6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468533D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1580</w:t>
            </w:r>
          </w:p>
        </w:tc>
      </w:tr>
      <w:tr w14:paraId="07FC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D38E5E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1262" w:type="dxa"/>
            <w:gridSpan w:val="2"/>
            <w:shd w:val="clear" w:color="auto" w:fill="FFFFFF"/>
            <w:vAlign w:val="center"/>
          </w:tcPr>
          <w:p w14:paraId="2AD7DE7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手咪</w:t>
            </w:r>
          </w:p>
        </w:tc>
        <w:tc>
          <w:tcPr>
            <w:tcW w:w="5502" w:type="dxa"/>
            <w:shd w:val="clear" w:color="auto" w:fill="FFFFFF"/>
            <w:vAlign w:val="center"/>
          </w:tcPr>
          <w:p w14:paraId="367DC95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数字电台配套手咪</w:t>
            </w:r>
          </w:p>
        </w:tc>
        <w:tc>
          <w:tcPr>
            <w:tcW w:w="1186" w:type="dxa"/>
            <w:vAlign w:val="center"/>
          </w:tcPr>
          <w:p w14:paraId="12A1766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574833EB">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37FA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331013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1262" w:type="dxa"/>
            <w:gridSpan w:val="2"/>
            <w:vAlign w:val="center"/>
          </w:tcPr>
          <w:p w14:paraId="0A08822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一体机机箱</w:t>
            </w:r>
          </w:p>
        </w:tc>
        <w:tc>
          <w:tcPr>
            <w:tcW w:w="5502" w:type="dxa"/>
            <w:vAlign w:val="center"/>
          </w:tcPr>
          <w:p w14:paraId="037616F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电声警报一体机机箱</w:t>
            </w:r>
          </w:p>
        </w:tc>
        <w:tc>
          <w:tcPr>
            <w:tcW w:w="1186" w:type="dxa"/>
            <w:vAlign w:val="center"/>
          </w:tcPr>
          <w:p w14:paraId="645B074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1333741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635</w:t>
            </w:r>
          </w:p>
        </w:tc>
      </w:tr>
      <w:tr w14:paraId="2123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0EBD8F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1262" w:type="dxa"/>
            <w:gridSpan w:val="2"/>
            <w:vAlign w:val="center"/>
          </w:tcPr>
          <w:p w14:paraId="42EFA4D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电动警报控制器机箱</w:t>
            </w:r>
          </w:p>
        </w:tc>
        <w:tc>
          <w:tcPr>
            <w:tcW w:w="5502" w:type="dxa"/>
            <w:vAlign w:val="center"/>
          </w:tcPr>
          <w:p w14:paraId="7E93CAE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电动警报控制器机箱</w:t>
            </w:r>
          </w:p>
        </w:tc>
        <w:tc>
          <w:tcPr>
            <w:tcW w:w="1186" w:type="dxa"/>
            <w:vAlign w:val="center"/>
          </w:tcPr>
          <w:p w14:paraId="06DB26D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206D6E0E">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78FC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7E8521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1262" w:type="dxa"/>
            <w:gridSpan w:val="2"/>
            <w:vAlign w:val="center"/>
          </w:tcPr>
          <w:p w14:paraId="26A1772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电声警报控制器机箱</w:t>
            </w:r>
          </w:p>
        </w:tc>
        <w:tc>
          <w:tcPr>
            <w:tcW w:w="5502" w:type="dxa"/>
            <w:vAlign w:val="center"/>
          </w:tcPr>
          <w:p w14:paraId="1B63C06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电声警报控制器机箱</w:t>
            </w:r>
          </w:p>
        </w:tc>
        <w:tc>
          <w:tcPr>
            <w:tcW w:w="1186" w:type="dxa"/>
            <w:vAlign w:val="center"/>
          </w:tcPr>
          <w:p w14:paraId="5CD8BE4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02079C1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0722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9A65EE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1262" w:type="dxa"/>
            <w:gridSpan w:val="2"/>
            <w:vAlign w:val="center"/>
          </w:tcPr>
          <w:p w14:paraId="4E94623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线路（500Wamp</w:t>
            </w:r>
          </w:p>
          <w:p w14:paraId="2D88DA0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-功放板）</w:t>
            </w:r>
          </w:p>
        </w:tc>
        <w:tc>
          <w:tcPr>
            <w:tcW w:w="5502" w:type="dxa"/>
            <w:vAlign w:val="center"/>
          </w:tcPr>
          <w:p w14:paraId="7622318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新一体机1000W功放板</w:t>
            </w:r>
          </w:p>
        </w:tc>
        <w:tc>
          <w:tcPr>
            <w:tcW w:w="1186" w:type="dxa"/>
            <w:vAlign w:val="center"/>
          </w:tcPr>
          <w:p w14:paraId="18D2540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57EF01BC">
            <w:p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1500</w:t>
            </w:r>
          </w:p>
        </w:tc>
      </w:tr>
      <w:tr w14:paraId="7BD5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149F8F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1262" w:type="dxa"/>
            <w:gridSpan w:val="2"/>
            <w:vAlign w:val="center"/>
          </w:tcPr>
          <w:p w14:paraId="1DE0B91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线路板（500wamp</w:t>
            </w:r>
          </w:p>
          <w:p w14:paraId="5129FC1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_Control-控制板）</w:t>
            </w:r>
          </w:p>
        </w:tc>
        <w:tc>
          <w:tcPr>
            <w:tcW w:w="5502" w:type="dxa"/>
            <w:vAlign w:val="center"/>
          </w:tcPr>
          <w:p w14:paraId="52B858B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新一体机中功放的输入控制等</w:t>
            </w:r>
          </w:p>
        </w:tc>
        <w:tc>
          <w:tcPr>
            <w:tcW w:w="1186" w:type="dxa"/>
            <w:vAlign w:val="center"/>
          </w:tcPr>
          <w:p w14:paraId="053143D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4E039E1D">
            <w:p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2500</w:t>
            </w:r>
          </w:p>
        </w:tc>
      </w:tr>
      <w:tr w14:paraId="2E2F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CC1E6D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262" w:type="dxa"/>
            <w:gridSpan w:val="2"/>
            <w:vAlign w:val="center"/>
          </w:tcPr>
          <w:p w14:paraId="45C2439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线路板（Relay_v5-继电器板）</w:t>
            </w:r>
          </w:p>
        </w:tc>
        <w:tc>
          <w:tcPr>
            <w:tcW w:w="5502" w:type="dxa"/>
            <w:vAlign w:val="center"/>
          </w:tcPr>
          <w:p w14:paraId="48A7BE23">
            <w:pPr>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新一体机中继电器控制板</w:t>
            </w:r>
          </w:p>
        </w:tc>
        <w:tc>
          <w:tcPr>
            <w:tcW w:w="1186" w:type="dxa"/>
            <w:vAlign w:val="center"/>
          </w:tcPr>
          <w:p w14:paraId="66362D1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476" w:type="dxa"/>
            <w:vAlign w:val="center"/>
          </w:tcPr>
          <w:p w14:paraId="476CA62B">
            <w:p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50</w:t>
            </w:r>
          </w:p>
        </w:tc>
      </w:tr>
      <w:tr w14:paraId="2AEC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3F98BB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1262" w:type="dxa"/>
            <w:gridSpan w:val="2"/>
            <w:vAlign w:val="center"/>
          </w:tcPr>
          <w:p w14:paraId="4771983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线路板（PowerSWitch_v4.0-电源切换板）</w:t>
            </w:r>
          </w:p>
        </w:tc>
        <w:tc>
          <w:tcPr>
            <w:tcW w:w="5502" w:type="dxa"/>
            <w:vAlign w:val="center"/>
          </w:tcPr>
          <w:p w14:paraId="6BE93A6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新一体机中交流直流控制转换板</w:t>
            </w:r>
          </w:p>
        </w:tc>
        <w:tc>
          <w:tcPr>
            <w:tcW w:w="1186" w:type="dxa"/>
            <w:vAlign w:val="center"/>
          </w:tcPr>
          <w:p w14:paraId="6D71E1F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4F5F607">
            <w:p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530</w:t>
            </w:r>
          </w:p>
        </w:tc>
      </w:tr>
      <w:tr w14:paraId="187B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47E3B7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1262" w:type="dxa"/>
            <w:gridSpan w:val="2"/>
            <w:vAlign w:val="center"/>
          </w:tcPr>
          <w:p w14:paraId="39BCBD1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线路板（TTS_v1.2_</w:t>
            </w:r>
          </w:p>
          <w:p w14:paraId="18AE17C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ZJ2102语音板）</w:t>
            </w:r>
          </w:p>
        </w:tc>
        <w:tc>
          <w:tcPr>
            <w:tcW w:w="5502" w:type="dxa"/>
            <w:vAlign w:val="center"/>
          </w:tcPr>
          <w:p w14:paraId="69D32EF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语音模块，用于语音播报</w:t>
            </w:r>
          </w:p>
        </w:tc>
        <w:tc>
          <w:tcPr>
            <w:tcW w:w="1186" w:type="dxa"/>
            <w:vAlign w:val="center"/>
          </w:tcPr>
          <w:p w14:paraId="65BEB03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F7B4E66">
            <w:p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530</w:t>
            </w:r>
          </w:p>
        </w:tc>
      </w:tr>
      <w:tr w14:paraId="651F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8FB5FC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1262" w:type="dxa"/>
            <w:gridSpan w:val="2"/>
            <w:vAlign w:val="center"/>
          </w:tcPr>
          <w:p w14:paraId="3E9591B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警报设备设施拆除</w:t>
            </w:r>
          </w:p>
        </w:tc>
        <w:tc>
          <w:tcPr>
            <w:tcW w:w="5502" w:type="dxa"/>
            <w:vAlign w:val="center"/>
          </w:tcPr>
          <w:p w14:paraId="0B03ACBE">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辖区警报设施设点单位因房屋拆迁、改造等情况，完成警报设施的拆除（若特殊情况需使用吊机，吊机费用另算）</w:t>
            </w:r>
          </w:p>
        </w:tc>
        <w:tc>
          <w:tcPr>
            <w:tcW w:w="1186" w:type="dxa"/>
            <w:vAlign w:val="center"/>
          </w:tcPr>
          <w:p w14:paraId="27069C4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43A67D4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2000</w:t>
            </w:r>
          </w:p>
        </w:tc>
      </w:tr>
      <w:tr w14:paraId="28C0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4DB750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1262" w:type="dxa"/>
            <w:gridSpan w:val="2"/>
            <w:vAlign w:val="center"/>
          </w:tcPr>
          <w:p w14:paraId="42263E0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警报设备设施再次安装（针对已拆除设备）</w:t>
            </w:r>
          </w:p>
        </w:tc>
        <w:tc>
          <w:tcPr>
            <w:tcW w:w="5502" w:type="dxa"/>
            <w:vAlign w:val="center"/>
          </w:tcPr>
          <w:p w14:paraId="502759C1">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辖区警报设施设点单位因房屋拆迁、改造等情况拆除后，完成警报设施的再次安装（若特殊情况需使用吊机，吊机费用另算）</w:t>
            </w:r>
          </w:p>
        </w:tc>
        <w:tc>
          <w:tcPr>
            <w:tcW w:w="1186" w:type="dxa"/>
            <w:vAlign w:val="center"/>
          </w:tcPr>
          <w:p w14:paraId="10AB239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76" w:type="dxa"/>
            <w:vAlign w:val="center"/>
          </w:tcPr>
          <w:p w14:paraId="1080657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2000</w:t>
            </w:r>
          </w:p>
        </w:tc>
      </w:tr>
      <w:tr w14:paraId="2B8C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8F769A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1262" w:type="dxa"/>
            <w:gridSpan w:val="2"/>
            <w:vAlign w:val="center"/>
          </w:tcPr>
          <w:p w14:paraId="469E3B5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警报外置设备加固</w:t>
            </w:r>
          </w:p>
        </w:tc>
        <w:tc>
          <w:tcPr>
            <w:tcW w:w="5502" w:type="dxa"/>
            <w:vAlign w:val="center"/>
          </w:tcPr>
          <w:p w14:paraId="3F572749">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对警报器外部设备进行固定，消除安全隐患</w:t>
            </w:r>
          </w:p>
        </w:tc>
        <w:tc>
          <w:tcPr>
            <w:tcW w:w="1186" w:type="dxa"/>
            <w:vAlign w:val="center"/>
          </w:tcPr>
          <w:p w14:paraId="0D8AFB9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76" w:type="dxa"/>
            <w:vAlign w:val="center"/>
          </w:tcPr>
          <w:p w14:paraId="27E2315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320</w:t>
            </w:r>
          </w:p>
        </w:tc>
      </w:tr>
      <w:tr w14:paraId="088F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625E73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1262" w:type="dxa"/>
            <w:gridSpan w:val="2"/>
            <w:vAlign w:val="center"/>
          </w:tcPr>
          <w:p w14:paraId="3724766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警报器外部支架除锈刷漆</w:t>
            </w:r>
          </w:p>
        </w:tc>
        <w:tc>
          <w:tcPr>
            <w:tcW w:w="5502" w:type="dxa"/>
            <w:vAlign w:val="center"/>
          </w:tcPr>
          <w:p w14:paraId="0CE05C6A">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对暴露在户外的警报设备外部支架等设施进行除锈刷漆，防腐蚀</w:t>
            </w:r>
          </w:p>
        </w:tc>
        <w:tc>
          <w:tcPr>
            <w:tcW w:w="1186" w:type="dxa"/>
            <w:vAlign w:val="center"/>
          </w:tcPr>
          <w:p w14:paraId="16460B0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76" w:type="dxa"/>
            <w:vAlign w:val="center"/>
          </w:tcPr>
          <w:p w14:paraId="1822C29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370</w:t>
            </w:r>
          </w:p>
        </w:tc>
      </w:tr>
      <w:tr w14:paraId="288C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8DE0E0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1262" w:type="dxa"/>
            <w:gridSpan w:val="2"/>
            <w:vAlign w:val="center"/>
          </w:tcPr>
          <w:p w14:paraId="79CE1D1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警报器加装雨棚</w:t>
            </w:r>
          </w:p>
        </w:tc>
        <w:tc>
          <w:tcPr>
            <w:tcW w:w="5502" w:type="dxa"/>
            <w:vAlign w:val="center"/>
          </w:tcPr>
          <w:p w14:paraId="733E7AFA">
            <w:pPr>
              <w:ind w:right="-73" w:rightChars="-3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户外警报器增设防雨设施</w:t>
            </w:r>
          </w:p>
        </w:tc>
        <w:tc>
          <w:tcPr>
            <w:tcW w:w="1186" w:type="dxa"/>
            <w:vAlign w:val="center"/>
          </w:tcPr>
          <w:p w14:paraId="3F00CC9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76" w:type="dxa"/>
            <w:vAlign w:val="center"/>
          </w:tcPr>
          <w:p w14:paraId="1CB6B6B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635</w:t>
            </w:r>
          </w:p>
        </w:tc>
      </w:tr>
      <w:tr w14:paraId="560E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89" w:type="dxa"/>
            <w:gridSpan w:val="6"/>
            <w:shd w:val="clear" w:color="auto" w:fill="FFFFFF"/>
            <w:vAlign w:val="center"/>
          </w:tcPr>
          <w:p w14:paraId="32C54C58">
            <w:pPr>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二、分控中心、中继相关配件</w:t>
            </w:r>
          </w:p>
        </w:tc>
      </w:tr>
      <w:tr w14:paraId="15D2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697DA7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1262" w:type="dxa"/>
            <w:gridSpan w:val="2"/>
            <w:shd w:val="clear" w:color="auto" w:fill="FFFFFF"/>
            <w:vAlign w:val="center"/>
          </w:tcPr>
          <w:p w14:paraId="0AA3D42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多串口服务器</w:t>
            </w:r>
          </w:p>
        </w:tc>
        <w:tc>
          <w:tcPr>
            <w:tcW w:w="5502" w:type="dxa"/>
            <w:shd w:val="clear" w:color="auto" w:fill="FFFFFF"/>
            <w:vAlign w:val="center"/>
          </w:tcPr>
          <w:p w14:paraId="4A0EB15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每台设备扩展16路RS232串口，每一个串口对应一个有线Modem模块，每一个模块对应一个中继站或防空警报分控中心</w:t>
            </w:r>
          </w:p>
        </w:tc>
        <w:tc>
          <w:tcPr>
            <w:tcW w:w="1186" w:type="dxa"/>
            <w:vAlign w:val="center"/>
          </w:tcPr>
          <w:p w14:paraId="30B7046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shd w:val="clear" w:color="auto" w:fill="FFFFFF"/>
            <w:vAlign w:val="center"/>
          </w:tcPr>
          <w:p w14:paraId="78314938">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6320</w:t>
            </w:r>
          </w:p>
        </w:tc>
      </w:tr>
      <w:tr w14:paraId="3A85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7DD8B9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1262" w:type="dxa"/>
            <w:gridSpan w:val="2"/>
            <w:shd w:val="clear" w:color="auto" w:fill="FFFFFF"/>
            <w:vAlign w:val="center"/>
          </w:tcPr>
          <w:p w14:paraId="6941786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避雷器</w:t>
            </w:r>
          </w:p>
        </w:tc>
        <w:tc>
          <w:tcPr>
            <w:tcW w:w="5502" w:type="dxa"/>
            <w:vAlign w:val="center"/>
          </w:tcPr>
          <w:p w14:paraId="0FB4B8A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频率范围:DC-2500MHZ,避雷方式：气体放电式；功率容量：200W</w:t>
            </w:r>
          </w:p>
        </w:tc>
        <w:tc>
          <w:tcPr>
            <w:tcW w:w="1186" w:type="dxa"/>
            <w:vAlign w:val="center"/>
          </w:tcPr>
          <w:p w14:paraId="231C78B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1650F2F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215</w:t>
            </w:r>
          </w:p>
        </w:tc>
      </w:tr>
      <w:tr w14:paraId="252A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A59C99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1262" w:type="dxa"/>
            <w:gridSpan w:val="2"/>
            <w:shd w:val="clear" w:color="auto" w:fill="FFFFFF"/>
            <w:vAlign w:val="center"/>
          </w:tcPr>
          <w:p w14:paraId="51974FD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线路板（猫）</w:t>
            </w:r>
          </w:p>
        </w:tc>
        <w:tc>
          <w:tcPr>
            <w:tcW w:w="5502" w:type="dxa"/>
            <w:vAlign w:val="center"/>
          </w:tcPr>
          <w:p w14:paraId="34DDD3F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有线modem模块，用于有线控制</w:t>
            </w:r>
          </w:p>
        </w:tc>
        <w:tc>
          <w:tcPr>
            <w:tcW w:w="1186" w:type="dxa"/>
            <w:vAlign w:val="center"/>
          </w:tcPr>
          <w:p w14:paraId="3D19E98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261F9883">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5F1A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E1EE39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1262" w:type="dxa"/>
            <w:gridSpan w:val="2"/>
            <w:vAlign w:val="center"/>
          </w:tcPr>
          <w:p w14:paraId="320D7DE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复接器主板</w:t>
            </w:r>
          </w:p>
        </w:tc>
        <w:tc>
          <w:tcPr>
            <w:tcW w:w="5502" w:type="dxa"/>
            <w:vAlign w:val="center"/>
          </w:tcPr>
          <w:p w14:paraId="4AA4F34B">
            <w:pPr>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警报专用有线复接器线路板，可用于1-16路有线控制</w:t>
            </w:r>
          </w:p>
        </w:tc>
        <w:tc>
          <w:tcPr>
            <w:tcW w:w="1186" w:type="dxa"/>
            <w:vAlign w:val="center"/>
          </w:tcPr>
          <w:p w14:paraId="35166A4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7F8CE96">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6100</w:t>
            </w:r>
          </w:p>
        </w:tc>
      </w:tr>
      <w:tr w14:paraId="134A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6D7531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1262" w:type="dxa"/>
            <w:gridSpan w:val="2"/>
            <w:shd w:val="clear" w:color="auto" w:fill="FFFFFF"/>
            <w:vAlign w:val="center"/>
          </w:tcPr>
          <w:p w14:paraId="0D9B19C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有线复接器</w:t>
            </w:r>
          </w:p>
        </w:tc>
        <w:tc>
          <w:tcPr>
            <w:tcW w:w="5502" w:type="dxa"/>
            <w:vAlign w:val="center"/>
          </w:tcPr>
          <w:p w14:paraId="1239D12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用于主控中心对警报终端的有线集控，支持16路有线点对点连接</w:t>
            </w:r>
          </w:p>
        </w:tc>
        <w:tc>
          <w:tcPr>
            <w:tcW w:w="1186" w:type="dxa"/>
            <w:vAlign w:val="center"/>
          </w:tcPr>
          <w:p w14:paraId="4F1871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77C9C9A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18950</w:t>
            </w:r>
          </w:p>
        </w:tc>
      </w:tr>
      <w:tr w14:paraId="7437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84C871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1262" w:type="dxa"/>
            <w:gridSpan w:val="2"/>
            <w:shd w:val="clear" w:color="auto" w:fill="FFFFFF"/>
            <w:vAlign w:val="center"/>
          </w:tcPr>
          <w:p w14:paraId="6AE62F9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有线PCI卡</w:t>
            </w:r>
          </w:p>
        </w:tc>
        <w:tc>
          <w:tcPr>
            <w:tcW w:w="5502" w:type="dxa"/>
            <w:vAlign w:val="center"/>
          </w:tcPr>
          <w:p w14:paraId="1BBD090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PCI板转2个RS—232串口</w:t>
            </w:r>
          </w:p>
        </w:tc>
        <w:tc>
          <w:tcPr>
            <w:tcW w:w="1186" w:type="dxa"/>
            <w:vAlign w:val="center"/>
          </w:tcPr>
          <w:p w14:paraId="3E10228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0C09EF8A">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5265</w:t>
            </w:r>
          </w:p>
        </w:tc>
      </w:tr>
      <w:tr w14:paraId="10FB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2FBAC9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1262" w:type="dxa"/>
            <w:gridSpan w:val="2"/>
            <w:shd w:val="clear" w:color="auto" w:fill="FFFFFF"/>
            <w:vAlign w:val="center"/>
          </w:tcPr>
          <w:p w14:paraId="0C18E25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USB转232串口线</w:t>
            </w:r>
          </w:p>
        </w:tc>
        <w:tc>
          <w:tcPr>
            <w:tcW w:w="5502" w:type="dxa"/>
            <w:vAlign w:val="center"/>
          </w:tcPr>
          <w:p w14:paraId="31AEFF8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USB转232串口线</w:t>
            </w:r>
          </w:p>
        </w:tc>
        <w:tc>
          <w:tcPr>
            <w:tcW w:w="1186" w:type="dxa"/>
            <w:vAlign w:val="center"/>
          </w:tcPr>
          <w:p w14:paraId="218D3D5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4278023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481D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9DB6AB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1262" w:type="dxa"/>
            <w:gridSpan w:val="2"/>
            <w:vAlign w:val="center"/>
          </w:tcPr>
          <w:p w14:paraId="419ABAF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线路板（遥控主控制板T/R板）</w:t>
            </w:r>
          </w:p>
        </w:tc>
        <w:tc>
          <w:tcPr>
            <w:tcW w:w="5502" w:type="dxa"/>
            <w:vAlign w:val="center"/>
          </w:tcPr>
          <w:p w14:paraId="680260B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232转485控制板，含两路音频，两路232</w:t>
            </w:r>
          </w:p>
        </w:tc>
        <w:tc>
          <w:tcPr>
            <w:tcW w:w="1186" w:type="dxa"/>
            <w:vAlign w:val="center"/>
          </w:tcPr>
          <w:p w14:paraId="3E44B93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6D82A5C2">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10530</w:t>
            </w:r>
          </w:p>
        </w:tc>
      </w:tr>
      <w:tr w14:paraId="686A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F04E40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1262" w:type="dxa"/>
            <w:gridSpan w:val="2"/>
            <w:vAlign w:val="center"/>
          </w:tcPr>
          <w:p w14:paraId="39AD8C4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线路板（前面板指示板）</w:t>
            </w:r>
          </w:p>
        </w:tc>
        <w:tc>
          <w:tcPr>
            <w:tcW w:w="5502" w:type="dxa"/>
            <w:vAlign w:val="center"/>
          </w:tcPr>
          <w:p w14:paraId="51EA890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遥控前面板</w:t>
            </w:r>
          </w:p>
        </w:tc>
        <w:tc>
          <w:tcPr>
            <w:tcW w:w="1186" w:type="dxa"/>
            <w:vAlign w:val="center"/>
          </w:tcPr>
          <w:p w14:paraId="2D97D59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4E8F77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1055</w:t>
            </w:r>
          </w:p>
        </w:tc>
      </w:tr>
      <w:tr w14:paraId="1A67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2A286A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1262" w:type="dxa"/>
            <w:gridSpan w:val="2"/>
            <w:vAlign w:val="center"/>
          </w:tcPr>
          <w:p w14:paraId="40154C7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线路板（按键板）</w:t>
            </w:r>
          </w:p>
        </w:tc>
        <w:tc>
          <w:tcPr>
            <w:tcW w:w="5502" w:type="dxa"/>
            <w:vAlign w:val="center"/>
          </w:tcPr>
          <w:p w14:paraId="0C22BB1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中央站/中间站按键板</w:t>
            </w:r>
          </w:p>
        </w:tc>
        <w:tc>
          <w:tcPr>
            <w:tcW w:w="1186" w:type="dxa"/>
            <w:vAlign w:val="center"/>
          </w:tcPr>
          <w:p w14:paraId="2B6EFBC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5BBDC62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1055</w:t>
            </w:r>
          </w:p>
        </w:tc>
      </w:tr>
      <w:tr w14:paraId="60FD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407E33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1262" w:type="dxa"/>
            <w:gridSpan w:val="2"/>
            <w:shd w:val="clear" w:color="auto" w:fill="FFFFFF"/>
            <w:vAlign w:val="center"/>
          </w:tcPr>
          <w:p w14:paraId="0DA35A7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数字遥控TR光端机（单个）</w:t>
            </w:r>
          </w:p>
        </w:tc>
        <w:tc>
          <w:tcPr>
            <w:tcW w:w="5502" w:type="dxa"/>
            <w:vAlign w:val="center"/>
          </w:tcPr>
          <w:p w14:paraId="4ED3542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光纤遥控接收机/发射机</w:t>
            </w:r>
          </w:p>
        </w:tc>
        <w:tc>
          <w:tcPr>
            <w:tcW w:w="1186" w:type="dxa"/>
            <w:vAlign w:val="center"/>
          </w:tcPr>
          <w:p w14:paraId="1C4F9DA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76" w:type="dxa"/>
            <w:vAlign w:val="center"/>
          </w:tcPr>
          <w:p w14:paraId="3560E352">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3685</w:t>
            </w:r>
          </w:p>
        </w:tc>
      </w:tr>
      <w:tr w14:paraId="7B9C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88CED6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1262" w:type="dxa"/>
            <w:gridSpan w:val="2"/>
            <w:vAlign w:val="center"/>
          </w:tcPr>
          <w:p w14:paraId="517CDF2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JCZK-HH-B车载警报中心机箱</w:t>
            </w:r>
          </w:p>
        </w:tc>
        <w:tc>
          <w:tcPr>
            <w:tcW w:w="5502" w:type="dxa"/>
            <w:vAlign w:val="center"/>
          </w:tcPr>
          <w:p w14:paraId="3E8A183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车载警报中心机箱</w:t>
            </w:r>
          </w:p>
        </w:tc>
        <w:tc>
          <w:tcPr>
            <w:tcW w:w="1186" w:type="dxa"/>
            <w:vAlign w:val="center"/>
          </w:tcPr>
          <w:p w14:paraId="52CFB42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053FCCB0">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5E04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89" w:type="dxa"/>
            <w:gridSpan w:val="6"/>
            <w:shd w:val="clear" w:color="auto" w:fill="FFFFFF"/>
            <w:vAlign w:val="center"/>
          </w:tcPr>
          <w:p w14:paraId="2FAEBFE2">
            <w:pPr>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三、媒体警报器相关配件</w:t>
            </w:r>
          </w:p>
        </w:tc>
      </w:tr>
      <w:tr w14:paraId="12E5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BB601D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81</w:t>
            </w:r>
          </w:p>
        </w:tc>
        <w:tc>
          <w:tcPr>
            <w:tcW w:w="1190" w:type="dxa"/>
            <w:vAlign w:val="center"/>
          </w:tcPr>
          <w:p w14:paraId="707064A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LED模组</w:t>
            </w:r>
          </w:p>
        </w:tc>
        <w:tc>
          <w:tcPr>
            <w:tcW w:w="5574" w:type="dxa"/>
            <w:gridSpan w:val="2"/>
            <w:vAlign w:val="center"/>
          </w:tcPr>
          <w:p w14:paraId="22D2173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P10（H5虚拟）模组，虚拟像素扫描，等间距5mm，分辨率40000点/㎡，配色比例为 R：G：B/3：6：1，亮度高、散热好、稳定性强</w:t>
            </w:r>
          </w:p>
        </w:tc>
        <w:tc>
          <w:tcPr>
            <w:tcW w:w="1186" w:type="dxa"/>
            <w:vAlign w:val="center"/>
          </w:tcPr>
          <w:p w14:paraId="70D1437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1476" w:type="dxa"/>
            <w:vAlign w:val="center"/>
          </w:tcPr>
          <w:p w14:paraId="271605B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350</w:t>
            </w:r>
          </w:p>
        </w:tc>
      </w:tr>
      <w:tr w14:paraId="7130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2AE494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1190" w:type="dxa"/>
            <w:vAlign w:val="center"/>
          </w:tcPr>
          <w:p w14:paraId="733EACB7">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直流电源</w:t>
            </w:r>
          </w:p>
        </w:tc>
        <w:tc>
          <w:tcPr>
            <w:tcW w:w="5574" w:type="dxa"/>
            <w:gridSpan w:val="2"/>
            <w:vAlign w:val="center"/>
          </w:tcPr>
          <w:p w14:paraId="4674ECF5">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LED屏专用电源，功率200w, 输出5v直流    </w:t>
            </w:r>
          </w:p>
        </w:tc>
        <w:tc>
          <w:tcPr>
            <w:tcW w:w="1186" w:type="dxa"/>
            <w:vAlign w:val="center"/>
          </w:tcPr>
          <w:p w14:paraId="0EB342F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w:t>
            </w:r>
          </w:p>
        </w:tc>
        <w:tc>
          <w:tcPr>
            <w:tcW w:w="1476" w:type="dxa"/>
            <w:vAlign w:val="center"/>
          </w:tcPr>
          <w:p w14:paraId="0E1C5D3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r>
      <w:tr w14:paraId="4822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665210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1190" w:type="dxa"/>
            <w:vAlign w:val="center"/>
          </w:tcPr>
          <w:p w14:paraId="20B1E65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16P排线</w:t>
            </w:r>
          </w:p>
        </w:tc>
        <w:tc>
          <w:tcPr>
            <w:tcW w:w="5574" w:type="dxa"/>
            <w:gridSpan w:val="2"/>
            <w:vAlign w:val="center"/>
          </w:tcPr>
          <w:p w14:paraId="63DE396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LED模组跨接专用，铜芯和镀层厚度足，连接器压接牢固</w:t>
            </w:r>
          </w:p>
        </w:tc>
        <w:tc>
          <w:tcPr>
            <w:tcW w:w="1186" w:type="dxa"/>
            <w:vAlign w:val="center"/>
          </w:tcPr>
          <w:p w14:paraId="5F4CD4D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1476" w:type="dxa"/>
            <w:vAlign w:val="center"/>
          </w:tcPr>
          <w:p w14:paraId="218D632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r>
      <w:tr w14:paraId="1643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1DE82C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1190" w:type="dxa"/>
            <w:vAlign w:val="center"/>
          </w:tcPr>
          <w:p w14:paraId="304B358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LED接收卡</w:t>
            </w:r>
          </w:p>
        </w:tc>
        <w:tc>
          <w:tcPr>
            <w:tcW w:w="5574" w:type="dxa"/>
            <w:gridSpan w:val="2"/>
            <w:vAlign w:val="center"/>
          </w:tcPr>
          <w:p w14:paraId="505148D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防定制，支持多卡，多箱间画面零延迟同步，适应箱内高温，电压波动等恶劣环境，支持16以内的任意扫描方式，支持带PWM的驱动芯片，支持硬件逐点校正功能，支持逐点检测功能，65536级（64K）灰度内任意设定功能千兆技术，刷新率任意设置、锁相、同步功能，双网线热备份功能等</w:t>
            </w:r>
          </w:p>
        </w:tc>
        <w:tc>
          <w:tcPr>
            <w:tcW w:w="1186" w:type="dxa"/>
            <w:vAlign w:val="center"/>
          </w:tcPr>
          <w:p w14:paraId="5964674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1476" w:type="dxa"/>
            <w:vAlign w:val="center"/>
          </w:tcPr>
          <w:p w14:paraId="7BDADC5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360</w:t>
            </w:r>
          </w:p>
        </w:tc>
      </w:tr>
      <w:tr w14:paraId="3CB7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836F82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1190" w:type="dxa"/>
            <w:vAlign w:val="center"/>
          </w:tcPr>
          <w:p w14:paraId="7FDAB54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轴流风扇</w:t>
            </w:r>
          </w:p>
        </w:tc>
        <w:tc>
          <w:tcPr>
            <w:tcW w:w="5574" w:type="dxa"/>
            <w:gridSpan w:val="2"/>
            <w:vAlign w:val="center"/>
          </w:tcPr>
          <w:p w14:paraId="0468443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额定电压：AC220V，工作温度：宽温（-40℃~+85℃），防护等级：IP54防护（防尘防雨），轴承类型：双滚珠轴承（长寿命）</w:t>
            </w:r>
          </w:p>
        </w:tc>
        <w:tc>
          <w:tcPr>
            <w:tcW w:w="1186" w:type="dxa"/>
            <w:vAlign w:val="center"/>
          </w:tcPr>
          <w:p w14:paraId="2F0E0EC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w:t>
            </w:r>
          </w:p>
        </w:tc>
        <w:tc>
          <w:tcPr>
            <w:tcW w:w="1476" w:type="dxa"/>
            <w:vAlign w:val="center"/>
          </w:tcPr>
          <w:p w14:paraId="495AD55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r>
      <w:tr w14:paraId="081D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3445BF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1190" w:type="dxa"/>
            <w:vAlign w:val="center"/>
          </w:tcPr>
          <w:p w14:paraId="50894F0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模组电源线</w:t>
            </w:r>
          </w:p>
        </w:tc>
        <w:tc>
          <w:tcPr>
            <w:tcW w:w="5574" w:type="dxa"/>
            <w:gridSpan w:val="2"/>
            <w:vAlign w:val="center"/>
          </w:tcPr>
          <w:p w14:paraId="3EA984C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线芯材质：无氧铜（OFC）（纯度≥99.99%），导电率≥58MS/m，标称截面积：两芯，每芯导体截面积为1.5m㎡</w:t>
            </w:r>
          </w:p>
        </w:tc>
        <w:tc>
          <w:tcPr>
            <w:tcW w:w="1186" w:type="dxa"/>
            <w:vAlign w:val="center"/>
          </w:tcPr>
          <w:p w14:paraId="085799D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1476" w:type="dxa"/>
            <w:vAlign w:val="center"/>
          </w:tcPr>
          <w:p w14:paraId="23B594E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r>
      <w:tr w14:paraId="6AE6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3F99B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1190" w:type="dxa"/>
            <w:vAlign w:val="center"/>
          </w:tcPr>
          <w:p w14:paraId="49C50D7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电源跨接电源线 </w:t>
            </w:r>
          </w:p>
        </w:tc>
        <w:tc>
          <w:tcPr>
            <w:tcW w:w="5574" w:type="dxa"/>
            <w:gridSpan w:val="2"/>
            <w:vAlign w:val="center"/>
          </w:tcPr>
          <w:p w14:paraId="27A2386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导体材质：采用无氧铜（OFC）（纯度≥99.99%），导电率≥58MS/m，标称截面积：三芯，每芯导体截面积为2.5m㎡</w:t>
            </w:r>
          </w:p>
        </w:tc>
        <w:tc>
          <w:tcPr>
            <w:tcW w:w="1186" w:type="dxa"/>
            <w:vAlign w:val="center"/>
          </w:tcPr>
          <w:p w14:paraId="155B1E7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w:t>
            </w:r>
          </w:p>
        </w:tc>
        <w:tc>
          <w:tcPr>
            <w:tcW w:w="1476" w:type="dxa"/>
            <w:vAlign w:val="center"/>
          </w:tcPr>
          <w:p w14:paraId="63AC7A8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r>
      <w:tr w14:paraId="6F0C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77374B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1190" w:type="dxa"/>
            <w:vAlign w:val="center"/>
          </w:tcPr>
          <w:p w14:paraId="43514D3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大屏供电电源线</w:t>
            </w:r>
          </w:p>
        </w:tc>
        <w:tc>
          <w:tcPr>
            <w:tcW w:w="5574" w:type="dxa"/>
            <w:gridSpan w:val="2"/>
            <w:vAlign w:val="center"/>
          </w:tcPr>
          <w:p w14:paraId="210D4FA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RVV3*6,每台设备标配100米</w:t>
            </w:r>
          </w:p>
        </w:tc>
        <w:tc>
          <w:tcPr>
            <w:tcW w:w="1186" w:type="dxa"/>
            <w:vAlign w:val="center"/>
          </w:tcPr>
          <w:p w14:paraId="16B513A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1476" w:type="dxa"/>
            <w:vAlign w:val="center"/>
          </w:tcPr>
          <w:p w14:paraId="3BC0D087">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40</w:t>
            </w:r>
          </w:p>
        </w:tc>
      </w:tr>
      <w:tr w14:paraId="7F9F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48E333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1190" w:type="dxa"/>
            <w:vAlign w:val="center"/>
          </w:tcPr>
          <w:p w14:paraId="6E4FCE7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跨接信号线</w:t>
            </w:r>
          </w:p>
        </w:tc>
        <w:tc>
          <w:tcPr>
            <w:tcW w:w="5574" w:type="dxa"/>
            <w:gridSpan w:val="2"/>
            <w:vAlign w:val="center"/>
          </w:tcPr>
          <w:p w14:paraId="06B0DDB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强抗干扰能力，无氧铜导体，工作温度：-20℃~+70℃（常规室内），-40℃~+85℃，阻燃性：符合UL VW-1或GB/T 18380，弯折次数:≥10000次</w:t>
            </w:r>
          </w:p>
        </w:tc>
        <w:tc>
          <w:tcPr>
            <w:tcW w:w="1186" w:type="dxa"/>
            <w:vAlign w:val="center"/>
          </w:tcPr>
          <w:p w14:paraId="4A365C5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w:t>
            </w:r>
          </w:p>
        </w:tc>
        <w:tc>
          <w:tcPr>
            <w:tcW w:w="1476" w:type="dxa"/>
            <w:vAlign w:val="center"/>
          </w:tcPr>
          <w:p w14:paraId="2282666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r>
      <w:tr w14:paraId="2E07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F170E5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1190" w:type="dxa"/>
            <w:vAlign w:val="center"/>
          </w:tcPr>
          <w:p w14:paraId="528D3BB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箱体门锁</w:t>
            </w:r>
          </w:p>
        </w:tc>
        <w:tc>
          <w:tcPr>
            <w:tcW w:w="5574" w:type="dxa"/>
            <w:gridSpan w:val="2"/>
            <w:vAlign w:val="center"/>
          </w:tcPr>
          <w:p w14:paraId="0F39238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材质：不锈钢（304/316，防锈），精度：锁芯与锁体配合间隙≤0.05mm</w:t>
            </w:r>
          </w:p>
        </w:tc>
        <w:tc>
          <w:tcPr>
            <w:tcW w:w="1186" w:type="dxa"/>
            <w:vAlign w:val="center"/>
          </w:tcPr>
          <w:p w14:paraId="1E153E3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3000E96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r>
      <w:tr w14:paraId="61C5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809DC6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190" w:type="dxa"/>
            <w:vAlign w:val="center"/>
          </w:tcPr>
          <w:p w14:paraId="2D5A7D4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空气开关</w:t>
            </w:r>
          </w:p>
        </w:tc>
        <w:tc>
          <w:tcPr>
            <w:tcW w:w="5574" w:type="dxa"/>
            <w:gridSpan w:val="2"/>
            <w:vAlign w:val="center"/>
          </w:tcPr>
          <w:p w14:paraId="0385808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不小于63A，过载保护（Ir）：动作电流为1.13~1.45倍In，短路保护（Im）：动作电流为3~10倍In，瞬时保护：动作电流为5~15倍In</w:t>
            </w:r>
          </w:p>
        </w:tc>
        <w:tc>
          <w:tcPr>
            <w:tcW w:w="1186" w:type="dxa"/>
            <w:vAlign w:val="center"/>
          </w:tcPr>
          <w:p w14:paraId="33A0DCE4">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1476" w:type="dxa"/>
            <w:vAlign w:val="center"/>
          </w:tcPr>
          <w:p w14:paraId="3D46D77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r>
      <w:tr w14:paraId="7AAE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C5FC6D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1190" w:type="dxa"/>
            <w:vAlign w:val="center"/>
          </w:tcPr>
          <w:p w14:paraId="015D42D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4G路由器</w:t>
            </w:r>
          </w:p>
        </w:tc>
        <w:tc>
          <w:tcPr>
            <w:tcW w:w="5574" w:type="dxa"/>
            <w:gridSpan w:val="2"/>
            <w:vAlign w:val="center"/>
          </w:tcPr>
          <w:p w14:paraId="71D8EB5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网络制式与频段：支持全网通4G，网络冗余与备份：支持4G+有线宽带双链路自动切换，远程管理：支持Web界面/APP（iOS/Android）远程配置</w:t>
            </w:r>
          </w:p>
        </w:tc>
        <w:tc>
          <w:tcPr>
            <w:tcW w:w="1186" w:type="dxa"/>
            <w:vAlign w:val="center"/>
          </w:tcPr>
          <w:p w14:paraId="29C886C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w:t>
            </w:r>
          </w:p>
        </w:tc>
        <w:tc>
          <w:tcPr>
            <w:tcW w:w="1476" w:type="dxa"/>
            <w:vAlign w:val="center"/>
          </w:tcPr>
          <w:p w14:paraId="0CE6509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1550</w:t>
            </w:r>
          </w:p>
        </w:tc>
      </w:tr>
      <w:tr w14:paraId="365A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F997F1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1190" w:type="dxa"/>
            <w:vAlign w:val="center"/>
          </w:tcPr>
          <w:p w14:paraId="0EAC3FB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4G流量卡</w:t>
            </w:r>
          </w:p>
        </w:tc>
        <w:tc>
          <w:tcPr>
            <w:tcW w:w="5574" w:type="dxa"/>
            <w:gridSpan w:val="2"/>
            <w:vAlign w:val="center"/>
          </w:tcPr>
          <w:p w14:paraId="0115EE9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多媒体警报终端用电信4G流量卡续费，支持IMEI绑定，DDoS防护，黑白名单业务</w:t>
            </w:r>
          </w:p>
        </w:tc>
        <w:tc>
          <w:tcPr>
            <w:tcW w:w="1186" w:type="dxa"/>
            <w:vAlign w:val="center"/>
          </w:tcPr>
          <w:p w14:paraId="416F8BF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100%</w:t>
            </w:r>
          </w:p>
        </w:tc>
        <w:tc>
          <w:tcPr>
            <w:tcW w:w="1476" w:type="dxa"/>
            <w:vAlign w:val="center"/>
          </w:tcPr>
          <w:p w14:paraId="6F58A25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r>
      <w:tr w14:paraId="3BDF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779EF9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1190" w:type="dxa"/>
            <w:vAlign w:val="center"/>
          </w:tcPr>
          <w:p w14:paraId="5BE89B9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播控终端</w:t>
            </w:r>
          </w:p>
        </w:tc>
        <w:tc>
          <w:tcPr>
            <w:tcW w:w="5574" w:type="dxa"/>
            <w:gridSpan w:val="2"/>
            <w:vAlign w:val="center"/>
          </w:tcPr>
          <w:p w14:paraId="05A5CAB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终端用安卓播控终端，支持单画面/多画面分屏，轮播/插播/定时播放，循环播放，淡入淡出/切换特效，支持Web端/APP远程控制，OTA固件升级，日志上传，支持多级用户权限，防火墙，工作温度-20℃~+60℃，湿度10%~90%</w:t>
            </w:r>
          </w:p>
        </w:tc>
        <w:tc>
          <w:tcPr>
            <w:tcW w:w="1186" w:type="dxa"/>
            <w:vAlign w:val="center"/>
          </w:tcPr>
          <w:p w14:paraId="445FC18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28901E1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650</w:t>
            </w:r>
          </w:p>
        </w:tc>
      </w:tr>
      <w:tr w14:paraId="67FE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CE05E3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1190" w:type="dxa"/>
            <w:vAlign w:val="center"/>
          </w:tcPr>
          <w:p w14:paraId="168A0F7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多媒体视频融合终端</w:t>
            </w:r>
          </w:p>
        </w:tc>
        <w:tc>
          <w:tcPr>
            <w:tcW w:w="5574" w:type="dxa"/>
            <w:gridSpan w:val="2"/>
            <w:vAlign w:val="center"/>
          </w:tcPr>
          <w:p w14:paraId="4980DCC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支持VGA、DVI、HDMI、AV视频源输入，支持VGA、DVI、LVDS视频源输出，额定工作电压：220V±15% 50Hz±1Hz，工作温度：–20℃~+50℃，存贮温度：-30℃~+60℃</w:t>
            </w:r>
          </w:p>
        </w:tc>
        <w:tc>
          <w:tcPr>
            <w:tcW w:w="1186" w:type="dxa"/>
            <w:vAlign w:val="center"/>
          </w:tcPr>
          <w:p w14:paraId="6FA31BE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5F735E8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5600</w:t>
            </w:r>
          </w:p>
        </w:tc>
      </w:tr>
      <w:tr w14:paraId="136B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098B8C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1190" w:type="dxa"/>
            <w:vAlign w:val="center"/>
          </w:tcPr>
          <w:p w14:paraId="6DF66C6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LED发送卡</w:t>
            </w:r>
          </w:p>
        </w:tc>
        <w:tc>
          <w:tcPr>
            <w:tcW w:w="5574" w:type="dxa"/>
            <w:gridSpan w:val="2"/>
            <w:vAlign w:val="center"/>
          </w:tcPr>
          <w:p w14:paraId="21A9CD1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人防定制、支持高带宽、低延迟、精准同步地转换为驱动全屏LED模组的控制数据流</w:t>
            </w:r>
          </w:p>
        </w:tc>
        <w:tc>
          <w:tcPr>
            <w:tcW w:w="1186" w:type="dxa"/>
            <w:vAlign w:val="center"/>
          </w:tcPr>
          <w:p w14:paraId="0A2EAAC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w:t>
            </w:r>
          </w:p>
        </w:tc>
        <w:tc>
          <w:tcPr>
            <w:tcW w:w="1476" w:type="dxa"/>
            <w:vAlign w:val="center"/>
          </w:tcPr>
          <w:p w14:paraId="3B5A549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1560</w:t>
            </w:r>
          </w:p>
        </w:tc>
      </w:tr>
      <w:tr w14:paraId="2776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4B712D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1190" w:type="dxa"/>
            <w:vAlign w:val="center"/>
          </w:tcPr>
          <w:p w14:paraId="1E5B1D2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时控开关</w:t>
            </w:r>
          </w:p>
        </w:tc>
        <w:tc>
          <w:tcPr>
            <w:tcW w:w="5574" w:type="dxa"/>
            <w:gridSpan w:val="2"/>
            <w:vAlign w:val="center"/>
          </w:tcPr>
          <w:p w14:paraId="287905A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多媒体警报终端用时控开关，支持定时控制，多种模式控制</w:t>
            </w:r>
          </w:p>
        </w:tc>
        <w:tc>
          <w:tcPr>
            <w:tcW w:w="1186" w:type="dxa"/>
            <w:vAlign w:val="center"/>
          </w:tcPr>
          <w:p w14:paraId="45D9C36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p>
        </w:tc>
        <w:tc>
          <w:tcPr>
            <w:tcW w:w="1476" w:type="dxa"/>
            <w:vAlign w:val="center"/>
          </w:tcPr>
          <w:p w14:paraId="4E2974E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r>
      <w:tr w14:paraId="1206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2EA9EC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1190" w:type="dxa"/>
            <w:vAlign w:val="center"/>
          </w:tcPr>
          <w:p w14:paraId="7DD8ED2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w:t>
            </w:r>
          </w:p>
        </w:tc>
        <w:tc>
          <w:tcPr>
            <w:tcW w:w="5574" w:type="dxa"/>
            <w:gridSpan w:val="2"/>
            <w:vAlign w:val="center"/>
          </w:tcPr>
          <w:p w14:paraId="060F2DB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5号碱性电池，高容量与长续航，宽温适应与长储存</w:t>
            </w:r>
          </w:p>
        </w:tc>
        <w:tc>
          <w:tcPr>
            <w:tcW w:w="1186" w:type="dxa"/>
            <w:vAlign w:val="center"/>
          </w:tcPr>
          <w:p w14:paraId="0F58AA2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30%</w:t>
            </w:r>
          </w:p>
        </w:tc>
        <w:tc>
          <w:tcPr>
            <w:tcW w:w="1476" w:type="dxa"/>
            <w:vAlign w:val="center"/>
          </w:tcPr>
          <w:p w14:paraId="5784859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r>
      <w:tr w14:paraId="21FE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89A50C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1190" w:type="dxa"/>
            <w:shd w:val="clear" w:color="auto" w:fill="FFFFFF"/>
            <w:vAlign w:val="center"/>
          </w:tcPr>
          <w:p w14:paraId="4318AF4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交流接触器</w:t>
            </w:r>
          </w:p>
        </w:tc>
        <w:tc>
          <w:tcPr>
            <w:tcW w:w="5574" w:type="dxa"/>
            <w:gridSpan w:val="2"/>
            <w:vAlign w:val="center"/>
          </w:tcPr>
          <w:p w14:paraId="2509860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额定工作电流32A，1组常开辅助触点，220V控制</w:t>
            </w:r>
          </w:p>
        </w:tc>
        <w:tc>
          <w:tcPr>
            <w:tcW w:w="1186" w:type="dxa"/>
            <w:vAlign w:val="center"/>
          </w:tcPr>
          <w:p w14:paraId="79683DD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2F1A60BD">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165</w:t>
            </w:r>
          </w:p>
        </w:tc>
      </w:tr>
      <w:tr w14:paraId="664A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A325C2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190" w:type="dxa"/>
            <w:vAlign w:val="center"/>
          </w:tcPr>
          <w:p w14:paraId="6906DD5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HDMI线</w:t>
            </w:r>
          </w:p>
        </w:tc>
        <w:tc>
          <w:tcPr>
            <w:tcW w:w="5574" w:type="dxa"/>
            <w:gridSpan w:val="2"/>
            <w:vAlign w:val="center"/>
          </w:tcPr>
          <w:p w14:paraId="47677A1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传输无损的高清视频与多声道音频，实现了连接简化、信号保真和功能集成</w:t>
            </w:r>
          </w:p>
        </w:tc>
        <w:tc>
          <w:tcPr>
            <w:tcW w:w="1186" w:type="dxa"/>
            <w:vAlign w:val="center"/>
          </w:tcPr>
          <w:p w14:paraId="67C4033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1476" w:type="dxa"/>
            <w:vAlign w:val="center"/>
          </w:tcPr>
          <w:p w14:paraId="65BB878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r>
      <w:tr w14:paraId="1789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9A2B3E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1190" w:type="dxa"/>
            <w:vAlign w:val="center"/>
          </w:tcPr>
          <w:p w14:paraId="01DCA0E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门轴铰链</w:t>
            </w:r>
          </w:p>
        </w:tc>
        <w:tc>
          <w:tcPr>
            <w:tcW w:w="5574" w:type="dxa"/>
            <w:gridSpan w:val="2"/>
            <w:vAlign w:val="center"/>
          </w:tcPr>
          <w:p w14:paraId="08166F2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耐腐蚀加厚不锈钢材质，三角或一字型</w:t>
            </w:r>
          </w:p>
        </w:tc>
        <w:tc>
          <w:tcPr>
            <w:tcW w:w="1186" w:type="dxa"/>
            <w:vAlign w:val="center"/>
          </w:tcPr>
          <w:p w14:paraId="5FB3EB5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w:t>
            </w:r>
          </w:p>
        </w:tc>
        <w:tc>
          <w:tcPr>
            <w:tcW w:w="1476" w:type="dxa"/>
            <w:vAlign w:val="center"/>
          </w:tcPr>
          <w:p w14:paraId="145838D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r>
      <w:tr w14:paraId="4D4E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43E0F3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1190" w:type="dxa"/>
            <w:vAlign w:val="center"/>
          </w:tcPr>
          <w:p w14:paraId="2BD98C2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线路板（八位按键板）</w:t>
            </w:r>
          </w:p>
        </w:tc>
        <w:tc>
          <w:tcPr>
            <w:tcW w:w="5574" w:type="dxa"/>
            <w:gridSpan w:val="2"/>
            <w:vAlign w:val="center"/>
          </w:tcPr>
          <w:p w14:paraId="53E2038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多媒体控制器的按键板，支持按键操作方式执行下发指令</w:t>
            </w:r>
          </w:p>
        </w:tc>
        <w:tc>
          <w:tcPr>
            <w:tcW w:w="1186" w:type="dxa"/>
            <w:vAlign w:val="center"/>
          </w:tcPr>
          <w:p w14:paraId="20AEA36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66BF207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r>
      <w:tr w14:paraId="5AF8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B9A5A6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1190" w:type="dxa"/>
            <w:shd w:val="clear" w:color="auto" w:fill="FFFFFF"/>
            <w:vAlign w:val="center"/>
          </w:tcPr>
          <w:p w14:paraId="4B8BE9C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线路板（信道选择按键板）</w:t>
            </w:r>
          </w:p>
        </w:tc>
        <w:tc>
          <w:tcPr>
            <w:tcW w:w="5574" w:type="dxa"/>
            <w:gridSpan w:val="2"/>
            <w:vAlign w:val="center"/>
          </w:tcPr>
          <w:p w14:paraId="5193690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用于信道的切换</w:t>
            </w:r>
          </w:p>
        </w:tc>
        <w:tc>
          <w:tcPr>
            <w:tcW w:w="1186" w:type="dxa"/>
            <w:vAlign w:val="center"/>
          </w:tcPr>
          <w:p w14:paraId="1F3027A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1476" w:type="dxa"/>
            <w:vAlign w:val="center"/>
          </w:tcPr>
          <w:p w14:paraId="156EE94C">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160</w:t>
            </w:r>
          </w:p>
        </w:tc>
      </w:tr>
      <w:tr w14:paraId="780C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5E0EC4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1190" w:type="dxa"/>
            <w:shd w:val="clear" w:color="auto" w:fill="FFFFFF"/>
            <w:vAlign w:val="center"/>
          </w:tcPr>
          <w:p w14:paraId="70D65D5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线路板（手咪接口板）</w:t>
            </w:r>
          </w:p>
        </w:tc>
        <w:tc>
          <w:tcPr>
            <w:tcW w:w="5574" w:type="dxa"/>
            <w:gridSpan w:val="2"/>
            <w:vAlign w:val="center"/>
          </w:tcPr>
          <w:p w14:paraId="6AC7360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用于接手咪的控制板</w:t>
            </w:r>
          </w:p>
        </w:tc>
        <w:tc>
          <w:tcPr>
            <w:tcW w:w="1186" w:type="dxa"/>
            <w:vAlign w:val="center"/>
          </w:tcPr>
          <w:p w14:paraId="7771AF7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5F667114">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215</w:t>
            </w:r>
          </w:p>
        </w:tc>
      </w:tr>
      <w:tr w14:paraId="1B9B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3DE54B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1190" w:type="dxa"/>
            <w:vAlign w:val="center"/>
          </w:tcPr>
          <w:p w14:paraId="2364F3F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线路板（三位按键板）</w:t>
            </w:r>
          </w:p>
        </w:tc>
        <w:tc>
          <w:tcPr>
            <w:tcW w:w="5574" w:type="dxa"/>
            <w:gridSpan w:val="2"/>
            <w:vAlign w:val="center"/>
          </w:tcPr>
          <w:p w14:paraId="72F0B58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多媒体警报器的按键板，支持按键本地操作警报执行鸣放指令</w:t>
            </w:r>
          </w:p>
        </w:tc>
        <w:tc>
          <w:tcPr>
            <w:tcW w:w="1186" w:type="dxa"/>
            <w:vAlign w:val="center"/>
          </w:tcPr>
          <w:p w14:paraId="1771EC7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0889700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r>
      <w:tr w14:paraId="3A4B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85B34C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1190" w:type="dxa"/>
            <w:vAlign w:val="center"/>
          </w:tcPr>
          <w:p w14:paraId="4E05105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线路板（控制面板）</w:t>
            </w:r>
          </w:p>
        </w:tc>
        <w:tc>
          <w:tcPr>
            <w:tcW w:w="5574" w:type="dxa"/>
            <w:gridSpan w:val="2"/>
            <w:vAlign w:val="center"/>
          </w:tcPr>
          <w:p w14:paraId="33507CB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多媒体警报器的控制面板，支持按键操作方式调整警报功率</w:t>
            </w:r>
          </w:p>
        </w:tc>
        <w:tc>
          <w:tcPr>
            <w:tcW w:w="1186" w:type="dxa"/>
            <w:vAlign w:val="center"/>
          </w:tcPr>
          <w:p w14:paraId="31CE8C7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5BF0A73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r>
      <w:tr w14:paraId="13B2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E03896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1190" w:type="dxa"/>
            <w:shd w:val="clear" w:color="auto" w:fill="FFFFFF"/>
            <w:vAlign w:val="center"/>
          </w:tcPr>
          <w:p w14:paraId="18BB03D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线路板（200M主板）</w:t>
            </w:r>
          </w:p>
        </w:tc>
        <w:tc>
          <w:tcPr>
            <w:tcW w:w="5574" w:type="dxa"/>
            <w:gridSpan w:val="2"/>
            <w:shd w:val="clear" w:color="auto" w:fill="FFFFFF"/>
            <w:vAlign w:val="center"/>
          </w:tcPr>
          <w:p w14:paraId="598F3DA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负责接口协议处理，网络管理以及警报控制。控制主板一方面要对数字电台传输信令进行解析分析、信号处理，另一方面对警报器动作进行逻辑判断、诊断检测故障。</w:t>
            </w:r>
          </w:p>
        </w:tc>
        <w:tc>
          <w:tcPr>
            <w:tcW w:w="1186" w:type="dxa"/>
            <w:vAlign w:val="center"/>
          </w:tcPr>
          <w:p w14:paraId="673BF9E4">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1476" w:type="dxa"/>
            <w:shd w:val="clear" w:color="auto" w:fill="FFFFFF"/>
            <w:vAlign w:val="center"/>
          </w:tcPr>
          <w:p w14:paraId="02EE86B5">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2635</w:t>
            </w:r>
          </w:p>
        </w:tc>
      </w:tr>
      <w:tr w14:paraId="65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4564C1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1190" w:type="dxa"/>
            <w:shd w:val="clear" w:color="auto" w:fill="FFFFFF"/>
            <w:vAlign w:val="center"/>
          </w:tcPr>
          <w:p w14:paraId="3DB2CE3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数字电台</w:t>
            </w:r>
          </w:p>
        </w:tc>
        <w:tc>
          <w:tcPr>
            <w:tcW w:w="5574" w:type="dxa"/>
            <w:gridSpan w:val="2"/>
          </w:tcPr>
          <w:p w14:paraId="0F9E4AC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符合《人民防空警报控制系统用抗干扰无线数字传输单元通用规范》（RFHB 05-2014）要求，兼容现有警报控制系统。技术要求：</w:t>
            </w:r>
          </w:p>
          <w:p w14:paraId="46A8A27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1.频率范围：国家人防办规定的最新频点</w:t>
            </w:r>
          </w:p>
          <w:p w14:paraId="4E6DA31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2.信道间隔：12.5kHz</w:t>
            </w:r>
          </w:p>
          <w:p w14:paraId="5F15BC5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3.调制方式：4FSK、TFSK带内扩频</w:t>
            </w:r>
          </w:p>
          <w:p w14:paraId="5FE6FE1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4.多址方式：FDMA或两时隙TDMA</w:t>
            </w:r>
          </w:p>
          <w:p w14:paraId="3BADAF5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5.数据速率：2400bit/s、1200bit/s、600bit/s、300bit/s、150bit/s自适应</w:t>
            </w:r>
          </w:p>
          <w:p w14:paraId="112B617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6.音频范围：300Hz～3000Hz</w:t>
            </w:r>
          </w:p>
          <w:p w14:paraId="4845C33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7.音频阻抗：600Ω</w:t>
            </w:r>
          </w:p>
          <w:p w14:paraId="375E809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8.数字灵敏度：≤-123dBm(600bps，丢包率为5×10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p w14:paraId="3F785E3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9.抗同频干扰：≥3dB(600bps，丢包率为5×10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p w14:paraId="07C2A49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10.抗单频干扰性：≥3dB(600bps,丢包率为5×10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p w14:paraId="51311B6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11.抗白噪声性：≥3dB(600bps,丢包率为5×10</w:t>
            </w:r>
            <w:r>
              <w:rPr>
                <w:rFonts w:hint="eastAsia" w:ascii="宋体" w:hAnsi="宋体" w:eastAsia="宋体" w:cs="宋体"/>
                <w:color w:val="auto"/>
                <w:sz w:val="24"/>
                <w:szCs w:val="24"/>
                <w:highlight w:val="none"/>
                <w:vertAlign w:val="superscript"/>
              </w:rPr>
              <w:t>-2</w:t>
            </w:r>
            <w:r>
              <w:rPr>
                <w:rFonts w:hint="eastAsia" w:ascii="宋体" w:hAnsi="宋体" w:eastAsia="宋体" w:cs="宋体"/>
                <w:color w:val="auto"/>
                <w:sz w:val="24"/>
                <w:szCs w:val="24"/>
                <w:highlight w:val="none"/>
              </w:rPr>
              <w:t xml:space="preserve">) </w:t>
            </w:r>
          </w:p>
        </w:tc>
        <w:tc>
          <w:tcPr>
            <w:tcW w:w="1186" w:type="dxa"/>
            <w:vAlign w:val="center"/>
          </w:tcPr>
          <w:p w14:paraId="63F63E5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78C2D20B">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4000</w:t>
            </w:r>
          </w:p>
        </w:tc>
      </w:tr>
      <w:tr w14:paraId="244D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6C59F0E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1190" w:type="dxa"/>
            <w:shd w:val="clear" w:color="auto" w:fill="FFFFFF"/>
            <w:vAlign w:val="center"/>
          </w:tcPr>
          <w:p w14:paraId="517B75A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开关电源</w:t>
            </w:r>
          </w:p>
        </w:tc>
        <w:tc>
          <w:tcPr>
            <w:tcW w:w="5574" w:type="dxa"/>
            <w:gridSpan w:val="2"/>
            <w:vAlign w:val="center"/>
          </w:tcPr>
          <w:p w14:paraId="085C85D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功率150w，输出12v直流</w:t>
            </w:r>
          </w:p>
        </w:tc>
        <w:tc>
          <w:tcPr>
            <w:tcW w:w="1186" w:type="dxa"/>
            <w:vAlign w:val="center"/>
          </w:tcPr>
          <w:p w14:paraId="6086851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w:t>
            </w:r>
          </w:p>
        </w:tc>
        <w:tc>
          <w:tcPr>
            <w:tcW w:w="1476" w:type="dxa"/>
            <w:vAlign w:val="center"/>
          </w:tcPr>
          <w:p w14:paraId="23AC4E86">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4997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DE991F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1190" w:type="dxa"/>
            <w:vAlign w:val="center"/>
          </w:tcPr>
          <w:p w14:paraId="449068A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线路板（Main_</w:t>
            </w:r>
          </w:p>
          <w:p w14:paraId="730C691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Control_V05控制板）</w:t>
            </w:r>
          </w:p>
        </w:tc>
        <w:tc>
          <w:tcPr>
            <w:tcW w:w="5574" w:type="dxa"/>
            <w:gridSpan w:val="2"/>
            <w:vAlign w:val="center"/>
          </w:tcPr>
          <w:p w14:paraId="3E27C88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多媒体警报器中功放的输入控制等</w:t>
            </w:r>
          </w:p>
        </w:tc>
        <w:tc>
          <w:tcPr>
            <w:tcW w:w="1186" w:type="dxa"/>
            <w:vAlign w:val="center"/>
          </w:tcPr>
          <w:p w14:paraId="1744DFF4">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48503F4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1500</w:t>
            </w:r>
          </w:p>
        </w:tc>
      </w:tr>
      <w:tr w14:paraId="0395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4BDE1AE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1190" w:type="dxa"/>
            <w:vAlign w:val="center"/>
          </w:tcPr>
          <w:p w14:paraId="22BB29E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线路板（Pover_</w:t>
            </w:r>
          </w:p>
          <w:p w14:paraId="01431A7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Amplfy_V06功放板）</w:t>
            </w:r>
          </w:p>
        </w:tc>
        <w:tc>
          <w:tcPr>
            <w:tcW w:w="5574" w:type="dxa"/>
            <w:gridSpan w:val="2"/>
            <w:vAlign w:val="center"/>
          </w:tcPr>
          <w:p w14:paraId="065A629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多媒体警报器功放板，输出与喇叭阻抗完美匹配，以传输最大功率</w:t>
            </w:r>
          </w:p>
        </w:tc>
        <w:tc>
          <w:tcPr>
            <w:tcW w:w="1186" w:type="dxa"/>
            <w:vAlign w:val="center"/>
          </w:tcPr>
          <w:p w14:paraId="548589F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w:t>
            </w:r>
          </w:p>
        </w:tc>
        <w:tc>
          <w:tcPr>
            <w:tcW w:w="1476" w:type="dxa"/>
            <w:vAlign w:val="center"/>
          </w:tcPr>
          <w:p w14:paraId="220A637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r>
      <w:tr w14:paraId="5AA9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D82FDF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1190" w:type="dxa"/>
            <w:vAlign w:val="center"/>
          </w:tcPr>
          <w:p w14:paraId="4555C1B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线路板（XH-M189功放板）</w:t>
            </w:r>
          </w:p>
        </w:tc>
        <w:tc>
          <w:tcPr>
            <w:tcW w:w="5574" w:type="dxa"/>
            <w:gridSpan w:val="2"/>
            <w:vAlign w:val="center"/>
          </w:tcPr>
          <w:p w14:paraId="05F4C91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多媒体节目音源功放板，输出与音柱阻抗完美匹配，以传输最大功率</w:t>
            </w:r>
          </w:p>
        </w:tc>
        <w:tc>
          <w:tcPr>
            <w:tcW w:w="1186" w:type="dxa"/>
            <w:vAlign w:val="center"/>
          </w:tcPr>
          <w:p w14:paraId="1AD45C9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5FF1CF4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r>
      <w:tr w14:paraId="08F4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2DD054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1190" w:type="dxa"/>
            <w:vAlign w:val="center"/>
          </w:tcPr>
          <w:p w14:paraId="641F427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继电器板</w:t>
            </w:r>
          </w:p>
        </w:tc>
        <w:tc>
          <w:tcPr>
            <w:tcW w:w="5574" w:type="dxa"/>
            <w:gridSpan w:val="2"/>
            <w:vAlign w:val="center"/>
          </w:tcPr>
          <w:p w14:paraId="1E459D6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低压控制电路与高压大电流负载的完全电气隔离</w:t>
            </w:r>
          </w:p>
        </w:tc>
        <w:tc>
          <w:tcPr>
            <w:tcW w:w="1186" w:type="dxa"/>
            <w:vAlign w:val="center"/>
          </w:tcPr>
          <w:p w14:paraId="6FB37D6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w:t>
            </w:r>
          </w:p>
        </w:tc>
        <w:tc>
          <w:tcPr>
            <w:tcW w:w="1476" w:type="dxa"/>
            <w:vAlign w:val="center"/>
          </w:tcPr>
          <w:p w14:paraId="53DE0F1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r>
      <w:tr w14:paraId="06F1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F7936B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1190" w:type="dxa"/>
            <w:vAlign w:val="center"/>
          </w:tcPr>
          <w:p w14:paraId="5834572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交流接触器</w:t>
            </w:r>
          </w:p>
        </w:tc>
        <w:tc>
          <w:tcPr>
            <w:tcW w:w="5574" w:type="dxa"/>
            <w:gridSpan w:val="2"/>
            <w:vAlign w:val="center"/>
          </w:tcPr>
          <w:p w14:paraId="6B00631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额定电流12A，额定电压AC220V，电寿命：≥100万次，接触电阻≤50mΩ，吸合时间/释放时间≤50ms，线圈功耗≤20VA</w:t>
            </w:r>
          </w:p>
        </w:tc>
        <w:tc>
          <w:tcPr>
            <w:tcW w:w="1186" w:type="dxa"/>
            <w:vAlign w:val="center"/>
          </w:tcPr>
          <w:p w14:paraId="08E7114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238D8344">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r>
      <w:tr w14:paraId="2FCA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D6D931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1190" w:type="dxa"/>
            <w:vAlign w:val="center"/>
          </w:tcPr>
          <w:p w14:paraId="6FB0217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24V开关电源</w:t>
            </w:r>
          </w:p>
        </w:tc>
        <w:tc>
          <w:tcPr>
            <w:tcW w:w="5574" w:type="dxa"/>
            <w:gridSpan w:val="2"/>
            <w:vAlign w:val="center"/>
          </w:tcPr>
          <w:p w14:paraId="5300728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功率200w, 输出24v直流</w:t>
            </w:r>
          </w:p>
        </w:tc>
        <w:tc>
          <w:tcPr>
            <w:tcW w:w="1186" w:type="dxa"/>
            <w:vAlign w:val="center"/>
          </w:tcPr>
          <w:p w14:paraId="5336639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1476" w:type="dxa"/>
            <w:vAlign w:val="center"/>
          </w:tcPr>
          <w:p w14:paraId="689824D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585</w:t>
            </w:r>
          </w:p>
        </w:tc>
      </w:tr>
      <w:tr w14:paraId="14DA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05223C3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1190" w:type="dxa"/>
            <w:vAlign w:val="center"/>
          </w:tcPr>
          <w:p w14:paraId="0D6C98E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号角扬声器</w:t>
            </w:r>
          </w:p>
        </w:tc>
        <w:tc>
          <w:tcPr>
            <w:tcW w:w="5574" w:type="dxa"/>
            <w:gridSpan w:val="2"/>
            <w:vAlign w:val="center"/>
          </w:tcPr>
          <w:p w14:paraId="1A32424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多媒体警报器用，额定输出功率：300W，输入阻抗：8Ω,声压级：≥137dB/M ,额定频率范围：200-8000Hz</w:t>
            </w:r>
          </w:p>
        </w:tc>
        <w:tc>
          <w:tcPr>
            <w:tcW w:w="1186" w:type="dxa"/>
            <w:vAlign w:val="center"/>
          </w:tcPr>
          <w:p w14:paraId="1525D41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674673E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1050</w:t>
            </w:r>
          </w:p>
        </w:tc>
      </w:tr>
      <w:tr w14:paraId="7CA9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DBFBBF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1190" w:type="dxa"/>
            <w:vAlign w:val="center"/>
          </w:tcPr>
          <w:p w14:paraId="5F9B4D4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防水音柱</w:t>
            </w:r>
          </w:p>
        </w:tc>
        <w:tc>
          <w:tcPr>
            <w:tcW w:w="5574" w:type="dxa"/>
            <w:gridSpan w:val="2"/>
            <w:vAlign w:val="center"/>
          </w:tcPr>
          <w:p w14:paraId="63F1308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多媒体警报器定制型，额定输出功率：60W，输入阻抗：8Ω；</w:t>
            </w:r>
          </w:p>
        </w:tc>
        <w:tc>
          <w:tcPr>
            <w:tcW w:w="1186" w:type="dxa"/>
            <w:vAlign w:val="center"/>
          </w:tcPr>
          <w:p w14:paraId="36DF95A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3A7D86C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r>
      <w:tr w14:paraId="6A97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09679170">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1190" w:type="dxa"/>
            <w:shd w:val="clear" w:color="auto" w:fill="FFFFFF"/>
            <w:vAlign w:val="center"/>
          </w:tcPr>
          <w:p w14:paraId="65432BD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74" w:type="dxa"/>
            <w:gridSpan w:val="2"/>
            <w:vAlign w:val="center"/>
          </w:tcPr>
          <w:p w14:paraId="5CF67D4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吸盘天线，频率范围220-240  MHZ，全向增益5.5db，垂直极化，长度约1.2M</w:t>
            </w:r>
          </w:p>
        </w:tc>
        <w:tc>
          <w:tcPr>
            <w:tcW w:w="1186" w:type="dxa"/>
            <w:vAlign w:val="center"/>
          </w:tcPr>
          <w:p w14:paraId="7730C4E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1476" w:type="dxa"/>
            <w:vAlign w:val="center"/>
          </w:tcPr>
          <w:p w14:paraId="24FF20B9">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1F6A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41B15185">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1190" w:type="dxa"/>
            <w:vAlign w:val="center"/>
          </w:tcPr>
          <w:p w14:paraId="4A9132E8">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15米馈线</w:t>
            </w:r>
          </w:p>
        </w:tc>
        <w:tc>
          <w:tcPr>
            <w:tcW w:w="5574" w:type="dxa"/>
            <w:gridSpan w:val="2"/>
            <w:vAlign w:val="center"/>
          </w:tcPr>
          <w:p w14:paraId="3F5AD51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SYV-50-5，纯铜同轴电缆，阻抗50Ω</w:t>
            </w:r>
          </w:p>
        </w:tc>
        <w:tc>
          <w:tcPr>
            <w:tcW w:w="1186" w:type="dxa"/>
            <w:vAlign w:val="center"/>
          </w:tcPr>
          <w:p w14:paraId="1AAD689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09911F4D">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240</w:t>
            </w:r>
          </w:p>
        </w:tc>
      </w:tr>
      <w:tr w14:paraId="5920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5607B3D7">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1190" w:type="dxa"/>
            <w:shd w:val="clear" w:color="auto" w:fill="FFFFFF"/>
            <w:vAlign w:val="center"/>
          </w:tcPr>
          <w:p w14:paraId="008B348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w:t>
            </w:r>
          </w:p>
        </w:tc>
        <w:tc>
          <w:tcPr>
            <w:tcW w:w="5574" w:type="dxa"/>
            <w:gridSpan w:val="2"/>
            <w:vAlign w:val="center"/>
          </w:tcPr>
          <w:p w14:paraId="776A9DF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玻璃钢天线，含卡口，频率范围220-240 MHZ，全向增益3.5db，垂直极化，长度约1M</w:t>
            </w:r>
          </w:p>
        </w:tc>
        <w:tc>
          <w:tcPr>
            <w:tcW w:w="1186" w:type="dxa"/>
            <w:vAlign w:val="center"/>
          </w:tcPr>
          <w:p w14:paraId="503C04A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298B1E8F">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530</w:t>
            </w:r>
          </w:p>
        </w:tc>
      </w:tr>
      <w:tr w14:paraId="26A5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42920FAB">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1190" w:type="dxa"/>
            <w:vAlign w:val="center"/>
          </w:tcPr>
          <w:p w14:paraId="786FE02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天线支架</w:t>
            </w:r>
          </w:p>
        </w:tc>
        <w:tc>
          <w:tcPr>
            <w:tcW w:w="5574" w:type="dxa"/>
            <w:gridSpan w:val="2"/>
            <w:vAlign w:val="center"/>
          </w:tcPr>
          <w:p w14:paraId="76F6E12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玻璃钢天线固定支架</w:t>
            </w:r>
          </w:p>
        </w:tc>
        <w:tc>
          <w:tcPr>
            <w:tcW w:w="1186" w:type="dxa"/>
            <w:vAlign w:val="center"/>
          </w:tcPr>
          <w:p w14:paraId="78287CC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444859AD">
            <w:pPr>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320</w:t>
            </w:r>
          </w:p>
        </w:tc>
      </w:tr>
      <w:tr w14:paraId="3BBD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2979E5B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190" w:type="dxa"/>
            <w:vAlign w:val="center"/>
          </w:tcPr>
          <w:p w14:paraId="446E435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箱体除锈刷漆</w:t>
            </w:r>
          </w:p>
        </w:tc>
        <w:tc>
          <w:tcPr>
            <w:tcW w:w="5574" w:type="dxa"/>
            <w:gridSpan w:val="2"/>
            <w:vAlign w:val="center"/>
          </w:tcPr>
          <w:p w14:paraId="55197036">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媒体警报器设备部分箱体进行除锈刷漆，防腐蚀处理</w:t>
            </w:r>
          </w:p>
        </w:tc>
        <w:tc>
          <w:tcPr>
            <w:tcW w:w="1186" w:type="dxa"/>
            <w:vAlign w:val="center"/>
          </w:tcPr>
          <w:p w14:paraId="4BF2B62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3942337C">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1650</w:t>
            </w:r>
          </w:p>
        </w:tc>
      </w:tr>
      <w:tr w14:paraId="7DFE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7DC342D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1190" w:type="dxa"/>
            <w:vAlign w:val="center"/>
          </w:tcPr>
          <w:p w14:paraId="46E8640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箱体卡件和固定螺丝更换</w:t>
            </w:r>
          </w:p>
        </w:tc>
        <w:tc>
          <w:tcPr>
            <w:tcW w:w="5574" w:type="dxa"/>
            <w:gridSpan w:val="2"/>
            <w:vAlign w:val="center"/>
          </w:tcPr>
          <w:p w14:paraId="5C537C9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多媒体警报器设备部分箱体锈蚀卡件和锈蚀固定螺丝更换</w:t>
            </w:r>
          </w:p>
        </w:tc>
        <w:tc>
          <w:tcPr>
            <w:tcW w:w="1186" w:type="dxa"/>
            <w:vAlign w:val="center"/>
          </w:tcPr>
          <w:p w14:paraId="09DEE72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32%</w:t>
            </w:r>
          </w:p>
        </w:tc>
        <w:tc>
          <w:tcPr>
            <w:tcW w:w="1476" w:type="dxa"/>
            <w:vAlign w:val="center"/>
          </w:tcPr>
          <w:p w14:paraId="47575FAC">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750</w:t>
            </w:r>
          </w:p>
        </w:tc>
      </w:tr>
      <w:tr w14:paraId="0934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17D4ED6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1190" w:type="dxa"/>
            <w:vAlign w:val="center"/>
          </w:tcPr>
          <w:p w14:paraId="5EA3CB8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不锈钢外观清洁</w:t>
            </w:r>
          </w:p>
        </w:tc>
        <w:tc>
          <w:tcPr>
            <w:tcW w:w="5574" w:type="dxa"/>
            <w:gridSpan w:val="2"/>
            <w:vAlign w:val="center"/>
          </w:tcPr>
          <w:p w14:paraId="4CC2D3D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多媒体警报器设备不锈钢外观的小广告清理和清洗</w:t>
            </w:r>
          </w:p>
        </w:tc>
        <w:tc>
          <w:tcPr>
            <w:tcW w:w="1186" w:type="dxa"/>
            <w:vAlign w:val="center"/>
          </w:tcPr>
          <w:p w14:paraId="694630A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w:t>
            </w:r>
          </w:p>
        </w:tc>
        <w:tc>
          <w:tcPr>
            <w:tcW w:w="1476" w:type="dxa"/>
            <w:vAlign w:val="center"/>
          </w:tcPr>
          <w:p w14:paraId="44C65EEC">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120</w:t>
            </w:r>
          </w:p>
        </w:tc>
      </w:tr>
      <w:tr w14:paraId="24F4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3AD98C5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1190" w:type="dxa"/>
            <w:vAlign w:val="center"/>
          </w:tcPr>
          <w:p w14:paraId="46EA09E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徽标和丝印更新</w:t>
            </w:r>
          </w:p>
        </w:tc>
        <w:tc>
          <w:tcPr>
            <w:tcW w:w="5574" w:type="dxa"/>
            <w:gridSpan w:val="2"/>
            <w:vAlign w:val="center"/>
          </w:tcPr>
          <w:p w14:paraId="1B8B898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多媒体警报器设备徽标和丝印不清晰点位，进行更新处理</w:t>
            </w:r>
          </w:p>
        </w:tc>
        <w:tc>
          <w:tcPr>
            <w:tcW w:w="1186" w:type="dxa"/>
            <w:vAlign w:val="center"/>
          </w:tcPr>
          <w:p w14:paraId="53282EB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w:t>
            </w:r>
          </w:p>
        </w:tc>
        <w:tc>
          <w:tcPr>
            <w:tcW w:w="1476" w:type="dxa"/>
            <w:vAlign w:val="center"/>
          </w:tcPr>
          <w:p w14:paraId="47947260">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520</w:t>
            </w:r>
          </w:p>
        </w:tc>
      </w:tr>
      <w:tr w14:paraId="324B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shd w:val="clear" w:color="auto" w:fill="FFFFFF"/>
            <w:vAlign w:val="center"/>
          </w:tcPr>
          <w:p w14:paraId="5AE5B28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1190" w:type="dxa"/>
            <w:vAlign w:val="center"/>
          </w:tcPr>
          <w:p w14:paraId="38FF73E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框架拆解处理</w:t>
            </w:r>
          </w:p>
        </w:tc>
        <w:tc>
          <w:tcPr>
            <w:tcW w:w="5574" w:type="dxa"/>
            <w:gridSpan w:val="2"/>
            <w:vAlign w:val="center"/>
          </w:tcPr>
          <w:p w14:paraId="3B0E7D5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多媒体警报器设备重要部位进行拆解检查，确认框架是否存在安全隐患</w:t>
            </w:r>
          </w:p>
        </w:tc>
        <w:tc>
          <w:tcPr>
            <w:tcW w:w="1186" w:type="dxa"/>
            <w:vAlign w:val="center"/>
          </w:tcPr>
          <w:p w14:paraId="35EA9E2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04C26FE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1600</w:t>
            </w:r>
          </w:p>
        </w:tc>
      </w:tr>
      <w:tr w14:paraId="6518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1A141232">
            <w:pPr>
              <w:spacing w:line="72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1190" w:type="dxa"/>
            <w:vAlign w:val="center"/>
          </w:tcPr>
          <w:p w14:paraId="0F0AC17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框架加固除锈刷漆</w:t>
            </w:r>
          </w:p>
        </w:tc>
        <w:tc>
          <w:tcPr>
            <w:tcW w:w="5574" w:type="dxa"/>
            <w:gridSpan w:val="2"/>
            <w:vAlign w:val="center"/>
          </w:tcPr>
          <w:p w14:paraId="2AAD8A2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多媒体警报器设备针对框架锈蚀严重点位，进行加固、除锈、防腐及防锈处理</w:t>
            </w:r>
          </w:p>
        </w:tc>
        <w:tc>
          <w:tcPr>
            <w:tcW w:w="1186" w:type="dxa"/>
            <w:vAlign w:val="center"/>
          </w:tcPr>
          <w:p w14:paraId="5E9A381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1476" w:type="dxa"/>
            <w:vAlign w:val="center"/>
          </w:tcPr>
          <w:p w14:paraId="5D67759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225</w:t>
            </w:r>
          </w:p>
        </w:tc>
      </w:tr>
      <w:tr w14:paraId="4F2C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68B87E88">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1190" w:type="dxa"/>
            <w:vAlign w:val="center"/>
          </w:tcPr>
          <w:p w14:paraId="08DB275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设备接地处理</w:t>
            </w:r>
          </w:p>
        </w:tc>
        <w:tc>
          <w:tcPr>
            <w:tcW w:w="5574" w:type="dxa"/>
            <w:gridSpan w:val="2"/>
          </w:tcPr>
          <w:p w14:paraId="5A7FDDD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多媒体警报器设备接地性能检测及处理，其接地电阻值不应大于4Ω，且所有金属外壳、框架必须可靠等电位连接至接地极</w:t>
            </w:r>
          </w:p>
        </w:tc>
        <w:tc>
          <w:tcPr>
            <w:tcW w:w="1186" w:type="dxa"/>
            <w:vAlign w:val="center"/>
          </w:tcPr>
          <w:p w14:paraId="766F2AC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w:t>
            </w:r>
          </w:p>
        </w:tc>
        <w:tc>
          <w:tcPr>
            <w:tcW w:w="1476" w:type="dxa"/>
            <w:vAlign w:val="center"/>
          </w:tcPr>
          <w:p w14:paraId="21C9A0D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375</w:t>
            </w:r>
          </w:p>
        </w:tc>
      </w:tr>
      <w:tr w14:paraId="70F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67C524C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1190" w:type="dxa"/>
            <w:vAlign w:val="center"/>
          </w:tcPr>
          <w:p w14:paraId="1121A5D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地基加固处理</w:t>
            </w:r>
          </w:p>
        </w:tc>
        <w:tc>
          <w:tcPr>
            <w:tcW w:w="5574" w:type="dxa"/>
            <w:gridSpan w:val="2"/>
          </w:tcPr>
          <w:p w14:paraId="52E4DD8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地基部分由于周围施工或环境改变导致的安全隐患，需进行必要的混凝土加固处理</w:t>
            </w:r>
          </w:p>
        </w:tc>
        <w:tc>
          <w:tcPr>
            <w:tcW w:w="1186" w:type="dxa"/>
            <w:vAlign w:val="center"/>
          </w:tcPr>
          <w:p w14:paraId="3112B65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35EA19F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w:t>
            </w:r>
          </w:p>
        </w:tc>
      </w:tr>
      <w:tr w14:paraId="3527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17A01BA2">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1190" w:type="dxa"/>
            <w:vAlign w:val="center"/>
          </w:tcPr>
          <w:p w14:paraId="7450C52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屏体扶正处理</w:t>
            </w:r>
          </w:p>
        </w:tc>
        <w:tc>
          <w:tcPr>
            <w:tcW w:w="5574" w:type="dxa"/>
            <w:gridSpan w:val="2"/>
          </w:tcPr>
          <w:p w14:paraId="59A7746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屏体发生倾斜点位按情况进行扶正加固处理，必要时进行重新浇筑地基移机处理</w:t>
            </w:r>
          </w:p>
        </w:tc>
        <w:tc>
          <w:tcPr>
            <w:tcW w:w="1186" w:type="dxa"/>
            <w:vAlign w:val="center"/>
          </w:tcPr>
          <w:p w14:paraId="082A7A1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1476" w:type="dxa"/>
            <w:vAlign w:val="center"/>
          </w:tcPr>
          <w:p w14:paraId="609AFEA0">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3500</w:t>
            </w:r>
          </w:p>
        </w:tc>
      </w:tr>
      <w:tr w14:paraId="743E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3B52056A">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1190" w:type="dxa"/>
            <w:vAlign w:val="center"/>
          </w:tcPr>
          <w:p w14:paraId="54A6978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多媒体警报设备拆除</w:t>
            </w:r>
          </w:p>
        </w:tc>
        <w:tc>
          <w:tcPr>
            <w:tcW w:w="5574" w:type="dxa"/>
            <w:gridSpan w:val="2"/>
          </w:tcPr>
          <w:p w14:paraId="16104F6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辖区内多媒体警报器设施设点单位因房屋拆迁、改造等情况，完成警报设施的拆除</w:t>
            </w:r>
          </w:p>
        </w:tc>
        <w:tc>
          <w:tcPr>
            <w:tcW w:w="1186" w:type="dxa"/>
            <w:vAlign w:val="center"/>
          </w:tcPr>
          <w:p w14:paraId="0AC37DE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08C121E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5000</w:t>
            </w:r>
          </w:p>
        </w:tc>
      </w:tr>
      <w:tr w14:paraId="1B3D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2D2BB7AD">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1190" w:type="dxa"/>
            <w:vAlign w:val="center"/>
          </w:tcPr>
          <w:p w14:paraId="01323B1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多媒体警报设备再次安装（针对已拆除设备）</w:t>
            </w:r>
          </w:p>
        </w:tc>
        <w:tc>
          <w:tcPr>
            <w:tcW w:w="5574" w:type="dxa"/>
            <w:gridSpan w:val="2"/>
          </w:tcPr>
          <w:p w14:paraId="7F11D9F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辖区内多媒体警报器设施设点单位因房屋拆迁、改造等情况拆除后，完成多媒体警报设施再次安装</w:t>
            </w:r>
          </w:p>
        </w:tc>
        <w:tc>
          <w:tcPr>
            <w:tcW w:w="1186" w:type="dxa"/>
            <w:vAlign w:val="center"/>
          </w:tcPr>
          <w:p w14:paraId="6AE4A9A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1476" w:type="dxa"/>
            <w:vAlign w:val="center"/>
          </w:tcPr>
          <w:p w14:paraId="614E7DC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5000</w:t>
            </w:r>
          </w:p>
        </w:tc>
      </w:tr>
      <w:tr w14:paraId="1DE3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89" w:type="dxa"/>
            <w:gridSpan w:val="6"/>
          </w:tcPr>
          <w:p w14:paraId="183E021A">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四、人工及机械相关费用</w:t>
            </w:r>
          </w:p>
        </w:tc>
      </w:tr>
      <w:tr w14:paraId="0D2A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36A0260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1190" w:type="dxa"/>
            <w:vAlign w:val="center"/>
          </w:tcPr>
          <w:p w14:paraId="38DEEFC5">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人工费</w:t>
            </w:r>
          </w:p>
        </w:tc>
        <w:tc>
          <w:tcPr>
            <w:tcW w:w="5574" w:type="dxa"/>
            <w:gridSpan w:val="2"/>
          </w:tcPr>
          <w:p w14:paraId="5BA138A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人工每工日均价</w:t>
            </w:r>
          </w:p>
        </w:tc>
        <w:tc>
          <w:tcPr>
            <w:tcW w:w="1186" w:type="dxa"/>
            <w:vAlign w:val="center"/>
          </w:tcPr>
          <w:p w14:paraId="530626B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2E083D75">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600元/工日</w:t>
            </w:r>
          </w:p>
        </w:tc>
      </w:tr>
      <w:tr w14:paraId="627C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315C213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1190" w:type="dxa"/>
            <w:vAlign w:val="center"/>
          </w:tcPr>
          <w:p w14:paraId="3673B085">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车辆费</w:t>
            </w:r>
          </w:p>
        </w:tc>
        <w:tc>
          <w:tcPr>
            <w:tcW w:w="5574" w:type="dxa"/>
            <w:gridSpan w:val="2"/>
          </w:tcPr>
          <w:p w14:paraId="0F47C13A">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车辆每工日均价</w:t>
            </w:r>
          </w:p>
        </w:tc>
        <w:tc>
          <w:tcPr>
            <w:tcW w:w="1186" w:type="dxa"/>
            <w:vAlign w:val="center"/>
          </w:tcPr>
          <w:p w14:paraId="4ECC788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1539B90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520元/工日</w:t>
            </w:r>
          </w:p>
        </w:tc>
      </w:tr>
      <w:tr w14:paraId="1F62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63" w:type="dxa"/>
          </w:tcPr>
          <w:p w14:paraId="6FFF8B0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1190" w:type="dxa"/>
            <w:vAlign w:val="center"/>
          </w:tcPr>
          <w:p w14:paraId="398471B7">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机械费（吊车）</w:t>
            </w:r>
          </w:p>
        </w:tc>
        <w:tc>
          <w:tcPr>
            <w:tcW w:w="5574" w:type="dxa"/>
            <w:gridSpan w:val="2"/>
          </w:tcPr>
          <w:p w14:paraId="290B56E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吊机每台班均价</w:t>
            </w:r>
          </w:p>
        </w:tc>
        <w:tc>
          <w:tcPr>
            <w:tcW w:w="1186" w:type="dxa"/>
            <w:vAlign w:val="center"/>
          </w:tcPr>
          <w:p w14:paraId="33123C4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76" w:type="dxa"/>
            <w:vAlign w:val="center"/>
          </w:tcPr>
          <w:p w14:paraId="5D9E5D02">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1000元/台班</w:t>
            </w:r>
          </w:p>
        </w:tc>
      </w:tr>
    </w:tbl>
    <w:p w14:paraId="04424F70">
      <w:pPr>
        <w:shd w:val="clear"/>
        <w:snapToGrid w:val="0"/>
        <w:spacing w:line="360" w:lineRule="auto"/>
        <w:ind w:left="11" w:right="21"/>
        <w:jc w:val="both"/>
        <w:outlineLvl w:val="0"/>
        <w:rPr>
          <w:rFonts w:hint="eastAsia" w:ascii="微软雅黑" w:hAnsi="微软雅黑" w:eastAsia="微软雅黑" w:cs="微软雅黑"/>
          <w:b/>
          <w:color w:val="auto"/>
          <w:sz w:val="40"/>
          <w:highlight w:val="none"/>
        </w:rPr>
      </w:pPr>
    </w:p>
    <w:p w14:paraId="3DAF64A5">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45EBF5CF">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0804D945">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70D47913">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68CAD3AE">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2012FC45">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4024086C">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060733B8">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6060B1B5">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56878E82">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6C9E22A1">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014C89AE">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329FB088">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bookmarkEnd w:id="47"/>
    <w:p w14:paraId="1484BD72">
      <w:pPr>
        <w:spacing w:line="360" w:lineRule="auto"/>
        <w:jc w:val="center"/>
        <w:outlineLvl w:val="0"/>
        <w:rPr>
          <w:rFonts w:hint="eastAsia" w:ascii="方正小标宋简体" w:hAnsi="方正小标宋简体" w:eastAsia="方正小标宋简体" w:cs="方正小标宋简体"/>
          <w:color w:val="auto"/>
          <w:sz w:val="36"/>
          <w:szCs w:val="36"/>
          <w:highlight w:val="none"/>
        </w:rPr>
      </w:pPr>
      <w:bookmarkStart w:id="51" w:name="_Toc31021"/>
      <w:bookmarkStart w:id="52" w:name="_Toc31954"/>
      <w:r>
        <w:rPr>
          <w:rFonts w:hint="eastAsia" w:ascii="方正小标宋简体" w:hAnsi="方正小标宋简体" w:eastAsia="方正小标宋简体" w:cs="方正小标宋简体"/>
          <w:color w:val="auto"/>
          <w:sz w:val="36"/>
          <w:szCs w:val="36"/>
          <w:highlight w:val="none"/>
        </w:rPr>
        <w:t>第五章  合同文本</w:t>
      </w:r>
      <w:bookmarkEnd w:id="51"/>
    </w:p>
    <w:p w14:paraId="4364714A">
      <w:pPr>
        <w:spacing w:before="145" w:after="145" w:line="360" w:lineRule="auto"/>
        <w:jc w:val="center"/>
        <w:rPr>
          <w:rFonts w:hint="eastAsia" w:ascii="宋体" w:hAnsi="宋体"/>
          <w:bCs/>
          <w:color w:val="auto"/>
          <w:sz w:val="24"/>
          <w:highlight w:val="none"/>
        </w:rPr>
      </w:pPr>
      <w:r>
        <w:rPr>
          <w:rFonts w:hint="eastAsia" w:ascii="宋体" w:hAnsi="宋体"/>
          <w:bCs/>
          <w:color w:val="auto"/>
          <w:sz w:val="24"/>
          <w:highlight w:val="none"/>
        </w:rPr>
        <w:t>以下为本项目的合同条款，合同双方不得对招标、投标文件内容作实质性修改。</w:t>
      </w:r>
    </w:p>
    <w:p w14:paraId="7F5B0A88">
      <w:pPr>
        <w:pStyle w:val="81"/>
        <w:ind w:left="0"/>
        <w:rPr>
          <w:color w:val="auto"/>
          <w:highlight w:val="none"/>
        </w:rPr>
      </w:pPr>
    </w:p>
    <w:p w14:paraId="62AFFDC3">
      <w:pPr>
        <w:pStyle w:val="27"/>
        <w:ind w:firstLine="0"/>
        <w:rPr>
          <w:rFonts w:hint="eastAsia" w:ascii="宋体" w:hAnsi="宋体" w:eastAsia="宋体" w:cs="宋体"/>
          <w:b/>
          <w:color w:val="auto"/>
          <w:sz w:val="52"/>
          <w:szCs w:val="52"/>
          <w:highlight w:val="none"/>
        </w:rPr>
      </w:pPr>
    </w:p>
    <w:p w14:paraId="14A71382">
      <w:pPr>
        <w:pStyle w:val="27"/>
        <w:ind w:firstLine="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南京市政府采购合同（服务）</w:t>
      </w:r>
    </w:p>
    <w:p w14:paraId="68A42AC1">
      <w:pPr>
        <w:pStyle w:val="27"/>
        <w:ind w:firstLine="0"/>
        <w:rPr>
          <w:rFonts w:hint="eastAsia" w:ascii="宋体" w:hAnsi="宋体" w:eastAsia="宋体" w:cs="宋体"/>
          <w:color w:val="auto"/>
          <w:highlight w:val="none"/>
        </w:rPr>
      </w:pPr>
    </w:p>
    <w:p w14:paraId="7D0927B8">
      <w:pPr>
        <w:pStyle w:val="27"/>
        <w:ind w:firstLine="0"/>
        <w:rPr>
          <w:rFonts w:hint="eastAsia" w:ascii="宋体" w:hAnsi="宋体" w:eastAsia="宋体" w:cs="宋体"/>
          <w:color w:val="auto"/>
          <w:highlight w:val="none"/>
        </w:rPr>
      </w:pPr>
    </w:p>
    <w:p w14:paraId="6345B67A">
      <w:pPr>
        <w:pStyle w:val="27"/>
        <w:ind w:firstLine="0"/>
        <w:rPr>
          <w:rFonts w:hint="eastAsia" w:ascii="宋体" w:hAnsi="宋体" w:eastAsia="宋体" w:cs="宋体"/>
          <w:color w:val="auto"/>
          <w:highlight w:val="none"/>
        </w:rPr>
      </w:pPr>
    </w:p>
    <w:p w14:paraId="0476513F">
      <w:pPr>
        <w:pStyle w:val="27"/>
        <w:ind w:firstLine="0"/>
        <w:rPr>
          <w:rFonts w:hint="eastAsia" w:ascii="宋体" w:hAnsi="宋体" w:eastAsia="宋体" w:cs="宋体"/>
          <w:color w:val="auto"/>
          <w:highlight w:val="none"/>
        </w:rPr>
      </w:pPr>
    </w:p>
    <w:p w14:paraId="4A179914">
      <w:pPr>
        <w:pStyle w:val="27"/>
        <w:ind w:firstLine="0"/>
        <w:rPr>
          <w:rFonts w:hint="eastAsia" w:ascii="宋体" w:hAnsi="宋体" w:eastAsia="宋体" w:cs="宋体"/>
          <w:color w:val="auto"/>
          <w:highlight w:val="none"/>
        </w:rPr>
      </w:pPr>
    </w:p>
    <w:p w14:paraId="06588124">
      <w:pPr>
        <w:pStyle w:val="27"/>
        <w:ind w:firstLine="1841"/>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合同编号：</w:t>
      </w:r>
      <w:r>
        <w:rPr>
          <w:rFonts w:hint="eastAsia" w:ascii="宋体" w:hAnsi="宋体" w:eastAsia="宋体" w:cs="宋体"/>
          <w:b/>
          <w:color w:val="auto"/>
          <w:sz w:val="24"/>
          <w:szCs w:val="24"/>
          <w:highlight w:val="none"/>
          <w:u w:val="single"/>
        </w:rPr>
        <w:t xml:space="preserve">                          </w:t>
      </w:r>
    </w:p>
    <w:p w14:paraId="0C5EF2A3">
      <w:pPr>
        <w:pStyle w:val="27"/>
        <w:ind w:firstLine="1841"/>
        <w:rPr>
          <w:rFonts w:hint="eastAsia" w:ascii="宋体" w:hAnsi="宋体" w:eastAsia="宋体" w:cs="宋体"/>
          <w:b/>
          <w:color w:val="auto"/>
          <w:sz w:val="24"/>
          <w:szCs w:val="24"/>
          <w:highlight w:val="none"/>
        </w:rPr>
      </w:pPr>
    </w:p>
    <w:p w14:paraId="318EFF4D">
      <w:pPr>
        <w:pStyle w:val="27"/>
        <w:ind w:firstLine="1841"/>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项目名称：</w:t>
      </w:r>
      <w:r>
        <w:rPr>
          <w:rFonts w:hint="eastAsia" w:ascii="宋体" w:hAnsi="宋体" w:eastAsia="宋体" w:cs="宋体"/>
          <w:b/>
          <w:color w:val="auto"/>
          <w:sz w:val="24"/>
          <w:szCs w:val="24"/>
          <w:highlight w:val="none"/>
          <w:u w:val="single"/>
        </w:rPr>
        <w:t xml:space="preserve">                          </w:t>
      </w:r>
    </w:p>
    <w:p w14:paraId="55E50DA1">
      <w:pPr>
        <w:pStyle w:val="27"/>
        <w:ind w:firstLine="1841"/>
        <w:rPr>
          <w:rFonts w:hint="eastAsia" w:ascii="宋体" w:hAnsi="宋体" w:eastAsia="宋体" w:cs="宋体"/>
          <w:b/>
          <w:color w:val="auto"/>
          <w:sz w:val="24"/>
          <w:szCs w:val="24"/>
          <w:highlight w:val="none"/>
        </w:rPr>
      </w:pPr>
    </w:p>
    <w:p w14:paraId="4F48BF77">
      <w:pPr>
        <w:pStyle w:val="27"/>
        <w:ind w:firstLine="1841"/>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采购单位：</w:t>
      </w:r>
      <w:r>
        <w:rPr>
          <w:rFonts w:hint="eastAsia" w:ascii="宋体" w:hAnsi="宋体" w:eastAsia="宋体" w:cs="宋体"/>
          <w:b/>
          <w:color w:val="auto"/>
          <w:sz w:val="24"/>
          <w:szCs w:val="24"/>
          <w:highlight w:val="none"/>
          <w:u w:val="single"/>
        </w:rPr>
        <w:t xml:space="preserve">                          </w:t>
      </w:r>
    </w:p>
    <w:p w14:paraId="34E61A3D">
      <w:pPr>
        <w:pStyle w:val="27"/>
        <w:ind w:firstLine="1841"/>
        <w:rPr>
          <w:rFonts w:hint="eastAsia" w:ascii="宋体" w:hAnsi="宋体" w:eastAsia="宋体" w:cs="宋体"/>
          <w:b/>
          <w:color w:val="auto"/>
          <w:sz w:val="24"/>
          <w:szCs w:val="24"/>
          <w:highlight w:val="none"/>
        </w:rPr>
      </w:pPr>
    </w:p>
    <w:p w14:paraId="7A89601C">
      <w:pPr>
        <w:pStyle w:val="27"/>
        <w:ind w:firstLine="1841"/>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服务单位：</w:t>
      </w:r>
      <w:r>
        <w:rPr>
          <w:rFonts w:hint="eastAsia" w:ascii="宋体" w:hAnsi="宋体" w:eastAsia="宋体" w:cs="宋体"/>
          <w:b/>
          <w:color w:val="auto"/>
          <w:sz w:val="24"/>
          <w:szCs w:val="24"/>
          <w:highlight w:val="none"/>
          <w:u w:val="single"/>
        </w:rPr>
        <w:t xml:space="preserve">                          </w:t>
      </w:r>
    </w:p>
    <w:p w14:paraId="03391D18">
      <w:pPr>
        <w:pStyle w:val="27"/>
        <w:ind w:firstLine="1841"/>
        <w:rPr>
          <w:rFonts w:hint="eastAsia" w:ascii="宋体" w:hAnsi="宋体" w:eastAsia="宋体" w:cs="宋体"/>
          <w:b/>
          <w:color w:val="auto"/>
          <w:sz w:val="24"/>
          <w:szCs w:val="24"/>
          <w:highlight w:val="none"/>
        </w:rPr>
      </w:pPr>
    </w:p>
    <w:p w14:paraId="411DCC34">
      <w:pPr>
        <w:pStyle w:val="27"/>
        <w:ind w:firstLine="1841"/>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签订日期：</w:t>
      </w:r>
      <w:r>
        <w:rPr>
          <w:rFonts w:hint="eastAsia" w:ascii="宋体" w:hAnsi="宋体" w:eastAsia="宋体" w:cs="宋体"/>
          <w:b/>
          <w:color w:val="auto"/>
          <w:sz w:val="24"/>
          <w:szCs w:val="24"/>
          <w:highlight w:val="none"/>
          <w:u w:val="single"/>
        </w:rPr>
        <w:t xml:space="preserve">                          </w:t>
      </w:r>
    </w:p>
    <w:p w14:paraId="2F2FC05C">
      <w:pPr>
        <w:pStyle w:val="27"/>
        <w:ind w:firstLine="1841"/>
        <w:rPr>
          <w:rFonts w:hint="eastAsia" w:ascii="宋体" w:hAnsi="宋体" w:eastAsia="宋体" w:cs="宋体"/>
          <w:b/>
          <w:color w:val="auto"/>
          <w:sz w:val="24"/>
          <w:szCs w:val="24"/>
          <w:highlight w:val="none"/>
        </w:rPr>
      </w:pPr>
    </w:p>
    <w:p w14:paraId="55F34F41">
      <w:pPr>
        <w:pStyle w:val="27"/>
        <w:ind w:firstLine="0"/>
        <w:rPr>
          <w:rFonts w:hint="eastAsia" w:ascii="宋体" w:hAnsi="宋体" w:eastAsia="宋体" w:cs="宋体"/>
          <w:b/>
          <w:color w:val="auto"/>
          <w:highlight w:val="none"/>
        </w:rPr>
      </w:pPr>
    </w:p>
    <w:p w14:paraId="7234558A">
      <w:pPr>
        <w:pStyle w:val="27"/>
        <w:ind w:firstLine="0"/>
        <w:rPr>
          <w:rFonts w:hint="eastAsia" w:ascii="宋体" w:hAnsi="宋体" w:eastAsia="宋体" w:cs="宋体"/>
          <w:color w:val="auto"/>
          <w:highlight w:val="none"/>
        </w:rPr>
      </w:pPr>
    </w:p>
    <w:p w14:paraId="5CC282AC">
      <w:pPr>
        <w:pStyle w:val="27"/>
        <w:ind w:firstLine="0"/>
        <w:rPr>
          <w:rFonts w:hint="eastAsia" w:ascii="宋体" w:hAnsi="宋体" w:eastAsia="宋体" w:cs="宋体"/>
          <w:b/>
          <w:color w:val="auto"/>
          <w:highlight w:val="none"/>
        </w:rPr>
      </w:pPr>
    </w:p>
    <w:p w14:paraId="2D1BDDEC">
      <w:pPr>
        <w:pStyle w:val="27"/>
        <w:ind w:firstLine="0"/>
        <w:rPr>
          <w:rFonts w:hint="eastAsia" w:ascii="宋体" w:hAnsi="宋体" w:eastAsia="宋体" w:cs="宋体"/>
          <w:b/>
          <w:color w:val="auto"/>
          <w:highlight w:val="none"/>
        </w:rPr>
      </w:pPr>
    </w:p>
    <w:p w14:paraId="211D6D9E">
      <w:pPr>
        <w:pStyle w:val="27"/>
        <w:ind w:firstLine="0"/>
        <w:jc w:val="center"/>
        <w:outlineLvl w:val="1"/>
        <w:rPr>
          <w:rFonts w:hint="eastAsia" w:ascii="宋体" w:hAnsi="宋体" w:eastAsia="宋体" w:cs="宋体"/>
          <w:b/>
          <w:color w:val="auto"/>
          <w:sz w:val="24"/>
          <w:szCs w:val="24"/>
          <w:highlight w:val="none"/>
        </w:rPr>
      </w:pPr>
      <w:bookmarkStart w:id="53" w:name="_Toc32384"/>
      <w:r>
        <w:rPr>
          <w:rFonts w:hint="eastAsia" w:ascii="宋体" w:hAnsi="宋体" w:eastAsia="宋体" w:cs="宋体"/>
          <w:b/>
          <w:color w:val="auto"/>
          <w:sz w:val="24"/>
          <w:szCs w:val="24"/>
          <w:highlight w:val="none"/>
        </w:rPr>
        <w:t>南京市工商行政管理局</w:t>
      </w:r>
      <w:bookmarkEnd w:id="53"/>
    </w:p>
    <w:p w14:paraId="010319CC">
      <w:pPr>
        <w:pStyle w:val="27"/>
        <w:ind w:firstLine="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监制</w:t>
      </w:r>
    </w:p>
    <w:p w14:paraId="6F0160F4">
      <w:pPr>
        <w:pStyle w:val="27"/>
        <w:ind w:firstLine="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南京市财政局</w:t>
      </w:r>
    </w:p>
    <w:p w14:paraId="22F1532D">
      <w:pPr>
        <w:pStyle w:val="27"/>
        <w:ind w:firstLine="0"/>
        <w:rPr>
          <w:rFonts w:hint="eastAsia" w:ascii="宋体" w:hAnsi="宋体" w:eastAsia="宋体" w:cs="宋体"/>
          <w:b/>
          <w:color w:val="auto"/>
          <w:highlight w:val="none"/>
        </w:rPr>
      </w:pPr>
    </w:p>
    <w:p w14:paraId="1F109EF8">
      <w:pPr>
        <w:pStyle w:val="27"/>
        <w:ind w:firstLine="0"/>
        <w:rPr>
          <w:rFonts w:hint="eastAsia" w:ascii="宋体" w:hAnsi="宋体" w:eastAsia="宋体" w:cs="宋体"/>
          <w:b/>
          <w:color w:val="auto"/>
          <w:highlight w:val="none"/>
        </w:rPr>
      </w:pPr>
    </w:p>
    <w:p w14:paraId="5BAF5DB8">
      <w:pPr>
        <w:pStyle w:val="27"/>
        <w:ind w:firstLine="0"/>
        <w:rPr>
          <w:rFonts w:hint="eastAsia" w:ascii="宋体" w:hAnsi="宋体" w:eastAsia="宋体" w:cs="宋体"/>
          <w:b/>
          <w:color w:val="auto"/>
          <w:highlight w:val="none"/>
        </w:rPr>
      </w:pPr>
    </w:p>
    <w:p w14:paraId="71AB3C93">
      <w:pPr>
        <w:pStyle w:val="27"/>
        <w:ind w:firstLine="0"/>
        <w:rPr>
          <w:rFonts w:hint="eastAsia" w:ascii="宋体" w:hAnsi="宋体" w:eastAsia="宋体" w:cs="宋体"/>
          <w:b/>
          <w:color w:val="auto"/>
          <w:highlight w:val="none"/>
        </w:rPr>
      </w:pPr>
    </w:p>
    <w:p w14:paraId="513FC059">
      <w:pPr>
        <w:pStyle w:val="27"/>
        <w:ind w:firstLine="0"/>
        <w:rPr>
          <w:rFonts w:hint="eastAsia" w:ascii="宋体" w:hAnsi="宋体" w:eastAsia="宋体" w:cs="宋体"/>
          <w:b/>
          <w:color w:val="auto"/>
          <w:highlight w:val="none"/>
        </w:rPr>
      </w:pPr>
    </w:p>
    <w:p w14:paraId="15C2F45F">
      <w:pPr>
        <w:pStyle w:val="27"/>
        <w:ind w:firstLine="0"/>
        <w:rPr>
          <w:rFonts w:hint="eastAsia" w:ascii="宋体" w:hAnsi="宋体" w:eastAsia="宋体" w:cs="宋体"/>
          <w:b/>
          <w:color w:val="auto"/>
          <w:highlight w:val="none"/>
        </w:rPr>
      </w:pPr>
    </w:p>
    <w:p w14:paraId="73259269">
      <w:pPr>
        <w:pStyle w:val="27"/>
        <w:ind w:firstLine="0"/>
        <w:jc w:val="center"/>
        <w:rPr>
          <w:rFonts w:hint="eastAsia" w:ascii="宋体" w:hAnsi="宋体" w:eastAsia="宋体" w:cs="宋体"/>
          <w:b/>
          <w:color w:val="auto"/>
          <w:sz w:val="24"/>
          <w:szCs w:val="24"/>
          <w:highlight w:val="none"/>
        </w:rPr>
      </w:pPr>
    </w:p>
    <w:p w14:paraId="036EC54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clear="all"/>
      </w:r>
    </w:p>
    <w:tbl>
      <w:tblPr>
        <w:tblStyle w:val="20"/>
        <w:tblW w:w="0" w:type="auto"/>
        <w:tblInd w:w="0" w:type="dxa"/>
        <w:tblLayout w:type="fixed"/>
        <w:tblCellMar>
          <w:top w:w="0" w:type="dxa"/>
          <w:left w:w="0" w:type="dxa"/>
          <w:bottom w:w="0" w:type="dxa"/>
          <w:right w:w="0" w:type="dxa"/>
        </w:tblCellMar>
      </w:tblPr>
      <w:tblGrid>
        <w:gridCol w:w="4271"/>
        <w:gridCol w:w="4251"/>
      </w:tblGrid>
      <w:tr w14:paraId="59C1AA64">
        <w:tblPrEx>
          <w:tblCellMar>
            <w:top w:w="0" w:type="dxa"/>
            <w:left w:w="0" w:type="dxa"/>
            <w:bottom w:w="0" w:type="dxa"/>
            <w:right w:w="0" w:type="dxa"/>
          </w:tblCellMar>
        </w:tblPrEx>
        <w:tc>
          <w:tcPr>
            <w:tcW w:w="4271" w:type="dxa"/>
            <w:tcBorders>
              <w:top w:val="nil"/>
              <w:left w:val="nil"/>
              <w:bottom w:val="nil"/>
              <w:right w:val="nil"/>
            </w:tcBorders>
            <w:shd w:val="clear" w:color="auto" w:fill="FFFFFF"/>
            <w:tcMar>
              <w:top w:w="0" w:type="dxa"/>
              <w:left w:w="108" w:type="dxa"/>
              <w:bottom w:w="0" w:type="dxa"/>
              <w:right w:w="108" w:type="dxa"/>
            </w:tcMar>
          </w:tcPr>
          <w:p w14:paraId="4B93D7E4">
            <w:pPr>
              <w:widowControl/>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采购人（以下称甲方）：</w:t>
            </w:r>
          </w:p>
        </w:tc>
        <w:tc>
          <w:tcPr>
            <w:tcW w:w="4251" w:type="dxa"/>
            <w:tcBorders>
              <w:top w:val="nil"/>
              <w:left w:val="nil"/>
              <w:bottom w:val="nil"/>
              <w:right w:val="nil"/>
            </w:tcBorders>
            <w:shd w:val="clear" w:color="auto" w:fill="FFFFFF"/>
            <w:tcMar>
              <w:top w:w="0" w:type="dxa"/>
              <w:left w:w="108" w:type="dxa"/>
              <w:bottom w:w="0" w:type="dxa"/>
              <w:right w:w="108" w:type="dxa"/>
            </w:tcMar>
          </w:tcPr>
          <w:p w14:paraId="01CE1329">
            <w:pPr>
              <w:widowControl/>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供应商：（以下称乙方）</w:t>
            </w:r>
          </w:p>
        </w:tc>
      </w:tr>
      <w:tr w14:paraId="0BBFEFFB">
        <w:tblPrEx>
          <w:tblCellMar>
            <w:top w:w="0" w:type="dxa"/>
            <w:left w:w="0" w:type="dxa"/>
            <w:bottom w:w="0" w:type="dxa"/>
            <w:right w:w="0" w:type="dxa"/>
          </w:tblCellMar>
        </w:tblPrEx>
        <w:tc>
          <w:tcPr>
            <w:tcW w:w="4271" w:type="dxa"/>
            <w:tcBorders>
              <w:top w:val="nil"/>
              <w:left w:val="nil"/>
              <w:bottom w:val="nil"/>
              <w:right w:val="nil"/>
            </w:tcBorders>
            <w:shd w:val="clear" w:color="auto" w:fill="FFFFFF"/>
            <w:tcMar>
              <w:top w:w="0" w:type="dxa"/>
              <w:left w:w="108" w:type="dxa"/>
              <w:bottom w:w="0" w:type="dxa"/>
              <w:right w:w="108" w:type="dxa"/>
            </w:tcMar>
          </w:tcPr>
          <w:p w14:paraId="75B29565">
            <w:pPr>
              <w:widowControl/>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住所地：</w:t>
            </w:r>
          </w:p>
        </w:tc>
        <w:tc>
          <w:tcPr>
            <w:tcW w:w="4251" w:type="dxa"/>
            <w:tcBorders>
              <w:top w:val="nil"/>
              <w:left w:val="nil"/>
              <w:bottom w:val="nil"/>
              <w:right w:val="nil"/>
            </w:tcBorders>
            <w:shd w:val="clear" w:color="auto" w:fill="FFFFFF"/>
            <w:tcMar>
              <w:top w:w="0" w:type="dxa"/>
              <w:left w:w="108" w:type="dxa"/>
              <w:bottom w:w="0" w:type="dxa"/>
              <w:right w:w="108" w:type="dxa"/>
            </w:tcMar>
          </w:tcPr>
          <w:p w14:paraId="5F1A3714">
            <w:pPr>
              <w:widowControl/>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住所地：</w:t>
            </w:r>
          </w:p>
        </w:tc>
      </w:tr>
    </w:tbl>
    <w:p w14:paraId="5D66315F">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 </w:t>
      </w:r>
    </w:p>
    <w:p w14:paraId="3480E467">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根据《中华人民共和国政府采购法》、《中华人民共和国民法典》等法律法规的规定，甲乙双方按照</w:t>
      </w:r>
      <w:r>
        <w:rPr>
          <w:rFonts w:hint="eastAsia" w:ascii="宋体" w:hAnsi="宋体" w:eastAsia="宋体"/>
          <w:color w:val="auto"/>
          <w:sz w:val="24"/>
          <w:szCs w:val="24"/>
          <w:highlight w:val="none"/>
          <w:u w:val="single"/>
          <w:lang w:eastAsia="zh-CN"/>
        </w:rPr>
        <w:t>南京普诚工程咨询管理有限公司</w:t>
      </w:r>
      <w:r>
        <w:rPr>
          <w:rFonts w:hint="eastAsia" w:ascii="宋体" w:hAnsi="宋体"/>
          <w:color w:val="auto"/>
          <w:sz w:val="24"/>
          <w:szCs w:val="24"/>
          <w:highlight w:val="none"/>
        </w:rPr>
        <w:t>的采购结果签订本合同。</w:t>
      </w:r>
    </w:p>
    <w:p w14:paraId="4FC7038E">
      <w:pPr>
        <w:widowControl/>
        <w:shd w:val="clear" w:color="auto" w:fill="FFFFFF"/>
        <w:spacing w:line="360" w:lineRule="auto"/>
        <w:ind w:firstLine="422"/>
        <w:rPr>
          <w:rFonts w:hint="eastAsia" w:ascii="宋体" w:hAnsi="宋体"/>
          <w:color w:val="auto"/>
          <w:sz w:val="24"/>
          <w:szCs w:val="24"/>
          <w:highlight w:val="none"/>
        </w:rPr>
      </w:pPr>
      <w:r>
        <w:rPr>
          <w:rFonts w:hint="eastAsia" w:ascii="宋体" w:hAnsi="宋体"/>
          <w:b/>
          <w:bCs/>
          <w:color w:val="auto"/>
          <w:sz w:val="24"/>
          <w:szCs w:val="24"/>
          <w:highlight w:val="none"/>
        </w:rPr>
        <w:t>第一条合同标的</w:t>
      </w:r>
      <w:r>
        <w:rPr>
          <w:rFonts w:ascii="宋体" w:hAnsi="宋体"/>
          <w:color w:val="auto"/>
          <w:sz w:val="24"/>
          <w:szCs w:val="24"/>
          <w:highlight w:val="none"/>
        </w:rPr>
        <w:t> </w:t>
      </w:r>
    </w:p>
    <w:p w14:paraId="20E04B02">
      <w:pPr>
        <w:widowControl/>
        <w:shd w:val="clear" w:color="auto" w:fill="FFFFFF"/>
        <w:spacing w:line="360" w:lineRule="auto"/>
        <w:ind w:firstLine="422"/>
        <w:rPr>
          <w:rFonts w:hint="eastAsia" w:ascii="宋体" w:hAnsi="宋体"/>
          <w:color w:val="auto"/>
          <w:sz w:val="24"/>
          <w:szCs w:val="24"/>
          <w:highlight w:val="none"/>
        </w:rPr>
      </w:pPr>
      <w:r>
        <w:rPr>
          <w:rFonts w:hint="eastAsia" w:ascii="宋体" w:hAnsi="宋体"/>
          <w:color w:val="auto"/>
          <w:sz w:val="24"/>
          <w:szCs w:val="24"/>
          <w:highlight w:val="none"/>
        </w:rPr>
        <w:t>乙方根据甲方要求提供下列服务：</w:t>
      </w:r>
      <w:r>
        <w:rPr>
          <w:rFonts w:ascii="宋体" w:hAnsi="宋体"/>
          <w:color w:val="auto"/>
          <w:sz w:val="24"/>
          <w:szCs w:val="24"/>
          <w:highlight w:val="none"/>
          <w:u w:val="single"/>
        </w:rPr>
        <w:t> </w:t>
      </w:r>
      <w:r>
        <w:rPr>
          <w:rFonts w:hint="eastAsia" w:ascii="宋体" w:hAnsi="宋体"/>
          <w:color w:val="auto"/>
          <w:sz w:val="24"/>
          <w:szCs w:val="24"/>
          <w:highlight w:val="none"/>
          <w:u w:val="single"/>
          <w:lang w:val="zh-CN"/>
        </w:rPr>
        <w:t>江宁区2026年度防空警报设施维护保养服务</w:t>
      </w:r>
      <w:r>
        <w:rPr>
          <w:rFonts w:ascii="宋体" w:hAnsi="宋体"/>
          <w:color w:val="auto"/>
          <w:sz w:val="24"/>
          <w:szCs w:val="24"/>
          <w:highlight w:val="none"/>
          <w:u w:val="single"/>
        </w:rPr>
        <w:t> </w:t>
      </w:r>
      <w:r>
        <w:rPr>
          <w:rFonts w:hint="eastAsia" w:ascii="宋体" w:hAnsi="宋体"/>
          <w:color w:val="auto"/>
          <w:sz w:val="24"/>
          <w:szCs w:val="24"/>
          <w:highlight w:val="none"/>
        </w:rPr>
        <w:t>，服务内容详见乙方响应性文件等。</w:t>
      </w:r>
    </w:p>
    <w:p w14:paraId="57AA5F32">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第二条合同总价款</w:t>
      </w:r>
      <w:r>
        <w:rPr>
          <w:rFonts w:ascii="宋体" w:hAnsi="宋体"/>
          <w:color w:val="auto"/>
          <w:sz w:val="24"/>
          <w:szCs w:val="24"/>
          <w:highlight w:val="none"/>
        </w:rPr>
        <w:t> </w:t>
      </w:r>
    </w:p>
    <w:p w14:paraId="3E12E857">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本合同项下服务总价款为</w:t>
      </w:r>
      <w:r>
        <w:rPr>
          <w:rFonts w:hint="eastAsia" w:ascii="宋体" w:hAnsi="宋体" w:eastAsia="宋体"/>
          <w:color w:val="auto"/>
          <w:sz w:val="24"/>
          <w:szCs w:val="24"/>
          <w:highlight w:val="none"/>
        </w:rPr>
        <w:t xml:space="preserve"> </w:t>
      </w:r>
      <w:r>
        <w:rPr>
          <w:rFonts w:hint="eastAsia" w:ascii="宋体" w:hAnsi="宋体" w:eastAsia="宋体"/>
          <w:color w:val="auto"/>
          <w:sz w:val="24"/>
          <w:szCs w:val="24"/>
          <w:highlight w:val="none"/>
          <w:u w:val="single"/>
        </w:rPr>
        <w:t xml:space="preserve">                </w:t>
      </w:r>
      <w:r>
        <w:rPr>
          <w:rFonts w:hint="eastAsia" w:ascii="宋体" w:hAnsi="宋体"/>
          <w:color w:val="auto"/>
          <w:sz w:val="24"/>
          <w:szCs w:val="24"/>
          <w:highlight w:val="none"/>
        </w:rPr>
        <w:t>（大写）人民币，分项价款在“分项报价表”中有明确规定。</w:t>
      </w:r>
    </w:p>
    <w:p w14:paraId="76683003">
      <w:pPr>
        <w:widowControl/>
        <w:shd w:val="clear" w:color="auto" w:fill="FFFFFF"/>
        <w:spacing w:line="360" w:lineRule="auto"/>
        <w:ind w:firstLine="472" w:firstLineChars="196"/>
        <w:rPr>
          <w:rFonts w:hint="eastAsia" w:ascii="宋体" w:hAnsi="宋体"/>
          <w:color w:val="auto"/>
          <w:sz w:val="24"/>
          <w:szCs w:val="24"/>
          <w:highlight w:val="none"/>
        </w:rPr>
      </w:pPr>
      <w:r>
        <w:rPr>
          <w:rFonts w:hint="eastAsia" w:ascii="宋体" w:hAnsi="宋体"/>
          <w:b/>
          <w:bCs/>
          <w:color w:val="auto"/>
          <w:sz w:val="24"/>
          <w:szCs w:val="24"/>
          <w:highlight w:val="none"/>
        </w:rPr>
        <w:t>第三条</w:t>
      </w:r>
      <w:r>
        <w:rPr>
          <w:rFonts w:ascii="宋体" w:hAnsi="宋体"/>
          <w:b/>
          <w:bCs/>
          <w:color w:val="auto"/>
          <w:sz w:val="24"/>
          <w:szCs w:val="24"/>
          <w:highlight w:val="none"/>
        </w:rPr>
        <w:t> </w:t>
      </w:r>
      <w:r>
        <w:rPr>
          <w:rFonts w:hint="eastAsia" w:ascii="宋体" w:hAnsi="宋体"/>
          <w:b/>
          <w:bCs/>
          <w:color w:val="auto"/>
          <w:sz w:val="24"/>
          <w:szCs w:val="24"/>
          <w:highlight w:val="none"/>
        </w:rPr>
        <w:t>组成本合同的有关文件</w:t>
      </w:r>
      <w:r>
        <w:rPr>
          <w:rFonts w:ascii="宋体" w:hAnsi="宋体"/>
          <w:color w:val="auto"/>
          <w:sz w:val="24"/>
          <w:szCs w:val="24"/>
          <w:highlight w:val="none"/>
        </w:rPr>
        <w:t>  </w:t>
      </w:r>
    </w:p>
    <w:p w14:paraId="1606DE33">
      <w:pPr>
        <w:widowControl/>
        <w:shd w:val="clear" w:color="auto" w:fill="FFFFFF"/>
        <w:spacing w:line="360" w:lineRule="auto"/>
        <w:ind w:firstLine="470" w:firstLineChars="196"/>
        <w:rPr>
          <w:rFonts w:hint="eastAsia" w:ascii="宋体" w:hAnsi="宋体"/>
          <w:color w:val="auto"/>
          <w:sz w:val="24"/>
          <w:szCs w:val="24"/>
          <w:highlight w:val="none"/>
        </w:rPr>
      </w:pPr>
      <w:r>
        <w:rPr>
          <w:rFonts w:hint="eastAsia" w:ascii="宋体" w:hAnsi="宋体"/>
          <w:color w:val="auto"/>
          <w:sz w:val="24"/>
          <w:szCs w:val="24"/>
          <w:highlight w:val="none"/>
        </w:rPr>
        <w:t>甲方采购文件、乙方响应文件和有关附件是本合同不可分割的组成部分，与本合同具有同等法律效力。</w:t>
      </w:r>
    </w:p>
    <w:p w14:paraId="20870ECA">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第四条</w:t>
      </w:r>
      <w:r>
        <w:rPr>
          <w:rFonts w:ascii="宋体" w:hAnsi="宋体"/>
          <w:b/>
          <w:bCs/>
          <w:color w:val="auto"/>
          <w:sz w:val="24"/>
          <w:szCs w:val="24"/>
          <w:highlight w:val="none"/>
        </w:rPr>
        <w:t> </w:t>
      </w:r>
      <w:r>
        <w:rPr>
          <w:rFonts w:hint="eastAsia" w:ascii="宋体" w:hAnsi="宋体"/>
          <w:b/>
          <w:bCs/>
          <w:color w:val="auto"/>
          <w:sz w:val="24"/>
          <w:szCs w:val="24"/>
          <w:highlight w:val="none"/>
        </w:rPr>
        <w:t>权利保证</w:t>
      </w:r>
    </w:p>
    <w:p w14:paraId="784F2110">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乙方应保证为甲方提供货物和服务任何一部分时不受第三方提出侵犯其专利权、版权、商标权或其他权利的起诉。一旦出现侵权，乙方应承担全部责任。</w:t>
      </w:r>
    </w:p>
    <w:p w14:paraId="0EB4602C">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第五条</w:t>
      </w:r>
      <w:r>
        <w:rPr>
          <w:rFonts w:ascii="宋体" w:hAnsi="宋体"/>
          <w:b/>
          <w:bCs/>
          <w:color w:val="auto"/>
          <w:sz w:val="24"/>
          <w:szCs w:val="24"/>
          <w:highlight w:val="none"/>
        </w:rPr>
        <w:t> </w:t>
      </w:r>
      <w:r>
        <w:rPr>
          <w:rFonts w:hint="eastAsia" w:ascii="宋体" w:hAnsi="宋体"/>
          <w:b/>
          <w:bCs/>
          <w:color w:val="auto"/>
          <w:sz w:val="24"/>
          <w:szCs w:val="24"/>
          <w:highlight w:val="none"/>
        </w:rPr>
        <w:t>质量保证</w:t>
      </w:r>
    </w:p>
    <w:p w14:paraId="38DA271D">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乙方提供的服务必须全部达到采购文件各项要求，国家或行业有规定的，还要符合相应规定。</w:t>
      </w:r>
    </w:p>
    <w:p w14:paraId="241B670B">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第六条</w:t>
      </w:r>
      <w:r>
        <w:rPr>
          <w:rFonts w:ascii="宋体" w:hAnsi="宋体"/>
          <w:b/>
          <w:bCs/>
          <w:color w:val="auto"/>
          <w:sz w:val="24"/>
          <w:szCs w:val="24"/>
          <w:highlight w:val="none"/>
        </w:rPr>
        <w:t> </w:t>
      </w:r>
      <w:r>
        <w:rPr>
          <w:rFonts w:hint="eastAsia" w:ascii="宋体" w:hAnsi="宋体"/>
          <w:b/>
          <w:bCs/>
          <w:color w:val="auto"/>
          <w:sz w:val="24"/>
          <w:szCs w:val="24"/>
          <w:highlight w:val="none"/>
        </w:rPr>
        <w:t>交付使用和验收</w:t>
      </w:r>
    </w:p>
    <w:p w14:paraId="4A4CCCDD">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、乙方应当在合同签订后</w:t>
      </w:r>
      <w:r>
        <w:rPr>
          <w:rFonts w:hint="eastAsia" w:ascii="宋体" w:hAnsi="宋体" w:eastAsia="宋体"/>
          <w:color w:val="auto"/>
          <w:sz w:val="24"/>
          <w:szCs w:val="24"/>
          <w:highlight w:val="none"/>
          <w:u w:val="single"/>
        </w:rPr>
        <w:t>按照采购文件要求</w:t>
      </w:r>
      <w:r>
        <w:rPr>
          <w:rFonts w:hint="eastAsia" w:ascii="宋体" w:hAnsi="宋体"/>
          <w:color w:val="auto"/>
          <w:sz w:val="24"/>
          <w:szCs w:val="24"/>
          <w:highlight w:val="none"/>
        </w:rPr>
        <w:t>完成采购文件规定的项目并交付甲方使用。采购文件有约定的，从其约定。</w:t>
      </w:r>
    </w:p>
    <w:p w14:paraId="7F5C1924">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、甲方自行组织或视情邀请相关专家或国家认可的质量检测机构参加验收，乙方提供的服务不符合采购文件和合同规定的，甲方有权拒收，并承担验收费用等。</w:t>
      </w:r>
    </w:p>
    <w:p w14:paraId="0B3D78A3">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第七条</w:t>
      </w:r>
      <w:r>
        <w:rPr>
          <w:rFonts w:ascii="宋体" w:hAnsi="宋体"/>
          <w:b/>
          <w:bCs/>
          <w:color w:val="auto"/>
          <w:sz w:val="24"/>
          <w:szCs w:val="24"/>
          <w:highlight w:val="none"/>
        </w:rPr>
        <w:t> </w:t>
      </w:r>
      <w:r>
        <w:rPr>
          <w:rFonts w:hint="eastAsia" w:ascii="宋体" w:hAnsi="宋体"/>
          <w:b/>
          <w:bCs/>
          <w:color w:val="auto"/>
          <w:sz w:val="24"/>
          <w:szCs w:val="24"/>
          <w:highlight w:val="none"/>
        </w:rPr>
        <w:t>合同款支付</w:t>
      </w:r>
    </w:p>
    <w:p w14:paraId="5049B0BF">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、本合同项下所有款项均以人民币支付。</w:t>
      </w:r>
    </w:p>
    <w:p w14:paraId="360E7DAF">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、本合同项下的采购资金由甲方自行支付，乙方向甲方开具发票。</w:t>
      </w:r>
    </w:p>
    <w:p w14:paraId="64F8646F">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、付款方式：</w:t>
      </w:r>
    </w:p>
    <w:p w14:paraId="2831E991">
      <w:pPr>
        <w:spacing w:line="360" w:lineRule="auto"/>
        <w:ind w:firstLine="56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Arial" w:hAnsi="Arial" w:eastAsia="宋体" w:cs="Arial"/>
          <w:color w:val="auto"/>
          <w:spacing w:val="8"/>
          <w:sz w:val="24"/>
          <w:szCs w:val="24"/>
          <w:highlight w:val="none"/>
        </w:rPr>
        <w:t>巡检维护服务费：</w:t>
      </w:r>
      <w:r>
        <w:rPr>
          <w:rFonts w:hint="eastAsia" w:ascii="宋体" w:hAnsi="宋体" w:cs="宋体"/>
          <w:color w:val="auto"/>
          <w:sz w:val="24"/>
          <w:szCs w:val="24"/>
          <w:highlight w:val="none"/>
        </w:rPr>
        <w:t>合同签订生效后，甲方支付合同总价的30%；9月18日“防空警报试鸣日”结束后，支付至合同总价的90%；12月13日“国家公祭日”结束</w:t>
      </w:r>
      <w:r>
        <w:rPr>
          <w:rFonts w:ascii="宋体" w:hAnsi="宋体" w:cs="宋体"/>
          <w:color w:val="auto"/>
          <w:sz w:val="24"/>
          <w:szCs w:val="24"/>
          <w:highlight w:val="none"/>
        </w:rPr>
        <w:t>后</w:t>
      </w:r>
      <w:r>
        <w:rPr>
          <w:rFonts w:hint="eastAsia" w:ascii="宋体" w:hAnsi="宋体" w:cs="宋体"/>
          <w:color w:val="auto"/>
          <w:sz w:val="24"/>
          <w:szCs w:val="24"/>
          <w:highlight w:val="none"/>
        </w:rPr>
        <w:t>，甲方于十个工作日内付清余款；</w:t>
      </w:r>
    </w:p>
    <w:p w14:paraId="1DDA2117">
      <w:pPr>
        <w:spacing w:line="360" w:lineRule="auto"/>
        <w:ind w:firstLine="56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（2）设备维修服务费：经警报设备维管员及甲方负责人审核无误后，按季度进行申报支付。</w:t>
      </w:r>
    </w:p>
    <w:p w14:paraId="543438C9">
      <w:pPr>
        <w:spacing w:line="360" w:lineRule="auto"/>
        <w:ind w:firstLine="56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注：每次付款申请前，乙方应向甲方出具相应发票，甲方收到发票后十个工作日内办理相应款项至乙方账户。</w:t>
      </w:r>
    </w:p>
    <w:p w14:paraId="72735128">
      <w:pPr>
        <w:autoSpaceDE w:val="0"/>
        <w:autoSpaceDN w:val="0"/>
        <w:adjustRightInd w:val="0"/>
        <w:spacing w:line="240" w:lineRule="atLeast"/>
        <w:ind w:firstLine="472" w:firstLineChars="196"/>
        <w:rPr>
          <w:rFonts w:hint="eastAsia" w:ascii="宋体" w:hAnsi="宋体"/>
          <w:color w:val="auto"/>
          <w:sz w:val="24"/>
          <w:szCs w:val="24"/>
          <w:highlight w:val="none"/>
        </w:rPr>
      </w:pPr>
      <w:r>
        <w:rPr>
          <w:rFonts w:hint="eastAsia" w:ascii="宋体" w:hAnsi="宋体"/>
          <w:b/>
          <w:bCs/>
          <w:color w:val="auto"/>
          <w:sz w:val="24"/>
          <w:szCs w:val="24"/>
          <w:highlight w:val="none"/>
        </w:rPr>
        <w:t>第八条</w:t>
      </w:r>
      <w:r>
        <w:rPr>
          <w:rFonts w:ascii="宋体" w:hAnsi="宋体"/>
          <w:b/>
          <w:bCs/>
          <w:color w:val="auto"/>
          <w:sz w:val="24"/>
          <w:szCs w:val="24"/>
          <w:highlight w:val="none"/>
        </w:rPr>
        <w:t> </w:t>
      </w:r>
      <w:r>
        <w:rPr>
          <w:rFonts w:hint="eastAsia" w:ascii="宋体" w:hAnsi="宋体"/>
          <w:b/>
          <w:bCs/>
          <w:color w:val="auto"/>
          <w:sz w:val="24"/>
          <w:szCs w:val="24"/>
          <w:highlight w:val="none"/>
        </w:rPr>
        <w:t>违约责任</w:t>
      </w:r>
      <w:r>
        <w:rPr>
          <w:rFonts w:ascii="宋体" w:hAnsi="宋体"/>
          <w:b/>
          <w:bCs/>
          <w:color w:val="auto"/>
          <w:sz w:val="24"/>
          <w:szCs w:val="24"/>
          <w:highlight w:val="none"/>
        </w:rPr>
        <w:t>  </w:t>
      </w:r>
    </w:p>
    <w:p w14:paraId="4CFD5913">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1.如乙方不能按期</w:t>
      </w:r>
      <w:r>
        <w:rPr>
          <w:rFonts w:hint="eastAsia" w:ascii="宋体" w:hAnsi="宋体" w:eastAsia="宋体"/>
          <w:color w:val="auto"/>
          <w:sz w:val="24"/>
          <w:szCs w:val="24"/>
          <w:highlight w:val="none"/>
        </w:rPr>
        <w:t>提供</w:t>
      </w:r>
      <w:r>
        <w:rPr>
          <w:rFonts w:hint="eastAsia" w:ascii="宋体" w:hAnsi="宋体"/>
          <w:color w:val="auto"/>
          <w:sz w:val="24"/>
          <w:szCs w:val="24"/>
          <w:highlight w:val="none"/>
        </w:rPr>
        <w:t>服务的，甲方有权扣留全部履约保证金；同时乙方应向甲方支付合同总价</w:t>
      </w:r>
      <w:r>
        <w:rPr>
          <w:rFonts w:ascii="宋体" w:hAnsi="宋体"/>
          <w:color w:val="auto"/>
          <w:sz w:val="24"/>
          <w:szCs w:val="24"/>
          <w:highlight w:val="none"/>
        </w:rPr>
        <w:t>5%</w:t>
      </w:r>
      <w:r>
        <w:rPr>
          <w:rFonts w:hint="eastAsia" w:ascii="宋体" w:hAnsi="宋体"/>
          <w:color w:val="auto"/>
          <w:sz w:val="24"/>
          <w:szCs w:val="24"/>
          <w:highlight w:val="none"/>
        </w:rPr>
        <w:t>的违约金。</w:t>
      </w:r>
    </w:p>
    <w:p w14:paraId="2E4F1D52">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2.乙方逾期</w:t>
      </w:r>
      <w:r>
        <w:rPr>
          <w:rFonts w:hint="eastAsia" w:ascii="宋体" w:hAnsi="宋体" w:eastAsia="宋体"/>
          <w:color w:val="auto"/>
          <w:sz w:val="24"/>
          <w:szCs w:val="24"/>
          <w:highlight w:val="none"/>
        </w:rPr>
        <w:t>提供服务或交付相关文件</w:t>
      </w:r>
      <w:r>
        <w:rPr>
          <w:rFonts w:hint="eastAsia" w:ascii="宋体" w:hAnsi="宋体"/>
          <w:color w:val="auto"/>
          <w:sz w:val="24"/>
          <w:szCs w:val="24"/>
          <w:highlight w:val="none"/>
        </w:rPr>
        <w:t>的，每逾期</w:t>
      </w:r>
      <w:r>
        <w:rPr>
          <w:rFonts w:ascii="宋体" w:hAnsi="宋体"/>
          <w:color w:val="auto"/>
          <w:sz w:val="24"/>
          <w:szCs w:val="24"/>
          <w:highlight w:val="none"/>
        </w:rPr>
        <w:t>1</w:t>
      </w:r>
      <w:r>
        <w:rPr>
          <w:rFonts w:hint="eastAsia" w:ascii="宋体" w:hAnsi="宋体"/>
          <w:color w:val="auto"/>
          <w:sz w:val="24"/>
          <w:szCs w:val="24"/>
          <w:highlight w:val="none"/>
        </w:rPr>
        <w:t>天，甲方可按应付费用的万分之三向乙方减付。延误超过30天的，甲方有权解除合同，乙方应向甲方返还</w:t>
      </w:r>
      <w:r>
        <w:rPr>
          <w:rFonts w:hint="eastAsia" w:ascii="宋体" w:hAnsi="宋体" w:eastAsia="宋体"/>
          <w:color w:val="auto"/>
          <w:sz w:val="24"/>
          <w:szCs w:val="24"/>
          <w:highlight w:val="none"/>
        </w:rPr>
        <w:t>已支付的</w:t>
      </w:r>
      <w:r>
        <w:rPr>
          <w:rFonts w:hint="eastAsia" w:ascii="宋体" w:hAnsi="宋体"/>
          <w:color w:val="auto"/>
          <w:sz w:val="24"/>
          <w:szCs w:val="24"/>
          <w:highlight w:val="none"/>
        </w:rPr>
        <w:t>费用。乙方逾期</w:t>
      </w:r>
      <w:r>
        <w:rPr>
          <w:rFonts w:hint="eastAsia" w:ascii="宋体" w:hAnsi="宋体" w:eastAsia="宋体"/>
          <w:color w:val="auto"/>
          <w:sz w:val="24"/>
          <w:szCs w:val="24"/>
          <w:highlight w:val="none"/>
        </w:rPr>
        <w:t>提供服务或交付相关文件</w:t>
      </w:r>
      <w:r>
        <w:rPr>
          <w:rFonts w:hint="eastAsia" w:ascii="宋体" w:hAnsi="宋体"/>
          <w:color w:val="auto"/>
          <w:sz w:val="24"/>
          <w:szCs w:val="24"/>
          <w:highlight w:val="none"/>
        </w:rPr>
        <w:t>的，今后参加政府采购信誉将受到影响。</w:t>
      </w:r>
    </w:p>
    <w:p w14:paraId="2C24B073">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3.乙方在承担违约责任后，仍应继续履行合同规定的义务（甲方解除合同的除外）。甲方未能及时追究乙方的任何一项违约责任并不表明甲方放弃追究乙方该项或其他违约责任。</w:t>
      </w:r>
    </w:p>
    <w:p w14:paraId="16920791">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4.乙方虚假承诺，或经权威部门检测提供的货物和服务不能满足采购文件要求，或是由于乙方的过错造成合同无法继续履行的，乙方履约保证金不予退还外，还应向甲方支付不少于合同总价</w:t>
      </w:r>
      <w:r>
        <w:rPr>
          <w:rFonts w:ascii="宋体" w:hAnsi="宋体"/>
          <w:color w:val="auto"/>
          <w:sz w:val="24"/>
          <w:szCs w:val="24"/>
          <w:highlight w:val="none"/>
        </w:rPr>
        <w:t>30%</w:t>
      </w:r>
      <w:r>
        <w:rPr>
          <w:rFonts w:hint="eastAsia" w:ascii="宋体" w:hAnsi="宋体"/>
          <w:color w:val="auto"/>
          <w:sz w:val="24"/>
          <w:szCs w:val="24"/>
          <w:highlight w:val="none"/>
        </w:rPr>
        <w:t>赔偿金。</w:t>
      </w:r>
    </w:p>
    <w:p w14:paraId="7B390CB4">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第九条</w:t>
      </w:r>
      <w:r>
        <w:rPr>
          <w:rFonts w:ascii="宋体" w:hAnsi="宋体"/>
          <w:b/>
          <w:bCs/>
          <w:color w:val="auto"/>
          <w:sz w:val="24"/>
          <w:szCs w:val="24"/>
          <w:highlight w:val="none"/>
        </w:rPr>
        <w:t> </w:t>
      </w:r>
      <w:r>
        <w:rPr>
          <w:rFonts w:hint="eastAsia" w:ascii="宋体" w:hAnsi="宋体"/>
          <w:b/>
          <w:bCs/>
          <w:color w:val="auto"/>
          <w:sz w:val="24"/>
          <w:szCs w:val="24"/>
          <w:highlight w:val="none"/>
        </w:rPr>
        <w:t>合同的变更和终止</w:t>
      </w:r>
    </w:p>
    <w:p w14:paraId="56A95D16">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、除《政府采购法》第</w:t>
      </w:r>
      <w:r>
        <w:rPr>
          <w:rFonts w:ascii="宋体" w:hAnsi="宋体"/>
          <w:color w:val="auto"/>
          <w:sz w:val="24"/>
          <w:szCs w:val="24"/>
          <w:highlight w:val="none"/>
        </w:rPr>
        <w:t>50</w:t>
      </w:r>
      <w:r>
        <w:rPr>
          <w:rFonts w:hint="eastAsia" w:ascii="宋体" w:hAnsi="宋体"/>
          <w:color w:val="auto"/>
          <w:sz w:val="24"/>
          <w:szCs w:val="24"/>
          <w:highlight w:val="none"/>
        </w:rPr>
        <w:t>条第二款规定的情形外，本合同一经签订，甲乙双方不得擅自变更、中止或终止合同。</w:t>
      </w:r>
    </w:p>
    <w:p w14:paraId="3A64ED09">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、除发生法律规定的不能预见、不能避免并不能克服的客观情况外，甲乙双方不得放弃或拒绝履行合同。乙方放弃或拒绝履行合同，在三年内不得参加公司组织的政府采购活动。</w:t>
      </w:r>
    </w:p>
    <w:p w14:paraId="4CE63627">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第十条</w:t>
      </w:r>
      <w:r>
        <w:rPr>
          <w:rFonts w:ascii="宋体" w:hAnsi="宋体"/>
          <w:b/>
          <w:bCs/>
          <w:color w:val="auto"/>
          <w:sz w:val="24"/>
          <w:szCs w:val="24"/>
          <w:highlight w:val="none"/>
        </w:rPr>
        <w:t> </w:t>
      </w:r>
      <w:r>
        <w:rPr>
          <w:rFonts w:hint="eastAsia" w:ascii="宋体" w:hAnsi="宋体"/>
          <w:b/>
          <w:bCs/>
          <w:color w:val="auto"/>
          <w:sz w:val="24"/>
          <w:szCs w:val="24"/>
          <w:highlight w:val="none"/>
        </w:rPr>
        <w:t>合同的转让</w:t>
      </w:r>
    </w:p>
    <w:p w14:paraId="36B865BD">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乙方不得擅自部分或全部转让其应履行的合同义务。</w:t>
      </w:r>
    </w:p>
    <w:p w14:paraId="5B23C8E4">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第十一条</w:t>
      </w:r>
      <w:r>
        <w:rPr>
          <w:rFonts w:ascii="宋体" w:hAnsi="宋体"/>
          <w:b/>
          <w:bCs/>
          <w:color w:val="auto"/>
          <w:sz w:val="24"/>
          <w:szCs w:val="24"/>
          <w:highlight w:val="none"/>
        </w:rPr>
        <w:t> </w:t>
      </w:r>
      <w:r>
        <w:rPr>
          <w:rFonts w:hint="eastAsia" w:ascii="宋体" w:hAnsi="宋体"/>
          <w:b/>
          <w:bCs/>
          <w:color w:val="auto"/>
          <w:sz w:val="24"/>
          <w:szCs w:val="24"/>
          <w:highlight w:val="none"/>
        </w:rPr>
        <w:t>争议的解决</w:t>
      </w:r>
    </w:p>
    <w:p w14:paraId="06DECCBE">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、因履行本合同引起的或与本合同有关的争议，甲、乙双方应首先通过友好协商解决，如果协商不能解决争议，则采取以下第（</w:t>
      </w:r>
      <w:r>
        <w:rPr>
          <w:rFonts w:ascii="宋体" w:hAnsi="宋体"/>
          <w:color w:val="auto"/>
          <w:sz w:val="24"/>
          <w:szCs w:val="24"/>
          <w:highlight w:val="none"/>
        </w:rPr>
        <w:t>2</w:t>
      </w:r>
      <w:r>
        <w:rPr>
          <w:rFonts w:hint="eastAsia" w:ascii="宋体" w:hAnsi="宋体"/>
          <w:color w:val="auto"/>
          <w:sz w:val="24"/>
          <w:szCs w:val="24"/>
          <w:highlight w:val="none"/>
        </w:rPr>
        <w:t>）种方式解决争议：</w:t>
      </w:r>
    </w:p>
    <w:p w14:paraId="2C613671">
      <w:pPr>
        <w:widowControl/>
        <w:shd w:val="clear" w:color="auto" w:fill="FFFFFF"/>
        <w:spacing w:line="360" w:lineRule="auto"/>
        <w:ind w:firstLine="560"/>
        <w:jc w:val="left"/>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）向甲方所在地有管辖权的人民法院提起诉讼；</w:t>
      </w:r>
    </w:p>
    <w:p w14:paraId="28726757">
      <w:pPr>
        <w:widowControl/>
        <w:shd w:val="clear" w:color="auto" w:fill="FFFFFF"/>
        <w:spacing w:line="360" w:lineRule="auto"/>
        <w:ind w:firstLine="560"/>
        <w:jc w:val="left"/>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）向南京仲裁委员会按其仲裁规则申请仲裁。</w:t>
      </w:r>
    </w:p>
    <w:p w14:paraId="47F349B9">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、在仲裁期间，本合同应继续履行。</w:t>
      </w:r>
    </w:p>
    <w:p w14:paraId="5B60253B">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第十二条</w:t>
      </w:r>
      <w:r>
        <w:rPr>
          <w:rFonts w:ascii="宋体" w:hAnsi="宋体"/>
          <w:b/>
          <w:bCs/>
          <w:color w:val="auto"/>
          <w:sz w:val="24"/>
          <w:szCs w:val="24"/>
          <w:highlight w:val="none"/>
        </w:rPr>
        <w:t> </w:t>
      </w:r>
      <w:r>
        <w:rPr>
          <w:rFonts w:hint="eastAsia" w:ascii="宋体" w:hAnsi="宋体"/>
          <w:b/>
          <w:bCs/>
          <w:color w:val="auto"/>
          <w:sz w:val="24"/>
          <w:szCs w:val="24"/>
          <w:highlight w:val="none"/>
        </w:rPr>
        <w:t>诚实信用</w:t>
      </w:r>
    </w:p>
    <w:p w14:paraId="12813F46">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乙方应诚实信用，严格按照采购文件要求和承诺履行合同，不向甲方进行商业贿赂或者提供不正当利益。</w:t>
      </w:r>
    </w:p>
    <w:p w14:paraId="0365170E">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b/>
          <w:bCs/>
          <w:color w:val="auto"/>
          <w:sz w:val="24"/>
          <w:szCs w:val="24"/>
          <w:highlight w:val="none"/>
        </w:rPr>
        <w:t>第十三条</w:t>
      </w:r>
      <w:r>
        <w:rPr>
          <w:rFonts w:ascii="宋体" w:hAnsi="宋体"/>
          <w:b/>
          <w:bCs/>
          <w:color w:val="auto"/>
          <w:sz w:val="24"/>
          <w:szCs w:val="24"/>
          <w:highlight w:val="none"/>
        </w:rPr>
        <w:t> </w:t>
      </w:r>
      <w:r>
        <w:rPr>
          <w:rFonts w:hint="eastAsia" w:ascii="宋体" w:hAnsi="宋体"/>
          <w:b/>
          <w:bCs/>
          <w:color w:val="auto"/>
          <w:sz w:val="24"/>
          <w:szCs w:val="24"/>
          <w:highlight w:val="none"/>
        </w:rPr>
        <w:t>合同生效及其他</w:t>
      </w:r>
    </w:p>
    <w:p w14:paraId="58323785">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、本合同自签订之日起生效。</w:t>
      </w:r>
    </w:p>
    <w:p w14:paraId="1988D571">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、本合同一式捌份，甲乙双方各执叁份，一份交采购代理机构存档，</w:t>
      </w:r>
      <w:r>
        <w:rPr>
          <w:rFonts w:hint="eastAsia" w:ascii="宋体" w:hAnsi="宋体" w:cs="宋体"/>
          <w:color w:val="auto"/>
          <w:sz w:val="24"/>
          <w:szCs w:val="24"/>
          <w:highlight w:val="none"/>
          <w:lang w:val="zh-CN"/>
        </w:rPr>
        <w:t>一份报送政府采购监督管理部门备案</w:t>
      </w:r>
      <w:r>
        <w:rPr>
          <w:rFonts w:hint="eastAsia" w:ascii="宋体" w:hAnsi="宋体"/>
          <w:color w:val="auto"/>
          <w:sz w:val="24"/>
          <w:szCs w:val="24"/>
          <w:highlight w:val="none"/>
        </w:rPr>
        <w:t>。</w:t>
      </w:r>
    </w:p>
    <w:p w14:paraId="317107A6">
      <w:pPr>
        <w:widowControl/>
        <w:shd w:val="clear" w:color="auto" w:fill="FFFFFF"/>
        <w:spacing w:line="360" w:lineRule="auto"/>
        <w:ind w:firstLine="420"/>
        <w:jc w:val="left"/>
        <w:rPr>
          <w:rFonts w:hint="eastAsia" w:ascii="宋体" w:hAnsi="宋体"/>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、本合同应按照中华人民共和国的现行法律进行解释。</w:t>
      </w:r>
    </w:p>
    <w:p w14:paraId="583F3C9A">
      <w:pPr>
        <w:widowControl/>
        <w:shd w:val="clear" w:color="auto" w:fill="FFFFFF"/>
        <w:spacing w:line="360" w:lineRule="auto"/>
        <w:ind w:firstLine="420"/>
        <w:jc w:val="left"/>
        <w:rPr>
          <w:rFonts w:hint="eastAsia" w:ascii="宋体" w:hAnsi="宋体"/>
          <w:color w:val="auto"/>
          <w:sz w:val="24"/>
          <w:szCs w:val="24"/>
          <w:highlight w:val="none"/>
        </w:rPr>
      </w:pPr>
    </w:p>
    <w:tbl>
      <w:tblPr>
        <w:tblStyle w:val="20"/>
        <w:tblW w:w="0" w:type="auto"/>
        <w:tblInd w:w="0" w:type="dxa"/>
        <w:tblLayout w:type="fixed"/>
        <w:tblCellMar>
          <w:top w:w="0" w:type="dxa"/>
          <w:left w:w="108" w:type="dxa"/>
          <w:bottom w:w="0" w:type="dxa"/>
          <w:right w:w="108" w:type="dxa"/>
        </w:tblCellMar>
      </w:tblPr>
      <w:tblGrid>
        <w:gridCol w:w="4643"/>
        <w:gridCol w:w="4643"/>
      </w:tblGrid>
      <w:tr w14:paraId="3EF1C635">
        <w:tblPrEx>
          <w:tblCellMar>
            <w:top w:w="0" w:type="dxa"/>
            <w:left w:w="108" w:type="dxa"/>
            <w:bottom w:w="0" w:type="dxa"/>
            <w:right w:w="108" w:type="dxa"/>
          </w:tblCellMar>
        </w:tblPrEx>
        <w:trPr>
          <w:trHeight w:val="257" w:hRule="atLeast"/>
        </w:trPr>
        <w:tc>
          <w:tcPr>
            <w:tcW w:w="4643" w:type="dxa"/>
            <w:tcBorders>
              <w:top w:val="nil"/>
              <w:left w:val="nil"/>
              <w:bottom w:val="nil"/>
              <w:right w:val="nil"/>
            </w:tcBorders>
            <w:vAlign w:val="center"/>
          </w:tcPr>
          <w:p w14:paraId="0D04BCDC">
            <w:pPr>
              <w:widowControl/>
              <w:shd w:val="clear" w:color="auto" w:fill="FFFFFF"/>
              <w:spacing w:line="360" w:lineRule="auto"/>
              <w:ind w:firstLine="420"/>
              <w:jc w:val="left"/>
              <w:rPr>
                <w:rFonts w:hint="eastAsia" w:ascii="宋体" w:hAnsi="宋体"/>
                <w:color w:val="auto"/>
                <w:sz w:val="24"/>
                <w:szCs w:val="24"/>
                <w:highlight w:val="none"/>
                <w:lang w:val="zh-CN"/>
              </w:rPr>
            </w:pPr>
            <w:r>
              <w:rPr>
                <w:rFonts w:hint="eastAsia" w:ascii="宋体" w:hAnsi="宋体"/>
                <w:color w:val="auto"/>
                <w:sz w:val="24"/>
                <w:szCs w:val="24"/>
                <w:highlight w:val="none"/>
                <w:lang w:val="zh-CN"/>
              </w:rPr>
              <w:t>甲方（委托方）：（盖章）</w:t>
            </w:r>
          </w:p>
        </w:tc>
        <w:tc>
          <w:tcPr>
            <w:tcW w:w="4643" w:type="dxa"/>
            <w:tcBorders>
              <w:top w:val="nil"/>
              <w:left w:val="nil"/>
              <w:bottom w:val="nil"/>
              <w:right w:val="nil"/>
            </w:tcBorders>
            <w:vAlign w:val="center"/>
          </w:tcPr>
          <w:p w14:paraId="09CE0065">
            <w:pPr>
              <w:widowControl/>
              <w:shd w:val="clear" w:color="auto" w:fill="FFFFFF"/>
              <w:spacing w:line="360" w:lineRule="auto"/>
              <w:ind w:firstLine="420"/>
              <w:jc w:val="left"/>
              <w:rPr>
                <w:rFonts w:hint="eastAsia" w:ascii="宋体" w:hAnsi="宋体"/>
                <w:color w:val="auto"/>
                <w:sz w:val="24"/>
                <w:szCs w:val="24"/>
                <w:highlight w:val="none"/>
                <w:lang w:val="zh-CN"/>
              </w:rPr>
            </w:pPr>
            <w:r>
              <w:rPr>
                <w:rFonts w:hint="eastAsia" w:ascii="宋体" w:hAnsi="宋体"/>
                <w:color w:val="auto"/>
                <w:sz w:val="24"/>
                <w:szCs w:val="24"/>
                <w:highlight w:val="none"/>
                <w:lang w:val="zh-CN"/>
              </w:rPr>
              <w:t>乙方：（盖章）</w:t>
            </w:r>
          </w:p>
        </w:tc>
      </w:tr>
      <w:tr w14:paraId="4B2A4740">
        <w:tblPrEx>
          <w:tblCellMar>
            <w:top w:w="0" w:type="dxa"/>
            <w:left w:w="108" w:type="dxa"/>
            <w:bottom w:w="0" w:type="dxa"/>
            <w:right w:w="108" w:type="dxa"/>
          </w:tblCellMar>
        </w:tblPrEx>
        <w:trPr>
          <w:trHeight w:val="362" w:hRule="atLeast"/>
        </w:trPr>
        <w:tc>
          <w:tcPr>
            <w:tcW w:w="4643" w:type="dxa"/>
            <w:tcBorders>
              <w:top w:val="nil"/>
              <w:left w:val="nil"/>
              <w:bottom w:val="nil"/>
              <w:right w:val="nil"/>
            </w:tcBorders>
            <w:vAlign w:val="center"/>
          </w:tcPr>
          <w:p w14:paraId="5C4DBCD7">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lang w:val="zh-CN"/>
              </w:rPr>
              <w:t>法定代表人：</w:t>
            </w:r>
          </w:p>
        </w:tc>
        <w:tc>
          <w:tcPr>
            <w:tcW w:w="4643" w:type="dxa"/>
            <w:tcBorders>
              <w:top w:val="nil"/>
              <w:left w:val="nil"/>
              <w:bottom w:val="nil"/>
              <w:right w:val="nil"/>
            </w:tcBorders>
            <w:vAlign w:val="center"/>
          </w:tcPr>
          <w:p w14:paraId="2D5258ED">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lang w:val="zh-CN"/>
              </w:rPr>
              <w:t>法定或委托代表人</w:t>
            </w:r>
            <w:r>
              <w:rPr>
                <w:rFonts w:hint="eastAsia" w:ascii="宋体" w:hAnsi="宋体"/>
                <w:color w:val="auto"/>
                <w:sz w:val="24"/>
                <w:szCs w:val="24"/>
                <w:highlight w:val="none"/>
              </w:rPr>
              <w:t>：</w:t>
            </w:r>
          </w:p>
        </w:tc>
      </w:tr>
      <w:tr w14:paraId="6F87018B">
        <w:tblPrEx>
          <w:tblCellMar>
            <w:top w:w="0" w:type="dxa"/>
            <w:left w:w="108" w:type="dxa"/>
            <w:bottom w:w="0" w:type="dxa"/>
            <w:right w:w="108" w:type="dxa"/>
          </w:tblCellMar>
        </w:tblPrEx>
        <w:trPr>
          <w:trHeight w:val="251" w:hRule="atLeast"/>
        </w:trPr>
        <w:tc>
          <w:tcPr>
            <w:tcW w:w="4643" w:type="dxa"/>
            <w:tcBorders>
              <w:top w:val="nil"/>
              <w:left w:val="nil"/>
              <w:bottom w:val="nil"/>
              <w:right w:val="nil"/>
            </w:tcBorders>
            <w:vAlign w:val="center"/>
          </w:tcPr>
          <w:p w14:paraId="2FFC4335">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lang w:val="zh-CN"/>
              </w:rPr>
              <w:t>电话：</w:t>
            </w:r>
          </w:p>
        </w:tc>
        <w:tc>
          <w:tcPr>
            <w:tcW w:w="4643" w:type="dxa"/>
            <w:tcBorders>
              <w:top w:val="nil"/>
              <w:left w:val="nil"/>
              <w:bottom w:val="nil"/>
              <w:right w:val="nil"/>
            </w:tcBorders>
            <w:vAlign w:val="center"/>
          </w:tcPr>
          <w:p w14:paraId="7BAB23BD">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lang w:val="zh-CN"/>
              </w:rPr>
              <w:t>电话：</w:t>
            </w:r>
          </w:p>
        </w:tc>
      </w:tr>
      <w:tr w14:paraId="12982E49">
        <w:tblPrEx>
          <w:tblCellMar>
            <w:top w:w="0" w:type="dxa"/>
            <w:left w:w="108" w:type="dxa"/>
            <w:bottom w:w="0" w:type="dxa"/>
            <w:right w:w="108" w:type="dxa"/>
          </w:tblCellMar>
        </w:tblPrEx>
        <w:trPr>
          <w:trHeight w:val="283" w:hRule="atLeast"/>
        </w:trPr>
        <w:tc>
          <w:tcPr>
            <w:tcW w:w="4643" w:type="dxa"/>
            <w:tcBorders>
              <w:top w:val="nil"/>
              <w:left w:val="nil"/>
              <w:bottom w:val="nil"/>
              <w:right w:val="nil"/>
            </w:tcBorders>
            <w:vAlign w:val="center"/>
          </w:tcPr>
          <w:p w14:paraId="29532350">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lang w:val="zh-CN"/>
              </w:rPr>
              <w:t>开户银行：</w:t>
            </w:r>
          </w:p>
        </w:tc>
        <w:tc>
          <w:tcPr>
            <w:tcW w:w="4643" w:type="dxa"/>
            <w:tcBorders>
              <w:top w:val="nil"/>
              <w:left w:val="nil"/>
              <w:bottom w:val="nil"/>
              <w:right w:val="nil"/>
            </w:tcBorders>
            <w:vAlign w:val="center"/>
          </w:tcPr>
          <w:p w14:paraId="757E8A9A">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lang w:val="zh-CN"/>
              </w:rPr>
              <w:t>开户银行：</w:t>
            </w:r>
          </w:p>
        </w:tc>
      </w:tr>
      <w:tr w14:paraId="0905E8FD">
        <w:tblPrEx>
          <w:tblCellMar>
            <w:top w:w="0" w:type="dxa"/>
            <w:left w:w="108" w:type="dxa"/>
            <w:bottom w:w="0" w:type="dxa"/>
            <w:right w:w="108" w:type="dxa"/>
          </w:tblCellMar>
        </w:tblPrEx>
        <w:trPr>
          <w:trHeight w:val="315" w:hRule="atLeast"/>
        </w:trPr>
        <w:tc>
          <w:tcPr>
            <w:tcW w:w="4643" w:type="dxa"/>
            <w:tcBorders>
              <w:top w:val="nil"/>
              <w:left w:val="nil"/>
              <w:bottom w:val="nil"/>
              <w:right w:val="nil"/>
            </w:tcBorders>
            <w:vAlign w:val="center"/>
          </w:tcPr>
          <w:p w14:paraId="73344F34">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账</w:t>
            </w:r>
            <w:r>
              <w:rPr>
                <w:rFonts w:hint="eastAsia" w:ascii="宋体" w:hAnsi="宋体"/>
                <w:color w:val="auto"/>
                <w:sz w:val="24"/>
                <w:szCs w:val="24"/>
                <w:highlight w:val="none"/>
                <w:lang w:val="zh-CN"/>
              </w:rPr>
              <w:t>号：</w:t>
            </w:r>
          </w:p>
        </w:tc>
        <w:tc>
          <w:tcPr>
            <w:tcW w:w="4643" w:type="dxa"/>
            <w:tcBorders>
              <w:top w:val="nil"/>
              <w:left w:val="nil"/>
              <w:bottom w:val="nil"/>
              <w:right w:val="nil"/>
            </w:tcBorders>
            <w:vAlign w:val="center"/>
          </w:tcPr>
          <w:p w14:paraId="38CF6FEF">
            <w:pPr>
              <w:widowControl/>
              <w:shd w:val="clear" w:color="auto" w:fill="FFFFFF"/>
              <w:spacing w:line="360" w:lineRule="auto"/>
              <w:ind w:firstLine="420"/>
              <w:jc w:val="left"/>
              <w:rPr>
                <w:rFonts w:hint="eastAsia" w:ascii="宋体" w:hAnsi="宋体"/>
                <w:color w:val="auto"/>
                <w:sz w:val="24"/>
                <w:szCs w:val="24"/>
                <w:highlight w:val="none"/>
              </w:rPr>
            </w:pPr>
            <w:r>
              <w:rPr>
                <w:rFonts w:hint="eastAsia" w:ascii="宋体" w:hAnsi="宋体"/>
                <w:color w:val="auto"/>
                <w:sz w:val="24"/>
                <w:szCs w:val="24"/>
                <w:highlight w:val="none"/>
              </w:rPr>
              <w:t>账</w:t>
            </w:r>
            <w:r>
              <w:rPr>
                <w:rFonts w:hint="eastAsia" w:ascii="宋体" w:hAnsi="宋体"/>
                <w:color w:val="auto"/>
                <w:sz w:val="24"/>
                <w:szCs w:val="24"/>
                <w:highlight w:val="none"/>
                <w:lang w:val="zh-CN"/>
              </w:rPr>
              <w:t>号：</w:t>
            </w:r>
          </w:p>
        </w:tc>
      </w:tr>
      <w:tr w14:paraId="2E4F87F5">
        <w:tblPrEx>
          <w:tblCellMar>
            <w:top w:w="0" w:type="dxa"/>
            <w:left w:w="108" w:type="dxa"/>
            <w:bottom w:w="0" w:type="dxa"/>
            <w:right w:w="108" w:type="dxa"/>
          </w:tblCellMar>
        </w:tblPrEx>
        <w:trPr>
          <w:trHeight w:val="572" w:hRule="atLeast"/>
        </w:trPr>
        <w:tc>
          <w:tcPr>
            <w:tcW w:w="4643" w:type="dxa"/>
            <w:tcBorders>
              <w:top w:val="nil"/>
              <w:left w:val="nil"/>
              <w:bottom w:val="nil"/>
              <w:right w:val="nil"/>
            </w:tcBorders>
            <w:vAlign w:val="center"/>
          </w:tcPr>
          <w:p w14:paraId="42C7D820">
            <w:pPr>
              <w:widowControl/>
              <w:shd w:val="clear" w:color="auto" w:fill="FFFFFF"/>
              <w:spacing w:line="360" w:lineRule="auto"/>
              <w:ind w:firstLine="420"/>
              <w:jc w:val="left"/>
              <w:rPr>
                <w:rFonts w:hint="eastAsia" w:ascii="宋体" w:hAnsi="宋体"/>
                <w:color w:val="auto"/>
                <w:sz w:val="24"/>
                <w:szCs w:val="24"/>
                <w:highlight w:val="none"/>
                <w:lang w:val="zh-CN"/>
              </w:rPr>
            </w:pPr>
            <w:r>
              <w:rPr>
                <w:rFonts w:hint="eastAsia" w:ascii="宋体" w:hAnsi="宋体"/>
                <w:color w:val="auto"/>
                <w:sz w:val="24"/>
                <w:szCs w:val="24"/>
                <w:highlight w:val="none"/>
                <w:lang w:val="zh-CN"/>
              </w:rPr>
              <w:t xml:space="preserve">日期： </w:t>
            </w:r>
            <w:r>
              <w:rPr>
                <w:rFonts w:ascii="宋体" w:hAnsi="宋体"/>
                <w:color w:val="auto"/>
                <w:sz w:val="24"/>
                <w:szCs w:val="24"/>
                <w:highlight w:val="none"/>
                <w:lang w:val="zh-CN"/>
              </w:rPr>
              <w:t xml:space="preserve"> </w:t>
            </w:r>
            <w:r>
              <w:rPr>
                <w:rFonts w:hint="eastAsia" w:ascii="宋体" w:hAnsi="宋体"/>
                <w:color w:val="auto"/>
                <w:sz w:val="24"/>
                <w:szCs w:val="24"/>
                <w:highlight w:val="none"/>
                <w:lang w:val="zh-CN"/>
              </w:rPr>
              <w:t>年 月 日</w:t>
            </w:r>
          </w:p>
        </w:tc>
        <w:tc>
          <w:tcPr>
            <w:tcW w:w="4643" w:type="dxa"/>
            <w:tcBorders>
              <w:top w:val="nil"/>
              <w:left w:val="nil"/>
              <w:bottom w:val="nil"/>
              <w:right w:val="nil"/>
            </w:tcBorders>
            <w:vAlign w:val="center"/>
          </w:tcPr>
          <w:p w14:paraId="07BB0F88">
            <w:pPr>
              <w:widowControl/>
              <w:shd w:val="clear" w:color="auto" w:fill="FFFFFF"/>
              <w:spacing w:line="360" w:lineRule="auto"/>
              <w:ind w:firstLine="420"/>
              <w:jc w:val="left"/>
              <w:rPr>
                <w:rFonts w:hint="eastAsia" w:ascii="宋体" w:hAnsi="宋体"/>
                <w:color w:val="auto"/>
                <w:sz w:val="24"/>
                <w:szCs w:val="24"/>
                <w:highlight w:val="none"/>
                <w:lang w:val="zh-CN"/>
              </w:rPr>
            </w:pPr>
            <w:r>
              <w:rPr>
                <w:rFonts w:hint="eastAsia" w:ascii="宋体" w:hAnsi="宋体"/>
                <w:color w:val="auto"/>
                <w:sz w:val="24"/>
                <w:szCs w:val="24"/>
                <w:highlight w:val="none"/>
                <w:lang w:val="zh-CN"/>
              </w:rPr>
              <w:t xml:space="preserve">日期： </w:t>
            </w:r>
            <w:r>
              <w:rPr>
                <w:rFonts w:ascii="宋体" w:hAnsi="宋体"/>
                <w:color w:val="auto"/>
                <w:sz w:val="24"/>
                <w:szCs w:val="24"/>
                <w:highlight w:val="none"/>
                <w:lang w:val="zh-CN"/>
              </w:rPr>
              <w:t xml:space="preserve"> </w:t>
            </w:r>
            <w:r>
              <w:rPr>
                <w:rFonts w:hint="eastAsia" w:ascii="宋体" w:hAnsi="宋体"/>
                <w:color w:val="auto"/>
                <w:sz w:val="24"/>
                <w:szCs w:val="24"/>
                <w:highlight w:val="none"/>
                <w:lang w:val="zh-CN"/>
              </w:rPr>
              <w:t>年 月 日</w:t>
            </w:r>
          </w:p>
        </w:tc>
      </w:tr>
    </w:tbl>
    <w:p w14:paraId="22560E91">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4F3DFCA9">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6331EFF7">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2F268D7C">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19A35C6E">
      <w:pPr>
        <w:shd w:val="clear"/>
        <w:snapToGrid w:val="0"/>
        <w:spacing w:line="360" w:lineRule="auto"/>
        <w:ind w:left="878" w:hanging="1673" w:hangingChars="418"/>
        <w:outlineLvl w:val="1"/>
        <w:rPr>
          <w:rFonts w:hint="eastAsia" w:ascii="微软雅黑" w:hAnsi="微软雅黑" w:eastAsia="微软雅黑" w:cs="微软雅黑"/>
          <w:b/>
          <w:color w:val="auto"/>
          <w:sz w:val="40"/>
          <w:highlight w:val="none"/>
        </w:rPr>
      </w:pPr>
    </w:p>
    <w:p w14:paraId="458B9E80">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1A348812">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01FF2BB3">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p>
    <w:p w14:paraId="05FD455B">
      <w:pPr>
        <w:shd w:val="clear"/>
        <w:snapToGrid w:val="0"/>
        <w:spacing w:line="360" w:lineRule="auto"/>
        <w:ind w:left="11" w:right="21"/>
        <w:jc w:val="center"/>
        <w:outlineLvl w:val="0"/>
        <w:rPr>
          <w:rFonts w:hint="eastAsia" w:ascii="微软雅黑" w:hAnsi="微软雅黑" w:eastAsia="微软雅黑" w:cs="微软雅黑"/>
          <w:b/>
          <w:color w:val="auto"/>
          <w:sz w:val="40"/>
          <w:highlight w:val="none"/>
        </w:rPr>
      </w:pPr>
      <w:r>
        <w:rPr>
          <w:rFonts w:hint="eastAsia" w:ascii="微软雅黑" w:hAnsi="微软雅黑" w:eastAsia="微软雅黑" w:cs="微软雅黑"/>
          <w:b/>
          <w:color w:val="auto"/>
          <w:sz w:val="40"/>
          <w:highlight w:val="none"/>
        </w:rPr>
        <w:t>第六章 投标书</w:t>
      </w:r>
      <w:bookmarkEnd w:id="52"/>
    </w:p>
    <w:p w14:paraId="1FE44ACB">
      <w:pPr>
        <w:pStyle w:val="7"/>
        <w:shd w:val="clear"/>
        <w:snapToGrid w:val="0"/>
        <w:spacing w:line="360" w:lineRule="auto"/>
        <w:rPr>
          <w:rFonts w:hint="eastAsia" w:ascii="微软雅黑" w:hAnsi="微软雅黑" w:eastAsia="微软雅黑" w:cs="微软雅黑"/>
          <w:b/>
          <w:color w:val="auto"/>
          <w:sz w:val="30"/>
          <w:highlight w:val="none"/>
        </w:rPr>
      </w:pPr>
    </w:p>
    <w:p w14:paraId="7848C581">
      <w:pPr>
        <w:shd w:val="clear"/>
        <w:snapToGrid w:val="0"/>
        <w:spacing w:line="360" w:lineRule="auto"/>
        <w:ind w:left="21" w:right="21"/>
        <w:jc w:val="center"/>
        <w:rPr>
          <w:rFonts w:hint="eastAsia"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（此页为标书封面格式，制作标书时，删去本行文字）</w:t>
      </w:r>
    </w:p>
    <w:p w14:paraId="13DD80E9">
      <w:pPr>
        <w:pStyle w:val="7"/>
        <w:shd w:val="clear"/>
        <w:snapToGrid w:val="0"/>
        <w:spacing w:line="360" w:lineRule="auto"/>
        <w:rPr>
          <w:rFonts w:hint="eastAsia" w:ascii="微软雅黑" w:hAnsi="微软雅黑" w:eastAsia="微软雅黑" w:cs="微软雅黑"/>
          <w:b/>
          <w:color w:val="auto"/>
          <w:sz w:val="24"/>
          <w:highlight w:val="none"/>
        </w:rPr>
      </w:pPr>
    </w:p>
    <w:p w14:paraId="799432BA">
      <w:pPr>
        <w:pStyle w:val="7"/>
        <w:shd w:val="clear"/>
        <w:snapToGrid w:val="0"/>
        <w:spacing w:line="360" w:lineRule="auto"/>
        <w:rPr>
          <w:rFonts w:hint="eastAsia" w:ascii="微软雅黑" w:hAnsi="微软雅黑" w:eastAsia="微软雅黑" w:cs="微软雅黑"/>
          <w:b/>
          <w:color w:val="auto"/>
          <w:sz w:val="24"/>
          <w:highlight w:val="none"/>
        </w:rPr>
      </w:pPr>
    </w:p>
    <w:p w14:paraId="2018BBA0">
      <w:pPr>
        <w:shd w:val="clear"/>
        <w:tabs>
          <w:tab w:val="left" w:pos="2099"/>
          <w:tab w:val="left" w:pos="4199"/>
        </w:tabs>
        <w:snapToGrid w:val="0"/>
        <w:spacing w:line="360" w:lineRule="auto"/>
        <w:ind w:right="21"/>
        <w:jc w:val="center"/>
        <w:rPr>
          <w:rFonts w:hint="eastAsia" w:ascii="微软雅黑" w:hAnsi="微软雅黑" w:eastAsia="微软雅黑" w:cs="微软雅黑"/>
          <w:color w:val="auto"/>
          <w:sz w:val="84"/>
          <w:highlight w:val="none"/>
        </w:rPr>
      </w:pPr>
      <w:r>
        <w:rPr>
          <w:rFonts w:hint="eastAsia" w:ascii="微软雅黑" w:hAnsi="微软雅黑" w:eastAsia="微软雅黑" w:cs="微软雅黑"/>
          <w:color w:val="auto"/>
          <w:sz w:val="84"/>
          <w:highlight w:val="none"/>
        </w:rPr>
        <w:t>投</w:t>
      </w:r>
      <w:r>
        <w:rPr>
          <w:rFonts w:hint="eastAsia" w:ascii="微软雅黑" w:hAnsi="微软雅黑" w:eastAsia="微软雅黑" w:cs="微软雅黑"/>
          <w:color w:val="auto"/>
          <w:sz w:val="84"/>
          <w:highlight w:val="none"/>
        </w:rPr>
        <w:tab/>
      </w:r>
      <w:r>
        <w:rPr>
          <w:rFonts w:hint="eastAsia" w:ascii="微软雅黑" w:hAnsi="微软雅黑" w:eastAsia="微软雅黑" w:cs="微软雅黑"/>
          <w:color w:val="auto"/>
          <w:sz w:val="84"/>
          <w:highlight w:val="none"/>
        </w:rPr>
        <w:t>标</w:t>
      </w:r>
      <w:r>
        <w:rPr>
          <w:rFonts w:hint="eastAsia" w:ascii="微软雅黑" w:hAnsi="微软雅黑" w:eastAsia="微软雅黑" w:cs="微软雅黑"/>
          <w:color w:val="auto"/>
          <w:sz w:val="84"/>
          <w:highlight w:val="none"/>
        </w:rPr>
        <w:tab/>
      </w:r>
      <w:r>
        <w:rPr>
          <w:rFonts w:hint="eastAsia" w:ascii="微软雅黑" w:hAnsi="微软雅黑" w:eastAsia="微软雅黑" w:cs="微软雅黑"/>
          <w:color w:val="auto"/>
          <w:sz w:val="84"/>
          <w:highlight w:val="none"/>
        </w:rPr>
        <w:t>书</w:t>
      </w:r>
    </w:p>
    <w:p w14:paraId="584BE835">
      <w:pPr>
        <w:shd w:val="clear"/>
        <w:snapToGrid w:val="0"/>
        <w:spacing w:line="360" w:lineRule="auto"/>
        <w:ind w:right="21"/>
        <w:jc w:val="center"/>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（请在此位置标明“正本”或“副本”字样）</w:t>
      </w:r>
    </w:p>
    <w:p w14:paraId="585C401A">
      <w:pPr>
        <w:pStyle w:val="7"/>
        <w:shd w:val="clear"/>
        <w:snapToGrid w:val="0"/>
        <w:spacing w:line="360" w:lineRule="auto"/>
        <w:rPr>
          <w:rFonts w:hint="eastAsia" w:ascii="微软雅黑" w:hAnsi="微软雅黑" w:eastAsia="微软雅黑" w:cs="微软雅黑"/>
          <w:color w:val="auto"/>
          <w:sz w:val="24"/>
          <w:highlight w:val="none"/>
        </w:rPr>
      </w:pPr>
    </w:p>
    <w:p w14:paraId="3827F690">
      <w:pPr>
        <w:pStyle w:val="7"/>
        <w:shd w:val="clear"/>
        <w:snapToGrid w:val="0"/>
        <w:spacing w:line="360" w:lineRule="auto"/>
        <w:rPr>
          <w:rFonts w:hint="eastAsia" w:ascii="微软雅黑" w:hAnsi="微软雅黑" w:eastAsia="微软雅黑" w:cs="微软雅黑"/>
          <w:color w:val="auto"/>
          <w:sz w:val="24"/>
          <w:highlight w:val="none"/>
        </w:rPr>
      </w:pPr>
    </w:p>
    <w:p w14:paraId="3AF03ED1">
      <w:pPr>
        <w:shd w:val="clear"/>
        <w:snapToGrid w:val="0"/>
        <w:spacing w:line="360" w:lineRule="auto"/>
        <w:ind w:left="2827" w:right="4397"/>
        <w:rPr>
          <w:rFonts w:hint="eastAsia" w:ascii="微软雅黑" w:hAnsi="微软雅黑" w:eastAsia="微软雅黑" w:cs="微软雅黑"/>
          <w:color w:val="auto"/>
          <w:sz w:val="30"/>
          <w:highlight w:val="none"/>
        </w:rPr>
      </w:pPr>
      <w:r>
        <w:rPr>
          <w:rFonts w:hint="eastAsia" w:ascii="微软雅黑" w:hAnsi="微软雅黑" w:eastAsia="微软雅黑" w:cs="微软雅黑"/>
          <w:color w:val="auto"/>
          <w:sz w:val="30"/>
          <w:highlight w:val="none"/>
        </w:rPr>
        <w:t xml:space="preserve">项目编号： </w:t>
      </w:r>
    </w:p>
    <w:p w14:paraId="17469788">
      <w:pPr>
        <w:shd w:val="clear"/>
        <w:snapToGrid w:val="0"/>
        <w:spacing w:line="360" w:lineRule="auto"/>
        <w:ind w:left="2827" w:right="4539"/>
        <w:rPr>
          <w:rFonts w:hint="eastAsia" w:ascii="微软雅黑" w:hAnsi="微软雅黑" w:eastAsia="微软雅黑" w:cs="微软雅黑"/>
          <w:color w:val="auto"/>
          <w:sz w:val="30"/>
          <w:highlight w:val="none"/>
        </w:rPr>
      </w:pPr>
      <w:r>
        <w:rPr>
          <w:rFonts w:hint="eastAsia" w:ascii="微软雅黑" w:hAnsi="微软雅黑" w:eastAsia="微软雅黑" w:cs="微软雅黑"/>
          <w:color w:val="auto"/>
          <w:sz w:val="30"/>
          <w:highlight w:val="none"/>
        </w:rPr>
        <w:t xml:space="preserve">项目名称： </w:t>
      </w:r>
    </w:p>
    <w:p w14:paraId="7DBB49EA">
      <w:pPr>
        <w:shd w:val="clear"/>
        <w:snapToGrid w:val="0"/>
        <w:spacing w:line="360" w:lineRule="auto"/>
        <w:ind w:left="2827" w:right="3972"/>
        <w:rPr>
          <w:rFonts w:hint="eastAsia" w:ascii="微软雅黑" w:hAnsi="微软雅黑" w:eastAsia="微软雅黑" w:cs="微软雅黑"/>
          <w:color w:val="auto"/>
          <w:sz w:val="30"/>
          <w:highlight w:val="none"/>
        </w:rPr>
      </w:pPr>
      <w:r>
        <w:rPr>
          <w:rFonts w:hint="eastAsia" w:ascii="微软雅黑" w:hAnsi="微软雅黑" w:eastAsia="微软雅黑" w:cs="微软雅黑"/>
          <w:color w:val="auto"/>
          <w:sz w:val="30"/>
          <w:highlight w:val="none"/>
        </w:rPr>
        <w:t xml:space="preserve">投 标 人 ： </w:t>
      </w:r>
    </w:p>
    <w:p w14:paraId="46A87CC0">
      <w:pPr>
        <w:shd w:val="clear"/>
        <w:snapToGrid w:val="0"/>
        <w:spacing w:line="360" w:lineRule="auto"/>
        <w:ind w:left="2827" w:right="3830"/>
        <w:rPr>
          <w:rFonts w:hint="eastAsia" w:ascii="微软雅黑" w:hAnsi="微软雅黑" w:eastAsia="微软雅黑" w:cs="微软雅黑"/>
          <w:color w:val="auto"/>
          <w:sz w:val="30"/>
          <w:highlight w:val="none"/>
        </w:rPr>
      </w:pPr>
      <w:r>
        <w:rPr>
          <w:rFonts w:hint="eastAsia" w:ascii="微软雅黑" w:hAnsi="微软雅黑" w:eastAsia="微软雅黑" w:cs="微软雅黑"/>
          <w:color w:val="auto"/>
          <w:spacing w:val="-3"/>
          <w:sz w:val="30"/>
          <w:highlight w:val="none"/>
        </w:rPr>
        <w:t>投标人地址：</w:t>
      </w:r>
    </w:p>
    <w:p w14:paraId="4D4FE058">
      <w:pPr>
        <w:pStyle w:val="7"/>
        <w:shd w:val="clear"/>
        <w:snapToGrid w:val="0"/>
        <w:spacing w:line="360" w:lineRule="auto"/>
        <w:ind w:left="0" w:leftChars="0" w:firstLine="2826" w:firstLineChars="942"/>
        <w:rPr>
          <w:rFonts w:hint="eastAsia" w:ascii="微软雅黑" w:hAnsi="微软雅黑" w:eastAsia="微软雅黑" w:cs="微软雅黑"/>
          <w:color w:val="auto"/>
          <w:sz w:val="30"/>
          <w:highlight w:val="none"/>
        </w:rPr>
      </w:pPr>
      <w:r>
        <w:rPr>
          <w:rFonts w:hint="eastAsia" w:ascii="微软雅黑" w:hAnsi="微软雅黑" w:eastAsia="微软雅黑" w:cs="微软雅黑"/>
          <w:color w:val="auto"/>
          <w:sz w:val="30"/>
          <w:highlight w:val="none"/>
        </w:rPr>
        <w:t>日      期 ：</w:t>
      </w:r>
    </w:p>
    <w:p w14:paraId="7C8ADF5F">
      <w:pPr>
        <w:pStyle w:val="7"/>
        <w:shd w:val="clear"/>
        <w:snapToGrid w:val="0"/>
        <w:spacing w:line="360" w:lineRule="auto"/>
        <w:rPr>
          <w:rFonts w:hint="eastAsia" w:ascii="微软雅黑" w:hAnsi="微软雅黑" w:eastAsia="微软雅黑" w:cs="微软雅黑"/>
          <w:color w:val="auto"/>
          <w:sz w:val="30"/>
          <w:highlight w:val="none"/>
        </w:rPr>
      </w:pPr>
    </w:p>
    <w:p w14:paraId="3754842C">
      <w:pPr>
        <w:pStyle w:val="7"/>
        <w:shd w:val="clear"/>
        <w:snapToGrid w:val="0"/>
        <w:spacing w:line="360" w:lineRule="auto"/>
        <w:rPr>
          <w:rFonts w:hint="eastAsia" w:ascii="微软雅黑" w:hAnsi="微软雅黑" w:eastAsia="微软雅黑" w:cs="微软雅黑"/>
          <w:color w:val="auto"/>
          <w:sz w:val="24"/>
          <w:highlight w:val="none"/>
        </w:rPr>
      </w:pPr>
    </w:p>
    <w:p w14:paraId="622F485B">
      <w:pPr>
        <w:shd w:val="clear"/>
        <w:snapToGrid w:val="0"/>
        <w:spacing w:line="360" w:lineRule="auto"/>
        <w:ind w:left="6" w:right="21"/>
        <w:jc w:val="center"/>
        <w:rPr>
          <w:rFonts w:hint="eastAsia" w:ascii="微软雅黑" w:hAnsi="微软雅黑" w:eastAsia="微软雅黑" w:cs="微软雅黑"/>
          <w:b/>
          <w:color w:val="auto"/>
          <w:sz w:val="21"/>
          <w:highlight w:val="none"/>
        </w:rPr>
      </w:pPr>
      <w:bookmarkStart w:id="54" w:name="评分索引表"/>
      <w:bookmarkEnd w:id="54"/>
    </w:p>
    <w:p w14:paraId="7965FB6B">
      <w:pPr>
        <w:shd w:val="clear"/>
        <w:snapToGrid w:val="0"/>
        <w:spacing w:line="360" w:lineRule="auto"/>
        <w:ind w:left="6" w:right="21"/>
        <w:jc w:val="center"/>
        <w:rPr>
          <w:rFonts w:hint="eastAsia" w:ascii="微软雅黑" w:hAnsi="微软雅黑" w:eastAsia="微软雅黑" w:cs="微软雅黑"/>
          <w:b/>
          <w:color w:val="auto"/>
          <w:sz w:val="21"/>
          <w:highlight w:val="none"/>
        </w:rPr>
      </w:pPr>
      <w:r>
        <w:rPr>
          <w:rFonts w:hint="eastAsia" w:ascii="微软雅黑" w:hAnsi="微软雅黑" w:eastAsia="微软雅黑" w:cs="微软雅黑"/>
          <w:b/>
          <w:color w:val="auto"/>
          <w:sz w:val="21"/>
          <w:highlight w:val="none"/>
        </w:rPr>
        <w:t>评分索引表</w:t>
      </w:r>
    </w:p>
    <w:tbl>
      <w:tblPr>
        <w:tblStyle w:val="20"/>
        <w:tblpPr w:leftFromText="180" w:rightFromText="180" w:vertAnchor="text" w:horzAnchor="page" w:tblpXSpec="center" w:tblpY="251"/>
        <w:tblOverlap w:val="never"/>
        <w:tblW w:w="92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570"/>
      </w:tblGrid>
      <w:tr w14:paraId="3927E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670" w:type="dxa"/>
          </w:tcPr>
          <w:p w14:paraId="49CA1BDA">
            <w:pPr>
              <w:pStyle w:val="29"/>
              <w:shd w:val="clear"/>
              <w:snapToGrid w:val="0"/>
              <w:spacing w:line="360" w:lineRule="auto"/>
              <w:ind w:left="3345"/>
              <w:rPr>
                <w:rFonts w:hint="eastAsia" w:ascii="微软雅黑" w:hAnsi="微软雅黑" w:eastAsia="微软雅黑" w:cs="微软雅黑"/>
                <w:b/>
                <w:color w:val="auto"/>
                <w:sz w:val="21"/>
                <w:highlight w:val="none"/>
              </w:rPr>
            </w:pPr>
            <w:r>
              <w:rPr>
                <w:rFonts w:hint="eastAsia" w:ascii="微软雅黑" w:hAnsi="微软雅黑" w:eastAsia="微软雅黑" w:cs="微软雅黑"/>
                <w:b/>
                <w:color w:val="auto"/>
                <w:sz w:val="21"/>
                <w:highlight w:val="none"/>
              </w:rPr>
              <w:t>评分项目</w:t>
            </w:r>
          </w:p>
        </w:tc>
        <w:tc>
          <w:tcPr>
            <w:tcW w:w="3570" w:type="dxa"/>
          </w:tcPr>
          <w:p w14:paraId="75BCBC25">
            <w:pPr>
              <w:pStyle w:val="29"/>
              <w:shd w:val="clear"/>
              <w:snapToGrid w:val="0"/>
              <w:spacing w:line="360" w:lineRule="auto"/>
              <w:ind w:left="630"/>
              <w:rPr>
                <w:rFonts w:hint="eastAsia" w:ascii="微软雅黑" w:hAnsi="微软雅黑" w:eastAsia="微软雅黑" w:cs="微软雅黑"/>
                <w:b/>
                <w:color w:val="auto"/>
                <w:sz w:val="21"/>
                <w:highlight w:val="none"/>
              </w:rPr>
            </w:pPr>
            <w:r>
              <w:rPr>
                <w:rFonts w:hint="eastAsia" w:ascii="微软雅黑" w:hAnsi="微软雅黑" w:eastAsia="微软雅黑" w:cs="微软雅黑"/>
                <w:b/>
                <w:color w:val="auto"/>
                <w:sz w:val="21"/>
                <w:highlight w:val="none"/>
              </w:rPr>
              <w:t>在投标文件中的页码位置</w:t>
            </w:r>
          </w:p>
        </w:tc>
      </w:tr>
      <w:tr w14:paraId="51E7A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5670" w:type="dxa"/>
          </w:tcPr>
          <w:p w14:paraId="0CFD3941">
            <w:pPr>
              <w:pStyle w:val="29"/>
              <w:shd w:val="clear"/>
              <w:snapToGrid w:val="0"/>
              <w:spacing w:line="360" w:lineRule="auto"/>
              <w:rPr>
                <w:rFonts w:hint="eastAsia" w:ascii="微软雅黑" w:hAnsi="微软雅黑" w:eastAsia="微软雅黑" w:cs="微软雅黑"/>
                <w:color w:val="auto"/>
                <w:sz w:val="20"/>
                <w:highlight w:val="none"/>
              </w:rPr>
            </w:pPr>
          </w:p>
        </w:tc>
        <w:tc>
          <w:tcPr>
            <w:tcW w:w="3570" w:type="dxa"/>
          </w:tcPr>
          <w:p w14:paraId="5C77544E">
            <w:pPr>
              <w:pStyle w:val="29"/>
              <w:shd w:val="clear"/>
              <w:snapToGrid w:val="0"/>
              <w:spacing w:line="360" w:lineRule="auto"/>
              <w:rPr>
                <w:rFonts w:hint="eastAsia" w:ascii="微软雅黑" w:hAnsi="微软雅黑" w:eastAsia="微软雅黑" w:cs="微软雅黑"/>
                <w:color w:val="auto"/>
                <w:sz w:val="20"/>
                <w:highlight w:val="none"/>
              </w:rPr>
            </w:pPr>
          </w:p>
        </w:tc>
      </w:tr>
      <w:tr w14:paraId="48FB2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5670" w:type="dxa"/>
          </w:tcPr>
          <w:p w14:paraId="012C8D12">
            <w:pPr>
              <w:pStyle w:val="29"/>
              <w:shd w:val="clear"/>
              <w:snapToGrid w:val="0"/>
              <w:spacing w:line="360" w:lineRule="auto"/>
              <w:rPr>
                <w:rFonts w:hint="eastAsia" w:ascii="微软雅黑" w:hAnsi="微软雅黑" w:eastAsia="微软雅黑" w:cs="微软雅黑"/>
                <w:color w:val="auto"/>
                <w:sz w:val="20"/>
                <w:highlight w:val="none"/>
              </w:rPr>
            </w:pPr>
          </w:p>
        </w:tc>
        <w:tc>
          <w:tcPr>
            <w:tcW w:w="3570" w:type="dxa"/>
          </w:tcPr>
          <w:p w14:paraId="5CBBFDCE">
            <w:pPr>
              <w:pStyle w:val="29"/>
              <w:shd w:val="clear"/>
              <w:snapToGrid w:val="0"/>
              <w:spacing w:line="360" w:lineRule="auto"/>
              <w:rPr>
                <w:rFonts w:hint="eastAsia" w:ascii="微软雅黑" w:hAnsi="微软雅黑" w:eastAsia="微软雅黑" w:cs="微软雅黑"/>
                <w:color w:val="auto"/>
                <w:sz w:val="20"/>
                <w:highlight w:val="none"/>
              </w:rPr>
            </w:pPr>
          </w:p>
        </w:tc>
      </w:tr>
      <w:tr w14:paraId="72DA3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5670" w:type="dxa"/>
          </w:tcPr>
          <w:p w14:paraId="231597C5">
            <w:pPr>
              <w:pStyle w:val="29"/>
              <w:shd w:val="clear"/>
              <w:snapToGrid w:val="0"/>
              <w:spacing w:line="360" w:lineRule="auto"/>
              <w:rPr>
                <w:rFonts w:hint="eastAsia" w:ascii="微软雅黑" w:hAnsi="微软雅黑" w:eastAsia="微软雅黑" w:cs="微软雅黑"/>
                <w:color w:val="auto"/>
                <w:sz w:val="20"/>
                <w:highlight w:val="none"/>
              </w:rPr>
            </w:pPr>
          </w:p>
        </w:tc>
        <w:tc>
          <w:tcPr>
            <w:tcW w:w="3570" w:type="dxa"/>
          </w:tcPr>
          <w:p w14:paraId="62F473FD">
            <w:pPr>
              <w:pStyle w:val="29"/>
              <w:shd w:val="clear"/>
              <w:snapToGrid w:val="0"/>
              <w:spacing w:line="360" w:lineRule="auto"/>
              <w:rPr>
                <w:rFonts w:hint="eastAsia" w:ascii="微软雅黑" w:hAnsi="微软雅黑" w:eastAsia="微软雅黑" w:cs="微软雅黑"/>
                <w:color w:val="auto"/>
                <w:sz w:val="20"/>
                <w:highlight w:val="none"/>
              </w:rPr>
            </w:pPr>
          </w:p>
        </w:tc>
      </w:tr>
      <w:tr w14:paraId="2E9E5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670" w:type="dxa"/>
          </w:tcPr>
          <w:p w14:paraId="270E44FA">
            <w:pPr>
              <w:pStyle w:val="29"/>
              <w:shd w:val="clear"/>
              <w:snapToGrid w:val="0"/>
              <w:spacing w:line="360" w:lineRule="auto"/>
              <w:ind w:left="1968"/>
              <w:rPr>
                <w:rFonts w:hint="eastAsia" w:ascii="微软雅黑" w:hAnsi="微软雅黑" w:eastAsia="微软雅黑" w:cs="微软雅黑"/>
                <w:color w:val="auto"/>
                <w:sz w:val="21"/>
                <w:highlight w:val="none"/>
              </w:rPr>
            </w:pPr>
            <w:r>
              <w:rPr>
                <w:rFonts w:hint="eastAsia" w:ascii="微软雅黑" w:hAnsi="微软雅黑" w:eastAsia="微软雅黑" w:cs="微软雅黑"/>
                <w:color w:val="auto"/>
                <w:sz w:val="21"/>
                <w:highlight w:val="none"/>
              </w:rPr>
              <w:t>行数不够，自行添加</w:t>
            </w:r>
          </w:p>
        </w:tc>
        <w:tc>
          <w:tcPr>
            <w:tcW w:w="3570" w:type="dxa"/>
          </w:tcPr>
          <w:p w14:paraId="31B279F6">
            <w:pPr>
              <w:pStyle w:val="29"/>
              <w:shd w:val="clear"/>
              <w:snapToGrid w:val="0"/>
              <w:spacing w:line="360" w:lineRule="auto"/>
              <w:rPr>
                <w:rFonts w:hint="eastAsia" w:ascii="微软雅黑" w:hAnsi="微软雅黑" w:eastAsia="微软雅黑" w:cs="微软雅黑"/>
                <w:color w:val="auto"/>
                <w:sz w:val="20"/>
                <w:highlight w:val="none"/>
              </w:rPr>
            </w:pPr>
          </w:p>
        </w:tc>
      </w:tr>
    </w:tbl>
    <w:p w14:paraId="2DDD44F8">
      <w:pPr>
        <w:pStyle w:val="7"/>
        <w:shd w:val="clear"/>
        <w:snapToGrid w:val="0"/>
        <w:spacing w:line="360" w:lineRule="auto"/>
        <w:rPr>
          <w:rFonts w:hint="eastAsia" w:ascii="微软雅黑" w:hAnsi="微软雅黑" w:eastAsia="微软雅黑" w:cs="微软雅黑"/>
          <w:b/>
          <w:color w:val="auto"/>
          <w:sz w:val="10"/>
          <w:highlight w:val="none"/>
        </w:rPr>
      </w:pPr>
    </w:p>
    <w:p w14:paraId="0E5B34CF">
      <w:pPr>
        <w:pStyle w:val="7"/>
        <w:shd w:val="clear"/>
        <w:snapToGrid w:val="0"/>
        <w:spacing w:line="360" w:lineRule="auto"/>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rPr>
        <w:t>注：建议投标供应商为《投标书》制作详细目录，并将该《评分索引表》放在投标书目录之前。</w:t>
      </w:r>
    </w:p>
    <w:p w14:paraId="4283DA9F">
      <w:pPr>
        <w:shd w:val="clear"/>
        <w:snapToGrid w:val="0"/>
        <w:spacing w:line="360" w:lineRule="auto"/>
        <w:rPr>
          <w:rFonts w:hint="eastAsia" w:ascii="微软雅黑" w:hAnsi="微软雅黑" w:eastAsia="微软雅黑" w:cs="微软雅黑"/>
          <w:color w:val="auto"/>
          <w:highlight w:val="none"/>
        </w:rPr>
        <w:sectPr>
          <w:footerReference r:id="rId4" w:type="default"/>
          <w:pgSz w:w="11910" w:h="16840"/>
          <w:pgMar w:top="1338" w:right="1134" w:bottom="1179" w:left="1134" w:header="0" w:footer="992" w:gutter="0"/>
          <w:cols w:space="425" w:num="1"/>
        </w:sectPr>
      </w:pPr>
    </w:p>
    <w:p w14:paraId="1CC24CE0">
      <w:pPr>
        <w:shd w:val="clear"/>
        <w:snapToGrid w:val="0"/>
        <w:ind w:left="441" w:hanging="437" w:hangingChars="212"/>
        <w:outlineLvl w:val="1"/>
        <w:rPr>
          <w:rFonts w:hint="eastAsia" w:ascii="微软雅黑" w:hAnsi="微软雅黑" w:eastAsia="微软雅黑" w:cs="微软雅黑"/>
          <w:b/>
          <w:color w:val="auto"/>
          <w:spacing w:val="-2"/>
          <w:sz w:val="21"/>
          <w:highlight w:val="none"/>
        </w:rPr>
      </w:pPr>
      <w:bookmarkStart w:id="55" w:name="附件一、投标申请及声明格式"/>
      <w:bookmarkEnd w:id="55"/>
      <w:bookmarkStart w:id="56" w:name="附件二、法定代表人授权委托书格式"/>
      <w:bookmarkEnd w:id="56"/>
      <w:bookmarkStart w:id="57" w:name="_Toc24824"/>
    </w:p>
    <w:p w14:paraId="7B9B7BE6">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AE0B769">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7D60C849">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05F392C4">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68F62C2">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0FABD1F3">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6D363AE7">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5ADC2668">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487831A2">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2D5860B6">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0687F986">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66CAAB52">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14D48A40">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6200E4FD">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0587D6EB">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B918D06">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38F85CC">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08BA429A">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210D56A2">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16958DC3">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E84AD57">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01ECC57">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3178E1CE">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5183BFA4">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1CD9D08E">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69FA680A">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6119AD06">
      <w:pPr>
        <w:shd w:val="clear"/>
        <w:snapToGrid w:val="0"/>
        <w:ind w:left="441" w:hanging="437" w:hangingChars="212"/>
        <w:outlineLvl w:val="1"/>
        <w:rPr>
          <w:rFonts w:hint="eastAsia" w:ascii="微软雅黑" w:hAnsi="微软雅黑" w:eastAsia="微软雅黑" w:cs="微软雅黑"/>
          <w:b/>
          <w:color w:val="auto"/>
          <w:spacing w:val="-2"/>
          <w:sz w:val="21"/>
          <w:highlight w:val="none"/>
        </w:rPr>
      </w:pPr>
    </w:p>
    <w:p w14:paraId="16AC1FE9">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附件一、投标申请及声明格式</w:t>
      </w:r>
      <w:bookmarkEnd w:id="57"/>
    </w:p>
    <w:p w14:paraId="5B4C5E98">
      <w:pPr>
        <w:shd w:val="clear"/>
        <w:snapToGrid w:val="0"/>
        <w:spacing w:line="276" w:lineRule="auto"/>
        <w:ind w:left="878"/>
        <w:jc w:val="center"/>
        <w:rPr>
          <w:rFonts w:hint="eastAsia" w:ascii="微软雅黑" w:hAnsi="微软雅黑" w:eastAsia="微软雅黑" w:cs="微软雅黑"/>
          <w:color w:val="auto"/>
          <w:sz w:val="36"/>
          <w:highlight w:val="none"/>
        </w:rPr>
      </w:pPr>
      <w:r>
        <w:rPr>
          <w:rFonts w:hint="eastAsia" w:ascii="微软雅黑" w:hAnsi="微软雅黑" w:eastAsia="微软雅黑" w:cs="微软雅黑"/>
          <w:color w:val="auto"/>
          <w:sz w:val="36"/>
          <w:highlight w:val="none"/>
        </w:rPr>
        <w:t>投标申请及声明</w:t>
      </w:r>
    </w:p>
    <w:p w14:paraId="2A9792BB">
      <w:pPr>
        <w:spacing w:line="360" w:lineRule="auto"/>
        <w:rPr>
          <w:rFonts w:hint="eastAsia" w:ascii="宋体" w:hAnsi="宋体" w:eastAsia="宋体" w:cs="宋体"/>
          <w:color w:val="auto"/>
          <w:szCs w:val="20"/>
          <w:highlight w:val="none"/>
        </w:rPr>
      </w:pPr>
      <w:r>
        <w:rPr>
          <w:rFonts w:hint="eastAsia" w:ascii="宋体" w:hAnsi="宋体" w:eastAsia="宋体" w:cs="宋体"/>
          <w:color w:val="auto"/>
          <w:szCs w:val="20"/>
          <w:highlight w:val="none"/>
          <w:lang w:val="zh-CN"/>
        </w:rPr>
        <w:t>致</w:t>
      </w:r>
      <w:r>
        <w:rPr>
          <w:rFonts w:hint="eastAsia" w:ascii="宋体" w:hAnsi="宋体" w:eastAsia="宋体" w:cs="宋体"/>
          <w:color w:val="auto"/>
          <w:szCs w:val="20"/>
          <w:highlight w:val="none"/>
        </w:rPr>
        <w:t>：</w:t>
      </w:r>
      <w:r>
        <w:rPr>
          <w:rFonts w:hint="eastAsia" w:ascii="宋体" w:hAnsi="宋体" w:eastAsia="宋体" w:cs="宋体"/>
          <w:b/>
          <w:color w:val="auto"/>
          <w:szCs w:val="20"/>
          <w:highlight w:val="none"/>
          <w:lang w:val="zh-CN"/>
        </w:rPr>
        <w:t xml:space="preserve">南京市江宁区发展和改革委员会 </w:t>
      </w:r>
    </w:p>
    <w:p w14:paraId="13E4EAC0">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根据贵方</w:t>
      </w:r>
      <w:r>
        <w:rPr>
          <w:rFonts w:hint="eastAsia" w:ascii="宋体" w:hAnsi="宋体" w:eastAsia="宋体" w:cs="宋体"/>
          <w:color w:val="auto"/>
          <w:szCs w:val="21"/>
          <w:highlight w:val="none"/>
          <w:u w:val="single"/>
        </w:rPr>
        <w:t xml:space="preserve">  （项目名称、项目编号）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zh-CN"/>
        </w:rPr>
        <w:t>采购文件，正式授权下述签字人</w:t>
      </w:r>
      <w:r>
        <w:rPr>
          <w:rFonts w:hint="eastAsia" w:ascii="宋体" w:hAnsi="宋体" w:eastAsia="宋体" w:cs="宋体"/>
          <w:color w:val="auto"/>
          <w:szCs w:val="21"/>
          <w:highlight w:val="none"/>
          <w:u w:val="single"/>
          <w:lang w:val="zh-CN"/>
        </w:rPr>
        <w:tab/>
      </w:r>
      <w:r>
        <w:rPr>
          <w:rFonts w:hint="eastAsia" w:ascii="宋体" w:hAnsi="宋体" w:eastAsia="宋体" w:cs="宋体"/>
          <w:color w:val="auto"/>
          <w:szCs w:val="21"/>
          <w:highlight w:val="none"/>
          <w:u w:val="single"/>
          <w:lang w:val="zh-CN"/>
        </w:rPr>
        <w:t xml:space="preserve">(姓名和职务) </w:t>
      </w:r>
      <w:r>
        <w:rPr>
          <w:rFonts w:hint="eastAsia" w:ascii="宋体" w:hAnsi="宋体" w:eastAsia="宋体" w:cs="宋体"/>
          <w:color w:val="auto"/>
          <w:szCs w:val="21"/>
          <w:highlight w:val="none"/>
          <w:lang w:val="zh-CN"/>
        </w:rPr>
        <w:t>代表</w:t>
      </w:r>
      <w:r>
        <w:rPr>
          <w:rFonts w:hint="eastAsia" w:ascii="宋体" w:hAnsi="宋体" w:eastAsia="宋体" w:cs="宋体"/>
          <w:color w:val="auto"/>
          <w:szCs w:val="21"/>
          <w:highlight w:val="none"/>
          <w:u w:val="single"/>
          <w:lang w:val="zh-CN"/>
        </w:rPr>
        <w:t>（供应商名称）</w:t>
      </w:r>
      <w:r>
        <w:rPr>
          <w:rFonts w:hint="eastAsia" w:ascii="宋体" w:hAnsi="宋体" w:eastAsia="宋体" w:cs="宋体"/>
          <w:color w:val="auto"/>
          <w:szCs w:val="21"/>
          <w:highlight w:val="none"/>
          <w:lang w:val="zh-CN"/>
        </w:rPr>
        <w:t>，提交响应文件并参加</w:t>
      </w:r>
      <w:r>
        <w:rPr>
          <w:rFonts w:hint="eastAsia" w:ascii="宋体" w:hAnsi="宋体" w:eastAsia="宋体" w:cs="宋体"/>
          <w:color w:val="auto"/>
          <w:szCs w:val="21"/>
          <w:highlight w:val="none"/>
        </w:rPr>
        <w:t>投标</w:t>
      </w:r>
      <w:r>
        <w:rPr>
          <w:rFonts w:hint="eastAsia" w:ascii="宋体" w:hAnsi="宋体" w:eastAsia="宋体" w:cs="宋体"/>
          <w:color w:val="auto"/>
          <w:szCs w:val="21"/>
          <w:highlight w:val="none"/>
          <w:lang w:val="zh-CN"/>
        </w:rPr>
        <w:t>。</w:t>
      </w:r>
    </w:p>
    <w:p w14:paraId="500E80EB">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据此函，签字人兹宣布同意如下：</w:t>
      </w:r>
    </w:p>
    <w:p w14:paraId="5774A7EA">
      <w:pPr>
        <w:widowControl/>
        <w:shd w:val="clear" w:color="auto" w:fill="FFFFFF"/>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根据已收到的</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文件，遵照规定，我单位经现场考察和认真研究上述</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文件后，愿以</w:t>
      </w:r>
      <w:r>
        <w:rPr>
          <w:rFonts w:hint="eastAsia" w:ascii="宋体" w:hAnsi="宋体" w:eastAsia="宋体" w:cs="宋体"/>
          <w:color w:val="auto"/>
          <w:szCs w:val="21"/>
          <w:highlight w:val="none"/>
          <w:u w:val="single"/>
          <w:lang w:val="zh-CN"/>
        </w:rPr>
        <w:t xml:space="preserve">（大写）人民币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zh-CN"/>
        </w:rPr>
        <w:t>元）</w:t>
      </w:r>
      <w:r>
        <w:rPr>
          <w:rFonts w:hint="eastAsia" w:ascii="宋体" w:hAnsi="宋体" w:eastAsia="宋体" w:cs="宋体"/>
          <w:color w:val="auto"/>
          <w:szCs w:val="21"/>
          <w:highlight w:val="none"/>
          <w:lang w:val="zh-CN"/>
        </w:rPr>
        <w:t>作为</w:t>
      </w:r>
      <w:r>
        <w:rPr>
          <w:rFonts w:hint="eastAsia" w:ascii="宋体" w:hAnsi="宋体" w:eastAsia="宋体" w:cs="宋体"/>
          <w:color w:val="auto"/>
          <w:szCs w:val="21"/>
          <w:highlight w:val="none"/>
        </w:rPr>
        <w:t>投标</w:t>
      </w:r>
      <w:r>
        <w:rPr>
          <w:rFonts w:hint="eastAsia" w:ascii="宋体" w:hAnsi="宋体" w:eastAsia="宋体" w:cs="宋体"/>
          <w:color w:val="auto"/>
          <w:szCs w:val="21"/>
          <w:highlight w:val="none"/>
          <w:lang w:val="zh-CN"/>
        </w:rPr>
        <w:t>报价，</w:t>
      </w:r>
      <w:r>
        <w:rPr>
          <w:rFonts w:hint="eastAsia" w:ascii="宋体" w:hAnsi="宋体" w:eastAsia="宋体" w:cs="宋体"/>
          <w:color w:val="auto"/>
          <w:szCs w:val="21"/>
          <w:highlight w:val="none"/>
        </w:rPr>
        <w:t xml:space="preserve">服务期为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rPr>
        <w:t xml:space="preserve">       </w:t>
      </w:r>
    </w:p>
    <w:p w14:paraId="315A8F1B">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2.我们完全理解贵方不一定要接受最低报价的</w:t>
      </w:r>
      <w:r>
        <w:rPr>
          <w:rFonts w:hint="eastAsia" w:ascii="宋体" w:hAnsi="宋体" w:eastAsia="宋体" w:cs="宋体"/>
          <w:color w:val="auto"/>
          <w:szCs w:val="21"/>
          <w:highlight w:val="none"/>
        </w:rPr>
        <w:t>投标</w:t>
      </w:r>
      <w:r>
        <w:rPr>
          <w:rFonts w:hint="eastAsia" w:ascii="宋体" w:hAnsi="宋体" w:eastAsia="宋体" w:cs="宋体"/>
          <w:color w:val="auto"/>
          <w:szCs w:val="21"/>
          <w:highlight w:val="none"/>
          <w:lang w:val="zh-CN"/>
        </w:rPr>
        <w:t>。</w:t>
      </w:r>
    </w:p>
    <w:p w14:paraId="7A30C324">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3.我们已详细审核全部</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文件及其有效补充文件，我们知道必须放弃提出含糊不清或误解的问题的权利。提交响应文件后，不对</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文件本身提出质疑。否则，属于不诚信和故意扰乱政府采购活动行为，我们将无条件接受处罚。</w:t>
      </w:r>
    </w:p>
    <w:p w14:paraId="3BBB2F18">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4.我们同意从规定的</w:t>
      </w:r>
      <w:r>
        <w:rPr>
          <w:rFonts w:hint="eastAsia" w:ascii="宋体" w:hAnsi="宋体" w:eastAsia="宋体" w:cs="宋体"/>
          <w:color w:val="auto"/>
          <w:szCs w:val="21"/>
          <w:highlight w:val="none"/>
        </w:rPr>
        <w:t>响应</w:t>
      </w:r>
      <w:r>
        <w:rPr>
          <w:rFonts w:hint="eastAsia" w:ascii="宋体" w:hAnsi="宋体" w:eastAsia="宋体" w:cs="宋体"/>
          <w:color w:val="auto"/>
          <w:szCs w:val="21"/>
          <w:highlight w:val="none"/>
          <w:lang w:val="zh-CN"/>
        </w:rPr>
        <w:t>日期起遵循本</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文件，并在规定的</w:t>
      </w:r>
      <w:r>
        <w:rPr>
          <w:rFonts w:hint="eastAsia" w:ascii="宋体" w:hAnsi="宋体" w:eastAsia="宋体" w:cs="宋体"/>
          <w:color w:val="auto"/>
          <w:szCs w:val="21"/>
          <w:highlight w:val="none"/>
        </w:rPr>
        <w:t>投标</w:t>
      </w:r>
      <w:r>
        <w:rPr>
          <w:rFonts w:hint="eastAsia" w:ascii="宋体" w:hAnsi="宋体" w:eastAsia="宋体" w:cs="宋体"/>
          <w:color w:val="auto"/>
          <w:szCs w:val="21"/>
          <w:highlight w:val="none"/>
          <w:lang w:val="zh-CN"/>
        </w:rPr>
        <w:t>有效期期满之前均具有约束力。</w:t>
      </w:r>
    </w:p>
    <w:p w14:paraId="170A7EAB">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5.同意向贵方提供贵方可能要求的与</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有关的任何证据或资料。</w:t>
      </w:r>
    </w:p>
    <w:p w14:paraId="08AA1C86">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6.一旦我方成交，我方将根据</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文件的规定，严格履行合同。</w:t>
      </w:r>
    </w:p>
    <w:p w14:paraId="0114EF37">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7.我方将严格遵守《中华人民共和国政府采购法》第七十七条规定，若有下列情形之一的，将被处以采购金额 5‰以上 10‰以下的罚款，列入不良行为记录名单，在一至三年内禁止参加政府采购活动；有违法所得的，并处没收违法所得；情节严重的，由工商行政管理机关吊销营业执照；构成犯罪的，依法追究刑事责任：提供虚假材料谋取中标、成交的；采取不正当手段诋毁、排挤其他供应商的；与采购人、其它供应商或者采购代理机构恶意串通的；拒绝有关部门监督检查或提供虚假情况的。</w:t>
      </w:r>
    </w:p>
    <w:p w14:paraId="1B29BCBE">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8.与本磋商有关的正式通讯地址为： </w:t>
      </w:r>
    </w:p>
    <w:p w14:paraId="2B3A7B80">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zh-CN"/>
        </w:rPr>
        <w:t>（加盖公章）</w:t>
      </w:r>
    </w:p>
    <w:p w14:paraId="7DA09E7F">
      <w:pPr>
        <w:widowControl/>
        <w:shd w:val="clear" w:color="auto" w:fill="FFFFFF"/>
        <w:spacing w:line="360" w:lineRule="auto"/>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zh-CN"/>
        </w:rPr>
        <w:t>地</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 xml:space="preserve">址 ： </w:t>
      </w:r>
      <w:r>
        <w:rPr>
          <w:rFonts w:hint="eastAsia" w:ascii="宋体" w:hAnsi="宋体" w:eastAsia="宋体" w:cs="宋体"/>
          <w:color w:val="auto"/>
          <w:szCs w:val="21"/>
          <w:highlight w:val="none"/>
          <w:u w:val="single"/>
        </w:rPr>
        <w:t xml:space="preserve">                    </w:t>
      </w:r>
    </w:p>
    <w:p w14:paraId="15ED7127">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联系电话： </w:t>
      </w:r>
      <w:r>
        <w:rPr>
          <w:rFonts w:hint="eastAsia" w:ascii="宋体" w:hAnsi="宋体" w:eastAsia="宋体" w:cs="宋体"/>
          <w:color w:val="auto"/>
          <w:szCs w:val="21"/>
          <w:highlight w:val="none"/>
          <w:u w:val="single"/>
        </w:rPr>
        <w:t xml:space="preserve">                    </w:t>
      </w:r>
    </w:p>
    <w:p w14:paraId="511A9C8A">
      <w:pPr>
        <w:widowControl/>
        <w:shd w:val="clear" w:color="auto" w:fill="FFFFFF"/>
        <w:spacing w:line="360" w:lineRule="auto"/>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zh-CN"/>
        </w:rPr>
        <w:t>传</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 xml:space="preserve">真 ： </w:t>
      </w:r>
      <w:r>
        <w:rPr>
          <w:rFonts w:hint="eastAsia" w:ascii="宋体" w:hAnsi="宋体" w:eastAsia="宋体" w:cs="宋体"/>
          <w:color w:val="auto"/>
          <w:szCs w:val="21"/>
          <w:highlight w:val="none"/>
          <w:u w:val="single"/>
        </w:rPr>
        <w:t xml:space="preserve">                    </w:t>
      </w:r>
    </w:p>
    <w:p w14:paraId="04F43CE4">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开户银行： </w:t>
      </w:r>
      <w:r>
        <w:rPr>
          <w:rFonts w:hint="eastAsia" w:ascii="宋体" w:hAnsi="宋体" w:eastAsia="宋体" w:cs="宋体"/>
          <w:color w:val="auto"/>
          <w:szCs w:val="21"/>
          <w:highlight w:val="none"/>
          <w:u w:val="single"/>
        </w:rPr>
        <w:t xml:space="preserve">                    </w:t>
      </w:r>
    </w:p>
    <w:p w14:paraId="28D0B9BE">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帐</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号：</w:t>
      </w:r>
      <w:r>
        <w:rPr>
          <w:rFonts w:hint="eastAsia" w:ascii="宋体" w:hAnsi="宋体" w:eastAsia="宋体" w:cs="宋体"/>
          <w:color w:val="auto"/>
          <w:szCs w:val="21"/>
          <w:highlight w:val="none"/>
          <w:u w:val="single"/>
        </w:rPr>
        <w:t xml:space="preserve">                    </w:t>
      </w:r>
    </w:p>
    <w:p w14:paraId="6A72695D">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联系电话：</w:t>
      </w:r>
      <w:r>
        <w:rPr>
          <w:rFonts w:hint="eastAsia" w:ascii="宋体" w:hAnsi="宋体" w:eastAsia="宋体" w:cs="宋体"/>
          <w:color w:val="auto"/>
          <w:szCs w:val="21"/>
          <w:highlight w:val="none"/>
          <w:u w:val="single"/>
        </w:rPr>
        <w:t xml:space="preserve">                    </w:t>
      </w:r>
    </w:p>
    <w:p w14:paraId="42410F98">
      <w:pPr>
        <w:widowControl/>
        <w:shd w:val="clear" w:color="auto" w:fill="FFFFFF"/>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期：</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ab/>
      </w:r>
      <w:r>
        <w:rPr>
          <w:rFonts w:hint="eastAsia" w:ascii="宋体" w:hAnsi="宋体" w:eastAsia="宋体" w:cs="宋体"/>
          <w:color w:val="auto"/>
          <w:szCs w:val="21"/>
          <w:highlight w:val="none"/>
          <w:lang w:val="zh-CN"/>
        </w:rPr>
        <w:t>日</w:t>
      </w:r>
    </w:p>
    <w:p w14:paraId="126309FB">
      <w:pPr>
        <w:shd w:val="clear"/>
        <w:snapToGrid w:val="0"/>
        <w:spacing w:line="360" w:lineRule="auto"/>
        <w:jc w:val="both"/>
        <w:rPr>
          <w:rFonts w:hint="eastAsia" w:ascii="微软雅黑" w:hAnsi="微软雅黑" w:eastAsia="微软雅黑" w:cs="微软雅黑"/>
          <w:b/>
          <w:color w:val="auto"/>
          <w:w w:val="95"/>
          <w:sz w:val="21"/>
          <w:highlight w:val="none"/>
        </w:rPr>
      </w:pPr>
    </w:p>
    <w:p w14:paraId="70663928">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58" w:name="_Toc19640"/>
      <w:r>
        <w:rPr>
          <w:rFonts w:hint="eastAsia" w:ascii="宋体" w:hAnsi="宋体" w:eastAsia="宋体" w:cs="宋体"/>
          <w:b/>
          <w:color w:val="auto"/>
          <w:sz w:val="24"/>
          <w:szCs w:val="24"/>
          <w:highlight w:val="none"/>
        </w:rPr>
        <w:t>附件二、法定代表人资格证明及授权委托书</w:t>
      </w:r>
      <w:bookmarkEnd w:id="58"/>
    </w:p>
    <w:p w14:paraId="2FF55F2B">
      <w:pPr>
        <w:ind w:firstLine="163"/>
        <w:jc w:val="center"/>
        <w:rPr>
          <w:rFonts w:hint="eastAsia" w:ascii="宋体" w:hAnsi="宋体" w:eastAsia="宋体" w:cs="宋体"/>
          <w:b/>
          <w:color w:val="auto"/>
          <w:sz w:val="28"/>
          <w:szCs w:val="28"/>
          <w:highlight w:val="none"/>
        </w:rPr>
      </w:pPr>
    </w:p>
    <w:p w14:paraId="45D856B2">
      <w:pPr>
        <w:ind w:firstLine="163"/>
        <w:jc w:val="center"/>
        <w:rPr>
          <w:color w:val="auto"/>
          <w:highlight w:val="none"/>
        </w:rPr>
      </w:pPr>
      <w:r>
        <w:rPr>
          <w:rFonts w:hint="eastAsia" w:ascii="宋体" w:hAnsi="宋体" w:eastAsia="宋体" w:cs="宋体"/>
          <w:b/>
          <w:color w:val="auto"/>
          <w:sz w:val="28"/>
          <w:szCs w:val="28"/>
          <w:highlight w:val="none"/>
        </w:rPr>
        <w:t>法定代表人授权书</w:t>
      </w:r>
    </w:p>
    <w:p w14:paraId="1782CE19">
      <w:pPr>
        <w:spacing w:line="360" w:lineRule="auto"/>
        <w:rPr>
          <w:rFonts w:hint="eastAsia" w:ascii="宋体" w:hAnsi="宋体" w:eastAsia="宋体" w:cs="宋体"/>
          <w:color w:val="auto"/>
          <w:szCs w:val="21"/>
          <w:highlight w:val="none"/>
        </w:rPr>
      </w:pPr>
    </w:p>
    <w:p w14:paraId="102949F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致：南京市江宁区发展和改革委员会 </w:t>
      </w:r>
    </w:p>
    <w:p w14:paraId="1B08052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本授权书声明：注册于</w:t>
      </w:r>
      <w:r>
        <w:rPr>
          <w:rFonts w:hint="eastAsia" w:ascii="宋体" w:hAnsi="宋体" w:eastAsia="宋体" w:cs="宋体"/>
          <w:color w:val="auto"/>
          <w:szCs w:val="21"/>
          <w:highlight w:val="none"/>
          <w:u w:val="single"/>
        </w:rPr>
        <w:t>（供应商住址）</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（法定代表人姓名、职务）</w:t>
      </w:r>
      <w:r>
        <w:rPr>
          <w:rFonts w:hint="eastAsia" w:ascii="宋体" w:hAnsi="宋体" w:eastAsia="宋体" w:cs="宋体"/>
          <w:color w:val="auto"/>
          <w:szCs w:val="21"/>
          <w:highlight w:val="none"/>
        </w:rPr>
        <w:t>代表本公司授权在下面签字的</w:t>
      </w:r>
      <w:r>
        <w:rPr>
          <w:rFonts w:hint="eastAsia" w:ascii="宋体" w:hAnsi="宋体" w:eastAsia="宋体" w:cs="宋体"/>
          <w:color w:val="auto"/>
          <w:szCs w:val="21"/>
          <w:highlight w:val="none"/>
          <w:u w:val="single"/>
        </w:rPr>
        <w:t>（供应商代表姓名、职务）</w:t>
      </w:r>
      <w:r>
        <w:rPr>
          <w:rFonts w:hint="eastAsia" w:ascii="宋体" w:hAnsi="宋体" w:eastAsia="宋体" w:cs="宋体"/>
          <w:color w:val="auto"/>
          <w:szCs w:val="21"/>
          <w:highlight w:val="none"/>
        </w:rPr>
        <w:t>为本公司的合法代理人，就贵方组织的</w:t>
      </w:r>
      <w:r>
        <w:rPr>
          <w:rFonts w:hint="eastAsia" w:ascii="宋体" w:hAnsi="宋体" w:eastAsia="宋体" w:cs="宋体"/>
          <w:color w:val="auto"/>
          <w:szCs w:val="21"/>
          <w:highlight w:val="none"/>
          <w:u w:val="single"/>
        </w:rPr>
        <w:t>（项目名称）（项目编号）</w:t>
      </w:r>
      <w:r>
        <w:rPr>
          <w:rFonts w:hint="eastAsia" w:ascii="宋体" w:hAnsi="宋体" w:eastAsia="宋体" w:cs="宋体"/>
          <w:color w:val="auto"/>
          <w:szCs w:val="21"/>
          <w:highlight w:val="none"/>
        </w:rPr>
        <w:t>进行</w:t>
      </w:r>
      <w:r>
        <w:rPr>
          <w:rFonts w:hint="eastAsia" w:ascii="宋体" w:hAnsi="宋体" w:eastAsia="宋体" w:cs="宋体"/>
          <w:bCs/>
          <w:color w:val="auto"/>
          <w:szCs w:val="21"/>
          <w:highlight w:val="none"/>
        </w:rPr>
        <w:t>投标</w:t>
      </w:r>
      <w:r>
        <w:rPr>
          <w:rFonts w:hint="eastAsia" w:ascii="宋体" w:hAnsi="宋体" w:eastAsia="宋体" w:cs="宋体"/>
          <w:color w:val="auto"/>
          <w:szCs w:val="21"/>
          <w:highlight w:val="none"/>
        </w:rPr>
        <w:t>报价，以本公司名义处理一切与之有关的事务。</w:t>
      </w:r>
    </w:p>
    <w:p w14:paraId="1DBAF414">
      <w:pPr>
        <w:spacing w:line="360" w:lineRule="auto"/>
        <w:ind w:firstLine="122"/>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本授权书于  年  月  日盖章生效，特此声明。</w:t>
      </w:r>
    </w:p>
    <w:p w14:paraId="2832523F">
      <w:pPr>
        <w:spacing w:line="360" w:lineRule="auto"/>
        <w:ind w:firstLine="122"/>
        <w:jc w:val="righ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投标供应商（加盖公章）：</w:t>
      </w:r>
    </w:p>
    <w:p w14:paraId="2D8A1075">
      <w:pPr>
        <w:spacing w:line="360" w:lineRule="auto"/>
        <w:ind w:firstLine="122"/>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4A61C9E">
      <w:pPr>
        <w:ind w:firstLine="122"/>
        <w:rPr>
          <w:rFonts w:hint="eastAsia" w:ascii="宋体" w:hAnsi="宋体" w:eastAsia="宋体" w:cs="宋体"/>
          <w:color w:val="auto"/>
          <w:highlight w:val="none"/>
        </w:rPr>
      </w:pPr>
    </w:p>
    <w:p w14:paraId="13A49126">
      <w:pPr>
        <w:rPr>
          <w:rFonts w:hint="eastAsia" w:ascii="宋体" w:hAnsi="宋体" w:eastAsia="宋体" w:cs="宋体"/>
          <w:color w:val="auto"/>
          <w:highlight w:val="none"/>
        </w:rPr>
      </w:pPr>
      <w:r>
        <w:rPr>
          <w:rFonts w:hint="eastAsia" w:ascii="Arial" w:hAnsi="Arial" w:cs="Arial"/>
          <w:color w:val="auto"/>
          <w:szCs w:val="21"/>
          <w:highlight w:val="none"/>
          <w:lang w:bidi="zh-CN"/>
        </w:rPr>
        <w:t>附：法定代表人身份证和授权代表身份证</w:t>
      </w:r>
    </w:p>
    <w:p w14:paraId="4D003FB1">
      <w:pPr>
        <w:pStyle w:val="7"/>
        <w:shd w:val="clear"/>
        <w:tabs>
          <w:tab w:val="left" w:pos="2347"/>
          <w:tab w:val="left" w:pos="3607"/>
          <w:tab w:val="left" w:pos="4238"/>
          <w:tab w:val="left" w:pos="4867"/>
        </w:tabs>
        <w:snapToGrid w:val="0"/>
        <w:spacing w:line="360" w:lineRule="auto"/>
        <w:ind w:left="1298"/>
        <w:jc w:val="right"/>
        <w:rPr>
          <w:rFonts w:hint="eastAsia" w:ascii="微软雅黑" w:hAnsi="微软雅黑" w:eastAsia="微软雅黑" w:cs="微软雅黑"/>
          <w:color w:val="auto"/>
          <w:highlight w:val="none"/>
        </w:rPr>
      </w:pPr>
    </w:p>
    <w:p w14:paraId="231EFF09">
      <w:pPr>
        <w:pStyle w:val="7"/>
        <w:shd w:val="clear"/>
        <w:snapToGrid w:val="0"/>
        <w:spacing w:line="360" w:lineRule="auto"/>
        <w:rPr>
          <w:rFonts w:hint="eastAsia" w:ascii="微软雅黑" w:hAnsi="微软雅黑" w:eastAsia="微软雅黑" w:cs="微软雅黑"/>
          <w:color w:val="auto"/>
          <w:sz w:val="20"/>
          <w:highlight w:val="none"/>
        </w:rPr>
      </w:pPr>
    </w:p>
    <w:p w14:paraId="5B6B6125">
      <w:pPr>
        <w:pStyle w:val="7"/>
        <w:shd w:val="clear"/>
        <w:snapToGrid w:val="0"/>
        <w:spacing w:line="360" w:lineRule="auto"/>
        <w:rPr>
          <w:rFonts w:hint="eastAsia" w:ascii="微软雅黑" w:hAnsi="微软雅黑" w:eastAsia="微软雅黑" w:cs="微软雅黑"/>
          <w:color w:val="auto"/>
          <w:sz w:val="17"/>
          <w:highlight w:val="none"/>
        </w:rPr>
      </w:pPr>
    </w:p>
    <w:p w14:paraId="1DD5BE9F">
      <w:pPr>
        <w:shd w:val="clear"/>
        <w:snapToGrid w:val="0"/>
        <w:spacing w:line="360" w:lineRule="auto"/>
        <w:ind w:left="878"/>
        <w:rPr>
          <w:rFonts w:hint="eastAsia" w:ascii="微软雅黑" w:hAnsi="微软雅黑" w:eastAsia="微软雅黑" w:cs="微软雅黑"/>
          <w:b/>
          <w:color w:val="auto"/>
          <w:sz w:val="21"/>
          <w:highlight w:val="none"/>
        </w:rPr>
      </w:pPr>
      <w:bookmarkStart w:id="59" w:name="附件三、开标一览表"/>
      <w:bookmarkEnd w:id="59"/>
    </w:p>
    <w:p w14:paraId="5CA147DB">
      <w:pPr>
        <w:shd w:val="clear"/>
        <w:snapToGrid w:val="0"/>
        <w:spacing w:line="360" w:lineRule="auto"/>
        <w:ind w:left="878"/>
        <w:rPr>
          <w:rFonts w:hint="eastAsia" w:ascii="微软雅黑" w:hAnsi="微软雅黑" w:eastAsia="微软雅黑" w:cs="微软雅黑"/>
          <w:b/>
          <w:color w:val="auto"/>
          <w:sz w:val="21"/>
          <w:highlight w:val="none"/>
        </w:rPr>
      </w:pPr>
    </w:p>
    <w:p w14:paraId="70DA34CE">
      <w:pPr>
        <w:shd w:val="clear"/>
        <w:snapToGrid w:val="0"/>
        <w:spacing w:line="360" w:lineRule="auto"/>
        <w:ind w:left="878"/>
        <w:rPr>
          <w:rFonts w:hint="eastAsia" w:ascii="微软雅黑" w:hAnsi="微软雅黑" w:eastAsia="微软雅黑" w:cs="微软雅黑"/>
          <w:b/>
          <w:color w:val="auto"/>
          <w:sz w:val="21"/>
          <w:highlight w:val="none"/>
        </w:rPr>
      </w:pPr>
    </w:p>
    <w:p w14:paraId="2CD5F596">
      <w:pPr>
        <w:shd w:val="clear"/>
        <w:snapToGrid w:val="0"/>
        <w:spacing w:line="360" w:lineRule="auto"/>
        <w:ind w:left="878"/>
        <w:rPr>
          <w:rFonts w:hint="eastAsia" w:ascii="微软雅黑" w:hAnsi="微软雅黑" w:eastAsia="微软雅黑" w:cs="微软雅黑"/>
          <w:b/>
          <w:color w:val="auto"/>
          <w:sz w:val="21"/>
          <w:highlight w:val="none"/>
        </w:rPr>
      </w:pPr>
    </w:p>
    <w:p w14:paraId="6481E9E4">
      <w:pPr>
        <w:shd w:val="clear"/>
        <w:snapToGrid w:val="0"/>
        <w:spacing w:line="360" w:lineRule="auto"/>
        <w:ind w:left="878"/>
        <w:rPr>
          <w:rFonts w:hint="eastAsia" w:ascii="微软雅黑" w:hAnsi="微软雅黑" w:eastAsia="微软雅黑" w:cs="微软雅黑"/>
          <w:b/>
          <w:color w:val="auto"/>
          <w:sz w:val="21"/>
          <w:highlight w:val="none"/>
        </w:rPr>
      </w:pPr>
    </w:p>
    <w:p w14:paraId="5BF8F00A">
      <w:pPr>
        <w:shd w:val="clear"/>
        <w:snapToGrid w:val="0"/>
        <w:spacing w:line="360" w:lineRule="auto"/>
        <w:ind w:left="878"/>
        <w:rPr>
          <w:rFonts w:hint="eastAsia" w:ascii="微软雅黑" w:hAnsi="微软雅黑" w:eastAsia="微软雅黑" w:cs="微软雅黑"/>
          <w:b/>
          <w:color w:val="auto"/>
          <w:sz w:val="21"/>
          <w:highlight w:val="none"/>
        </w:rPr>
      </w:pPr>
    </w:p>
    <w:p w14:paraId="640328E7">
      <w:pPr>
        <w:shd w:val="clear"/>
        <w:snapToGrid w:val="0"/>
        <w:spacing w:line="360" w:lineRule="auto"/>
        <w:ind w:left="878"/>
        <w:rPr>
          <w:rFonts w:hint="eastAsia" w:ascii="微软雅黑" w:hAnsi="微软雅黑" w:eastAsia="微软雅黑" w:cs="微软雅黑"/>
          <w:b/>
          <w:color w:val="auto"/>
          <w:sz w:val="21"/>
          <w:highlight w:val="none"/>
        </w:rPr>
      </w:pPr>
    </w:p>
    <w:p w14:paraId="4B7EB1BE">
      <w:pPr>
        <w:shd w:val="clear"/>
        <w:snapToGrid w:val="0"/>
        <w:spacing w:line="360" w:lineRule="auto"/>
        <w:ind w:left="878"/>
        <w:rPr>
          <w:rFonts w:hint="eastAsia" w:ascii="微软雅黑" w:hAnsi="微软雅黑" w:eastAsia="微软雅黑" w:cs="微软雅黑"/>
          <w:b/>
          <w:color w:val="auto"/>
          <w:sz w:val="21"/>
          <w:highlight w:val="none"/>
        </w:rPr>
      </w:pPr>
    </w:p>
    <w:p w14:paraId="29E6F967">
      <w:pPr>
        <w:shd w:val="clear"/>
        <w:snapToGrid w:val="0"/>
        <w:spacing w:line="360" w:lineRule="auto"/>
        <w:ind w:left="878"/>
        <w:rPr>
          <w:rFonts w:hint="eastAsia" w:ascii="微软雅黑" w:hAnsi="微软雅黑" w:eastAsia="微软雅黑" w:cs="微软雅黑"/>
          <w:b/>
          <w:color w:val="auto"/>
          <w:sz w:val="21"/>
          <w:highlight w:val="none"/>
        </w:rPr>
      </w:pPr>
    </w:p>
    <w:p w14:paraId="33A441B7">
      <w:pPr>
        <w:shd w:val="clear"/>
        <w:snapToGrid w:val="0"/>
        <w:spacing w:line="360" w:lineRule="auto"/>
        <w:outlineLvl w:val="1"/>
        <w:rPr>
          <w:rFonts w:hint="eastAsia" w:ascii="微软雅黑" w:hAnsi="微软雅黑" w:eastAsia="微软雅黑" w:cs="微软雅黑"/>
          <w:b/>
          <w:color w:val="auto"/>
          <w:sz w:val="21"/>
          <w:highlight w:val="none"/>
        </w:rPr>
      </w:pPr>
      <w:bookmarkStart w:id="60" w:name="_Toc20365"/>
    </w:p>
    <w:p w14:paraId="12EA51D3">
      <w:pPr>
        <w:shd w:val="clear"/>
        <w:snapToGrid w:val="0"/>
        <w:spacing w:line="360" w:lineRule="auto"/>
        <w:outlineLvl w:val="1"/>
        <w:rPr>
          <w:rFonts w:hint="eastAsia" w:ascii="微软雅黑" w:hAnsi="微软雅黑" w:eastAsia="微软雅黑" w:cs="微软雅黑"/>
          <w:b/>
          <w:color w:val="auto"/>
          <w:sz w:val="21"/>
          <w:highlight w:val="none"/>
        </w:rPr>
      </w:pPr>
    </w:p>
    <w:p w14:paraId="618B2E86">
      <w:pPr>
        <w:shd w:val="clear"/>
        <w:snapToGrid w:val="0"/>
        <w:spacing w:line="360" w:lineRule="auto"/>
        <w:outlineLvl w:val="1"/>
        <w:rPr>
          <w:rFonts w:hint="eastAsia" w:ascii="微软雅黑" w:hAnsi="微软雅黑" w:eastAsia="微软雅黑" w:cs="微软雅黑"/>
          <w:b/>
          <w:color w:val="auto"/>
          <w:sz w:val="21"/>
          <w:highlight w:val="none"/>
        </w:rPr>
      </w:pPr>
    </w:p>
    <w:p w14:paraId="6332DF37">
      <w:pPr>
        <w:shd w:val="clear"/>
        <w:snapToGrid w:val="0"/>
        <w:spacing w:line="360" w:lineRule="auto"/>
        <w:outlineLvl w:val="1"/>
        <w:rPr>
          <w:rFonts w:hint="eastAsia" w:ascii="微软雅黑" w:hAnsi="微软雅黑" w:eastAsia="微软雅黑" w:cs="微软雅黑"/>
          <w:b/>
          <w:color w:val="auto"/>
          <w:sz w:val="21"/>
          <w:highlight w:val="none"/>
        </w:rPr>
      </w:pPr>
    </w:p>
    <w:p w14:paraId="496E9F1A">
      <w:pPr>
        <w:shd w:val="clear"/>
        <w:snapToGrid w:val="0"/>
        <w:spacing w:line="360" w:lineRule="auto"/>
        <w:outlineLvl w:val="1"/>
        <w:rPr>
          <w:rFonts w:hint="eastAsia" w:ascii="微软雅黑" w:hAnsi="微软雅黑" w:eastAsia="微软雅黑" w:cs="微软雅黑"/>
          <w:b/>
          <w:color w:val="auto"/>
          <w:sz w:val="21"/>
          <w:highlight w:val="none"/>
        </w:rPr>
      </w:pPr>
    </w:p>
    <w:p w14:paraId="3AEDA8D6">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附件三、开标一览表</w:t>
      </w:r>
      <w:bookmarkEnd w:id="60"/>
    </w:p>
    <w:p w14:paraId="59D2A7B3">
      <w:pPr>
        <w:widowControl/>
        <w:autoSpaceDE/>
        <w:autoSpaceDN/>
        <w:spacing w:line="240" w:lineRule="atLeast"/>
        <w:jc w:val="center"/>
        <w:outlineLvl w:val="0"/>
        <w:rPr>
          <w:rFonts w:hint="eastAsia" w:ascii="宋体" w:hAnsi="宋体" w:eastAsia="宋体" w:cs="宋体"/>
          <w:color w:val="auto"/>
          <w:sz w:val="32"/>
          <w:szCs w:val="32"/>
          <w:highlight w:val="none"/>
          <w:lang w:val="zh-CN" w:bidi="ar-SA"/>
        </w:rPr>
      </w:pPr>
      <w:r>
        <w:rPr>
          <w:rFonts w:hint="eastAsia" w:ascii="宋体" w:hAnsi="宋体" w:eastAsia="宋体" w:cs="宋体"/>
          <w:color w:val="auto"/>
          <w:sz w:val="32"/>
          <w:szCs w:val="32"/>
          <w:highlight w:val="none"/>
          <w:lang w:val="zh-CN" w:bidi="ar-SA"/>
        </w:rPr>
        <w:t>开标一览表</w:t>
      </w:r>
    </w:p>
    <w:p w14:paraId="210D3EB4">
      <w:pPr>
        <w:spacing w:line="360" w:lineRule="auto"/>
        <w:ind w:firstLine="1100" w:firstLineChars="500"/>
        <w:rPr>
          <w:rFonts w:hint="eastAsia" w:ascii="宋体" w:hAnsi="宋体" w:eastAsia="宋体" w:cs="宋体"/>
          <w:bCs/>
          <w:color w:val="auto"/>
          <w:szCs w:val="20"/>
          <w:highlight w:val="none"/>
        </w:rPr>
      </w:pPr>
    </w:p>
    <w:p w14:paraId="43506F6C">
      <w:pPr>
        <w:spacing w:line="360" w:lineRule="auto"/>
        <w:ind w:firstLine="1100" w:firstLineChars="500"/>
        <w:rPr>
          <w:rFonts w:hint="eastAsia" w:ascii="宋体" w:hAnsi="宋体" w:eastAsia="宋体" w:cs="宋体"/>
          <w:bCs/>
          <w:color w:val="auto"/>
          <w:szCs w:val="20"/>
          <w:highlight w:val="none"/>
        </w:rPr>
      </w:pPr>
      <w:r>
        <w:rPr>
          <w:rFonts w:hint="eastAsia" w:ascii="宋体" w:hAnsi="宋体" w:eastAsia="宋体" w:cs="宋体"/>
          <w:bCs/>
          <w:color w:val="auto"/>
          <w:szCs w:val="20"/>
          <w:highlight w:val="none"/>
        </w:rPr>
        <w:t>项目编号：</w:t>
      </w:r>
    </w:p>
    <w:p w14:paraId="59FC0D31">
      <w:pPr>
        <w:spacing w:line="360" w:lineRule="auto"/>
        <w:ind w:firstLine="1100" w:firstLineChars="500"/>
        <w:rPr>
          <w:rFonts w:hint="eastAsia" w:ascii="微软雅黑" w:hAnsi="微软雅黑" w:eastAsia="微软雅黑" w:cs="微软雅黑"/>
          <w:b/>
          <w:color w:val="auto"/>
          <w:sz w:val="21"/>
          <w:highlight w:val="none"/>
        </w:rPr>
      </w:pPr>
      <w:r>
        <w:rPr>
          <w:rFonts w:hint="eastAsia" w:ascii="宋体" w:hAnsi="宋体" w:eastAsia="宋体" w:cs="宋体"/>
          <w:bCs/>
          <w:color w:val="auto"/>
          <w:szCs w:val="20"/>
          <w:highlight w:val="none"/>
        </w:rPr>
        <w:t>项目名称：</w:t>
      </w:r>
    </w:p>
    <w:tbl>
      <w:tblPr>
        <w:tblStyle w:val="20"/>
        <w:tblW w:w="864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6840"/>
      </w:tblGrid>
      <w:tr w14:paraId="28E6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1807" w:type="dxa"/>
            <w:vMerge w:val="restart"/>
            <w:vAlign w:val="center"/>
          </w:tcPr>
          <w:p w14:paraId="6A8091CD">
            <w:pPr>
              <w:pStyle w:val="7"/>
              <w:spacing w:after="156"/>
              <w:jc w:val="center"/>
              <w:rPr>
                <w:rFonts w:hint="eastAsia" w:eastAsia="宋体" w:cs="宋体"/>
                <w:bCs/>
                <w:color w:val="auto"/>
                <w:highlight w:val="none"/>
                <w:lang w:eastAsia="zh-CN"/>
              </w:rPr>
            </w:pPr>
            <w:r>
              <w:rPr>
                <w:rFonts w:hint="eastAsia" w:eastAsia="宋体" w:cs="宋体"/>
                <w:color w:val="auto"/>
                <w:highlight w:val="none"/>
                <w:lang w:eastAsia="zh-CN"/>
              </w:rPr>
              <w:t>投标总价（元）</w:t>
            </w:r>
          </w:p>
        </w:tc>
        <w:tc>
          <w:tcPr>
            <w:tcW w:w="6840" w:type="dxa"/>
            <w:vAlign w:val="center"/>
          </w:tcPr>
          <w:p w14:paraId="69CAA0D8">
            <w:pPr>
              <w:pStyle w:val="7"/>
              <w:spacing w:after="156"/>
              <w:rPr>
                <w:rFonts w:hint="eastAsia" w:eastAsia="宋体" w:cs="宋体"/>
                <w:bCs/>
                <w:color w:val="auto"/>
                <w:highlight w:val="none"/>
                <w:lang w:eastAsia="zh-CN"/>
              </w:rPr>
            </w:pPr>
            <w:r>
              <w:rPr>
                <w:rFonts w:hint="eastAsia" w:eastAsia="宋体" w:cs="宋体"/>
                <w:bCs/>
                <w:color w:val="auto"/>
                <w:highlight w:val="none"/>
                <w:lang w:eastAsia="zh-CN"/>
              </w:rPr>
              <w:t xml:space="preserve">大写：          </w:t>
            </w:r>
          </w:p>
        </w:tc>
      </w:tr>
      <w:tr w14:paraId="0B15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1807" w:type="dxa"/>
            <w:vMerge w:val="continue"/>
            <w:vAlign w:val="center"/>
          </w:tcPr>
          <w:p w14:paraId="6304A2F7">
            <w:pPr>
              <w:pStyle w:val="7"/>
              <w:spacing w:after="156"/>
              <w:jc w:val="center"/>
              <w:rPr>
                <w:rFonts w:hint="eastAsia" w:eastAsia="宋体" w:cs="宋体"/>
                <w:bCs/>
                <w:color w:val="auto"/>
                <w:highlight w:val="none"/>
                <w:lang w:eastAsia="zh-CN"/>
              </w:rPr>
            </w:pPr>
          </w:p>
        </w:tc>
        <w:tc>
          <w:tcPr>
            <w:tcW w:w="6840" w:type="dxa"/>
            <w:vAlign w:val="center"/>
          </w:tcPr>
          <w:p w14:paraId="4E4E60E1">
            <w:pPr>
              <w:pStyle w:val="7"/>
              <w:spacing w:after="156"/>
              <w:rPr>
                <w:rFonts w:hint="eastAsia" w:eastAsia="宋体" w:cs="宋体"/>
                <w:bCs/>
                <w:color w:val="auto"/>
                <w:highlight w:val="none"/>
                <w:lang w:eastAsia="zh-CN"/>
              </w:rPr>
            </w:pPr>
            <w:r>
              <w:rPr>
                <w:rFonts w:hint="eastAsia" w:eastAsia="宋体" w:cs="宋体"/>
                <w:bCs/>
                <w:color w:val="auto"/>
                <w:highlight w:val="none"/>
                <w:lang w:eastAsia="zh-CN"/>
              </w:rPr>
              <w:t xml:space="preserve">小写：        </w:t>
            </w:r>
          </w:p>
        </w:tc>
      </w:tr>
      <w:tr w14:paraId="476C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807" w:type="dxa"/>
            <w:vAlign w:val="center"/>
          </w:tcPr>
          <w:p w14:paraId="71AD985C">
            <w:pPr>
              <w:pStyle w:val="7"/>
              <w:spacing w:after="156"/>
              <w:jc w:val="center"/>
              <w:rPr>
                <w:rFonts w:hint="eastAsia" w:eastAsia="宋体" w:cs="宋体"/>
                <w:bCs/>
                <w:color w:val="auto"/>
                <w:highlight w:val="none"/>
                <w:lang w:eastAsia="zh-CN"/>
              </w:rPr>
            </w:pPr>
            <w:r>
              <w:rPr>
                <w:rFonts w:hint="eastAsia" w:eastAsia="宋体" w:cs="宋体"/>
                <w:bCs/>
                <w:color w:val="auto"/>
                <w:highlight w:val="none"/>
                <w:lang w:eastAsia="zh-CN"/>
              </w:rPr>
              <w:t>投标标的是否全部由小微企业提供</w:t>
            </w:r>
          </w:p>
        </w:tc>
        <w:tc>
          <w:tcPr>
            <w:tcW w:w="6840" w:type="dxa"/>
            <w:vAlign w:val="center"/>
          </w:tcPr>
          <w:p w14:paraId="2281A744">
            <w:pPr>
              <w:pStyle w:val="7"/>
              <w:spacing w:after="156"/>
              <w:jc w:val="center"/>
              <w:rPr>
                <w:rFonts w:hint="eastAsia" w:eastAsia="宋体" w:cs="宋体"/>
                <w:bCs/>
                <w:color w:val="auto"/>
                <w:highlight w:val="none"/>
                <w:lang w:eastAsia="zh-CN"/>
              </w:rPr>
            </w:pPr>
            <w:r>
              <w:rPr>
                <w:rFonts w:hint="eastAsia" w:eastAsia="宋体" w:cs="宋体"/>
                <w:color w:val="auto"/>
                <w:highlight w:val="none"/>
                <w:lang w:eastAsia="zh-CN"/>
              </w:rPr>
              <w:t>（填写“是”或“否）</w:t>
            </w:r>
          </w:p>
        </w:tc>
      </w:tr>
      <w:tr w14:paraId="0901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807" w:type="dxa"/>
            <w:vAlign w:val="center"/>
          </w:tcPr>
          <w:p w14:paraId="168FB863">
            <w:pPr>
              <w:pStyle w:val="7"/>
              <w:spacing w:after="156"/>
              <w:jc w:val="center"/>
              <w:rPr>
                <w:rFonts w:hint="eastAsia" w:eastAsia="宋体" w:cs="宋体"/>
                <w:bCs/>
                <w:color w:val="auto"/>
                <w:highlight w:val="none"/>
                <w:lang w:eastAsia="zh-CN"/>
              </w:rPr>
            </w:pPr>
            <w:r>
              <w:rPr>
                <w:rFonts w:hint="eastAsia" w:eastAsia="宋体" w:cs="宋体"/>
                <w:bCs/>
                <w:color w:val="auto"/>
                <w:highlight w:val="none"/>
                <w:lang w:eastAsia="zh-CN"/>
              </w:rPr>
              <w:t>合同履行期限</w:t>
            </w:r>
          </w:p>
        </w:tc>
        <w:tc>
          <w:tcPr>
            <w:tcW w:w="6840" w:type="dxa"/>
            <w:vAlign w:val="center"/>
          </w:tcPr>
          <w:p w14:paraId="34020DDA">
            <w:pPr>
              <w:pStyle w:val="7"/>
              <w:spacing w:after="156"/>
              <w:ind w:left="0"/>
              <w:jc w:val="center"/>
              <w:rPr>
                <w:rFonts w:hint="eastAsia" w:eastAsia="宋体" w:cs="宋体"/>
                <w:color w:val="auto"/>
                <w:highlight w:val="none"/>
                <w:lang w:val="zh-CN" w:eastAsia="zh-CN"/>
              </w:rPr>
            </w:pPr>
            <w:r>
              <w:rPr>
                <w:rFonts w:hint="eastAsia" w:eastAsia="宋体" w:cs="宋体"/>
                <w:bCs/>
                <w:color w:val="auto"/>
                <w:highlight w:val="none"/>
                <w:lang w:eastAsia="zh-CN"/>
              </w:rPr>
              <w:t>合同生效之日起一年</w:t>
            </w:r>
          </w:p>
        </w:tc>
      </w:tr>
      <w:tr w14:paraId="52D2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807" w:type="dxa"/>
            <w:vAlign w:val="center"/>
          </w:tcPr>
          <w:p w14:paraId="74A04BBA">
            <w:pPr>
              <w:pStyle w:val="7"/>
              <w:spacing w:after="156"/>
              <w:jc w:val="center"/>
              <w:rPr>
                <w:rFonts w:hint="eastAsia" w:eastAsia="宋体" w:cs="宋体"/>
                <w:bCs/>
                <w:color w:val="auto"/>
                <w:highlight w:val="none"/>
                <w:lang w:eastAsia="zh-CN"/>
              </w:rPr>
            </w:pPr>
            <w:r>
              <w:rPr>
                <w:rFonts w:hint="eastAsia" w:eastAsia="宋体" w:cs="宋体"/>
                <w:bCs/>
                <w:color w:val="auto"/>
                <w:highlight w:val="none"/>
                <w:lang w:eastAsia="zh-CN"/>
              </w:rPr>
              <w:t>其它</w:t>
            </w:r>
          </w:p>
        </w:tc>
        <w:tc>
          <w:tcPr>
            <w:tcW w:w="6840" w:type="dxa"/>
            <w:vAlign w:val="center"/>
          </w:tcPr>
          <w:p w14:paraId="070A4D64">
            <w:pPr>
              <w:pStyle w:val="7"/>
              <w:spacing w:after="156"/>
              <w:rPr>
                <w:rFonts w:hint="eastAsia" w:eastAsia="宋体" w:cs="宋体"/>
                <w:bCs/>
                <w:color w:val="auto"/>
                <w:highlight w:val="none"/>
                <w:lang w:eastAsia="zh-CN"/>
              </w:rPr>
            </w:pPr>
            <w:r>
              <w:rPr>
                <w:rFonts w:hint="eastAsia" w:eastAsia="宋体" w:cs="宋体"/>
                <w:color w:val="auto"/>
                <w:highlight w:val="none"/>
                <w:lang w:val="zh-CN" w:eastAsia="zh-CN"/>
              </w:rPr>
              <w:t>（如有优惠条件须在此注明）</w:t>
            </w:r>
          </w:p>
        </w:tc>
      </w:tr>
    </w:tbl>
    <w:p w14:paraId="26061FEC">
      <w:pPr>
        <w:pStyle w:val="7"/>
        <w:shd w:val="clear"/>
        <w:snapToGrid w:val="0"/>
        <w:spacing w:line="360" w:lineRule="auto"/>
        <w:ind w:left="878"/>
        <w:rPr>
          <w:rFonts w:hint="eastAsia" w:ascii="微软雅黑" w:hAnsi="微软雅黑" w:eastAsia="微软雅黑" w:cs="微软雅黑"/>
          <w:color w:val="auto"/>
          <w:sz w:val="21"/>
          <w:szCs w:val="21"/>
          <w:highlight w:val="none"/>
          <w:lang w:val="zh-CN"/>
        </w:rPr>
      </w:pPr>
    </w:p>
    <w:p w14:paraId="08D5AA00">
      <w:pPr>
        <w:pStyle w:val="7"/>
        <w:shd w:val="clear"/>
        <w:snapToGrid w:val="0"/>
        <w:spacing w:line="360" w:lineRule="auto"/>
        <w:ind w:left="878"/>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供应商（</w:t>
      </w:r>
      <w:r>
        <w:rPr>
          <w:rFonts w:hint="eastAsia" w:ascii="微软雅黑" w:hAnsi="微软雅黑" w:eastAsia="微软雅黑" w:cs="微软雅黑"/>
          <w:color w:val="auto"/>
          <w:sz w:val="21"/>
          <w:szCs w:val="21"/>
          <w:highlight w:val="none"/>
        </w:rPr>
        <w:t>加盖公章</w:t>
      </w:r>
      <w:r>
        <w:rPr>
          <w:rFonts w:hint="eastAsia" w:ascii="微软雅黑" w:hAnsi="微软雅黑" w:eastAsia="微软雅黑" w:cs="微软雅黑"/>
          <w:color w:val="auto"/>
          <w:sz w:val="21"/>
          <w:szCs w:val="21"/>
          <w:highlight w:val="none"/>
          <w:lang w:val="zh-CN"/>
        </w:rPr>
        <w:t xml:space="preserve">）：     </w:t>
      </w:r>
    </w:p>
    <w:p w14:paraId="32FE8872">
      <w:pPr>
        <w:pStyle w:val="7"/>
        <w:shd w:val="clear"/>
        <w:snapToGrid w:val="0"/>
        <w:spacing w:line="360" w:lineRule="auto"/>
        <w:ind w:left="878"/>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日</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z w:val="21"/>
          <w:szCs w:val="21"/>
          <w:highlight w:val="none"/>
          <w:lang w:val="zh-CN"/>
        </w:rPr>
        <w:t>期：</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z w:val="21"/>
          <w:szCs w:val="21"/>
          <w:highlight w:val="none"/>
          <w:lang w:val="zh-CN"/>
        </w:rPr>
        <w:t xml:space="preserve">年 </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z w:val="21"/>
          <w:szCs w:val="21"/>
          <w:highlight w:val="none"/>
          <w:lang w:val="zh-CN"/>
        </w:rPr>
        <w:t xml:space="preserve"> 月</w:t>
      </w:r>
      <w:r>
        <w:rPr>
          <w:rFonts w:hint="eastAsia" w:ascii="微软雅黑" w:hAnsi="微软雅黑" w:eastAsia="微软雅黑" w:cs="微软雅黑"/>
          <w:color w:val="auto"/>
          <w:sz w:val="21"/>
          <w:szCs w:val="21"/>
          <w:highlight w:val="none"/>
        </w:rPr>
        <w:t xml:space="preserve">  </w:t>
      </w:r>
      <w:r>
        <w:rPr>
          <w:rFonts w:hint="eastAsia" w:ascii="微软雅黑" w:hAnsi="微软雅黑" w:eastAsia="微软雅黑" w:cs="微软雅黑"/>
          <w:color w:val="auto"/>
          <w:sz w:val="21"/>
          <w:szCs w:val="21"/>
          <w:highlight w:val="none"/>
          <w:lang w:val="zh-CN"/>
        </w:rPr>
        <w:t xml:space="preserve"> 日 </w:t>
      </w:r>
    </w:p>
    <w:p w14:paraId="5700DAEB">
      <w:pPr>
        <w:pStyle w:val="7"/>
        <w:shd w:val="clear"/>
        <w:snapToGrid w:val="0"/>
        <w:spacing w:line="360" w:lineRule="auto"/>
        <w:ind w:left="878"/>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说明：</w:t>
      </w:r>
    </w:p>
    <w:p w14:paraId="08690D10">
      <w:pPr>
        <w:pStyle w:val="7"/>
        <w:shd w:val="clear"/>
        <w:snapToGrid w:val="0"/>
        <w:spacing w:line="360" w:lineRule="auto"/>
        <w:ind w:left="878"/>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对每一项服务仅接受一个价格，不得填报有选择性报价方案。若有优惠条款须注明，但不得影响报价，影响产品整体功能。</w:t>
      </w:r>
    </w:p>
    <w:p w14:paraId="56DFB238">
      <w:pPr>
        <w:pStyle w:val="7"/>
        <w:shd w:val="clear"/>
        <w:snapToGrid w:val="0"/>
        <w:spacing w:line="360" w:lineRule="auto"/>
        <w:ind w:left="878"/>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2、《开标一览表》一式两份，一份装订在投标文件中，一份单独封装，并标明“开标一览表”   字样，随投标文件一并递交，以便唱标时使用。</w:t>
      </w:r>
    </w:p>
    <w:p w14:paraId="5B011CD6">
      <w:pPr>
        <w:shd w:val="clear"/>
        <w:snapToGrid w:val="0"/>
        <w:spacing w:line="360" w:lineRule="auto"/>
        <w:rPr>
          <w:rFonts w:hint="eastAsia" w:ascii="微软雅黑" w:hAnsi="微软雅黑" w:eastAsia="微软雅黑" w:cs="微软雅黑"/>
          <w:color w:val="auto"/>
          <w:sz w:val="21"/>
          <w:highlight w:val="none"/>
        </w:rPr>
        <w:sectPr>
          <w:footerReference r:id="rId5" w:type="default"/>
          <w:type w:val="continuous"/>
          <w:pgSz w:w="11910" w:h="16840"/>
          <w:pgMar w:top="1338" w:right="1134" w:bottom="1179" w:left="1134" w:header="0" w:footer="992" w:gutter="0"/>
          <w:cols w:space="425" w:num="1"/>
        </w:sectPr>
      </w:pPr>
    </w:p>
    <w:p w14:paraId="6C9F5A15">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61" w:name="附件四、报价明细表"/>
      <w:bookmarkEnd w:id="61"/>
      <w:bookmarkStart w:id="62" w:name="附件五、项目实施方案和质量保证体系（格式自拟）"/>
      <w:bookmarkEnd w:id="62"/>
      <w:bookmarkStart w:id="63" w:name="_Toc2240"/>
      <w:r>
        <w:rPr>
          <w:rFonts w:hint="eastAsia" w:ascii="宋体" w:hAnsi="宋体" w:eastAsia="宋体" w:cs="宋体"/>
          <w:b/>
          <w:color w:val="auto"/>
          <w:sz w:val="24"/>
          <w:szCs w:val="24"/>
          <w:highlight w:val="none"/>
        </w:rPr>
        <w:t>附件四、</w:t>
      </w:r>
      <w:bookmarkEnd w:id="63"/>
      <w:r>
        <w:rPr>
          <w:rFonts w:hint="eastAsia" w:ascii="宋体" w:hAnsi="宋体" w:eastAsia="宋体" w:cs="宋体"/>
          <w:b/>
          <w:color w:val="auto"/>
          <w:sz w:val="24"/>
          <w:szCs w:val="24"/>
          <w:highlight w:val="none"/>
        </w:rPr>
        <w:t>投标分项报价表</w:t>
      </w:r>
    </w:p>
    <w:tbl>
      <w:tblPr>
        <w:tblStyle w:val="20"/>
        <w:tblW w:w="10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140"/>
        <w:gridCol w:w="3522"/>
        <w:gridCol w:w="888"/>
        <w:gridCol w:w="960"/>
        <w:gridCol w:w="1110"/>
        <w:gridCol w:w="1170"/>
        <w:gridCol w:w="1189"/>
      </w:tblGrid>
      <w:tr w14:paraId="4097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0B2205AF">
            <w:pPr>
              <w:widowControl/>
              <w:adjustRightInd w:val="0"/>
              <w:jc w:val="center"/>
              <w:rPr>
                <w:rFonts w:hint="eastAsia" w:ascii="宋体" w:hAnsi="宋体" w:eastAsia="宋体" w:cs="宋体"/>
                <w:color w:val="auto"/>
                <w:szCs w:val="21"/>
                <w:highlight w:val="none"/>
                <w:lang w:val="zh-CN"/>
              </w:rPr>
            </w:pPr>
            <w:bookmarkStart w:id="64" w:name="_Toc3422"/>
            <w:bookmarkStart w:id="65" w:name="_Toc4983"/>
            <w:r>
              <w:rPr>
                <w:rFonts w:hint="eastAsia" w:ascii="宋体" w:hAnsi="宋体" w:eastAsia="宋体" w:cs="宋体"/>
                <w:color w:val="auto"/>
                <w:szCs w:val="21"/>
                <w:highlight w:val="none"/>
                <w:lang w:val="zh-CN"/>
              </w:rPr>
              <w:t>序号</w:t>
            </w:r>
          </w:p>
        </w:tc>
        <w:tc>
          <w:tcPr>
            <w:tcW w:w="1140" w:type="dxa"/>
            <w:tcBorders>
              <w:top w:val="single" w:color="auto" w:sz="4" w:space="0"/>
              <w:left w:val="single" w:color="auto" w:sz="4" w:space="0"/>
              <w:right w:val="single" w:color="auto" w:sz="4" w:space="0"/>
            </w:tcBorders>
            <w:vAlign w:val="center"/>
          </w:tcPr>
          <w:p w14:paraId="25DA93BA">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项目</w:t>
            </w:r>
          </w:p>
        </w:tc>
        <w:tc>
          <w:tcPr>
            <w:tcW w:w="3522" w:type="dxa"/>
            <w:tcBorders>
              <w:top w:val="single" w:color="auto" w:sz="4" w:space="0"/>
              <w:left w:val="single" w:color="auto" w:sz="4" w:space="0"/>
              <w:right w:val="single" w:color="auto" w:sz="4" w:space="0"/>
            </w:tcBorders>
            <w:vAlign w:val="center"/>
          </w:tcPr>
          <w:p w14:paraId="5F004B8E">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包含内容</w:t>
            </w:r>
          </w:p>
        </w:tc>
        <w:tc>
          <w:tcPr>
            <w:tcW w:w="888" w:type="dxa"/>
            <w:tcBorders>
              <w:top w:val="single" w:color="auto" w:sz="4" w:space="0"/>
              <w:left w:val="single" w:color="auto" w:sz="4" w:space="0"/>
              <w:right w:val="single" w:color="auto" w:sz="4" w:space="0"/>
            </w:tcBorders>
            <w:vAlign w:val="center"/>
          </w:tcPr>
          <w:p w14:paraId="4470E970">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处理</w:t>
            </w:r>
          </w:p>
          <w:p w14:paraId="455A3701">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概率</w:t>
            </w:r>
          </w:p>
        </w:tc>
        <w:tc>
          <w:tcPr>
            <w:tcW w:w="960" w:type="dxa"/>
            <w:tcBorders>
              <w:top w:val="single" w:color="auto" w:sz="4" w:space="0"/>
              <w:left w:val="single" w:color="auto" w:sz="4" w:space="0"/>
              <w:right w:val="single" w:color="auto" w:sz="4" w:space="0"/>
            </w:tcBorders>
            <w:vAlign w:val="center"/>
          </w:tcPr>
          <w:p w14:paraId="19183092">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110" w:type="dxa"/>
            <w:tcBorders>
              <w:top w:val="single" w:color="auto" w:sz="4" w:space="0"/>
              <w:left w:val="single" w:color="auto" w:sz="4" w:space="0"/>
              <w:bottom w:val="single" w:color="auto" w:sz="4" w:space="0"/>
              <w:right w:val="single" w:color="auto" w:sz="4" w:space="0"/>
            </w:tcBorders>
            <w:vAlign w:val="center"/>
          </w:tcPr>
          <w:p w14:paraId="3A760C3E">
            <w:pPr>
              <w:widowControl/>
              <w:adjustRightInd w:val="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含税单价（元）</w:t>
            </w:r>
          </w:p>
        </w:tc>
        <w:tc>
          <w:tcPr>
            <w:tcW w:w="1170" w:type="dxa"/>
            <w:tcBorders>
              <w:top w:val="single" w:color="auto" w:sz="4" w:space="0"/>
              <w:left w:val="single" w:color="auto" w:sz="4" w:space="0"/>
              <w:bottom w:val="single" w:color="auto" w:sz="4" w:space="0"/>
              <w:right w:val="single" w:color="auto" w:sz="4" w:space="0"/>
            </w:tcBorders>
            <w:vAlign w:val="center"/>
          </w:tcPr>
          <w:p w14:paraId="5E539933">
            <w:pPr>
              <w:widowControl/>
              <w:adjustRightInd w:val="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含税合价（元）</w:t>
            </w:r>
          </w:p>
        </w:tc>
        <w:tc>
          <w:tcPr>
            <w:tcW w:w="1189" w:type="dxa"/>
            <w:tcBorders>
              <w:top w:val="single" w:color="auto" w:sz="4" w:space="0"/>
              <w:left w:val="single" w:color="auto" w:sz="4" w:space="0"/>
              <w:bottom w:val="single" w:color="auto" w:sz="4" w:space="0"/>
              <w:right w:val="single" w:color="auto" w:sz="4" w:space="0"/>
            </w:tcBorders>
            <w:vAlign w:val="center"/>
          </w:tcPr>
          <w:p w14:paraId="197586F6">
            <w:pPr>
              <w:widowControl/>
              <w:adjustRightInd w:val="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备注</w:t>
            </w:r>
          </w:p>
        </w:tc>
      </w:tr>
      <w:tr w14:paraId="0F1B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39B50D8D">
            <w:pPr>
              <w:widowControl/>
              <w:adjustRightInd w:val="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一、多媒体警报器巡检</w:t>
            </w:r>
          </w:p>
        </w:tc>
      </w:tr>
      <w:tr w14:paraId="340F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71A8F2AA">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w:t>
            </w:r>
          </w:p>
        </w:tc>
        <w:tc>
          <w:tcPr>
            <w:tcW w:w="1140" w:type="dxa"/>
            <w:tcBorders>
              <w:left w:val="single" w:color="auto" w:sz="4" w:space="0"/>
              <w:right w:val="single" w:color="auto" w:sz="4" w:space="0"/>
            </w:tcBorders>
            <w:vAlign w:val="center"/>
          </w:tcPr>
          <w:p w14:paraId="35999804">
            <w:pPr>
              <w:ind w:left="-119" w:leftChars="-54" w:right="-73" w:rightChars="-33" w:firstLine="26" w:firstLineChars="1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警报设备常规巡检</w:t>
            </w:r>
          </w:p>
        </w:tc>
        <w:tc>
          <w:tcPr>
            <w:tcW w:w="3522" w:type="dxa"/>
            <w:tcBorders>
              <w:left w:val="single" w:color="auto" w:sz="4" w:space="0"/>
              <w:right w:val="single" w:color="auto" w:sz="4" w:space="0"/>
            </w:tcBorders>
            <w:vAlign w:val="center"/>
          </w:tcPr>
          <w:p w14:paraId="48CB0024">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1)警报设备整体完整性和完好性检查；</w:t>
            </w:r>
          </w:p>
          <w:p w14:paraId="123B65AF">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2)设备电源供电情况</w:t>
            </w:r>
            <w:r>
              <w:rPr>
                <w:rFonts w:hint="eastAsia" w:ascii="宋体" w:hAnsi="宋体" w:eastAsia="宋体" w:cs="宋体"/>
                <w:color w:val="auto"/>
                <w:szCs w:val="21"/>
                <w:highlight w:val="none"/>
              </w:rPr>
              <w:t>和接地情况</w:t>
            </w:r>
            <w:r>
              <w:rPr>
                <w:rFonts w:hint="eastAsia" w:ascii="宋体" w:hAnsi="宋体" w:eastAsia="宋体" w:cs="宋体"/>
                <w:color w:val="auto"/>
                <w:szCs w:val="21"/>
                <w:highlight w:val="none"/>
                <w:lang w:val="zh-CN"/>
              </w:rPr>
              <w:t>检查；</w:t>
            </w:r>
          </w:p>
          <w:p w14:paraId="345F36AA">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3)设备开机自检</w:t>
            </w:r>
            <w:r>
              <w:rPr>
                <w:rFonts w:hint="eastAsia" w:ascii="宋体" w:hAnsi="宋体" w:eastAsia="宋体" w:cs="宋体"/>
                <w:color w:val="auto"/>
                <w:szCs w:val="21"/>
                <w:highlight w:val="none"/>
              </w:rPr>
              <w:t>功能</w:t>
            </w:r>
            <w:r>
              <w:rPr>
                <w:rFonts w:hint="eastAsia" w:ascii="宋体" w:hAnsi="宋体" w:eastAsia="宋体" w:cs="宋体"/>
                <w:color w:val="auto"/>
                <w:szCs w:val="21"/>
                <w:highlight w:val="none"/>
                <w:lang w:val="zh-CN"/>
              </w:rPr>
              <w:t>测试；</w:t>
            </w:r>
          </w:p>
          <w:p w14:paraId="144FD954">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4)与中心台的语音通联情况测试；</w:t>
            </w:r>
          </w:p>
          <w:p w14:paraId="5B95BD82">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5)语音信号等级</w:t>
            </w:r>
            <w:r>
              <w:rPr>
                <w:rFonts w:hint="eastAsia" w:ascii="宋体" w:hAnsi="宋体" w:eastAsia="宋体" w:cs="宋体"/>
                <w:color w:val="auto"/>
                <w:szCs w:val="21"/>
                <w:highlight w:val="none"/>
              </w:rPr>
              <w:t>测试</w:t>
            </w:r>
            <w:r>
              <w:rPr>
                <w:rFonts w:hint="eastAsia" w:ascii="宋体" w:hAnsi="宋体" w:eastAsia="宋体" w:cs="宋体"/>
                <w:color w:val="auto"/>
                <w:szCs w:val="21"/>
                <w:highlight w:val="none"/>
                <w:lang w:val="zh-CN"/>
              </w:rPr>
              <w:t>判定；</w:t>
            </w:r>
          </w:p>
          <w:p w14:paraId="4D2F4FF2">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zh-CN"/>
              </w:rPr>
              <w:t>)手动按键</w:t>
            </w:r>
            <w:r>
              <w:rPr>
                <w:rFonts w:hint="eastAsia" w:ascii="宋体" w:hAnsi="宋体" w:eastAsia="宋体" w:cs="宋体"/>
                <w:color w:val="auto"/>
                <w:szCs w:val="21"/>
                <w:highlight w:val="none"/>
              </w:rPr>
              <w:t>及键盘锁功能</w:t>
            </w:r>
            <w:r>
              <w:rPr>
                <w:rFonts w:hint="eastAsia" w:ascii="宋体" w:hAnsi="宋体" w:eastAsia="宋体" w:cs="宋体"/>
                <w:color w:val="auto"/>
                <w:szCs w:val="21"/>
                <w:highlight w:val="none"/>
                <w:lang w:val="zh-CN"/>
              </w:rPr>
              <w:t>测试；</w:t>
            </w:r>
          </w:p>
          <w:p w14:paraId="580C53DA">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人防警报专用</w:t>
            </w:r>
            <w:r>
              <w:rPr>
                <w:rFonts w:hint="eastAsia" w:ascii="宋体" w:hAnsi="宋体" w:eastAsia="宋体" w:cs="宋体"/>
                <w:color w:val="auto"/>
                <w:szCs w:val="21"/>
                <w:highlight w:val="none"/>
                <w:lang w:val="zh-CN"/>
              </w:rPr>
              <w:t>信道切换测试；</w:t>
            </w:r>
          </w:p>
          <w:p w14:paraId="7045682C">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val="zh-CN"/>
              </w:rPr>
              <w:t>)电声警报鸣放声音输出测试；</w:t>
            </w:r>
          </w:p>
          <w:p w14:paraId="566CD150">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9</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警报</w:t>
            </w:r>
            <w:r>
              <w:rPr>
                <w:rFonts w:hint="eastAsia" w:ascii="宋体" w:hAnsi="宋体" w:eastAsia="宋体" w:cs="宋体"/>
                <w:color w:val="auto"/>
                <w:szCs w:val="21"/>
                <w:highlight w:val="none"/>
                <w:lang w:val="zh-CN"/>
              </w:rPr>
              <w:t>数据接收情况测试；</w:t>
            </w:r>
          </w:p>
          <w:p w14:paraId="60B2530B">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警报</w:t>
            </w:r>
            <w:r>
              <w:rPr>
                <w:rFonts w:hint="eastAsia" w:ascii="宋体" w:hAnsi="宋体" w:eastAsia="宋体" w:cs="宋体"/>
                <w:color w:val="auto"/>
                <w:szCs w:val="21"/>
                <w:highlight w:val="none"/>
                <w:lang w:val="zh-CN"/>
              </w:rPr>
              <w:t>数据发送情况测试；</w:t>
            </w:r>
          </w:p>
          <w:p w14:paraId="3945B40F">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lang w:val="zh-CN"/>
              </w:rPr>
              <w:t>)串口命令输出测试；</w:t>
            </w:r>
          </w:p>
          <w:p w14:paraId="49E6F7CC">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12)机箱除尘清洁；</w:t>
            </w:r>
          </w:p>
        </w:tc>
        <w:tc>
          <w:tcPr>
            <w:tcW w:w="888" w:type="dxa"/>
            <w:tcBorders>
              <w:left w:val="single" w:color="auto" w:sz="4" w:space="0"/>
              <w:right w:val="single" w:color="auto" w:sz="4" w:space="0"/>
            </w:tcBorders>
            <w:vAlign w:val="center"/>
          </w:tcPr>
          <w:p w14:paraId="3D967C6E">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w:t>
            </w:r>
          </w:p>
        </w:tc>
        <w:tc>
          <w:tcPr>
            <w:tcW w:w="960" w:type="dxa"/>
            <w:tcBorders>
              <w:left w:val="single" w:color="auto" w:sz="4" w:space="0"/>
              <w:right w:val="single" w:color="auto" w:sz="4" w:space="0"/>
            </w:tcBorders>
            <w:vAlign w:val="center"/>
          </w:tcPr>
          <w:p w14:paraId="1D48A6BF">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257台</w:t>
            </w:r>
          </w:p>
        </w:tc>
        <w:tc>
          <w:tcPr>
            <w:tcW w:w="1110" w:type="dxa"/>
            <w:tcBorders>
              <w:top w:val="single" w:color="auto" w:sz="4" w:space="0"/>
              <w:left w:val="single" w:color="auto" w:sz="4" w:space="0"/>
              <w:bottom w:val="single" w:color="auto" w:sz="4" w:space="0"/>
              <w:right w:val="single" w:color="auto" w:sz="4" w:space="0"/>
            </w:tcBorders>
            <w:vAlign w:val="center"/>
          </w:tcPr>
          <w:p w14:paraId="2A7A4EBD">
            <w:pPr>
              <w:widowControl/>
              <w:adjustRightInd w:val="0"/>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2F5AB290">
            <w:pPr>
              <w:widowControl/>
              <w:adjustRightInd w:val="0"/>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037749AD">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每季度巡检一次</w:t>
            </w:r>
          </w:p>
        </w:tc>
      </w:tr>
      <w:tr w14:paraId="297F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14:paraId="72BB1FAA">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40" w:type="dxa"/>
            <w:vAlign w:val="center"/>
          </w:tcPr>
          <w:p w14:paraId="78CD9396">
            <w:pPr>
              <w:ind w:left="-119" w:leftChars="-54" w:right="-73" w:rightChars="-33" w:firstLine="26" w:firstLineChars="1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LED屏幕</w:t>
            </w:r>
          </w:p>
          <w:p w14:paraId="6EB88398">
            <w:pPr>
              <w:ind w:left="-119" w:leftChars="-54" w:right="-73" w:rightChars="-33" w:firstLine="26" w:firstLineChars="1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常规巡检</w:t>
            </w:r>
          </w:p>
        </w:tc>
        <w:tc>
          <w:tcPr>
            <w:tcW w:w="3522" w:type="dxa"/>
            <w:tcBorders>
              <w:left w:val="single" w:color="auto" w:sz="4" w:space="0"/>
              <w:right w:val="single" w:color="auto" w:sz="4" w:space="0"/>
            </w:tcBorders>
            <w:vAlign w:val="center"/>
          </w:tcPr>
          <w:p w14:paraId="4C4328CD">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1)LED屏幕的整体完整性和完好性检查；</w:t>
            </w:r>
          </w:p>
          <w:p w14:paraId="6B42B209">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2)LED屏幕的整体供电电源线路</w:t>
            </w:r>
            <w:r>
              <w:rPr>
                <w:rFonts w:hint="eastAsia" w:ascii="宋体" w:hAnsi="宋体" w:eastAsia="宋体" w:cs="宋体"/>
                <w:color w:val="auto"/>
                <w:szCs w:val="21"/>
                <w:highlight w:val="none"/>
              </w:rPr>
              <w:t>埋设情况及</w:t>
            </w:r>
            <w:r>
              <w:rPr>
                <w:rFonts w:hint="eastAsia" w:ascii="宋体" w:hAnsi="宋体" w:eastAsia="宋体" w:cs="宋体"/>
                <w:color w:val="auto"/>
                <w:szCs w:val="21"/>
                <w:highlight w:val="none"/>
                <w:lang w:val="zh-CN"/>
              </w:rPr>
              <w:t>安全性</w:t>
            </w:r>
            <w:r>
              <w:rPr>
                <w:rFonts w:hint="eastAsia" w:ascii="宋体" w:hAnsi="宋体" w:eastAsia="宋体" w:cs="宋体"/>
                <w:color w:val="auto"/>
                <w:szCs w:val="21"/>
                <w:highlight w:val="none"/>
              </w:rPr>
              <w:t>检查</w:t>
            </w:r>
            <w:r>
              <w:rPr>
                <w:rFonts w:hint="eastAsia" w:ascii="宋体" w:hAnsi="宋体" w:eastAsia="宋体" w:cs="宋体"/>
                <w:color w:val="auto"/>
                <w:szCs w:val="21"/>
                <w:highlight w:val="none"/>
                <w:lang w:val="zh-CN"/>
              </w:rPr>
              <w:t>；</w:t>
            </w:r>
          </w:p>
          <w:p w14:paraId="59492A11">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3)LED屏幕的接地</w:t>
            </w:r>
            <w:r>
              <w:rPr>
                <w:rFonts w:hint="eastAsia" w:ascii="宋体" w:hAnsi="宋体" w:eastAsia="宋体" w:cs="宋体"/>
                <w:color w:val="auto"/>
                <w:szCs w:val="21"/>
                <w:highlight w:val="none"/>
              </w:rPr>
              <w:t>性能</w:t>
            </w:r>
            <w:r>
              <w:rPr>
                <w:rFonts w:hint="eastAsia" w:ascii="宋体" w:hAnsi="宋体" w:eastAsia="宋体" w:cs="宋体"/>
                <w:color w:val="auto"/>
                <w:szCs w:val="21"/>
                <w:highlight w:val="none"/>
                <w:lang w:val="zh-CN"/>
              </w:rPr>
              <w:t>检测；</w:t>
            </w:r>
          </w:p>
          <w:p w14:paraId="79147F1F">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4)LED屏幕的防水性能测试；</w:t>
            </w:r>
          </w:p>
          <w:p w14:paraId="22C9CAED">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5)LED屏幕的除尘清洁；</w:t>
            </w:r>
          </w:p>
          <w:p w14:paraId="4B6FBDCF">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6)LED模组的外套件情况检查；</w:t>
            </w:r>
          </w:p>
          <w:p w14:paraId="1EB5FC90">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7)LED模组的灯管的瞎点率判断；</w:t>
            </w:r>
          </w:p>
          <w:p w14:paraId="06E300AF">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8)LED模组的亮度等级测试和判断；</w:t>
            </w:r>
          </w:p>
          <w:p w14:paraId="7A129E32">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9)LED箱体的门锁闭合情况检查；</w:t>
            </w:r>
          </w:p>
          <w:p w14:paraId="0B0BFD72">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10)LED箱体的散热风扇工作情况检查；</w:t>
            </w:r>
          </w:p>
          <w:p w14:paraId="14E9A375">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11)LED模组跨接电源线</w:t>
            </w:r>
            <w:r>
              <w:rPr>
                <w:rFonts w:hint="eastAsia" w:ascii="宋体" w:hAnsi="宋体" w:eastAsia="宋体" w:cs="宋体"/>
                <w:color w:val="auto"/>
                <w:szCs w:val="21"/>
                <w:highlight w:val="none"/>
              </w:rPr>
              <w:t>及排线接触</w:t>
            </w:r>
            <w:r>
              <w:rPr>
                <w:rFonts w:hint="eastAsia" w:ascii="宋体" w:hAnsi="宋体" w:eastAsia="宋体" w:cs="宋体"/>
                <w:color w:val="auto"/>
                <w:szCs w:val="21"/>
                <w:highlight w:val="none"/>
                <w:lang w:val="zh-CN"/>
              </w:rPr>
              <w:t>情况检查；</w:t>
            </w:r>
          </w:p>
          <w:p w14:paraId="60D02288">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12)LED</w:t>
            </w:r>
            <w:r>
              <w:rPr>
                <w:rFonts w:hint="eastAsia" w:ascii="宋体" w:hAnsi="宋体" w:eastAsia="宋体" w:cs="宋体"/>
                <w:color w:val="auto"/>
                <w:szCs w:val="21"/>
                <w:highlight w:val="none"/>
              </w:rPr>
              <w:t>箱体</w:t>
            </w:r>
            <w:r>
              <w:rPr>
                <w:rFonts w:hint="eastAsia" w:ascii="宋体" w:hAnsi="宋体" w:eastAsia="宋体" w:cs="宋体"/>
                <w:color w:val="auto"/>
                <w:szCs w:val="21"/>
                <w:highlight w:val="none"/>
                <w:lang w:val="zh-CN"/>
              </w:rPr>
              <w:t>跨接</w:t>
            </w:r>
            <w:r>
              <w:rPr>
                <w:rFonts w:hint="eastAsia" w:ascii="宋体" w:hAnsi="宋体" w:eastAsia="宋体" w:cs="宋体"/>
                <w:color w:val="auto"/>
                <w:szCs w:val="21"/>
                <w:highlight w:val="none"/>
              </w:rPr>
              <w:t>电源线</w:t>
            </w:r>
            <w:r>
              <w:rPr>
                <w:rFonts w:hint="eastAsia" w:ascii="宋体" w:hAnsi="宋体" w:eastAsia="宋体" w:cs="宋体"/>
                <w:color w:val="auto"/>
                <w:szCs w:val="21"/>
                <w:highlight w:val="none"/>
                <w:lang w:val="zh-CN"/>
              </w:rPr>
              <w:t>情况检查；</w:t>
            </w:r>
          </w:p>
          <w:p w14:paraId="680F5F03">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13)LED发送卡</w:t>
            </w:r>
            <w:r>
              <w:rPr>
                <w:rFonts w:hint="eastAsia" w:ascii="宋体" w:hAnsi="宋体" w:eastAsia="宋体" w:cs="宋体"/>
                <w:color w:val="auto"/>
                <w:szCs w:val="21"/>
                <w:highlight w:val="none"/>
              </w:rPr>
              <w:t>的输入</w:t>
            </w:r>
            <w:r>
              <w:rPr>
                <w:rFonts w:hint="eastAsia" w:ascii="宋体" w:hAnsi="宋体" w:eastAsia="宋体" w:cs="宋体"/>
                <w:color w:val="auto"/>
                <w:szCs w:val="21"/>
                <w:highlight w:val="none"/>
                <w:lang w:val="zh-CN"/>
              </w:rPr>
              <w:t>输出测试；</w:t>
            </w:r>
          </w:p>
          <w:p w14:paraId="6FF9188A">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14)LED接收卡的输入输出测试；</w:t>
            </w:r>
          </w:p>
        </w:tc>
        <w:tc>
          <w:tcPr>
            <w:tcW w:w="888" w:type="dxa"/>
            <w:tcBorders>
              <w:left w:val="single" w:color="auto" w:sz="4" w:space="0"/>
              <w:right w:val="single" w:color="auto" w:sz="4" w:space="0"/>
            </w:tcBorders>
            <w:vAlign w:val="center"/>
          </w:tcPr>
          <w:p w14:paraId="22AAF24C">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w:t>
            </w:r>
          </w:p>
        </w:tc>
        <w:tc>
          <w:tcPr>
            <w:tcW w:w="960" w:type="dxa"/>
            <w:tcBorders>
              <w:left w:val="single" w:color="auto" w:sz="4" w:space="0"/>
              <w:right w:val="single" w:color="auto" w:sz="4" w:space="0"/>
            </w:tcBorders>
            <w:vAlign w:val="center"/>
          </w:tcPr>
          <w:p w14:paraId="1CFBD9AD">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257台</w:t>
            </w:r>
          </w:p>
        </w:tc>
        <w:tc>
          <w:tcPr>
            <w:tcW w:w="1110" w:type="dxa"/>
            <w:tcBorders>
              <w:top w:val="single" w:color="auto" w:sz="4" w:space="0"/>
              <w:left w:val="single" w:color="auto" w:sz="4" w:space="0"/>
              <w:bottom w:val="single" w:color="auto" w:sz="4" w:space="0"/>
              <w:right w:val="single" w:color="auto" w:sz="4" w:space="0"/>
            </w:tcBorders>
            <w:vAlign w:val="center"/>
          </w:tcPr>
          <w:p w14:paraId="2601958B">
            <w:pPr>
              <w:widowControl/>
              <w:adjustRightInd w:val="0"/>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2BFD2821">
            <w:pPr>
              <w:widowControl/>
              <w:adjustRightInd w:val="0"/>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775A6369">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每季度巡检一次</w:t>
            </w:r>
          </w:p>
        </w:tc>
      </w:tr>
      <w:tr w14:paraId="2140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14:paraId="2E4552E0">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140" w:type="dxa"/>
            <w:vAlign w:val="center"/>
          </w:tcPr>
          <w:p w14:paraId="3B53560A">
            <w:pPr>
              <w:ind w:left="-119" w:leftChars="-54" w:right="-73" w:rightChars="-33" w:firstLine="26" w:firstLineChars="1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播控系统常规巡检</w:t>
            </w:r>
          </w:p>
        </w:tc>
        <w:tc>
          <w:tcPr>
            <w:tcW w:w="3522" w:type="dxa"/>
            <w:tcBorders>
              <w:left w:val="single" w:color="auto" w:sz="4" w:space="0"/>
              <w:right w:val="single" w:color="auto" w:sz="4" w:space="0"/>
            </w:tcBorders>
            <w:vAlign w:val="center"/>
          </w:tcPr>
          <w:p w14:paraId="58B7090A">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1)播控系统的整体完整性和完好性检查；</w:t>
            </w:r>
          </w:p>
          <w:p w14:paraId="10EF7CA1">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2)终端播控系统与后台服务的链路</w:t>
            </w:r>
            <w:r>
              <w:rPr>
                <w:rFonts w:hint="eastAsia" w:ascii="宋体" w:hAnsi="宋体" w:eastAsia="宋体" w:cs="宋体"/>
                <w:color w:val="auto"/>
                <w:szCs w:val="21"/>
                <w:highlight w:val="none"/>
              </w:rPr>
              <w:t>连接情况</w:t>
            </w:r>
            <w:r>
              <w:rPr>
                <w:rFonts w:hint="eastAsia" w:ascii="宋体" w:hAnsi="宋体" w:eastAsia="宋体" w:cs="宋体"/>
                <w:color w:val="auto"/>
                <w:szCs w:val="21"/>
                <w:highlight w:val="none"/>
                <w:lang w:val="zh-CN"/>
              </w:rPr>
              <w:t>测试；</w:t>
            </w:r>
          </w:p>
          <w:p w14:paraId="713614B1">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3)播控终端的信号输出测试；</w:t>
            </w:r>
          </w:p>
          <w:p w14:paraId="5BB76248">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4)播控终端的</w:t>
            </w:r>
            <w:r>
              <w:rPr>
                <w:rFonts w:hint="eastAsia" w:ascii="宋体" w:hAnsi="宋体" w:eastAsia="宋体" w:cs="宋体"/>
                <w:color w:val="auto"/>
                <w:szCs w:val="21"/>
                <w:highlight w:val="none"/>
              </w:rPr>
              <w:t>单机</w:t>
            </w:r>
            <w:r>
              <w:rPr>
                <w:rFonts w:hint="eastAsia" w:ascii="宋体" w:hAnsi="宋体" w:eastAsia="宋体" w:cs="宋体"/>
                <w:color w:val="auto"/>
                <w:szCs w:val="21"/>
                <w:highlight w:val="none"/>
                <w:lang w:val="zh-CN"/>
              </w:rPr>
              <w:t>与网络</w:t>
            </w:r>
            <w:r>
              <w:rPr>
                <w:rFonts w:hint="eastAsia" w:ascii="宋体" w:hAnsi="宋体" w:eastAsia="宋体" w:cs="宋体"/>
                <w:color w:val="auto"/>
                <w:szCs w:val="21"/>
                <w:highlight w:val="none"/>
              </w:rPr>
              <w:t>模式</w:t>
            </w:r>
            <w:r>
              <w:rPr>
                <w:rFonts w:hint="eastAsia" w:ascii="宋体" w:hAnsi="宋体" w:eastAsia="宋体" w:cs="宋体"/>
                <w:color w:val="auto"/>
                <w:szCs w:val="21"/>
                <w:highlight w:val="none"/>
                <w:lang w:val="zh-CN"/>
              </w:rPr>
              <w:t>切换测试；</w:t>
            </w:r>
          </w:p>
          <w:p w14:paraId="76139FA6">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5)4G路由器的有无线信号测试；</w:t>
            </w:r>
          </w:p>
          <w:p w14:paraId="35122605">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6)播控终端内存</w:t>
            </w:r>
            <w:r>
              <w:rPr>
                <w:rFonts w:hint="eastAsia" w:ascii="宋体" w:hAnsi="宋体" w:eastAsia="宋体" w:cs="宋体"/>
                <w:color w:val="auto"/>
                <w:szCs w:val="21"/>
                <w:highlight w:val="none"/>
              </w:rPr>
              <w:t>自动</w:t>
            </w:r>
            <w:r>
              <w:rPr>
                <w:rFonts w:hint="eastAsia" w:ascii="宋体" w:hAnsi="宋体" w:eastAsia="宋体" w:cs="宋体"/>
                <w:color w:val="auto"/>
                <w:szCs w:val="21"/>
                <w:highlight w:val="none"/>
                <w:lang w:val="zh-CN"/>
              </w:rPr>
              <w:t>清理测试；</w:t>
            </w:r>
          </w:p>
          <w:p w14:paraId="3D0B66F4">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7)多媒体警报视频融合终端的监控画面切换测试；</w:t>
            </w:r>
          </w:p>
          <w:p w14:paraId="45F5DCDF">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8)多媒体警报视频融合终端的多格式信号输入输出测试；</w:t>
            </w:r>
          </w:p>
          <w:p w14:paraId="7ED40123">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9)多媒体警报视频融合终端的本地U盘</w:t>
            </w:r>
            <w:r>
              <w:rPr>
                <w:rFonts w:hint="eastAsia" w:ascii="宋体" w:hAnsi="宋体" w:eastAsia="宋体" w:cs="宋体"/>
                <w:color w:val="auto"/>
                <w:szCs w:val="21"/>
                <w:highlight w:val="none"/>
              </w:rPr>
              <w:t>节目播放</w:t>
            </w:r>
            <w:r>
              <w:rPr>
                <w:rFonts w:hint="eastAsia" w:ascii="宋体" w:hAnsi="宋体" w:eastAsia="宋体" w:cs="宋体"/>
                <w:color w:val="auto"/>
                <w:szCs w:val="21"/>
                <w:highlight w:val="none"/>
                <w:lang w:val="zh-CN"/>
              </w:rPr>
              <w:t>测试；</w:t>
            </w:r>
          </w:p>
          <w:p w14:paraId="2B144263">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10)多媒体警报视频融合终端的一键发送参数测试；</w:t>
            </w:r>
          </w:p>
        </w:tc>
        <w:tc>
          <w:tcPr>
            <w:tcW w:w="888" w:type="dxa"/>
            <w:tcBorders>
              <w:left w:val="single" w:color="auto" w:sz="4" w:space="0"/>
              <w:right w:val="single" w:color="auto" w:sz="4" w:space="0"/>
            </w:tcBorders>
            <w:vAlign w:val="center"/>
          </w:tcPr>
          <w:p w14:paraId="141A525B">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w:t>
            </w:r>
          </w:p>
        </w:tc>
        <w:tc>
          <w:tcPr>
            <w:tcW w:w="960" w:type="dxa"/>
            <w:tcBorders>
              <w:left w:val="single" w:color="auto" w:sz="4" w:space="0"/>
              <w:right w:val="single" w:color="auto" w:sz="4" w:space="0"/>
            </w:tcBorders>
            <w:vAlign w:val="center"/>
          </w:tcPr>
          <w:p w14:paraId="26C7ADAE">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257台</w:t>
            </w:r>
          </w:p>
        </w:tc>
        <w:tc>
          <w:tcPr>
            <w:tcW w:w="1110" w:type="dxa"/>
            <w:tcBorders>
              <w:top w:val="single" w:color="auto" w:sz="4" w:space="0"/>
              <w:left w:val="single" w:color="auto" w:sz="4" w:space="0"/>
              <w:bottom w:val="single" w:color="auto" w:sz="4" w:space="0"/>
              <w:right w:val="single" w:color="auto" w:sz="4" w:space="0"/>
            </w:tcBorders>
            <w:vAlign w:val="center"/>
          </w:tcPr>
          <w:p w14:paraId="179F82E5">
            <w:pPr>
              <w:widowControl/>
              <w:adjustRightInd w:val="0"/>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17661326">
            <w:pPr>
              <w:widowControl/>
              <w:adjustRightInd w:val="0"/>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606A0336">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每季度巡检一次</w:t>
            </w:r>
          </w:p>
        </w:tc>
      </w:tr>
      <w:tr w14:paraId="1E92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14:paraId="3A2D441C">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140" w:type="dxa"/>
            <w:tcBorders>
              <w:left w:val="single" w:color="auto" w:sz="4" w:space="0"/>
              <w:bottom w:val="single" w:color="auto" w:sz="4" w:space="0"/>
              <w:right w:val="single" w:color="auto" w:sz="4" w:space="0"/>
            </w:tcBorders>
            <w:vAlign w:val="center"/>
          </w:tcPr>
          <w:p w14:paraId="6356857E">
            <w:pPr>
              <w:ind w:left="-119" w:leftChars="-54" w:right="-73" w:rightChars="-33" w:firstLine="26" w:firstLineChars="1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框架部分常规巡检</w:t>
            </w:r>
          </w:p>
        </w:tc>
        <w:tc>
          <w:tcPr>
            <w:tcW w:w="3522" w:type="dxa"/>
            <w:tcBorders>
              <w:left w:val="single" w:color="auto" w:sz="4" w:space="0"/>
              <w:right w:val="single" w:color="auto" w:sz="4" w:space="0"/>
            </w:tcBorders>
            <w:vAlign w:val="center"/>
          </w:tcPr>
          <w:p w14:paraId="48F72FDD">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1)屏体外观及框架的整体完整性和完好性检查；</w:t>
            </w:r>
          </w:p>
          <w:p w14:paraId="7EAC3FCA">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2)设备不锈钢外观</w:t>
            </w:r>
            <w:r>
              <w:rPr>
                <w:rFonts w:hint="eastAsia" w:ascii="宋体" w:hAnsi="宋体" w:eastAsia="宋体" w:cs="宋体"/>
                <w:color w:val="auto"/>
                <w:szCs w:val="21"/>
                <w:highlight w:val="none"/>
              </w:rPr>
              <w:t>是否存在小广告需要</w:t>
            </w:r>
            <w:r>
              <w:rPr>
                <w:rFonts w:hint="eastAsia" w:ascii="宋体" w:hAnsi="宋体" w:eastAsia="宋体" w:cs="宋体"/>
                <w:color w:val="auto"/>
                <w:szCs w:val="21"/>
                <w:highlight w:val="none"/>
                <w:lang w:val="zh-CN"/>
              </w:rPr>
              <w:t>清理和清洗；</w:t>
            </w:r>
          </w:p>
          <w:p w14:paraId="7F6B4B69">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3)设备不锈钢外观</w:t>
            </w:r>
            <w:r>
              <w:rPr>
                <w:rFonts w:hint="eastAsia" w:ascii="宋体" w:hAnsi="宋体" w:eastAsia="宋体" w:cs="宋体"/>
                <w:color w:val="auto"/>
                <w:szCs w:val="21"/>
                <w:highlight w:val="none"/>
              </w:rPr>
              <w:t>是否需要除尘</w:t>
            </w:r>
            <w:r>
              <w:rPr>
                <w:rFonts w:hint="eastAsia" w:ascii="宋体" w:hAnsi="宋体" w:eastAsia="宋体" w:cs="宋体"/>
                <w:color w:val="auto"/>
                <w:szCs w:val="21"/>
                <w:highlight w:val="none"/>
                <w:lang w:val="zh-CN"/>
              </w:rPr>
              <w:t>保养；</w:t>
            </w:r>
          </w:p>
          <w:p w14:paraId="09247FB6">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4)不锈钢拼缝和焊点的检查；</w:t>
            </w:r>
          </w:p>
          <w:p w14:paraId="2F64900D">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w:t>
            </w:r>
            <w:r>
              <w:rPr>
                <w:rFonts w:hint="eastAsia" w:ascii="宋体" w:hAnsi="宋体" w:eastAsia="宋体" w:cs="宋体"/>
                <w:color w:val="auto"/>
                <w:szCs w:val="21"/>
                <w:highlight w:val="none"/>
              </w:rPr>
              <w:t>屏体</w:t>
            </w:r>
            <w:r>
              <w:rPr>
                <w:rFonts w:hint="eastAsia" w:ascii="宋体" w:hAnsi="宋体" w:eastAsia="宋体" w:cs="宋体"/>
                <w:color w:val="auto"/>
                <w:szCs w:val="21"/>
                <w:highlight w:val="none"/>
                <w:lang w:val="zh-CN"/>
              </w:rPr>
              <w:t>拼接部位的螺丝</w:t>
            </w:r>
            <w:r>
              <w:rPr>
                <w:rFonts w:hint="eastAsia" w:ascii="宋体" w:hAnsi="宋体" w:eastAsia="宋体" w:cs="宋体"/>
                <w:color w:val="auto"/>
                <w:szCs w:val="21"/>
                <w:highlight w:val="none"/>
              </w:rPr>
              <w:t>松紧度</w:t>
            </w:r>
            <w:r>
              <w:rPr>
                <w:rFonts w:hint="eastAsia" w:ascii="宋体" w:hAnsi="宋体" w:eastAsia="宋体" w:cs="宋体"/>
                <w:color w:val="auto"/>
                <w:szCs w:val="21"/>
                <w:highlight w:val="none"/>
                <w:lang w:val="zh-CN"/>
              </w:rPr>
              <w:t>检查</w:t>
            </w:r>
            <w:r>
              <w:rPr>
                <w:rFonts w:hint="eastAsia" w:ascii="宋体" w:hAnsi="宋体" w:eastAsia="宋体" w:cs="宋体"/>
                <w:color w:val="auto"/>
                <w:szCs w:val="21"/>
                <w:highlight w:val="none"/>
              </w:rPr>
              <w:t>及判断是否需要加</w:t>
            </w:r>
            <w:r>
              <w:rPr>
                <w:rFonts w:hint="eastAsia" w:ascii="宋体" w:hAnsi="宋体" w:eastAsia="宋体" w:cs="宋体"/>
                <w:color w:val="auto"/>
                <w:szCs w:val="21"/>
                <w:highlight w:val="none"/>
                <w:lang w:val="zh-CN"/>
              </w:rPr>
              <w:t>固处理；</w:t>
            </w:r>
          </w:p>
          <w:p w14:paraId="2B1BB07B">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6)屏体框架方钢和槽钢的焊接处检查；</w:t>
            </w:r>
          </w:p>
          <w:p w14:paraId="2B37B083">
            <w:pPr>
              <w:widowControl/>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7)屏体地基和地脚螺栓的检查；</w:t>
            </w:r>
          </w:p>
          <w:p w14:paraId="51F2D57C">
            <w:pPr>
              <w:widowControl/>
              <w:adjustRightIn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屏体是否存在倾斜的检查；</w:t>
            </w:r>
          </w:p>
        </w:tc>
        <w:tc>
          <w:tcPr>
            <w:tcW w:w="888" w:type="dxa"/>
            <w:tcBorders>
              <w:left w:val="single" w:color="auto" w:sz="4" w:space="0"/>
              <w:right w:val="single" w:color="auto" w:sz="4" w:space="0"/>
            </w:tcBorders>
            <w:vAlign w:val="center"/>
          </w:tcPr>
          <w:p w14:paraId="039D2463">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w:t>
            </w:r>
          </w:p>
        </w:tc>
        <w:tc>
          <w:tcPr>
            <w:tcW w:w="960" w:type="dxa"/>
            <w:tcBorders>
              <w:left w:val="single" w:color="auto" w:sz="4" w:space="0"/>
              <w:right w:val="single" w:color="auto" w:sz="4" w:space="0"/>
            </w:tcBorders>
            <w:vAlign w:val="center"/>
          </w:tcPr>
          <w:p w14:paraId="3EC758D7">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257台</w:t>
            </w:r>
          </w:p>
        </w:tc>
        <w:tc>
          <w:tcPr>
            <w:tcW w:w="1110" w:type="dxa"/>
            <w:tcBorders>
              <w:top w:val="single" w:color="auto" w:sz="4" w:space="0"/>
              <w:left w:val="single" w:color="auto" w:sz="4" w:space="0"/>
              <w:bottom w:val="single" w:color="auto" w:sz="4" w:space="0"/>
              <w:right w:val="single" w:color="auto" w:sz="4" w:space="0"/>
            </w:tcBorders>
            <w:vAlign w:val="center"/>
          </w:tcPr>
          <w:p w14:paraId="2E33EFD6">
            <w:pPr>
              <w:widowControl/>
              <w:adjustRightInd w:val="0"/>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7E282B55">
            <w:pPr>
              <w:widowControl/>
              <w:adjustRightInd w:val="0"/>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50C6A1FB">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每季度巡检一次</w:t>
            </w:r>
          </w:p>
        </w:tc>
      </w:tr>
      <w:tr w14:paraId="1607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1E833107">
            <w:pPr>
              <w:widowControl/>
              <w:adjustRightInd w:val="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二、电声警报一体机巡检</w:t>
            </w:r>
          </w:p>
        </w:tc>
      </w:tr>
      <w:tr w14:paraId="3032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013E82D4">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5</w:t>
            </w:r>
          </w:p>
        </w:tc>
        <w:tc>
          <w:tcPr>
            <w:tcW w:w="1140" w:type="dxa"/>
            <w:tcBorders>
              <w:left w:val="single" w:color="auto" w:sz="4" w:space="0"/>
              <w:right w:val="single" w:color="auto" w:sz="4" w:space="0"/>
            </w:tcBorders>
            <w:vAlign w:val="center"/>
          </w:tcPr>
          <w:p w14:paraId="6686F274">
            <w:pPr>
              <w:jc w:val="center"/>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控制箱维护</w:t>
            </w:r>
          </w:p>
        </w:tc>
        <w:tc>
          <w:tcPr>
            <w:tcW w:w="3522" w:type="dxa"/>
            <w:tcBorders>
              <w:left w:val="single" w:color="auto" w:sz="4" w:space="0"/>
              <w:right w:val="single" w:color="auto" w:sz="4" w:space="0"/>
            </w:tcBorders>
            <w:vAlign w:val="center"/>
          </w:tcPr>
          <w:p w14:paraId="26B7804F">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对设备表面除尘除锈，保证设备干净，内外无灰尘、无积水、无锈渣等；</w:t>
            </w:r>
          </w:p>
          <w:p w14:paraId="12EB9770">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 xml:space="preserve">保持通道无遮挡，设备周边无易燃易爆腐蚀性强的物品； </w:t>
            </w:r>
          </w:p>
        </w:tc>
        <w:tc>
          <w:tcPr>
            <w:tcW w:w="888" w:type="dxa"/>
            <w:tcBorders>
              <w:left w:val="single" w:color="auto" w:sz="4" w:space="0"/>
              <w:right w:val="single" w:color="auto" w:sz="4" w:space="0"/>
            </w:tcBorders>
            <w:vAlign w:val="center"/>
          </w:tcPr>
          <w:p w14:paraId="76E67FD9">
            <w:pPr>
              <w:widowControl/>
              <w:adjustRightInd w:val="0"/>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1</w:t>
            </w:r>
          </w:p>
        </w:tc>
        <w:tc>
          <w:tcPr>
            <w:tcW w:w="960" w:type="dxa"/>
            <w:tcBorders>
              <w:top w:val="single" w:color="auto" w:sz="4" w:space="0"/>
              <w:left w:val="single" w:color="auto" w:sz="4" w:space="0"/>
              <w:bottom w:val="single" w:color="auto" w:sz="4" w:space="0"/>
              <w:right w:val="single" w:color="auto" w:sz="4" w:space="0"/>
            </w:tcBorders>
            <w:vAlign w:val="center"/>
          </w:tcPr>
          <w:p w14:paraId="47375133">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155</w:t>
            </w:r>
          </w:p>
        </w:tc>
        <w:tc>
          <w:tcPr>
            <w:tcW w:w="1110" w:type="dxa"/>
            <w:tcBorders>
              <w:top w:val="single" w:color="auto" w:sz="4" w:space="0"/>
              <w:left w:val="single" w:color="auto" w:sz="4" w:space="0"/>
              <w:right w:val="single" w:color="auto" w:sz="4" w:space="0"/>
            </w:tcBorders>
            <w:vAlign w:val="center"/>
          </w:tcPr>
          <w:p w14:paraId="459AD5DA">
            <w:pPr>
              <w:spacing w:line="360" w:lineRule="auto"/>
              <w:jc w:val="center"/>
              <w:rPr>
                <w:rFonts w:hint="eastAsia" w:ascii="宋体" w:hAnsi="宋体" w:eastAsia="宋体" w:cs="Times New Roman"/>
                <w:color w:val="auto"/>
                <w:szCs w:val="21"/>
                <w:highlight w:val="none"/>
              </w:rPr>
            </w:pPr>
          </w:p>
        </w:tc>
        <w:tc>
          <w:tcPr>
            <w:tcW w:w="1170" w:type="dxa"/>
            <w:tcBorders>
              <w:top w:val="single" w:color="auto" w:sz="4" w:space="0"/>
              <w:left w:val="single" w:color="auto" w:sz="4" w:space="0"/>
              <w:right w:val="single" w:color="auto" w:sz="4" w:space="0"/>
            </w:tcBorders>
            <w:vAlign w:val="center"/>
          </w:tcPr>
          <w:p w14:paraId="021385D2">
            <w:pPr>
              <w:spacing w:line="360" w:lineRule="auto"/>
              <w:jc w:val="center"/>
              <w:rPr>
                <w:rFonts w:hint="eastAsia" w:ascii="宋体" w:hAnsi="宋体" w:eastAsia="宋体" w:cs="Times New Roman"/>
                <w:color w:val="auto"/>
                <w:szCs w:val="21"/>
                <w:highlight w:val="none"/>
              </w:rPr>
            </w:pPr>
          </w:p>
        </w:tc>
        <w:tc>
          <w:tcPr>
            <w:tcW w:w="1189" w:type="dxa"/>
            <w:vMerge w:val="restart"/>
            <w:tcBorders>
              <w:top w:val="single" w:color="auto" w:sz="4" w:space="0"/>
              <w:left w:val="single" w:color="auto" w:sz="4" w:space="0"/>
              <w:right w:val="single" w:color="auto" w:sz="4" w:space="0"/>
            </w:tcBorders>
            <w:vAlign w:val="center"/>
          </w:tcPr>
          <w:p w14:paraId="696FAC37">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每半年巡检一次</w:t>
            </w:r>
          </w:p>
        </w:tc>
      </w:tr>
      <w:tr w14:paraId="0340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54B7D2C3">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140" w:type="dxa"/>
            <w:tcBorders>
              <w:left w:val="single" w:color="auto" w:sz="4" w:space="0"/>
              <w:right w:val="single" w:color="auto" w:sz="4" w:space="0"/>
            </w:tcBorders>
            <w:vAlign w:val="center"/>
          </w:tcPr>
          <w:p w14:paraId="52C22745">
            <w:pPr>
              <w:jc w:val="center"/>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喇叭及支架检查</w:t>
            </w:r>
          </w:p>
        </w:tc>
        <w:tc>
          <w:tcPr>
            <w:tcW w:w="3522" w:type="dxa"/>
            <w:tcBorders>
              <w:left w:val="single" w:color="auto" w:sz="4" w:space="0"/>
              <w:right w:val="single" w:color="auto" w:sz="4" w:space="0"/>
            </w:tcBorders>
            <w:vAlign w:val="center"/>
          </w:tcPr>
          <w:p w14:paraId="37908DA8">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对扬声器支架进行检查，判断设备固定牢固、无锈蚀，扬声器及天线无损坏、无松动，扬声器和音频线防水处理无损坏，判断是否需要加固、除锈、刷漆处理；</w:t>
            </w:r>
          </w:p>
        </w:tc>
        <w:tc>
          <w:tcPr>
            <w:tcW w:w="888" w:type="dxa"/>
            <w:tcBorders>
              <w:left w:val="single" w:color="auto" w:sz="4" w:space="0"/>
              <w:right w:val="single" w:color="auto" w:sz="4" w:space="0"/>
            </w:tcBorders>
            <w:vAlign w:val="center"/>
          </w:tcPr>
          <w:p w14:paraId="17543D3E">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60" w:type="dxa"/>
            <w:tcBorders>
              <w:top w:val="single" w:color="auto" w:sz="4" w:space="0"/>
              <w:left w:val="single" w:color="auto" w:sz="4" w:space="0"/>
              <w:bottom w:val="single" w:color="auto" w:sz="4" w:space="0"/>
              <w:right w:val="single" w:color="auto" w:sz="4" w:space="0"/>
            </w:tcBorders>
            <w:vAlign w:val="center"/>
          </w:tcPr>
          <w:p w14:paraId="434EFCE4">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155 </w:t>
            </w:r>
          </w:p>
        </w:tc>
        <w:tc>
          <w:tcPr>
            <w:tcW w:w="1110" w:type="dxa"/>
            <w:tcBorders>
              <w:left w:val="single" w:color="auto" w:sz="4" w:space="0"/>
              <w:right w:val="single" w:color="auto" w:sz="4" w:space="0"/>
            </w:tcBorders>
            <w:vAlign w:val="center"/>
          </w:tcPr>
          <w:p w14:paraId="3BECC66C">
            <w:pPr>
              <w:spacing w:line="360" w:lineRule="auto"/>
              <w:jc w:val="center"/>
              <w:rPr>
                <w:rFonts w:hint="eastAsia" w:ascii="宋体" w:hAnsi="宋体" w:eastAsia="宋体" w:cs="Times New Roman"/>
                <w:color w:val="auto"/>
                <w:szCs w:val="21"/>
                <w:highlight w:val="none"/>
              </w:rPr>
            </w:pPr>
          </w:p>
        </w:tc>
        <w:tc>
          <w:tcPr>
            <w:tcW w:w="1170" w:type="dxa"/>
            <w:tcBorders>
              <w:left w:val="single" w:color="auto" w:sz="4" w:space="0"/>
              <w:right w:val="single" w:color="auto" w:sz="4" w:space="0"/>
            </w:tcBorders>
            <w:vAlign w:val="center"/>
          </w:tcPr>
          <w:p w14:paraId="13AF8836">
            <w:pPr>
              <w:spacing w:line="360" w:lineRule="auto"/>
              <w:jc w:val="center"/>
              <w:rPr>
                <w:rFonts w:hint="eastAsia" w:ascii="宋体" w:hAnsi="宋体" w:eastAsia="宋体" w:cs="Times New Roman"/>
                <w:color w:val="auto"/>
                <w:szCs w:val="21"/>
                <w:highlight w:val="none"/>
              </w:rPr>
            </w:pPr>
          </w:p>
        </w:tc>
        <w:tc>
          <w:tcPr>
            <w:tcW w:w="1189" w:type="dxa"/>
            <w:vMerge w:val="continue"/>
            <w:tcBorders>
              <w:left w:val="single" w:color="auto" w:sz="4" w:space="0"/>
              <w:right w:val="single" w:color="auto" w:sz="4" w:space="0"/>
            </w:tcBorders>
            <w:vAlign w:val="center"/>
          </w:tcPr>
          <w:p w14:paraId="5EDCFC8F">
            <w:pPr>
              <w:widowControl/>
              <w:adjustRightInd w:val="0"/>
              <w:jc w:val="center"/>
              <w:rPr>
                <w:rFonts w:hint="eastAsia" w:ascii="宋体" w:hAnsi="宋体" w:eastAsia="宋体" w:cs="宋体"/>
                <w:color w:val="auto"/>
                <w:szCs w:val="21"/>
                <w:highlight w:val="none"/>
              </w:rPr>
            </w:pPr>
          </w:p>
        </w:tc>
      </w:tr>
      <w:tr w14:paraId="6AD9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29576EA3">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140" w:type="dxa"/>
            <w:tcBorders>
              <w:left w:val="single" w:color="auto" w:sz="4" w:space="0"/>
              <w:right w:val="single" w:color="auto" w:sz="4" w:space="0"/>
            </w:tcBorders>
            <w:vAlign w:val="center"/>
          </w:tcPr>
          <w:p w14:paraId="056D7140">
            <w:pPr>
              <w:jc w:val="center"/>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线路检查</w:t>
            </w:r>
          </w:p>
        </w:tc>
        <w:tc>
          <w:tcPr>
            <w:tcW w:w="3522" w:type="dxa"/>
            <w:tcBorders>
              <w:left w:val="single" w:color="auto" w:sz="4" w:space="0"/>
              <w:right w:val="single" w:color="auto" w:sz="4" w:space="0"/>
            </w:tcBorders>
            <w:vAlign w:val="center"/>
          </w:tcPr>
          <w:p w14:paraId="5CA161BE">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检查控制线、电源线、接收天线接合是否牢固，无断路、短路及老化现象，对有安全隐患的问题记录，后期进行处理；</w:t>
            </w:r>
          </w:p>
        </w:tc>
        <w:tc>
          <w:tcPr>
            <w:tcW w:w="888" w:type="dxa"/>
            <w:tcBorders>
              <w:left w:val="single" w:color="auto" w:sz="4" w:space="0"/>
              <w:right w:val="single" w:color="auto" w:sz="4" w:space="0"/>
            </w:tcBorders>
            <w:vAlign w:val="center"/>
          </w:tcPr>
          <w:p w14:paraId="63639F41">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60" w:type="dxa"/>
            <w:tcBorders>
              <w:top w:val="single" w:color="auto" w:sz="4" w:space="0"/>
              <w:left w:val="single" w:color="auto" w:sz="4" w:space="0"/>
              <w:bottom w:val="single" w:color="auto" w:sz="4" w:space="0"/>
              <w:right w:val="single" w:color="auto" w:sz="4" w:space="0"/>
            </w:tcBorders>
            <w:vAlign w:val="center"/>
          </w:tcPr>
          <w:p w14:paraId="63248A44">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155 </w:t>
            </w:r>
          </w:p>
        </w:tc>
        <w:tc>
          <w:tcPr>
            <w:tcW w:w="1110" w:type="dxa"/>
            <w:tcBorders>
              <w:left w:val="single" w:color="auto" w:sz="4" w:space="0"/>
              <w:right w:val="single" w:color="auto" w:sz="4" w:space="0"/>
            </w:tcBorders>
            <w:vAlign w:val="center"/>
          </w:tcPr>
          <w:p w14:paraId="7D4F4AB3">
            <w:pPr>
              <w:spacing w:line="360" w:lineRule="auto"/>
              <w:jc w:val="center"/>
              <w:rPr>
                <w:rFonts w:hint="eastAsia" w:ascii="宋体" w:hAnsi="宋体" w:eastAsia="宋体" w:cs="Times New Roman"/>
                <w:color w:val="auto"/>
                <w:szCs w:val="21"/>
                <w:highlight w:val="none"/>
              </w:rPr>
            </w:pPr>
          </w:p>
        </w:tc>
        <w:tc>
          <w:tcPr>
            <w:tcW w:w="1170" w:type="dxa"/>
            <w:tcBorders>
              <w:left w:val="single" w:color="auto" w:sz="4" w:space="0"/>
              <w:right w:val="single" w:color="auto" w:sz="4" w:space="0"/>
            </w:tcBorders>
            <w:vAlign w:val="center"/>
          </w:tcPr>
          <w:p w14:paraId="599F24C6">
            <w:pPr>
              <w:spacing w:line="360" w:lineRule="auto"/>
              <w:jc w:val="center"/>
              <w:rPr>
                <w:rFonts w:hint="eastAsia" w:ascii="宋体" w:hAnsi="宋体" w:eastAsia="宋体" w:cs="Times New Roman"/>
                <w:color w:val="auto"/>
                <w:szCs w:val="21"/>
                <w:highlight w:val="none"/>
              </w:rPr>
            </w:pPr>
          </w:p>
        </w:tc>
        <w:tc>
          <w:tcPr>
            <w:tcW w:w="1189" w:type="dxa"/>
            <w:vMerge w:val="continue"/>
            <w:tcBorders>
              <w:left w:val="single" w:color="auto" w:sz="4" w:space="0"/>
              <w:right w:val="single" w:color="auto" w:sz="4" w:space="0"/>
            </w:tcBorders>
            <w:vAlign w:val="center"/>
          </w:tcPr>
          <w:p w14:paraId="450091CE">
            <w:pPr>
              <w:widowControl/>
              <w:adjustRightInd w:val="0"/>
              <w:jc w:val="center"/>
              <w:rPr>
                <w:rFonts w:hint="eastAsia" w:ascii="宋体" w:hAnsi="宋体" w:eastAsia="宋体" w:cs="宋体"/>
                <w:color w:val="auto"/>
                <w:szCs w:val="21"/>
                <w:highlight w:val="none"/>
              </w:rPr>
            </w:pPr>
          </w:p>
        </w:tc>
      </w:tr>
      <w:tr w14:paraId="2CC6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27D3FF6D">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140" w:type="dxa"/>
            <w:tcBorders>
              <w:left w:val="single" w:color="auto" w:sz="4" w:space="0"/>
              <w:right w:val="single" w:color="auto" w:sz="4" w:space="0"/>
            </w:tcBorders>
            <w:vAlign w:val="center"/>
          </w:tcPr>
          <w:p w14:paraId="34AF2442">
            <w:pPr>
              <w:jc w:val="center"/>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本地功能测试</w:t>
            </w:r>
          </w:p>
        </w:tc>
        <w:tc>
          <w:tcPr>
            <w:tcW w:w="3522" w:type="dxa"/>
            <w:tcBorders>
              <w:left w:val="single" w:color="auto" w:sz="4" w:space="0"/>
              <w:right w:val="single" w:color="auto" w:sz="4" w:space="0"/>
            </w:tcBorders>
            <w:vAlign w:val="center"/>
          </w:tcPr>
          <w:p w14:paraId="3F36DFD9">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手动控制检查：检查是否可以通过按键进行手动控制操作，包括解锁和闭锁、上电和关电、内外置的切换，以及手动测试扬声器与功放是否工作正常。</w:t>
            </w:r>
          </w:p>
        </w:tc>
        <w:tc>
          <w:tcPr>
            <w:tcW w:w="888" w:type="dxa"/>
            <w:tcBorders>
              <w:left w:val="single" w:color="auto" w:sz="4" w:space="0"/>
              <w:right w:val="single" w:color="auto" w:sz="4" w:space="0"/>
            </w:tcBorders>
            <w:vAlign w:val="center"/>
          </w:tcPr>
          <w:p w14:paraId="0530A753">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60" w:type="dxa"/>
            <w:tcBorders>
              <w:top w:val="single" w:color="auto" w:sz="4" w:space="0"/>
              <w:left w:val="single" w:color="auto" w:sz="4" w:space="0"/>
              <w:bottom w:val="single" w:color="auto" w:sz="4" w:space="0"/>
              <w:right w:val="single" w:color="auto" w:sz="4" w:space="0"/>
            </w:tcBorders>
            <w:vAlign w:val="center"/>
          </w:tcPr>
          <w:p w14:paraId="5E3B1322">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155</w:t>
            </w:r>
          </w:p>
        </w:tc>
        <w:tc>
          <w:tcPr>
            <w:tcW w:w="1110" w:type="dxa"/>
            <w:tcBorders>
              <w:left w:val="single" w:color="auto" w:sz="4" w:space="0"/>
              <w:right w:val="single" w:color="auto" w:sz="4" w:space="0"/>
            </w:tcBorders>
            <w:vAlign w:val="center"/>
          </w:tcPr>
          <w:p w14:paraId="1AA2A873">
            <w:pPr>
              <w:spacing w:line="360" w:lineRule="auto"/>
              <w:jc w:val="center"/>
              <w:rPr>
                <w:rFonts w:hint="eastAsia" w:ascii="宋体" w:hAnsi="宋体" w:eastAsia="宋体" w:cs="Times New Roman"/>
                <w:color w:val="auto"/>
                <w:szCs w:val="21"/>
                <w:highlight w:val="none"/>
              </w:rPr>
            </w:pPr>
          </w:p>
        </w:tc>
        <w:tc>
          <w:tcPr>
            <w:tcW w:w="1170" w:type="dxa"/>
            <w:tcBorders>
              <w:left w:val="single" w:color="auto" w:sz="4" w:space="0"/>
              <w:right w:val="single" w:color="auto" w:sz="4" w:space="0"/>
            </w:tcBorders>
            <w:vAlign w:val="center"/>
          </w:tcPr>
          <w:p w14:paraId="3C74109A">
            <w:pPr>
              <w:spacing w:line="360" w:lineRule="auto"/>
              <w:jc w:val="center"/>
              <w:rPr>
                <w:rFonts w:hint="eastAsia" w:ascii="宋体" w:hAnsi="宋体" w:eastAsia="宋体" w:cs="Times New Roman"/>
                <w:color w:val="auto"/>
                <w:szCs w:val="21"/>
                <w:highlight w:val="none"/>
              </w:rPr>
            </w:pPr>
          </w:p>
        </w:tc>
        <w:tc>
          <w:tcPr>
            <w:tcW w:w="1189" w:type="dxa"/>
            <w:vMerge w:val="continue"/>
            <w:tcBorders>
              <w:left w:val="single" w:color="auto" w:sz="4" w:space="0"/>
              <w:right w:val="single" w:color="auto" w:sz="4" w:space="0"/>
            </w:tcBorders>
            <w:vAlign w:val="center"/>
          </w:tcPr>
          <w:p w14:paraId="15FD448B">
            <w:pPr>
              <w:widowControl/>
              <w:adjustRightInd w:val="0"/>
              <w:jc w:val="center"/>
              <w:rPr>
                <w:rFonts w:hint="eastAsia" w:ascii="宋体" w:hAnsi="宋体" w:eastAsia="宋体" w:cs="宋体"/>
                <w:color w:val="auto"/>
                <w:szCs w:val="21"/>
                <w:highlight w:val="none"/>
              </w:rPr>
            </w:pPr>
          </w:p>
        </w:tc>
      </w:tr>
      <w:tr w14:paraId="035D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5F4B3F2D">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140" w:type="dxa"/>
            <w:tcBorders>
              <w:left w:val="single" w:color="auto" w:sz="4" w:space="0"/>
              <w:right w:val="single" w:color="auto" w:sz="4" w:space="0"/>
            </w:tcBorders>
            <w:vAlign w:val="center"/>
          </w:tcPr>
          <w:p w14:paraId="7021AF7C">
            <w:pPr>
              <w:jc w:val="center"/>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遥控功能测试</w:t>
            </w:r>
          </w:p>
        </w:tc>
        <w:tc>
          <w:tcPr>
            <w:tcW w:w="3522" w:type="dxa"/>
            <w:tcBorders>
              <w:left w:val="single" w:color="auto" w:sz="4" w:space="0"/>
              <w:right w:val="single" w:color="auto" w:sz="4" w:space="0"/>
            </w:tcBorders>
            <w:vAlign w:val="center"/>
          </w:tcPr>
          <w:p w14:paraId="0942C169">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1）遥控通话检查：操作手咪，检测是否可以与控制中心进行语音通话；</w:t>
            </w:r>
          </w:p>
          <w:p w14:paraId="55D14FA0">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2）遥控控制检查：检查是否可以通过电台及天馈线进行遥控控制操作，包括解锁和闭锁、上电和关电、电声内外置，以及遥控测试扬声器与功放是否工作正常；</w:t>
            </w:r>
          </w:p>
          <w:p w14:paraId="2CA60425">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3）有线控制检查：通过拨号测试，检查终端有线号码是否正确、有效；控制中心是否可以有线连接控制，实现2）所实现的功能（如有）；</w:t>
            </w:r>
          </w:p>
        </w:tc>
        <w:tc>
          <w:tcPr>
            <w:tcW w:w="888" w:type="dxa"/>
            <w:tcBorders>
              <w:left w:val="single" w:color="auto" w:sz="4" w:space="0"/>
              <w:right w:val="single" w:color="auto" w:sz="4" w:space="0"/>
            </w:tcBorders>
            <w:vAlign w:val="center"/>
          </w:tcPr>
          <w:p w14:paraId="5D4B0A58">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60" w:type="dxa"/>
            <w:tcBorders>
              <w:top w:val="single" w:color="auto" w:sz="4" w:space="0"/>
              <w:left w:val="single" w:color="auto" w:sz="4" w:space="0"/>
              <w:bottom w:val="single" w:color="auto" w:sz="4" w:space="0"/>
              <w:right w:val="single" w:color="auto" w:sz="4" w:space="0"/>
            </w:tcBorders>
            <w:vAlign w:val="center"/>
          </w:tcPr>
          <w:p w14:paraId="0149C6EE">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155</w:t>
            </w:r>
          </w:p>
        </w:tc>
        <w:tc>
          <w:tcPr>
            <w:tcW w:w="1110" w:type="dxa"/>
            <w:tcBorders>
              <w:left w:val="single" w:color="auto" w:sz="4" w:space="0"/>
              <w:bottom w:val="single" w:color="auto" w:sz="4" w:space="0"/>
              <w:right w:val="single" w:color="auto" w:sz="4" w:space="0"/>
            </w:tcBorders>
            <w:vAlign w:val="center"/>
          </w:tcPr>
          <w:p w14:paraId="5C8FF0E1">
            <w:pPr>
              <w:spacing w:line="360" w:lineRule="auto"/>
              <w:jc w:val="center"/>
              <w:rPr>
                <w:rFonts w:hint="eastAsia" w:ascii="宋体" w:hAnsi="宋体" w:eastAsia="宋体" w:cs="Times New Roman"/>
                <w:color w:val="auto"/>
                <w:szCs w:val="21"/>
                <w:highlight w:val="none"/>
              </w:rPr>
            </w:pPr>
          </w:p>
        </w:tc>
        <w:tc>
          <w:tcPr>
            <w:tcW w:w="1170" w:type="dxa"/>
            <w:tcBorders>
              <w:left w:val="single" w:color="auto" w:sz="4" w:space="0"/>
              <w:bottom w:val="single" w:color="auto" w:sz="4" w:space="0"/>
              <w:right w:val="single" w:color="auto" w:sz="4" w:space="0"/>
            </w:tcBorders>
            <w:vAlign w:val="center"/>
          </w:tcPr>
          <w:p w14:paraId="6090B6D8">
            <w:pPr>
              <w:spacing w:line="360" w:lineRule="auto"/>
              <w:jc w:val="center"/>
              <w:rPr>
                <w:rFonts w:hint="eastAsia" w:ascii="宋体" w:hAnsi="宋体" w:eastAsia="宋体" w:cs="Times New Roman"/>
                <w:color w:val="auto"/>
                <w:szCs w:val="21"/>
                <w:highlight w:val="none"/>
              </w:rPr>
            </w:pPr>
          </w:p>
        </w:tc>
        <w:tc>
          <w:tcPr>
            <w:tcW w:w="1189" w:type="dxa"/>
            <w:vMerge w:val="continue"/>
            <w:tcBorders>
              <w:left w:val="single" w:color="auto" w:sz="4" w:space="0"/>
              <w:bottom w:val="single" w:color="auto" w:sz="4" w:space="0"/>
              <w:right w:val="single" w:color="auto" w:sz="4" w:space="0"/>
            </w:tcBorders>
            <w:vAlign w:val="center"/>
          </w:tcPr>
          <w:p w14:paraId="28F325FE">
            <w:pPr>
              <w:widowControl/>
              <w:adjustRightInd w:val="0"/>
              <w:jc w:val="center"/>
              <w:rPr>
                <w:rFonts w:hint="eastAsia" w:ascii="宋体" w:hAnsi="宋体" w:eastAsia="宋体" w:cs="宋体"/>
                <w:color w:val="auto"/>
                <w:szCs w:val="21"/>
                <w:highlight w:val="none"/>
              </w:rPr>
            </w:pPr>
          </w:p>
        </w:tc>
      </w:tr>
      <w:tr w14:paraId="0A1C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7AED44D5">
            <w:pPr>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三、多媒体发布系统运维托管</w:t>
            </w:r>
          </w:p>
        </w:tc>
      </w:tr>
      <w:tr w14:paraId="63F3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5B88733F">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140" w:type="dxa"/>
            <w:tcBorders>
              <w:top w:val="single" w:color="auto" w:sz="4" w:space="0"/>
              <w:left w:val="single" w:color="auto" w:sz="4" w:space="0"/>
              <w:bottom w:val="single" w:color="auto" w:sz="4" w:space="0"/>
              <w:right w:val="single" w:color="auto" w:sz="4" w:space="0"/>
            </w:tcBorders>
            <w:vAlign w:val="center"/>
          </w:tcPr>
          <w:p w14:paraId="163523C6">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多媒体发布系统运维托管</w:t>
            </w:r>
          </w:p>
        </w:tc>
        <w:tc>
          <w:tcPr>
            <w:tcW w:w="3522" w:type="dxa"/>
            <w:tcBorders>
              <w:top w:val="single" w:color="auto" w:sz="4" w:space="0"/>
              <w:left w:val="single" w:color="auto" w:sz="4" w:space="0"/>
              <w:bottom w:val="single" w:color="auto" w:sz="4" w:space="0"/>
              <w:right w:val="single" w:color="auto" w:sz="4" w:space="0"/>
            </w:tcBorders>
            <w:vAlign w:val="center"/>
          </w:tcPr>
          <w:p w14:paraId="2739E34A">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利用本公司平台及相关资源，对多媒体警报信息发布系统进行7*24h日常的管理维护，保证服务器电源和专线网络的供给，确保设备平稳运行。</w:t>
            </w:r>
          </w:p>
          <w:p w14:paraId="718A35D0">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架设备份服务器对多媒体警报信息发布系统进行数据备份，在主服务器遇极端情况下，由备份服务器及时替换，保证系统正常运行。</w:t>
            </w:r>
          </w:p>
          <w:p w14:paraId="4EEE4832">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对信息发布软件进行定期和不定期的升级维护，满足用户的使用需求。保证信息发布系统的网络安全。</w:t>
            </w:r>
          </w:p>
          <w:p w14:paraId="229755EA">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除系统现有的终端外，提供终端数量无限扩容功能，并保证扩容后的系统稳定运行。</w:t>
            </w:r>
          </w:p>
          <w:p w14:paraId="6817C15C">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对现有257套终端的信息发布提供保障与支持，对点位管理员进行不限次使用指导及发布包更新，特殊情况下协助或帮助发布信息。</w:t>
            </w:r>
          </w:p>
          <w:p w14:paraId="78673441">
            <w:pPr>
              <w:numPr>
                <w:ilvl w:val="0"/>
                <w:numId w:val="5"/>
              </w:num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对现有257套终端的信息发布实行审核和信息查询备份设置，避免信息内容误发。</w:t>
            </w:r>
          </w:p>
        </w:tc>
        <w:tc>
          <w:tcPr>
            <w:tcW w:w="888" w:type="dxa"/>
            <w:tcBorders>
              <w:top w:val="single" w:color="auto" w:sz="4" w:space="0"/>
              <w:left w:val="single" w:color="auto" w:sz="4" w:space="0"/>
              <w:bottom w:val="single" w:color="auto" w:sz="4" w:space="0"/>
              <w:right w:val="single" w:color="auto" w:sz="4" w:space="0"/>
            </w:tcBorders>
            <w:vAlign w:val="center"/>
          </w:tcPr>
          <w:p w14:paraId="361499DF">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0" w:type="dxa"/>
            <w:tcBorders>
              <w:top w:val="single" w:color="auto" w:sz="4" w:space="0"/>
              <w:left w:val="single" w:color="auto" w:sz="4" w:space="0"/>
              <w:bottom w:val="single" w:color="auto" w:sz="4" w:space="0"/>
              <w:right w:val="single" w:color="auto" w:sz="4" w:space="0"/>
            </w:tcBorders>
            <w:vAlign w:val="center"/>
          </w:tcPr>
          <w:p w14:paraId="5D994DC0">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110" w:type="dxa"/>
            <w:tcBorders>
              <w:top w:val="single" w:color="auto" w:sz="4" w:space="0"/>
              <w:left w:val="single" w:color="auto" w:sz="4" w:space="0"/>
              <w:bottom w:val="single" w:color="auto" w:sz="4" w:space="0"/>
              <w:right w:val="single" w:color="auto" w:sz="4" w:space="0"/>
            </w:tcBorders>
            <w:vAlign w:val="center"/>
          </w:tcPr>
          <w:p w14:paraId="22503912">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0FB878DB">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4995838E">
            <w:pPr>
              <w:jc w:val="center"/>
              <w:rPr>
                <w:rFonts w:hint="eastAsia" w:ascii="宋体" w:hAnsi="宋体" w:eastAsia="宋体" w:cs="宋体"/>
                <w:color w:val="auto"/>
                <w:szCs w:val="21"/>
                <w:highlight w:val="none"/>
              </w:rPr>
            </w:pPr>
          </w:p>
        </w:tc>
      </w:tr>
      <w:tr w14:paraId="6706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7AB491B2">
            <w:pPr>
              <w:ind w:left="-147" w:leftChars="-67" w:right="-73" w:rightChars="-3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四、警报控制网络系统维护</w:t>
            </w:r>
          </w:p>
        </w:tc>
      </w:tr>
      <w:tr w14:paraId="5287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3767C3F6">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140" w:type="dxa"/>
            <w:tcBorders>
              <w:top w:val="single" w:color="auto" w:sz="4" w:space="0"/>
              <w:left w:val="single" w:color="auto" w:sz="4" w:space="0"/>
              <w:bottom w:val="single" w:color="auto" w:sz="4" w:space="0"/>
              <w:right w:val="single" w:color="auto" w:sz="4" w:space="0"/>
            </w:tcBorders>
            <w:vAlign w:val="center"/>
          </w:tcPr>
          <w:p w14:paraId="69610365">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分控中心和中继维护</w:t>
            </w:r>
          </w:p>
        </w:tc>
        <w:tc>
          <w:tcPr>
            <w:tcW w:w="3522" w:type="dxa"/>
            <w:tcBorders>
              <w:top w:val="single" w:color="auto" w:sz="4" w:space="0"/>
              <w:left w:val="single" w:color="auto" w:sz="4" w:space="0"/>
              <w:bottom w:val="single" w:color="auto" w:sz="4" w:space="0"/>
              <w:right w:val="single" w:color="auto" w:sz="4" w:space="0"/>
            </w:tcBorders>
            <w:vAlign w:val="center"/>
          </w:tcPr>
          <w:p w14:paraId="408A1796">
            <w:pPr>
              <w:numPr>
                <w:ilvl w:val="0"/>
                <w:numId w:val="6"/>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每个季度对2个分控中心和2个中继站的设备巡检维护；</w:t>
            </w:r>
          </w:p>
          <w:p w14:paraId="26378FAC">
            <w:pPr>
              <w:numPr>
                <w:ilvl w:val="0"/>
                <w:numId w:val="6"/>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定期或不定期进行设备信号测试和维护；</w:t>
            </w:r>
          </w:p>
          <w:p w14:paraId="5B56EEB6">
            <w:pPr>
              <w:numPr>
                <w:ilvl w:val="0"/>
                <w:numId w:val="6"/>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控制软件的不定期的升级与维护；</w:t>
            </w:r>
          </w:p>
          <w:p w14:paraId="5083791E">
            <w:pPr>
              <w:numPr>
                <w:ilvl w:val="0"/>
                <w:numId w:val="6"/>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天馈线巡查维护；</w:t>
            </w:r>
          </w:p>
        </w:tc>
        <w:tc>
          <w:tcPr>
            <w:tcW w:w="888" w:type="dxa"/>
            <w:tcBorders>
              <w:top w:val="single" w:color="auto" w:sz="4" w:space="0"/>
              <w:left w:val="single" w:color="auto" w:sz="4" w:space="0"/>
              <w:bottom w:val="single" w:color="auto" w:sz="4" w:space="0"/>
              <w:right w:val="single" w:color="auto" w:sz="4" w:space="0"/>
            </w:tcBorders>
            <w:vAlign w:val="center"/>
          </w:tcPr>
          <w:p w14:paraId="440CF6DA">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0" w:type="dxa"/>
            <w:tcBorders>
              <w:top w:val="single" w:color="auto" w:sz="4" w:space="0"/>
              <w:left w:val="single" w:color="auto" w:sz="4" w:space="0"/>
              <w:bottom w:val="single" w:color="auto" w:sz="4" w:space="0"/>
              <w:right w:val="single" w:color="auto" w:sz="4" w:space="0"/>
            </w:tcBorders>
            <w:vAlign w:val="center"/>
          </w:tcPr>
          <w:p w14:paraId="0F67E046">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110" w:type="dxa"/>
            <w:tcBorders>
              <w:top w:val="single" w:color="auto" w:sz="4" w:space="0"/>
              <w:left w:val="single" w:color="auto" w:sz="4" w:space="0"/>
              <w:bottom w:val="single" w:color="auto" w:sz="4" w:space="0"/>
              <w:right w:val="single" w:color="auto" w:sz="4" w:space="0"/>
            </w:tcBorders>
            <w:vAlign w:val="center"/>
          </w:tcPr>
          <w:p w14:paraId="6F858E7F">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2D187BC2">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29D03BB2">
            <w:pPr>
              <w:ind w:left="-147" w:leftChars="-67" w:right="-73" w:rightChars="-33"/>
              <w:jc w:val="center"/>
              <w:rPr>
                <w:rFonts w:hint="eastAsia" w:ascii="宋体" w:hAnsi="宋体" w:eastAsia="宋体" w:cs="宋体"/>
                <w:color w:val="auto"/>
                <w:szCs w:val="21"/>
                <w:highlight w:val="none"/>
              </w:rPr>
            </w:pPr>
          </w:p>
        </w:tc>
      </w:tr>
      <w:tr w14:paraId="7137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33B68331">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140" w:type="dxa"/>
            <w:tcBorders>
              <w:top w:val="single" w:color="auto" w:sz="4" w:space="0"/>
              <w:left w:val="single" w:color="auto" w:sz="4" w:space="0"/>
              <w:bottom w:val="single" w:color="auto" w:sz="4" w:space="0"/>
              <w:right w:val="single" w:color="auto" w:sz="4" w:space="0"/>
            </w:tcBorders>
            <w:vAlign w:val="center"/>
          </w:tcPr>
          <w:p w14:paraId="2C91E5BC">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与市级警报控制网络系统整体互联互通测试维护</w:t>
            </w:r>
          </w:p>
        </w:tc>
        <w:tc>
          <w:tcPr>
            <w:tcW w:w="3522" w:type="dxa"/>
            <w:tcBorders>
              <w:top w:val="single" w:color="auto" w:sz="4" w:space="0"/>
              <w:left w:val="single" w:color="auto" w:sz="4" w:space="0"/>
              <w:bottom w:val="single" w:color="auto" w:sz="4" w:space="0"/>
              <w:right w:val="single" w:color="auto" w:sz="4" w:space="0"/>
            </w:tcBorders>
            <w:vAlign w:val="center"/>
          </w:tcPr>
          <w:p w14:paraId="442ADA42">
            <w:pPr>
              <w:numPr>
                <w:ilvl w:val="0"/>
                <w:numId w:val="7"/>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不定期配合南京市级警报控制中心进行全市警报控制网络的联调和功能测试，确保各项测试指标正常、功能完好；</w:t>
            </w:r>
          </w:p>
          <w:p w14:paraId="237576BE">
            <w:pPr>
              <w:numPr>
                <w:ilvl w:val="0"/>
                <w:numId w:val="7"/>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通过定期或不定期的升级与维护，确保本辖区警报分控网络与南京市市级警报控制网络互联互通并稳定可靠运行。</w:t>
            </w:r>
          </w:p>
          <w:p w14:paraId="56873FD6">
            <w:pPr>
              <w:numPr>
                <w:ilvl w:val="0"/>
                <w:numId w:val="7"/>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警控系统网络各项常规功能检查、发射台功能检测、网络通信信道测试；</w:t>
            </w:r>
          </w:p>
          <w:p w14:paraId="7D66D997">
            <w:pPr>
              <w:numPr>
                <w:ilvl w:val="0"/>
                <w:numId w:val="7"/>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中央有线遥控终端检测、警报专用有线综合终端检测维护；</w:t>
            </w:r>
          </w:p>
          <w:p w14:paraId="17257406">
            <w:pPr>
              <w:numPr>
                <w:ilvl w:val="0"/>
                <w:numId w:val="7"/>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控制网络软件升级、备份系统信息同步；2个分控中心、2个中继站运行情况检测；</w:t>
            </w:r>
          </w:p>
        </w:tc>
        <w:tc>
          <w:tcPr>
            <w:tcW w:w="888" w:type="dxa"/>
            <w:tcBorders>
              <w:top w:val="single" w:color="auto" w:sz="4" w:space="0"/>
              <w:left w:val="single" w:color="auto" w:sz="4" w:space="0"/>
              <w:bottom w:val="single" w:color="auto" w:sz="4" w:space="0"/>
              <w:right w:val="single" w:color="auto" w:sz="4" w:space="0"/>
            </w:tcBorders>
            <w:vAlign w:val="center"/>
          </w:tcPr>
          <w:p w14:paraId="57A75763">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0" w:type="dxa"/>
            <w:tcBorders>
              <w:top w:val="single" w:color="auto" w:sz="4" w:space="0"/>
              <w:left w:val="single" w:color="auto" w:sz="4" w:space="0"/>
              <w:bottom w:val="single" w:color="auto" w:sz="4" w:space="0"/>
              <w:right w:val="single" w:color="auto" w:sz="4" w:space="0"/>
            </w:tcBorders>
            <w:vAlign w:val="center"/>
          </w:tcPr>
          <w:p w14:paraId="74A57990">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110" w:type="dxa"/>
            <w:tcBorders>
              <w:top w:val="single" w:color="auto" w:sz="4" w:space="0"/>
              <w:left w:val="single" w:color="auto" w:sz="4" w:space="0"/>
              <w:bottom w:val="single" w:color="auto" w:sz="4" w:space="0"/>
              <w:right w:val="single" w:color="auto" w:sz="4" w:space="0"/>
            </w:tcBorders>
            <w:vAlign w:val="center"/>
          </w:tcPr>
          <w:p w14:paraId="0DA527BC">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191DB390">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6B020C5B">
            <w:pPr>
              <w:ind w:left="-147" w:leftChars="-67" w:right="-73" w:rightChars="-33"/>
              <w:jc w:val="center"/>
              <w:rPr>
                <w:rFonts w:hint="eastAsia" w:ascii="宋体" w:hAnsi="宋体" w:eastAsia="宋体" w:cs="宋体"/>
                <w:color w:val="auto"/>
                <w:szCs w:val="21"/>
                <w:highlight w:val="none"/>
              </w:rPr>
            </w:pPr>
          </w:p>
        </w:tc>
      </w:tr>
      <w:tr w14:paraId="34C1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5254AF2C">
            <w:pPr>
              <w:ind w:left="-147" w:leftChars="-67" w:right="-73" w:rightChars="-33"/>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五、设备普查</w:t>
            </w:r>
          </w:p>
        </w:tc>
      </w:tr>
      <w:tr w14:paraId="6587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68DD6F59">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140" w:type="dxa"/>
            <w:tcBorders>
              <w:top w:val="single" w:color="auto" w:sz="4" w:space="0"/>
              <w:left w:val="single" w:color="auto" w:sz="4" w:space="0"/>
              <w:bottom w:val="single" w:color="auto" w:sz="4" w:space="0"/>
              <w:right w:val="single" w:color="auto" w:sz="4" w:space="0"/>
            </w:tcBorders>
            <w:vAlign w:val="center"/>
          </w:tcPr>
          <w:p w14:paraId="526BE318">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设备普查</w:t>
            </w:r>
          </w:p>
        </w:tc>
        <w:tc>
          <w:tcPr>
            <w:tcW w:w="3522" w:type="dxa"/>
            <w:tcBorders>
              <w:top w:val="single" w:color="auto" w:sz="4" w:space="0"/>
              <w:left w:val="single" w:color="auto" w:sz="4" w:space="0"/>
              <w:bottom w:val="single" w:color="auto" w:sz="4" w:space="0"/>
              <w:right w:val="single" w:color="auto" w:sz="4" w:space="0"/>
            </w:tcBorders>
            <w:vAlign w:val="center"/>
          </w:tcPr>
          <w:p w14:paraId="2AA421A4">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每年两次不定期配合市防办进行的设备普查，包含：</w:t>
            </w:r>
          </w:p>
          <w:p w14:paraId="7214E04B">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1）所有警报设备整体完整性和完好性检查，包含一体机和多媒体；</w:t>
            </w:r>
          </w:p>
          <w:p w14:paraId="29202AAF">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2）设备电源供电情况检查；</w:t>
            </w:r>
          </w:p>
          <w:p w14:paraId="65E9DAD4">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3）时控开关时间及功能检查；</w:t>
            </w:r>
          </w:p>
          <w:p w14:paraId="562572B0">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4）设备开机自检测试；</w:t>
            </w:r>
          </w:p>
          <w:p w14:paraId="6E4300A6">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5）天馈系统检查：馈线接口是否连接完好；室外天线架设是否正常。</w:t>
            </w:r>
          </w:p>
          <w:p w14:paraId="273AACAE">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6）测试：手动测试警报器是否能正常鸣响；通过分控中心无线测试信号接收是否正常。</w:t>
            </w:r>
          </w:p>
          <w:p w14:paraId="58AD3E5D">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7）维护人员：确认维护人员有无变更。</w:t>
            </w:r>
          </w:p>
          <w:p w14:paraId="56ECCD69">
            <w:p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8）在市防办指定的警报终端维保平台上对终端进行二维码扫码，登记巡检现场照片及设备运行信息。</w:t>
            </w:r>
          </w:p>
        </w:tc>
        <w:tc>
          <w:tcPr>
            <w:tcW w:w="888" w:type="dxa"/>
            <w:tcBorders>
              <w:top w:val="single" w:color="auto" w:sz="4" w:space="0"/>
              <w:left w:val="single" w:color="auto" w:sz="4" w:space="0"/>
              <w:bottom w:val="single" w:color="auto" w:sz="4" w:space="0"/>
              <w:right w:val="single" w:color="auto" w:sz="4" w:space="0"/>
            </w:tcBorders>
            <w:vAlign w:val="center"/>
          </w:tcPr>
          <w:p w14:paraId="300EE485">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0" w:type="dxa"/>
            <w:tcBorders>
              <w:top w:val="single" w:color="auto" w:sz="4" w:space="0"/>
              <w:left w:val="single" w:color="auto" w:sz="4" w:space="0"/>
              <w:bottom w:val="single" w:color="auto" w:sz="4" w:space="0"/>
              <w:right w:val="single" w:color="auto" w:sz="4" w:space="0"/>
            </w:tcBorders>
            <w:vAlign w:val="center"/>
          </w:tcPr>
          <w:p w14:paraId="160A7DAC">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412台</w:t>
            </w:r>
          </w:p>
        </w:tc>
        <w:tc>
          <w:tcPr>
            <w:tcW w:w="1110" w:type="dxa"/>
            <w:tcBorders>
              <w:top w:val="single" w:color="auto" w:sz="4" w:space="0"/>
              <w:left w:val="single" w:color="auto" w:sz="4" w:space="0"/>
              <w:bottom w:val="single" w:color="auto" w:sz="4" w:space="0"/>
              <w:right w:val="single" w:color="auto" w:sz="4" w:space="0"/>
            </w:tcBorders>
            <w:vAlign w:val="center"/>
          </w:tcPr>
          <w:p w14:paraId="0EF37BA0">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409966A7">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1E306730">
            <w:pPr>
              <w:ind w:left="-147" w:leftChars="-67" w:right="-73" w:rightChars="-33"/>
              <w:jc w:val="center"/>
              <w:rPr>
                <w:rFonts w:hint="eastAsia" w:ascii="宋体" w:hAnsi="宋体" w:eastAsia="宋体" w:cs="宋体"/>
                <w:color w:val="auto"/>
                <w:szCs w:val="21"/>
                <w:highlight w:val="none"/>
              </w:rPr>
            </w:pPr>
          </w:p>
        </w:tc>
      </w:tr>
      <w:tr w14:paraId="0D30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47CABCB4">
            <w:pPr>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六、培训</w:t>
            </w:r>
          </w:p>
        </w:tc>
      </w:tr>
      <w:tr w14:paraId="42C8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01A86066">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140" w:type="dxa"/>
            <w:tcBorders>
              <w:top w:val="single" w:color="auto" w:sz="4" w:space="0"/>
              <w:left w:val="single" w:color="auto" w:sz="4" w:space="0"/>
              <w:bottom w:val="single" w:color="auto" w:sz="4" w:space="0"/>
              <w:right w:val="single" w:color="auto" w:sz="4" w:space="0"/>
            </w:tcBorders>
            <w:vAlign w:val="center"/>
          </w:tcPr>
          <w:p w14:paraId="1DD16751">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培训</w:t>
            </w:r>
          </w:p>
        </w:tc>
        <w:tc>
          <w:tcPr>
            <w:tcW w:w="3522" w:type="dxa"/>
            <w:tcBorders>
              <w:top w:val="single" w:color="auto" w:sz="4" w:space="0"/>
              <w:left w:val="single" w:color="auto" w:sz="4" w:space="0"/>
              <w:bottom w:val="single" w:color="auto" w:sz="4" w:space="0"/>
              <w:right w:val="single" w:color="auto" w:sz="4" w:space="0"/>
            </w:tcBorders>
            <w:vAlign w:val="center"/>
          </w:tcPr>
          <w:p w14:paraId="6CB60AF8">
            <w:pPr>
              <w:numPr>
                <w:ilvl w:val="0"/>
                <w:numId w:val="10"/>
              </w:numPr>
              <w:tabs>
                <w:tab w:val="left" w:pos="312"/>
              </w:tabs>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每年组织两次对所有警报器管理人员的培训；</w:t>
            </w:r>
          </w:p>
          <w:p w14:paraId="1623E944">
            <w:pPr>
              <w:numPr>
                <w:ilvl w:val="0"/>
                <w:numId w:val="10"/>
              </w:numPr>
              <w:tabs>
                <w:tab w:val="left" w:pos="312"/>
              </w:tabs>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警报设备和播控软件操作技术指导；</w:t>
            </w:r>
          </w:p>
          <w:p w14:paraId="0D0AC27B">
            <w:pPr>
              <w:numPr>
                <w:ilvl w:val="0"/>
                <w:numId w:val="10"/>
              </w:numPr>
              <w:tabs>
                <w:tab w:val="left" w:pos="312"/>
              </w:tabs>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警报设备常规维修维护技术指导；</w:t>
            </w:r>
          </w:p>
        </w:tc>
        <w:tc>
          <w:tcPr>
            <w:tcW w:w="888" w:type="dxa"/>
            <w:tcBorders>
              <w:top w:val="single" w:color="auto" w:sz="4" w:space="0"/>
              <w:left w:val="single" w:color="auto" w:sz="4" w:space="0"/>
              <w:bottom w:val="single" w:color="auto" w:sz="4" w:space="0"/>
              <w:right w:val="single" w:color="auto" w:sz="4" w:space="0"/>
            </w:tcBorders>
            <w:vAlign w:val="center"/>
          </w:tcPr>
          <w:p w14:paraId="0D1AD722">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0" w:type="dxa"/>
            <w:tcBorders>
              <w:top w:val="single" w:color="auto" w:sz="4" w:space="0"/>
              <w:left w:val="single" w:color="auto" w:sz="4" w:space="0"/>
              <w:bottom w:val="single" w:color="auto" w:sz="4" w:space="0"/>
              <w:right w:val="single" w:color="auto" w:sz="4" w:space="0"/>
            </w:tcBorders>
            <w:vAlign w:val="center"/>
          </w:tcPr>
          <w:p w14:paraId="71B5B4D5">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110" w:type="dxa"/>
            <w:tcBorders>
              <w:top w:val="single" w:color="auto" w:sz="4" w:space="0"/>
              <w:left w:val="single" w:color="auto" w:sz="4" w:space="0"/>
              <w:bottom w:val="single" w:color="auto" w:sz="4" w:space="0"/>
              <w:right w:val="single" w:color="auto" w:sz="4" w:space="0"/>
            </w:tcBorders>
            <w:vAlign w:val="center"/>
          </w:tcPr>
          <w:p w14:paraId="393A80F4">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37AE4349">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36E1006E">
            <w:pPr>
              <w:jc w:val="center"/>
              <w:rPr>
                <w:rFonts w:hint="eastAsia" w:ascii="宋体" w:hAnsi="宋体" w:eastAsia="宋体" w:cs="宋体"/>
                <w:color w:val="auto"/>
                <w:szCs w:val="21"/>
                <w:highlight w:val="none"/>
              </w:rPr>
            </w:pPr>
          </w:p>
        </w:tc>
      </w:tr>
      <w:tr w14:paraId="1CBE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28" w:type="dxa"/>
            <w:gridSpan w:val="8"/>
            <w:tcBorders>
              <w:top w:val="single" w:color="auto" w:sz="4" w:space="0"/>
              <w:left w:val="single" w:color="auto" w:sz="4" w:space="0"/>
              <w:bottom w:val="single" w:color="auto" w:sz="4" w:space="0"/>
              <w:right w:val="single" w:color="auto" w:sz="4" w:space="0"/>
            </w:tcBorders>
            <w:vAlign w:val="center"/>
          </w:tcPr>
          <w:p w14:paraId="5B00F0BB">
            <w:pPr>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七、警报试鸣保障</w:t>
            </w:r>
          </w:p>
        </w:tc>
      </w:tr>
      <w:tr w14:paraId="6EFB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tcBorders>
              <w:top w:val="single" w:color="auto" w:sz="4" w:space="0"/>
              <w:left w:val="single" w:color="auto" w:sz="4" w:space="0"/>
              <w:bottom w:val="single" w:color="auto" w:sz="4" w:space="0"/>
              <w:right w:val="single" w:color="auto" w:sz="4" w:space="0"/>
            </w:tcBorders>
            <w:vAlign w:val="center"/>
          </w:tcPr>
          <w:p w14:paraId="70E8DE95">
            <w:pPr>
              <w:ind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140" w:type="dxa"/>
            <w:tcBorders>
              <w:top w:val="single" w:color="auto" w:sz="4" w:space="0"/>
              <w:left w:val="single" w:color="auto" w:sz="4" w:space="0"/>
              <w:bottom w:val="single" w:color="auto" w:sz="4" w:space="0"/>
              <w:right w:val="single" w:color="auto" w:sz="4" w:space="0"/>
            </w:tcBorders>
            <w:vAlign w:val="center"/>
          </w:tcPr>
          <w:p w14:paraId="7FEB7B10">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警报</w:t>
            </w:r>
          </w:p>
          <w:p w14:paraId="3C8BA1C4">
            <w:pPr>
              <w:widowControl/>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试鸣保障</w:t>
            </w:r>
          </w:p>
        </w:tc>
        <w:tc>
          <w:tcPr>
            <w:tcW w:w="3522" w:type="dxa"/>
            <w:tcBorders>
              <w:top w:val="single" w:color="auto" w:sz="4" w:space="0"/>
              <w:left w:val="single" w:color="auto" w:sz="4" w:space="0"/>
              <w:bottom w:val="single" w:color="auto" w:sz="4" w:space="0"/>
              <w:right w:val="single" w:color="auto" w:sz="4" w:space="0"/>
            </w:tcBorders>
            <w:vAlign w:val="center"/>
          </w:tcPr>
          <w:p w14:paraId="39FF667B">
            <w:pPr>
              <w:numPr>
                <w:ilvl w:val="0"/>
                <w:numId w:val="11"/>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对警报器每年两次的试鸣保障；</w:t>
            </w:r>
          </w:p>
          <w:p w14:paraId="006C00CD">
            <w:pPr>
              <w:numPr>
                <w:ilvl w:val="0"/>
                <w:numId w:val="11"/>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对人防不定期组织的演练进行现场保障；</w:t>
            </w:r>
          </w:p>
          <w:p w14:paraId="2508C931">
            <w:pPr>
              <w:numPr>
                <w:ilvl w:val="0"/>
                <w:numId w:val="11"/>
              </w:numPr>
              <w:ind w:right="-73" w:rightChars="-3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对突发情况下临时的警报试鸣任务进行保障；</w:t>
            </w:r>
          </w:p>
        </w:tc>
        <w:tc>
          <w:tcPr>
            <w:tcW w:w="888" w:type="dxa"/>
            <w:tcBorders>
              <w:top w:val="single" w:color="auto" w:sz="4" w:space="0"/>
              <w:left w:val="single" w:color="auto" w:sz="4" w:space="0"/>
              <w:bottom w:val="single" w:color="auto" w:sz="4" w:space="0"/>
              <w:right w:val="single" w:color="auto" w:sz="4" w:space="0"/>
            </w:tcBorders>
            <w:vAlign w:val="center"/>
          </w:tcPr>
          <w:p w14:paraId="07DADA36">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0" w:type="dxa"/>
            <w:tcBorders>
              <w:top w:val="single" w:color="auto" w:sz="4" w:space="0"/>
              <w:left w:val="single" w:color="auto" w:sz="4" w:space="0"/>
              <w:bottom w:val="single" w:color="auto" w:sz="4" w:space="0"/>
              <w:right w:val="single" w:color="auto" w:sz="4" w:space="0"/>
            </w:tcBorders>
            <w:vAlign w:val="center"/>
          </w:tcPr>
          <w:p w14:paraId="186E2E65">
            <w:pPr>
              <w:ind w:left="-147" w:leftChars="-67" w:right="-73" w:rightChars="-3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1110" w:type="dxa"/>
            <w:tcBorders>
              <w:top w:val="single" w:color="auto" w:sz="4" w:space="0"/>
              <w:left w:val="single" w:color="auto" w:sz="4" w:space="0"/>
              <w:bottom w:val="single" w:color="auto" w:sz="4" w:space="0"/>
              <w:right w:val="single" w:color="auto" w:sz="4" w:space="0"/>
            </w:tcBorders>
            <w:vAlign w:val="center"/>
          </w:tcPr>
          <w:p w14:paraId="2FDA8511">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61993837">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673C4AD5">
            <w:pPr>
              <w:jc w:val="center"/>
              <w:rPr>
                <w:rFonts w:hint="eastAsia" w:ascii="宋体" w:hAnsi="宋体" w:eastAsia="宋体" w:cs="宋体"/>
                <w:color w:val="auto"/>
                <w:szCs w:val="21"/>
                <w:highlight w:val="none"/>
              </w:rPr>
            </w:pPr>
          </w:p>
        </w:tc>
      </w:tr>
      <w:tr w14:paraId="6119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14:paraId="74DC2AE9">
            <w:pPr>
              <w:ind w:right="-73" w:rightChars="-33"/>
              <w:jc w:val="center"/>
              <w:rPr>
                <w:rFonts w:hint="eastAsia" w:ascii="宋体" w:hAnsi="宋体" w:eastAsia="宋体" w:cs="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12EC9F6F">
            <w:pPr>
              <w:widowControl/>
              <w:adjustRightInd w:val="0"/>
              <w:jc w:val="center"/>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合计</w:t>
            </w:r>
          </w:p>
        </w:tc>
        <w:tc>
          <w:tcPr>
            <w:tcW w:w="3522" w:type="dxa"/>
            <w:tcBorders>
              <w:top w:val="single" w:color="auto" w:sz="4" w:space="0"/>
              <w:left w:val="single" w:color="auto" w:sz="4" w:space="0"/>
              <w:bottom w:val="single" w:color="auto" w:sz="4" w:space="0"/>
              <w:right w:val="single" w:color="auto" w:sz="4" w:space="0"/>
            </w:tcBorders>
            <w:vAlign w:val="center"/>
          </w:tcPr>
          <w:p w14:paraId="1DEC74E1">
            <w:pPr>
              <w:numPr>
                <w:ilvl w:val="0"/>
                <w:numId w:val="0"/>
              </w:numPr>
              <w:ind w:right="-73" w:rightChars="-33"/>
              <w:jc w:val="left"/>
              <w:rPr>
                <w:rFonts w:hint="eastAsia" w:ascii="宋体" w:hAnsi="宋体" w:eastAsia="宋体" w:cs="宋体"/>
                <w:color w:val="auto"/>
                <w:szCs w:val="21"/>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08E4AE0F">
            <w:pPr>
              <w:ind w:left="-147" w:leftChars="-67" w:right="-73" w:rightChars="-33"/>
              <w:jc w:val="center"/>
              <w:rPr>
                <w:rFonts w:hint="eastAsia" w:ascii="宋体" w:hAnsi="宋体" w:eastAsia="宋体" w:cs="宋体"/>
                <w:color w:val="auto"/>
                <w:szCs w:val="21"/>
                <w:highlight w:val="none"/>
              </w:rPr>
            </w:pPr>
          </w:p>
        </w:tc>
        <w:tc>
          <w:tcPr>
            <w:tcW w:w="960" w:type="dxa"/>
            <w:tcBorders>
              <w:top w:val="single" w:color="auto" w:sz="4" w:space="0"/>
              <w:left w:val="single" w:color="auto" w:sz="4" w:space="0"/>
              <w:bottom w:val="single" w:color="auto" w:sz="4" w:space="0"/>
              <w:right w:val="single" w:color="auto" w:sz="4" w:space="0"/>
            </w:tcBorders>
            <w:vAlign w:val="center"/>
          </w:tcPr>
          <w:p w14:paraId="6231ADD2">
            <w:pPr>
              <w:ind w:left="-147" w:leftChars="-67" w:right="-73" w:rightChars="-33"/>
              <w:jc w:val="center"/>
              <w:rPr>
                <w:rFonts w:hint="eastAsia" w:ascii="宋体" w:hAnsi="宋体" w:eastAsia="宋体" w:cs="宋体"/>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vAlign w:val="center"/>
          </w:tcPr>
          <w:p w14:paraId="3A787FEA">
            <w:pPr>
              <w:ind w:left="-147" w:leftChars="-67" w:right="-73" w:rightChars="-33"/>
              <w:jc w:val="center"/>
              <w:rPr>
                <w:rFonts w:hint="eastAsia" w:ascii="宋体" w:hAnsi="宋体" w:eastAsia="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12B19488">
            <w:pPr>
              <w:ind w:left="-147" w:leftChars="-67" w:right="-73" w:rightChars="-33"/>
              <w:jc w:val="center"/>
              <w:rPr>
                <w:rFonts w:hint="eastAsia" w:ascii="宋体" w:hAnsi="宋体" w:eastAsia="宋体" w:cs="宋体"/>
                <w:color w:val="auto"/>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72598973">
            <w:pPr>
              <w:jc w:val="center"/>
              <w:rPr>
                <w:rFonts w:hint="eastAsia" w:ascii="宋体" w:hAnsi="宋体" w:eastAsia="宋体" w:cs="宋体"/>
                <w:color w:val="auto"/>
                <w:szCs w:val="21"/>
                <w:highlight w:val="none"/>
              </w:rPr>
            </w:pPr>
          </w:p>
        </w:tc>
      </w:tr>
    </w:tbl>
    <w:p w14:paraId="0F42AA8A">
      <w:pPr>
        <w:widowControl/>
        <w:outlineLvl w:val="0"/>
        <w:rPr>
          <w:rFonts w:hint="eastAsia" w:ascii="宋体" w:hAnsi="宋体" w:eastAsia="宋体" w:cs="宋体"/>
          <w:color w:val="auto"/>
          <w:szCs w:val="20"/>
          <w:highlight w:val="none"/>
          <w:lang w:val="zh-CN"/>
        </w:rPr>
      </w:pPr>
    </w:p>
    <w:p w14:paraId="607E29A4">
      <w:pPr>
        <w:widowControl/>
        <w:ind w:firstLine="5940" w:firstLineChars="2700"/>
        <w:outlineLvl w:val="0"/>
        <w:rPr>
          <w:rFonts w:hint="eastAsia" w:ascii="宋体" w:hAnsi="宋体" w:eastAsia="宋体" w:cs="宋体"/>
          <w:color w:val="auto"/>
          <w:szCs w:val="20"/>
          <w:highlight w:val="none"/>
          <w:lang w:val="zh-CN"/>
        </w:rPr>
      </w:pPr>
    </w:p>
    <w:p w14:paraId="631054F7">
      <w:pPr>
        <w:widowControl/>
        <w:ind w:firstLine="6380" w:firstLineChars="2900"/>
        <w:outlineLvl w:val="0"/>
        <w:rPr>
          <w:rFonts w:hint="eastAsia" w:ascii="宋体" w:hAnsi="宋体" w:eastAsia="宋体" w:cs="宋体"/>
          <w:color w:val="auto"/>
          <w:szCs w:val="20"/>
          <w:highlight w:val="none"/>
          <w:lang w:val="zh-CN"/>
        </w:rPr>
      </w:pPr>
      <w:r>
        <w:rPr>
          <w:rFonts w:hint="eastAsia" w:ascii="宋体" w:hAnsi="宋体" w:eastAsia="宋体" w:cs="宋体"/>
          <w:color w:val="auto"/>
          <w:szCs w:val="20"/>
          <w:highlight w:val="none"/>
          <w:lang w:val="en-US" w:eastAsia="zh-CN"/>
        </w:rPr>
        <w:t>投标人名称</w:t>
      </w:r>
      <w:r>
        <w:rPr>
          <w:rFonts w:hint="eastAsia" w:ascii="宋体" w:hAnsi="宋体" w:eastAsia="宋体" w:cs="宋体"/>
          <w:color w:val="auto"/>
          <w:szCs w:val="20"/>
          <w:highlight w:val="none"/>
          <w:lang w:val="zh-CN"/>
        </w:rPr>
        <w:t>（</w:t>
      </w:r>
      <w:r>
        <w:rPr>
          <w:rFonts w:hint="eastAsia" w:ascii="宋体" w:hAnsi="宋体" w:eastAsia="宋体" w:cs="宋体"/>
          <w:color w:val="auto"/>
          <w:szCs w:val="20"/>
          <w:highlight w:val="none"/>
        </w:rPr>
        <w:t>加盖公章</w:t>
      </w:r>
      <w:r>
        <w:rPr>
          <w:rFonts w:hint="eastAsia" w:ascii="宋体" w:hAnsi="宋体" w:eastAsia="宋体" w:cs="宋体"/>
          <w:color w:val="auto"/>
          <w:szCs w:val="20"/>
          <w:highlight w:val="none"/>
          <w:lang w:val="zh-CN"/>
        </w:rPr>
        <w:t>）：</w:t>
      </w:r>
      <w:bookmarkEnd w:id="64"/>
      <w:bookmarkEnd w:id="65"/>
      <w:r>
        <w:rPr>
          <w:rFonts w:hint="eastAsia" w:ascii="宋体" w:hAnsi="宋体" w:eastAsia="宋体" w:cs="宋体"/>
          <w:color w:val="auto"/>
          <w:szCs w:val="20"/>
          <w:highlight w:val="none"/>
          <w:lang w:val="zh-CN"/>
        </w:rPr>
        <w:t xml:space="preserve">  </w:t>
      </w:r>
    </w:p>
    <w:p w14:paraId="04986026">
      <w:pPr>
        <w:jc w:val="center"/>
        <w:rPr>
          <w:rFonts w:hint="eastAsia" w:ascii="宋体" w:hAnsi="宋体" w:eastAsia="宋体" w:cs="宋体"/>
          <w:color w:val="auto"/>
          <w:szCs w:val="20"/>
          <w:highlight w:val="none"/>
          <w:lang w:val="zh-CN"/>
        </w:rPr>
      </w:pPr>
      <w:r>
        <w:rPr>
          <w:rFonts w:hint="eastAsia" w:ascii="宋体" w:hAnsi="宋体" w:eastAsia="宋体" w:cs="宋体"/>
          <w:color w:val="auto"/>
          <w:szCs w:val="20"/>
          <w:highlight w:val="none"/>
        </w:rPr>
        <w:t xml:space="preserve">                                                     </w:t>
      </w:r>
      <w:r>
        <w:rPr>
          <w:rFonts w:hint="eastAsia" w:ascii="宋体" w:hAnsi="宋体" w:eastAsia="宋体" w:cs="宋体"/>
          <w:color w:val="auto"/>
          <w:szCs w:val="20"/>
          <w:highlight w:val="none"/>
          <w:lang w:val="zh-CN"/>
        </w:rPr>
        <w:t>日</w:t>
      </w:r>
      <w:r>
        <w:rPr>
          <w:rFonts w:hint="eastAsia" w:ascii="宋体" w:hAnsi="宋体" w:eastAsia="宋体" w:cs="宋体"/>
          <w:color w:val="auto"/>
          <w:szCs w:val="20"/>
          <w:highlight w:val="none"/>
        </w:rPr>
        <w:t xml:space="preserve">    </w:t>
      </w:r>
      <w:r>
        <w:rPr>
          <w:rFonts w:hint="eastAsia" w:ascii="宋体" w:hAnsi="宋体" w:eastAsia="宋体" w:cs="宋体"/>
          <w:color w:val="auto"/>
          <w:szCs w:val="20"/>
          <w:highlight w:val="none"/>
          <w:lang w:val="zh-CN"/>
        </w:rPr>
        <w:t>期：</w:t>
      </w:r>
      <w:r>
        <w:rPr>
          <w:rFonts w:hint="eastAsia" w:ascii="宋体" w:hAnsi="宋体" w:eastAsia="宋体" w:cs="宋体"/>
          <w:color w:val="auto"/>
          <w:szCs w:val="20"/>
          <w:highlight w:val="none"/>
        </w:rPr>
        <w:t xml:space="preserve">  </w:t>
      </w:r>
      <w:r>
        <w:rPr>
          <w:rFonts w:hint="eastAsia" w:ascii="宋体" w:hAnsi="宋体" w:eastAsia="宋体" w:cs="宋体"/>
          <w:color w:val="auto"/>
          <w:szCs w:val="20"/>
          <w:highlight w:val="none"/>
          <w:lang w:val="zh-CN"/>
        </w:rPr>
        <w:t xml:space="preserve">年 </w:t>
      </w:r>
      <w:r>
        <w:rPr>
          <w:rFonts w:hint="eastAsia" w:ascii="宋体" w:hAnsi="宋体" w:eastAsia="宋体" w:cs="宋体"/>
          <w:color w:val="auto"/>
          <w:szCs w:val="20"/>
          <w:highlight w:val="none"/>
        </w:rPr>
        <w:t xml:space="preserve"> </w:t>
      </w:r>
      <w:r>
        <w:rPr>
          <w:rFonts w:hint="eastAsia" w:ascii="宋体" w:hAnsi="宋体" w:eastAsia="宋体" w:cs="宋体"/>
          <w:color w:val="auto"/>
          <w:szCs w:val="20"/>
          <w:highlight w:val="none"/>
          <w:lang w:val="zh-CN"/>
        </w:rPr>
        <w:t xml:space="preserve"> 月</w:t>
      </w:r>
      <w:r>
        <w:rPr>
          <w:rFonts w:hint="eastAsia" w:ascii="宋体" w:hAnsi="宋体" w:eastAsia="宋体" w:cs="宋体"/>
          <w:color w:val="auto"/>
          <w:szCs w:val="20"/>
          <w:highlight w:val="none"/>
        </w:rPr>
        <w:t xml:space="preserve">  </w:t>
      </w:r>
      <w:r>
        <w:rPr>
          <w:rFonts w:hint="eastAsia" w:ascii="宋体" w:hAnsi="宋体" w:eastAsia="宋体" w:cs="宋体"/>
          <w:color w:val="auto"/>
          <w:szCs w:val="20"/>
          <w:highlight w:val="none"/>
          <w:lang w:val="zh-CN"/>
        </w:rPr>
        <w:t xml:space="preserve"> 日 </w:t>
      </w:r>
    </w:p>
    <w:p w14:paraId="64AD522B">
      <w:pPr>
        <w:pStyle w:val="7"/>
        <w:spacing w:line="260" w:lineRule="exact"/>
        <w:ind w:left="119" w:firstLine="482"/>
        <w:jc w:val="right"/>
        <w:rPr>
          <w:rFonts w:hint="eastAsia" w:eastAsia="宋体" w:cs="宋体"/>
          <w:color w:val="auto"/>
          <w:highlight w:val="none"/>
          <w:lang w:val="zh-CN" w:eastAsia="zh-CN"/>
        </w:rPr>
      </w:pPr>
    </w:p>
    <w:p w14:paraId="624B4737">
      <w:pPr>
        <w:shd w:val="clear"/>
        <w:snapToGrid w:val="0"/>
        <w:spacing w:line="360" w:lineRule="auto"/>
        <w:ind w:left="878" w:hanging="919" w:hangingChars="418"/>
        <w:outlineLvl w:val="1"/>
        <w:rPr>
          <w:rFonts w:hint="eastAsia"/>
          <w:color w:val="auto"/>
          <w:highlight w:val="none"/>
        </w:rPr>
      </w:pPr>
    </w:p>
    <w:p w14:paraId="3E38180C">
      <w:pPr>
        <w:shd w:val="clear"/>
        <w:snapToGrid w:val="0"/>
        <w:spacing w:line="360" w:lineRule="auto"/>
        <w:rPr>
          <w:rFonts w:hint="eastAsia" w:ascii="微软雅黑" w:hAnsi="微软雅黑" w:eastAsia="微软雅黑" w:cs="微软雅黑"/>
          <w:color w:val="auto"/>
          <w:sz w:val="21"/>
          <w:highlight w:val="none"/>
        </w:rPr>
        <w:sectPr>
          <w:pgSz w:w="11910" w:h="16840"/>
          <w:pgMar w:top="1338" w:right="1134" w:bottom="1179" w:left="1134" w:header="0" w:footer="992" w:gutter="0"/>
          <w:cols w:space="425" w:num="1"/>
        </w:sectPr>
      </w:pPr>
    </w:p>
    <w:p w14:paraId="183AE91F">
      <w:pPr>
        <w:shd w:val="clear"/>
        <w:snapToGrid w:val="0"/>
        <w:spacing w:line="360" w:lineRule="auto"/>
        <w:ind w:left="657" w:hanging="754" w:hangingChars="313"/>
        <w:outlineLvl w:val="1"/>
        <w:rPr>
          <w:rFonts w:hint="eastAsia" w:ascii="宋体" w:hAnsi="宋体" w:eastAsia="宋体" w:cs="宋体"/>
          <w:b/>
          <w:color w:val="auto"/>
          <w:sz w:val="24"/>
          <w:szCs w:val="24"/>
          <w:highlight w:val="none"/>
        </w:rPr>
      </w:pPr>
      <w:bookmarkStart w:id="66" w:name="_Toc7229"/>
      <w:r>
        <w:rPr>
          <w:rFonts w:hint="eastAsia" w:ascii="宋体" w:hAnsi="宋体" w:eastAsia="宋体" w:cs="宋体"/>
          <w:b/>
          <w:color w:val="auto"/>
          <w:sz w:val="24"/>
          <w:szCs w:val="24"/>
          <w:highlight w:val="none"/>
        </w:rPr>
        <w:t>附件五、项目实施方案（格式自拟）</w:t>
      </w:r>
      <w:bookmarkEnd w:id="66"/>
    </w:p>
    <w:p w14:paraId="24F96D59">
      <w:pPr>
        <w:pStyle w:val="7"/>
        <w:shd w:val="clear"/>
        <w:snapToGrid w:val="0"/>
        <w:spacing w:line="360" w:lineRule="auto"/>
        <w:ind w:left="434" w:leftChars="190" w:hanging="16" w:hangingChars="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由投标人根据招标文件内容要求及服务标准内容自行编写，要求全面、详尽、完整、易于理解。</w:t>
      </w:r>
    </w:p>
    <w:p w14:paraId="52BAC5B5">
      <w:pPr>
        <w:shd w:val="clear"/>
        <w:snapToGrid w:val="0"/>
        <w:spacing w:line="360" w:lineRule="auto"/>
        <w:ind w:left="878"/>
        <w:rPr>
          <w:rFonts w:hint="eastAsia" w:ascii="宋体" w:hAnsi="宋体" w:eastAsia="宋体" w:cs="宋体"/>
          <w:b/>
          <w:color w:val="auto"/>
          <w:sz w:val="24"/>
          <w:szCs w:val="24"/>
          <w:highlight w:val="none"/>
        </w:rPr>
      </w:pPr>
      <w:bookmarkStart w:id="67" w:name="附件六、服务承诺及服务质量保证承诺书（格式自拟）"/>
      <w:bookmarkEnd w:id="67"/>
    </w:p>
    <w:p w14:paraId="271BD535">
      <w:pPr>
        <w:pStyle w:val="7"/>
        <w:shd w:val="clear"/>
        <w:snapToGrid w:val="0"/>
        <w:spacing w:line="360" w:lineRule="auto"/>
        <w:rPr>
          <w:rFonts w:hint="eastAsia" w:ascii="宋体" w:hAnsi="宋体" w:eastAsia="宋体" w:cs="宋体"/>
          <w:b/>
          <w:color w:val="auto"/>
          <w:sz w:val="24"/>
          <w:szCs w:val="24"/>
          <w:highlight w:val="none"/>
        </w:rPr>
      </w:pPr>
    </w:p>
    <w:p w14:paraId="016AB2CB">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68" w:name="附件八、商务条款响应表"/>
      <w:bookmarkEnd w:id="68"/>
      <w:bookmarkStart w:id="69" w:name="附件七、拟投入本项目人员情况一览表"/>
      <w:bookmarkEnd w:id="69"/>
      <w:bookmarkStart w:id="70" w:name="_Toc26611"/>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、拟投入本项目人员情况一览表</w:t>
      </w:r>
      <w:bookmarkEnd w:id="70"/>
    </w:p>
    <w:p w14:paraId="33838D3C">
      <w:pPr>
        <w:shd w:val="clear"/>
        <w:snapToGrid w:val="0"/>
        <w:spacing w:line="360" w:lineRule="auto"/>
        <w:ind w:left="11" w:right="21"/>
        <w:jc w:val="center"/>
        <w:rPr>
          <w:rFonts w:hint="eastAsia" w:ascii="宋体" w:hAnsi="宋体" w:eastAsia="宋体" w:cs="宋体"/>
          <w:b/>
          <w:color w:val="auto"/>
          <w:sz w:val="24"/>
          <w:szCs w:val="24"/>
          <w:highlight w:val="none"/>
        </w:rPr>
      </w:pPr>
    </w:p>
    <w:p w14:paraId="4570217C">
      <w:pPr>
        <w:shd w:val="clear"/>
        <w:snapToGrid w:val="0"/>
        <w:spacing w:line="360" w:lineRule="auto"/>
        <w:ind w:left="11" w:right="21"/>
        <w:jc w:val="center"/>
        <w:rPr>
          <w:rFonts w:hint="eastAsia" w:ascii="宋体" w:hAnsi="宋体" w:eastAsia="宋体" w:cs="宋体"/>
          <w:b/>
          <w:color w:val="auto"/>
          <w:sz w:val="24"/>
          <w:szCs w:val="24"/>
          <w:highlight w:val="none"/>
        </w:rPr>
      </w:pPr>
    </w:p>
    <w:p w14:paraId="70B7139E">
      <w:pPr>
        <w:shd w:val="clear"/>
        <w:snapToGrid w:val="0"/>
        <w:spacing w:line="360" w:lineRule="auto"/>
        <w:ind w:left="11" w:right="21"/>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拟参与本项目人员情况一览表</w:t>
      </w:r>
    </w:p>
    <w:p w14:paraId="06D6F1A9">
      <w:pPr>
        <w:pStyle w:val="7"/>
        <w:shd w:val="clear"/>
        <w:snapToGrid w:val="0"/>
        <w:spacing w:line="360" w:lineRule="auto"/>
        <w:ind w:firstLine="1205" w:firstLineChars="5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项目名称：  </w:t>
      </w:r>
    </w:p>
    <w:p w14:paraId="50410E2C">
      <w:pPr>
        <w:pStyle w:val="7"/>
        <w:shd w:val="clear"/>
        <w:snapToGrid w:val="0"/>
        <w:spacing w:line="360" w:lineRule="auto"/>
        <w:ind w:firstLine="1205" w:firstLineChars="5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项目编号： </w:t>
      </w:r>
    </w:p>
    <w:tbl>
      <w:tblPr>
        <w:tblStyle w:val="20"/>
        <w:tblW w:w="9234" w:type="dxa"/>
        <w:tblInd w:w="5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6"/>
        <w:gridCol w:w="1026"/>
        <w:gridCol w:w="1027"/>
        <w:gridCol w:w="1145"/>
        <w:gridCol w:w="909"/>
        <w:gridCol w:w="1200"/>
        <w:gridCol w:w="2571"/>
      </w:tblGrid>
      <w:tr w14:paraId="35987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56" w:type="dxa"/>
          </w:tcPr>
          <w:p w14:paraId="158CBA55">
            <w:pPr>
              <w:pStyle w:val="29"/>
              <w:shd w:val="clear"/>
              <w:snapToGrid w:val="0"/>
              <w:spacing w:line="360" w:lineRule="auto"/>
              <w:rPr>
                <w:rFonts w:hint="eastAsia" w:ascii="宋体" w:hAnsi="宋体" w:eastAsia="宋体" w:cs="宋体"/>
                <w:b/>
                <w:color w:val="auto"/>
                <w:sz w:val="22"/>
                <w:szCs w:val="22"/>
                <w:highlight w:val="none"/>
              </w:rPr>
            </w:pPr>
          </w:p>
          <w:p w14:paraId="42B3B227">
            <w:pPr>
              <w:pStyle w:val="29"/>
              <w:shd w:val="clear"/>
              <w:snapToGrid w:val="0"/>
              <w:spacing w:line="360" w:lineRule="auto"/>
              <w:ind w:left="218" w:right="207"/>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人员类别</w:t>
            </w:r>
          </w:p>
        </w:tc>
        <w:tc>
          <w:tcPr>
            <w:tcW w:w="1026" w:type="dxa"/>
          </w:tcPr>
          <w:p w14:paraId="6678D02F">
            <w:pPr>
              <w:pStyle w:val="29"/>
              <w:shd w:val="clear"/>
              <w:snapToGrid w:val="0"/>
              <w:spacing w:line="360" w:lineRule="auto"/>
              <w:rPr>
                <w:rFonts w:hint="eastAsia" w:ascii="宋体" w:hAnsi="宋体" w:eastAsia="宋体" w:cs="宋体"/>
                <w:b/>
                <w:color w:val="auto"/>
                <w:sz w:val="22"/>
                <w:szCs w:val="22"/>
                <w:highlight w:val="none"/>
              </w:rPr>
            </w:pPr>
          </w:p>
          <w:p w14:paraId="1909D60F">
            <w:pPr>
              <w:pStyle w:val="29"/>
              <w:shd w:val="clear"/>
              <w:snapToGrid w:val="0"/>
              <w:spacing w:line="360" w:lineRule="auto"/>
              <w:ind w:left="30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姓名</w:t>
            </w:r>
          </w:p>
        </w:tc>
        <w:tc>
          <w:tcPr>
            <w:tcW w:w="1027" w:type="dxa"/>
          </w:tcPr>
          <w:p w14:paraId="573E89E1">
            <w:pPr>
              <w:pStyle w:val="29"/>
              <w:shd w:val="clear"/>
              <w:snapToGrid w:val="0"/>
              <w:spacing w:line="360" w:lineRule="auto"/>
              <w:rPr>
                <w:rFonts w:hint="eastAsia" w:ascii="宋体" w:hAnsi="宋体" w:eastAsia="宋体" w:cs="宋体"/>
                <w:b/>
                <w:color w:val="auto"/>
                <w:sz w:val="22"/>
                <w:szCs w:val="22"/>
                <w:highlight w:val="none"/>
              </w:rPr>
            </w:pPr>
          </w:p>
          <w:p w14:paraId="4350A775">
            <w:pPr>
              <w:pStyle w:val="29"/>
              <w:shd w:val="clear"/>
              <w:snapToGrid w:val="0"/>
              <w:spacing w:line="360" w:lineRule="auto"/>
              <w:ind w:left="30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年龄</w:t>
            </w:r>
          </w:p>
        </w:tc>
        <w:tc>
          <w:tcPr>
            <w:tcW w:w="1145" w:type="dxa"/>
          </w:tcPr>
          <w:p w14:paraId="2C5A1523">
            <w:pPr>
              <w:pStyle w:val="29"/>
              <w:shd w:val="clear"/>
              <w:snapToGrid w:val="0"/>
              <w:spacing w:line="360" w:lineRule="auto"/>
              <w:rPr>
                <w:rFonts w:hint="eastAsia" w:ascii="宋体" w:hAnsi="宋体" w:eastAsia="宋体" w:cs="宋体"/>
                <w:b/>
                <w:color w:val="auto"/>
                <w:sz w:val="22"/>
                <w:szCs w:val="22"/>
                <w:highlight w:val="none"/>
              </w:rPr>
            </w:pPr>
          </w:p>
          <w:p w14:paraId="0D79F7D4">
            <w:pPr>
              <w:pStyle w:val="29"/>
              <w:shd w:val="clear"/>
              <w:snapToGrid w:val="0"/>
              <w:spacing w:line="360" w:lineRule="auto"/>
              <w:ind w:left="150"/>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rPr>
              <w:t>从业年限</w:t>
            </w:r>
          </w:p>
        </w:tc>
        <w:tc>
          <w:tcPr>
            <w:tcW w:w="909" w:type="dxa"/>
          </w:tcPr>
          <w:p w14:paraId="02755E33">
            <w:pPr>
              <w:pStyle w:val="29"/>
              <w:shd w:val="clear"/>
              <w:snapToGrid w:val="0"/>
              <w:spacing w:line="360" w:lineRule="auto"/>
              <w:rPr>
                <w:rFonts w:hint="eastAsia" w:ascii="宋体" w:hAnsi="宋体" w:eastAsia="宋体" w:cs="宋体"/>
                <w:b/>
                <w:color w:val="auto"/>
                <w:sz w:val="22"/>
                <w:szCs w:val="22"/>
                <w:highlight w:val="none"/>
              </w:rPr>
            </w:pPr>
          </w:p>
          <w:p w14:paraId="3AACB673">
            <w:pPr>
              <w:pStyle w:val="29"/>
              <w:shd w:val="clear"/>
              <w:snapToGrid w:val="0"/>
              <w:spacing w:line="360" w:lineRule="auto"/>
              <w:ind w:left="2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专业</w:t>
            </w:r>
          </w:p>
        </w:tc>
        <w:tc>
          <w:tcPr>
            <w:tcW w:w="1200" w:type="dxa"/>
          </w:tcPr>
          <w:p w14:paraId="4FE82A22">
            <w:pPr>
              <w:pStyle w:val="29"/>
              <w:shd w:val="clear"/>
              <w:snapToGrid w:val="0"/>
              <w:spacing w:line="360" w:lineRule="auto"/>
              <w:rPr>
                <w:rFonts w:hint="eastAsia" w:ascii="宋体" w:hAnsi="宋体" w:eastAsia="宋体" w:cs="宋体"/>
                <w:b/>
                <w:color w:val="auto"/>
                <w:sz w:val="22"/>
                <w:szCs w:val="22"/>
                <w:highlight w:val="none"/>
              </w:rPr>
            </w:pPr>
          </w:p>
          <w:p w14:paraId="259DF1CF">
            <w:pPr>
              <w:pStyle w:val="29"/>
              <w:shd w:val="clear"/>
              <w:snapToGrid w:val="0"/>
              <w:spacing w:line="360" w:lineRule="auto"/>
              <w:ind w:left="38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职称</w:t>
            </w:r>
          </w:p>
        </w:tc>
        <w:tc>
          <w:tcPr>
            <w:tcW w:w="2571" w:type="dxa"/>
          </w:tcPr>
          <w:p w14:paraId="5480FD17">
            <w:pPr>
              <w:pStyle w:val="29"/>
              <w:shd w:val="clear"/>
              <w:snapToGrid w:val="0"/>
              <w:spacing w:line="360" w:lineRule="auto"/>
              <w:rPr>
                <w:rFonts w:hint="eastAsia" w:ascii="宋体" w:hAnsi="宋体" w:eastAsia="宋体" w:cs="宋体"/>
                <w:b/>
                <w:color w:val="auto"/>
                <w:sz w:val="22"/>
                <w:szCs w:val="22"/>
                <w:highlight w:val="none"/>
              </w:rPr>
            </w:pPr>
          </w:p>
          <w:p w14:paraId="63FBC0DF">
            <w:pPr>
              <w:pStyle w:val="29"/>
              <w:shd w:val="clear"/>
              <w:snapToGrid w:val="0"/>
              <w:spacing w:line="360" w:lineRule="auto"/>
              <w:ind w:left="65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其他</w:t>
            </w:r>
          </w:p>
        </w:tc>
      </w:tr>
      <w:tr w14:paraId="2C2FA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56" w:type="dxa"/>
          </w:tcPr>
          <w:p w14:paraId="57006F8F">
            <w:pPr>
              <w:pStyle w:val="29"/>
              <w:shd w:val="clear"/>
              <w:snapToGrid w:val="0"/>
              <w:spacing w:line="360" w:lineRule="auto"/>
              <w:ind w:left="218" w:right="207"/>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w:t>
            </w:r>
          </w:p>
          <w:p w14:paraId="29AA4C57">
            <w:pPr>
              <w:pStyle w:val="29"/>
              <w:shd w:val="clear"/>
              <w:snapToGrid w:val="0"/>
              <w:spacing w:line="360" w:lineRule="auto"/>
              <w:ind w:left="218" w:right="207"/>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rPr>
              <w:t>负责人</w:t>
            </w:r>
          </w:p>
        </w:tc>
        <w:tc>
          <w:tcPr>
            <w:tcW w:w="1026" w:type="dxa"/>
          </w:tcPr>
          <w:p w14:paraId="0A840133">
            <w:pPr>
              <w:pStyle w:val="29"/>
              <w:shd w:val="clear"/>
              <w:snapToGrid w:val="0"/>
              <w:spacing w:line="360" w:lineRule="auto"/>
              <w:rPr>
                <w:rFonts w:hint="eastAsia" w:ascii="宋体" w:hAnsi="宋体" w:eastAsia="宋体" w:cs="宋体"/>
                <w:color w:val="auto"/>
                <w:sz w:val="22"/>
                <w:szCs w:val="22"/>
                <w:highlight w:val="none"/>
              </w:rPr>
            </w:pPr>
          </w:p>
        </w:tc>
        <w:tc>
          <w:tcPr>
            <w:tcW w:w="1027" w:type="dxa"/>
          </w:tcPr>
          <w:p w14:paraId="3E7ADD30">
            <w:pPr>
              <w:pStyle w:val="29"/>
              <w:shd w:val="clear"/>
              <w:snapToGrid w:val="0"/>
              <w:spacing w:line="360" w:lineRule="auto"/>
              <w:rPr>
                <w:rFonts w:hint="eastAsia" w:ascii="宋体" w:hAnsi="宋体" w:eastAsia="宋体" w:cs="宋体"/>
                <w:color w:val="auto"/>
                <w:sz w:val="22"/>
                <w:szCs w:val="22"/>
                <w:highlight w:val="none"/>
              </w:rPr>
            </w:pPr>
          </w:p>
        </w:tc>
        <w:tc>
          <w:tcPr>
            <w:tcW w:w="1145" w:type="dxa"/>
          </w:tcPr>
          <w:p w14:paraId="005B0C10">
            <w:pPr>
              <w:pStyle w:val="29"/>
              <w:shd w:val="clear"/>
              <w:snapToGrid w:val="0"/>
              <w:spacing w:line="360" w:lineRule="auto"/>
              <w:rPr>
                <w:rFonts w:hint="eastAsia" w:ascii="宋体" w:hAnsi="宋体" w:eastAsia="宋体" w:cs="宋体"/>
                <w:color w:val="auto"/>
                <w:sz w:val="22"/>
                <w:szCs w:val="22"/>
                <w:highlight w:val="none"/>
              </w:rPr>
            </w:pPr>
          </w:p>
        </w:tc>
        <w:tc>
          <w:tcPr>
            <w:tcW w:w="909" w:type="dxa"/>
          </w:tcPr>
          <w:p w14:paraId="1D97218B">
            <w:pPr>
              <w:pStyle w:val="29"/>
              <w:shd w:val="clear"/>
              <w:snapToGrid w:val="0"/>
              <w:spacing w:line="360" w:lineRule="auto"/>
              <w:rPr>
                <w:rFonts w:hint="eastAsia" w:ascii="宋体" w:hAnsi="宋体" w:eastAsia="宋体" w:cs="宋体"/>
                <w:color w:val="auto"/>
                <w:sz w:val="22"/>
                <w:szCs w:val="22"/>
                <w:highlight w:val="none"/>
              </w:rPr>
            </w:pPr>
          </w:p>
        </w:tc>
        <w:tc>
          <w:tcPr>
            <w:tcW w:w="1200" w:type="dxa"/>
          </w:tcPr>
          <w:p w14:paraId="2E7B9D5F">
            <w:pPr>
              <w:pStyle w:val="29"/>
              <w:shd w:val="clear"/>
              <w:snapToGrid w:val="0"/>
              <w:spacing w:line="360" w:lineRule="auto"/>
              <w:rPr>
                <w:rFonts w:hint="eastAsia" w:ascii="宋体" w:hAnsi="宋体" w:eastAsia="宋体" w:cs="宋体"/>
                <w:color w:val="auto"/>
                <w:sz w:val="22"/>
                <w:szCs w:val="22"/>
                <w:highlight w:val="none"/>
              </w:rPr>
            </w:pPr>
          </w:p>
        </w:tc>
        <w:tc>
          <w:tcPr>
            <w:tcW w:w="2571" w:type="dxa"/>
          </w:tcPr>
          <w:p w14:paraId="5ACC7B37">
            <w:pPr>
              <w:pStyle w:val="29"/>
              <w:shd w:val="clear"/>
              <w:snapToGrid w:val="0"/>
              <w:spacing w:line="360" w:lineRule="auto"/>
              <w:rPr>
                <w:rFonts w:hint="eastAsia" w:ascii="宋体" w:hAnsi="宋体" w:eastAsia="宋体" w:cs="宋体"/>
                <w:color w:val="auto"/>
                <w:sz w:val="22"/>
                <w:szCs w:val="22"/>
                <w:highlight w:val="none"/>
              </w:rPr>
            </w:pPr>
          </w:p>
        </w:tc>
      </w:tr>
      <w:tr w14:paraId="0CADC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56" w:type="dxa"/>
          </w:tcPr>
          <w:p w14:paraId="18962DFA">
            <w:pPr>
              <w:pStyle w:val="29"/>
              <w:shd w:val="clear"/>
              <w:snapToGrid w:val="0"/>
              <w:spacing w:line="360" w:lineRule="auto"/>
              <w:ind w:left="215" w:right="207"/>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026" w:type="dxa"/>
          </w:tcPr>
          <w:p w14:paraId="1BC21D06">
            <w:pPr>
              <w:pStyle w:val="29"/>
              <w:shd w:val="clear"/>
              <w:snapToGrid w:val="0"/>
              <w:spacing w:line="360" w:lineRule="auto"/>
              <w:rPr>
                <w:rFonts w:hint="eastAsia" w:ascii="宋体" w:hAnsi="宋体" w:eastAsia="宋体" w:cs="宋体"/>
                <w:color w:val="auto"/>
                <w:sz w:val="22"/>
                <w:szCs w:val="22"/>
                <w:highlight w:val="none"/>
              </w:rPr>
            </w:pPr>
          </w:p>
        </w:tc>
        <w:tc>
          <w:tcPr>
            <w:tcW w:w="1027" w:type="dxa"/>
          </w:tcPr>
          <w:p w14:paraId="6B5E4A96">
            <w:pPr>
              <w:pStyle w:val="29"/>
              <w:shd w:val="clear"/>
              <w:snapToGrid w:val="0"/>
              <w:spacing w:line="360" w:lineRule="auto"/>
              <w:rPr>
                <w:rFonts w:hint="eastAsia" w:ascii="宋体" w:hAnsi="宋体" w:eastAsia="宋体" w:cs="宋体"/>
                <w:color w:val="auto"/>
                <w:sz w:val="22"/>
                <w:szCs w:val="22"/>
                <w:highlight w:val="none"/>
              </w:rPr>
            </w:pPr>
          </w:p>
        </w:tc>
        <w:tc>
          <w:tcPr>
            <w:tcW w:w="1145" w:type="dxa"/>
          </w:tcPr>
          <w:p w14:paraId="0E2D5C41">
            <w:pPr>
              <w:pStyle w:val="29"/>
              <w:shd w:val="clear"/>
              <w:snapToGrid w:val="0"/>
              <w:spacing w:line="360" w:lineRule="auto"/>
              <w:rPr>
                <w:rFonts w:hint="eastAsia" w:ascii="宋体" w:hAnsi="宋体" w:eastAsia="宋体" w:cs="宋体"/>
                <w:color w:val="auto"/>
                <w:sz w:val="22"/>
                <w:szCs w:val="22"/>
                <w:highlight w:val="none"/>
              </w:rPr>
            </w:pPr>
          </w:p>
        </w:tc>
        <w:tc>
          <w:tcPr>
            <w:tcW w:w="909" w:type="dxa"/>
          </w:tcPr>
          <w:p w14:paraId="3B30509A">
            <w:pPr>
              <w:pStyle w:val="29"/>
              <w:shd w:val="clear"/>
              <w:snapToGrid w:val="0"/>
              <w:spacing w:line="360" w:lineRule="auto"/>
              <w:rPr>
                <w:rFonts w:hint="eastAsia" w:ascii="宋体" w:hAnsi="宋体" w:eastAsia="宋体" w:cs="宋体"/>
                <w:color w:val="auto"/>
                <w:sz w:val="22"/>
                <w:szCs w:val="22"/>
                <w:highlight w:val="none"/>
              </w:rPr>
            </w:pPr>
          </w:p>
        </w:tc>
        <w:tc>
          <w:tcPr>
            <w:tcW w:w="1200" w:type="dxa"/>
          </w:tcPr>
          <w:p w14:paraId="5E3B09BA">
            <w:pPr>
              <w:pStyle w:val="29"/>
              <w:shd w:val="clear"/>
              <w:snapToGrid w:val="0"/>
              <w:spacing w:line="360" w:lineRule="auto"/>
              <w:rPr>
                <w:rFonts w:hint="eastAsia" w:ascii="宋体" w:hAnsi="宋体" w:eastAsia="宋体" w:cs="宋体"/>
                <w:color w:val="auto"/>
                <w:sz w:val="22"/>
                <w:szCs w:val="22"/>
                <w:highlight w:val="none"/>
              </w:rPr>
            </w:pPr>
          </w:p>
        </w:tc>
        <w:tc>
          <w:tcPr>
            <w:tcW w:w="2571" w:type="dxa"/>
          </w:tcPr>
          <w:p w14:paraId="3471D17B">
            <w:pPr>
              <w:pStyle w:val="29"/>
              <w:shd w:val="clear"/>
              <w:snapToGrid w:val="0"/>
              <w:spacing w:line="360" w:lineRule="auto"/>
              <w:rPr>
                <w:rFonts w:hint="eastAsia" w:ascii="宋体" w:hAnsi="宋体" w:eastAsia="宋体" w:cs="宋体"/>
                <w:color w:val="auto"/>
                <w:sz w:val="22"/>
                <w:szCs w:val="22"/>
                <w:highlight w:val="none"/>
              </w:rPr>
            </w:pPr>
          </w:p>
        </w:tc>
      </w:tr>
      <w:tr w14:paraId="75DC5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56" w:type="dxa"/>
          </w:tcPr>
          <w:p w14:paraId="6D61D792">
            <w:pPr>
              <w:pStyle w:val="29"/>
              <w:shd w:val="clear"/>
              <w:snapToGrid w:val="0"/>
              <w:spacing w:line="360" w:lineRule="auto"/>
              <w:ind w:left="215" w:right="207"/>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026" w:type="dxa"/>
          </w:tcPr>
          <w:p w14:paraId="2CE4FD8D">
            <w:pPr>
              <w:pStyle w:val="29"/>
              <w:shd w:val="clear"/>
              <w:snapToGrid w:val="0"/>
              <w:spacing w:line="360" w:lineRule="auto"/>
              <w:rPr>
                <w:rFonts w:hint="eastAsia" w:ascii="宋体" w:hAnsi="宋体" w:eastAsia="宋体" w:cs="宋体"/>
                <w:color w:val="auto"/>
                <w:sz w:val="22"/>
                <w:szCs w:val="22"/>
                <w:highlight w:val="none"/>
              </w:rPr>
            </w:pPr>
          </w:p>
        </w:tc>
        <w:tc>
          <w:tcPr>
            <w:tcW w:w="1027" w:type="dxa"/>
          </w:tcPr>
          <w:p w14:paraId="3BAD4858">
            <w:pPr>
              <w:pStyle w:val="29"/>
              <w:shd w:val="clear"/>
              <w:snapToGrid w:val="0"/>
              <w:spacing w:line="360" w:lineRule="auto"/>
              <w:rPr>
                <w:rFonts w:hint="eastAsia" w:ascii="宋体" w:hAnsi="宋体" w:eastAsia="宋体" w:cs="宋体"/>
                <w:color w:val="auto"/>
                <w:sz w:val="22"/>
                <w:szCs w:val="22"/>
                <w:highlight w:val="none"/>
              </w:rPr>
            </w:pPr>
          </w:p>
        </w:tc>
        <w:tc>
          <w:tcPr>
            <w:tcW w:w="1145" w:type="dxa"/>
          </w:tcPr>
          <w:p w14:paraId="1DA487EA">
            <w:pPr>
              <w:pStyle w:val="29"/>
              <w:shd w:val="clear"/>
              <w:snapToGrid w:val="0"/>
              <w:spacing w:line="360" w:lineRule="auto"/>
              <w:rPr>
                <w:rFonts w:hint="eastAsia" w:ascii="宋体" w:hAnsi="宋体" w:eastAsia="宋体" w:cs="宋体"/>
                <w:color w:val="auto"/>
                <w:sz w:val="22"/>
                <w:szCs w:val="22"/>
                <w:highlight w:val="none"/>
              </w:rPr>
            </w:pPr>
          </w:p>
        </w:tc>
        <w:tc>
          <w:tcPr>
            <w:tcW w:w="909" w:type="dxa"/>
          </w:tcPr>
          <w:p w14:paraId="36131165">
            <w:pPr>
              <w:pStyle w:val="29"/>
              <w:shd w:val="clear"/>
              <w:snapToGrid w:val="0"/>
              <w:spacing w:line="360" w:lineRule="auto"/>
              <w:rPr>
                <w:rFonts w:hint="eastAsia" w:ascii="宋体" w:hAnsi="宋体" w:eastAsia="宋体" w:cs="宋体"/>
                <w:color w:val="auto"/>
                <w:sz w:val="22"/>
                <w:szCs w:val="22"/>
                <w:highlight w:val="none"/>
              </w:rPr>
            </w:pPr>
          </w:p>
        </w:tc>
        <w:tc>
          <w:tcPr>
            <w:tcW w:w="1200" w:type="dxa"/>
          </w:tcPr>
          <w:p w14:paraId="6B7DB215">
            <w:pPr>
              <w:pStyle w:val="29"/>
              <w:shd w:val="clear"/>
              <w:snapToGrid w:val="0"/>
              <w:spacing w:line="360" w:lineRule="auto"/>
              <w:rPr>
                <w:rFonts w:hint="eastAsia" w:ascii="宋体" w:hAnsi="宋体" w:eastAsia="宋体" w:cs="宋体"/>
                <w:color w:val="auto"/>
                <w:sz w:val="22"/>
                <w:szCs w:val="22"/>
                <w:highlight w:val="none"/>
              </w:rPr>
            </w:pPr>
          </w:p>
        </w:tc>
        <w:tc>
          <w:tcPr>
            <w:tcW w:w="2571" w:type="dxa"/>
          </w:tcPr>
          <w:p w14:paraId="46D575DB">
            <w:pPr>
              <w:pStyle w:val="29"/>
              <w:shd w:val="clear"/>
              <w:snapToGrid w:val="0"/>
              <w:spacing w:line="360" w:lineRule="auto"/>
              <w:rPr>
                <w:rFonts w:hint="eastAsia" w:ascii="宋体" w:hAnsi="宋体" w:eastAsia="宋体" w:cs="宋体"/>
                <w:color w:val="auto"/>
                <w:sz w:val="22"/>
                <w:szCs w:val="22"/>
                <w:highlight w:val="none"/>
              </w:rPr>
            </w:pPr>
          </w:p>
        </w:tc>
      </w:tr>
      <w:tr w14:paraId="61B55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56" w:type="dxa"/>
          </w:tcPr>
          <w:p w14:paraId="03994F17">
            <w:pPr>
              <w:pStyle w:val="29"/>
              <w:shd w:val="clear"/>
              <w:snapToGrid w:val="0"/>
              <w:spacing w:line="360" w:lineRule="auto"/>
              <w:ind w:left="215" w:right="207"/>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026" w:type="dxa"/>
          </w:tcPr>
          <w:p w14:paraId="525E294F">
            <w:pPr>
              <w:pStyle w:val="29"/>
              <w:shd w:val="clear"/>
              <w:snapToGrid w:val="0"/>
              <w:spacing w:line="360" w:lineRule="auto"/>
              <w:rPr>
                <w:rFonts w:hint="eastAsia" w:ascii="宋体" w:hAnsi="宋体" w:eastAsia="宋体" w:cs="宋体"/>
                <w:color w:val="auto"/>
                <w:sz w:val="22"/>
                <w:szCs w:val="22"/>
                <w:highlight w:val="none"/>
              </w:rPr>
            </w:pPr>
          </w:p>
        </w:tc>
        <w:tc>
          <w:tcPr>
            <w:tcW w:w="1027" w:type="dxa"/>
          </w:tcPr>
          <w:p w14:paraId="6E906094">
            <w:pPr>
              <w:pStyle w:val="29"/>
              <w:shd w:val="clear"/>
              <w:snapToGrid w:val="0"/>
              <w:spacing w:line="360" w:lineRule="auto"/>
              <w:rPr>
                <w:rFonts w:hint="eastAsia" w:ascii="宋体" w:hAnsi="宋体" w:eastAsia="宋体" w:cs="宋体"/>
                <w:color w:val="auto"/>
                <w:sz w:val="22"/>
                <w:szCs w:val="22"/>
                <w:highlight w:val="none"/>
              </w:rPr>
            </w:pPr>
          </w:p>
        </w:tc>
        <w:tc>
          <w:tcPr>
            <w:tcW w:w="1145" w:type="dxa"/>
          </w:tcPr>
          <w:p w14:paraId="4F125406">
            <w:pPr>
              <w:pStyle w:val="29"/>
              <w:shd w:val="clear"/>
              <w:snapToGrid w:val="0"/>
              <w:spacing w:line="360" w:lineRule="auto"/>
              <w:rPr>
                <w:rFonts w:hint="eastAsia" w:ascii="宋体" w:hAnsi="宋体" w:eastAsia="宋体" w:cs="宋体"/>
                <w:color w:val="auto"/>
                <w:sz w:val="22"/>
                <w:szCs w:val="22"/>
                <w:highlight w:val="none"/>
              </w:rPr>
            </w:pPr>
          </w:p>
        </w:tc>
        <w:tc>
          <w:tcPr>
            <w:tcW w:w="909" w:type="dxa"/>
          </w:tcPr>
          <w:p w14:paraId="6F2D29B2">
            <w:pPr>
              <w:pStyle w:val="29"/>
              <w:shd w:val="clear"/>
              <w:snapToGrid w:val="0"/>
              <w:spacing w:line="360" w:lineRule="auto"/>
              <w:rPr>
                <w:rFonts w:hint="eastAsia" w:ascii="宋体" w:hAnsi="宋体" w:eastAsia="宋体" w:cs="宋体"/>
                <w:color w:val="auto"/>
                <w:sz w:val="22"/>
                <w:szCs w:val="22"/>
                <w:highlight w:val="none"/>
              </w:rPr>
            </w:pPr>
          </w:p>
        </w:tc>
        <w:tc>
          <w:tcPr>
            <w:tcW w:w="1200" w:type="dxa"/>
          </w:tcPr>
          <w:p w14:paraId="056E7EE2">
            <w:pPr>
              <w:pStyle w:val="29"/>
              <w:shd w:val="clear"/>
              <w:snapToGrid w:val="0"/>
              <w:spacing w:line="360" w:lineRule="auto"/>
              <w:rPr>
                <w:rFonts w:hint="eastAsia" w:ascii="宋体" w:hAnsi="宋体" w:eastAsia="宋体" w:cs="宋体"/>
                <w:color w:val="auto"/>
                <w:sz w:val="22"/>
                <w:szCs w:val="22"/>
                <w:highlight w:val="none"/>
              </w:rPr>
            </w:pPr>
          </w:p>
        </w:tc>
        <w:tc>
          <w:tcPr>
            <w:tcW w:w="2571" w:type="dxa"/>
          </w:tcPr>
          <w:p w14:paraId="53496A61">
            <w:pPr>
              <w:pStyle w:val="29"/>
              <w:shd w:val="clear"/>
              <w:snapToGrid w:val="0"/>
              <w:spacing w:line="360" w:lineRule="auto"/>
              <w:rPr>
                <w:rFonts w:hint="eastAsia" w:ascii="宋体" w:hAnsi="宋体" w:eastAsia="宋体" w:cs="宋体"/>
                <w:color w:val="auto"/>
                <w:sz w:val="22"/>
                <w:szCs w:val="22"/>
                <w:highlight w:val="none"/>
              </w:rPr>
            </w:pPr>
          </w:p>
        </w:tc>
      </w:tr>
      <w:tr w14:paraId="3ED46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56" w:type="dxa"/>
          </w:tcPr>
          <w:p w14:paraId="03EE8D49">
            <w:pPr>
              <w:pStyle w:val="29"/>
              <w:shd w:val="clear"/>
              <w:snapToGrid w:val="0"/>
              <w:spacing w:line="360" w:lineRule="auto"/>
              <w:ind w:left="215" w:right="207"/>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026" w:type="dxa"/>
          </w:tcPr>
          <w:p w14:paraId="761E678D">
            <w:pPr>
              <w:pStyle w:val="29"/>
              <w:shd w:val="clear"/>
              <w:snapToGrid w:val="0"/>
              <w:spacing w:line="360" w:lineRule="auto"/>
              <w:rPr>
                <w:rFonts w:hint="eastAsia" w:ascii="宋体" w:hAnsi="宋体" w:eastAsia="宋体" w:cs="宋体"/>
                <w:color w:val="auto"/>
                <w:sz w:val="22"/>
                <w:szCs w:val="22"/>
                <w:highlight w:val="none"/>
              </w:rPr>
            </w:pPr>
          </w:p>
        </w:tc>
        <w:tc>
          <w:tcPr>
            <w:tcW w:w="1027" w:type="dxa"/>
          </w:tcPr>
          <w:p w14:paraId="67A910F2">
            <w:pPr>
              <w:pStyle w:val="29"/>
              <w:shd w:val="clear"/>
              <w:snapToGrid w:val="0"/>
              <w:spacing w:line="360" w:lineRule="auto"/>
              <w:rPr>
                <w:rFonts w:hint="eastAsia" w:ascii="宋体" w:hAnsi="宋体" w:eastAsia="宋体" w:cs="宋体"/>
                <w:color w:val="auto"/>
                <w:sz w:val="22"/>
                <w:szCs w:val="22"/>
                <w:highlight w:val="none"/>
              </w:rPr>
            </w:pPr>
          </w:p>
        </w:tc>
        <w:tc>
          <w:tcPr>
            <w:tcW w:w="1145" w:type="dxa"/>
          </w:tcPr>
          <w:p w14:paraId="04D59D52">
            <w:pPr>
              <w:pStyle w:val="29"/>
              <w:shd w:val="clear"/>
              <w:snapToGrid w:val="0"/>
              <w:spacing w:line="360" w:lineRule="auto"/>
              <w:rPr>
                <w:rFonts w:hint="eastAsia" w:ascii="宋体" w:hAnsi="宋体" w:eastAsia="宋体" w:cs="宋体"/>
                <w:color w:val="auto"/>
                <w:sz w:val="22"/>
                <w:szCs w:val="22"/>
                <w:highlight w:val="none"/>
              </w:rPr>
            </w:pPr>
          </w:p>
        </w:tc>
        <w:tc>
          <w:tcPr>
            <w:tcW w:w="909" w:type="dxa"/>
          </w:tcPr>
          <w:p w14:paraId="62887EF1">
            <w:pPr>
              <w:pStyle w:val="29"/>
              <w:shd w:val="clear"/>
              <w:snapToGrid w:val="0"/>
              <w:spacing w:line="360" w:lineRule="auto"/>
              <w:rPr>
                <w:rFonts w:hint="eastAsia" w:ascii="宋体" w:hAnsi="宋体" w:eastAsia="宋体" w:cs="宋体"/>
                <w:color w:val="auto"/>
                <w:sz w:val="22"/>
                <w:szCs w:val="22"/>
                <w:highlight w:val="none"/>
              </w:rPr>
            </w:pPr>
          </w:p>
        </w:tc>
        <w:tc>
          <w:tcPr>
            <w:tcW w:w="1200" w:type="dxa"/>
          </w:tcPr>
          <w:p w14:paraId="1915A936">
            <w:pPr>
              <w:pStyle w:val="29"/>
              <w:shd w:val="clear"/>
              <w:snapToGrid w:val="0"/>
              <w:spacing w:line="360" w:lineRule="auto"/>
              <w:rPr>
                <w:rFonts w:hint="eastAsia" w:ascii="宋体" w:hAnsi="宋体" w:eastAsia="宋体" w:cs="宋体"/>
                <w:color w:val="auto"/>
                <w:sz w:val="22"/>
                <w:szCs w:val="22"/>
                <w:highlight w:val="none"/>
              </w:rPr>
            </w:pPr>
          </w:p>
        </w:tc>
        <w:tc>
          <w:tcPr>
            <w:tcW w:w="2571" w:type="dxa"/>
          </w:tcPr>
          <w:p w14:paraId="5B12C620">
            <w:pPr>
              <w:pStyle w:val="29"/>
              <w:shd w:val="clear"/>
              <w:snapToGrid w:val="0"/>
              <w:spacing w:line="360" w:lineRule="auto"/>
              <w:rPr>
                <w:rFonts w:hint="eastAsia" w:ascii="宋体" w:hAnsi="宋体" w:eastAsia="宋体" w:cs="宋体"/>
                <w:color w:val="auto"/>
                <w:sz w:val="22"/>
                <w:szCs w:val="22"/>
                <w:highlight w:val="none"/>
              </w:rPr>
            </w:pPr>
          </w:p>
        </w:tc>
      </w:tr>
    </w:tbl>
    <w:p w14:paraId="5227346F">
      <w:pPr>
        <w:pStyle w:val="7"/>
        <w:shd w:val="clear"/>
        <w:snapToGrid w:val="0"/>
        <w:spacing w:line="360" w:lineRule="auto"/>
        <w:ind w:left="878"/>
        <w:rPr>
          <w:rFonts w:hint="eastAsia" w:ascii="宋体" w:hAnsi="宋体" w:eastAsia="宋体" w:cs="宋体"/>
          <w:color w:val="auto"/>
          <w:sz w:val="22"/>
          <w:szCs w:val="22"/>
          <w:highlight w:val="none"/>
        </w:rPr>
      </w:pPr>
    </w:p>
    <w:p w14:paraId="001E6126">
      <w:pPr>
        <w:pStyle w:val="7"/>
        <w:shd w:val="clear"/>
        <w:snapToGrid w:val="0"/>
        <w:spacing w:line="360" w:lineRule="auto"/>
        <w:ind w:left="878"/>
        <w:rPr>
          <w:rFonts w:hint="eastAsia" w:ascii="宋体" w:hAnsi="宋体" w:eastAsia="宋体" w:cs="宋体"/>
          <w:color w:val="auto"/>
          <w:sz w:val="22"/>
          <w:szCs w:val="22"/>
          <w:highlight w:val="none"/>
        </w:rPr>
      </w:pPr>
    </w:p>
    <w:p w14:paraId="2F214FEC">
      <w:pPr>
        <w:pStyle w:val="7"/>
        <w:shd w:val="clear"/>
        <w:snapToGrid w:val="0"/>
        <w:spacing w:line="360" w:lineRule="auto"/>
        <w:ind w:left="878"/>
        <w:rPr>
          <w:rFonts w:hint="eastAsia" w:ascii="宋体" w:hAnsi="宋体" w:eastAsia="宋体" w:cs="宋体"/>
          <w:color w:val="auto"/>
          <w:sz w:val="22"/>
          <w:szCs w:val="22"/>
          <w:highlight w:val="none"/>
        </w:rPr>
      </w:pPr>
    </w:p>
    <w:p w14:paraId="1D01DE3C">
      <w:pPr>
        <w:pStyle w:val="7"/>
        <w:shd w:val="clear"/>
        <w:snapToGrid w:val="0"/>
        <w:spacing w:line="360" w:lineRule="auto"/>
        <w:ind w:left="87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投标人名称:（盖章）</w:t>
      </w:r>
    </w:p>
    <w:p w14:paraId="74EC5328">
      <w:pPr>
        <w:pStyle w:val="7"/>
        <w:shd w:val="clear"/>
        <w:snapToGrid w:val="0"/>
        <w:spacing w:line="360" w:lineRule="auto"/>
        <w:ind w:left="878" w:right="113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法人代表或授权代表签字：</w:t>
      </w:r>
      <w:r>
        <w:rPr>
          <w:rFonts w:hint="eastAsia" w:ascii="宋体" w:hAnsi="宋体" w:eastAsia="宋体" w:cs="宋体"/>
          <w:color w:val="auto"/>
          <w:sz w:val="22"/>
          <w:szCs w:val="22"/>
          <w:highlight w:val="none"/>
        </w:rPr>
        <w:tab/>
      </w:r>
    </w:p>
    <w:p w14:paraId="510B364B">
      <w:pPr>
        <w:pStyle w:val="7"/>
        <w:shd w:val="clear"/>
        <w:snapToGrid w:val="0"/>
        <w:spacing w:line="360" w:lineRule="auto"/>
        <w:ind w:left="878" w:right="1137"/>
        <w:rPr>
          <w:rFonts w:hint="eastAsia" w:ascii="宋体" w:hAnsi="宋体" w:eastAsia="宋体" w:cs="宋体"/>
          <w:color w:val="auto"/>
          <w:spacing w:val="-17"/>
          <w:sz w:val="22"/>
          <w:szCs w:val="22"/>
          <w:highlight w:val="none"/>
        </w:rPr>
      </w:pP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期：</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rPr>
        <w:tab/>
      </w:r>
      <w:r>
        <w:rPr>
          <w:rFonts w:hint="eastAsia" w:ascii="宋体" w:hAnsi="宋体" w:eastAsia="宋体" w:cs="宋体"/>
          <w:color w:val="auto"/>
          <w:spacing w:val="-17"/>
          <w:sz w:val="22"/>
          <w:szCs w:val="22"/>
          <w:highlight w:val="none"/>
        </w:rPr>
        <w:t>日</w:t>
      </w:r>
    </w:p>
    <w:p w14:paraId="12BD29FC">
      <w:pPr>
        <w:pStyle w:val="7"/>
        <w:shd w:val="clear"/>
        <w:tabs>
          <w:tab w:val="left" w:pos="6443"/>
          <w:tab w:val="left" w:pos="7072"/>
          <w:tab w:val="left" w:pos="7598"/>
          <w:tab w:val="left" w:pos="8018"/>
          <w:tab w:val="left" w:pos="8438"/>
        </w:tabs>
        <w:snapToGrid w:val="0"/>
        <w:spacing w:line="360" w:lineRule="auto"/>
        <w:ind w:left="878" w:right="2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w:t>
      </w:r>
    </w:p>
    <w:p w14:paraId="19501773">
      <w:pPr>
        <w:pStyle w:val="7"/>
        <w:shd w:val="clear"/>
        <w:snapToGrid w:val="0"/>
        <w:spacing w:line="360" w:lineRule="auto"/>
        <w:ind w:left="87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1、如果行、列数不够，请自行增加。</w:t>
      </w:r>
    </w:p>
    <w:p w14:paraId="072810AA">
      <w:pPr>
        <w:shd w:val="clear"/>
        <w:snapToGrid w:val="0"/>
        <w:spacing w:line="360" w:lineRule="auto"/>
        <w:ind w:left="878"/>
        <w:rPr>
          <w:rFonts w:hint="eastAsia" w:ascii="微软雅黑" w:hAnsi="微软雅黑" w:eastAsia="微软雅黑" w:cs="微软雅黑"/>
          <w:color w:val="auto"/>
          <w:sz w:val="22"/>
          <w:szCs w:val="22"/>
          <w:highlight w:val="none"/>
        </w:rPr>
      </w:pPr>
      <w:r>
        <w:rPr>
          <w:rFonts w:hint="eastAsia" w:ascii="宋体" w:hAnsi="宋体" w:eastAsia="宋体" w:cs="宋体"/>
          <w:color w:val="auto"/>
          <w:sz w:val="22"/>
          <w:szCs w:val="22"/>
          <w:highlight w:val="none"/>
        </w:rPr>
        <w:t>2、请同时提供以上人员的相关专业、职称或执业资格等证明材料复印件，原件备查。</w:t>
      </w:r>
    </w:p>
    <w:p w14:paraId="0BA6D21F">
      <w:pPr>
        <w:shd w:val="clear"/>
        <w:snapToGrid w:val="0"/>
        <w:spacing w:line="360" w:lineRule="auto"/>
        <w:rPr>
          <w:rFonts w:hint="eastAsia" w:ascii="微软雅黑" w:hAnsi="微软雅黑" w:eastAsia="微软雅黑" w:cs="微软雅黑"/>
          <w:color w:val="auto"/>
          <w:sz w:val="21"/>
          <w:highlight w:val="none"/>
        </w:rPr>
        <w:sectPr>
          <w:pgSz w:w="11910" w:h="16840"/>
          <w:pgMar w:top="1338" w:right="1134" w:bottom="1179" w:left="1134" w:header="0" w:footer="992" w:gutter="0"/>
          <w:cols w:space="425" w:num="1"/>
        </w:sectPr>
      </w:pPr>
    </w:p>
    <w:p w14:paraId="23139AE9">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71" w:name="_Toc15732"/>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、商务条款响应表</w:t>
      </w:r>
      <w:bookmarkEnd w:id="71"/>
    </w:p>
    <w:p w14:paraId="7BEA5BD5">
      <w:pPr>
        <w:pStyle w:val="7"/>
        <w:shd w:val="clear"/>
        <w:jc w:val="center"/>
        <w:rPr>
          <w:rFonts w:hint="eastAsia"/>
          <w:color w:val="auto"/>
          <w:sz w:val="30"/>
          <w:szCs w:val="30"/>
          <w:highlight w:val="none"/>
        </w:rPr>
      </w:pPr>
      <w:r>
        <w:rPr>
          <w:rFonts w:hint="eastAsia" w:ascii="微软雅黑" w:hAnsi="微软雅黑" w:eastAsia="微软雅黑" w:cs="微软雅黑"/>
          <w:b/>
          <w:color w:val="auto"/>
          <w:sz w:val="30"/>
          <w:szCs w:val="30"/>
          <w:highlight w:val="none"/>
        </w:rPr>
        <w:t>商务条款响应表</w:t>
      </w:r>
    </w:p>
    <w:p w14:paraId="31FF22A2">
      <w:pPr>
        <w:pStyle w:val="7"/>
        <w:shd w:val="clear"/>
        <w:snapToGrid w:val="0"/>
        <w:spacing w:line="360" w:lineRule="auto"/>
        <w:ind w:left="878"/>
        <w:rPr>
          <w:rFonts w:hint="eastAsia" w:ascii="宋体" w:hAnsi="宋体" w:eastAsia="宋体" w:cs="宋体"/>
          <w:color w:val="auto"/>
          <w:sz w:val="22"/>
          <w:szCs w:val="22"/>
          <w:highlight w:val="none"/>
        </w:rPr>
      </w:pPr>
    </w:p>
    <w:p w14:paraId="579B87CF">
      <w:pPr>
        <w:pStyle w:val="7"/>
        <w:shd w:val="clear"/>
        <w:snapToGrid w:val="0"/>
        <w:spacing w:line="360" w:lineRule="auto"/>
        <w:ind w:left="87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项目编号： </w:t>
      </w:r>
    </w:p>
    <w:p w14:paraId="33FAEC53">
      <w:pPr>
        <w:shd w:val="clear"/>
        <w:snapToGrid w:val="0"/>
        <w:spacing w:line="360" w:lineRule="auto"/>
        <w:ind w:left="878"/>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项目名称：</w:t>
      </w:r>
    </w:p>
    <w:p w14:paraId="4C125124">
      <w:pPr>
        <w:pStyle w:val="7"/>
        <w:shd w:val="clear"/>
        <w:snapToGrid w:val="0"/>
        <w:spacing w:line="360" w:lineRule="auto"/>
        <w:rPr>
          <w:rFonts w:hint="eastAsia" w:ascii="宋体" w:hAnsi="宋体" w:eastAsia="宋体" w:cs="宋体"/>
          <w:b/>
          <w:color w:val="auto"/>
          <w:sz w:val="22"/>
          <w:szCs w:val="22"/>
          <w:highlight w:val="none"/>
        </w:rPr>
      </w:pPr>
    </w:p>
    <w:tbl>
      <w:tblPr>
        <w:tblStyle w:val="20"/>
        <w:tblW w:w="92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5"/>
        <w:gridCol w:w="3291"/>
        <w:gridCol w:w="3429"/>
        <w:gridCol w:w="1265"/>
      </w:tblGrid>
      <w:tr w14:paraId="2B168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1225" w:type="dxa"/>
          </w:tcPr>
          <w:p w14:paraId="1B2FFE04">
            <w:pPr>
              <w:pStyle w:val="29"/>
              <w:shd w:val="clear"/>
              <w:snapToGrid w:val="0"/>
              <w:spacing w:line="360" w:lineRule="auto"/>
              <w:ind w:left="380" w:right="368"/>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3291" w:type="dxa"/>
          </w:tcPr>
          <w:p w14:paraId="7E54FBD1">
            <w:pPr>
              <w:pStyle w:val="29"/>
              <w:shd w:val="clear"/>
              <w:snapToGrid w:val="0"/>
              <w:spacing w:line="360" w:lineRule="auto"/>
              <w:ind w:left="7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招标文件的商务条款</w:t>
            </w:r>
          </w:p>
        </w:tc>
        <w:tc>
          <w:tcPr>
            <w:tcW w:w="3429" w:type="dxa"/>
          </w:tcPr>
          <w:p w14:paraId="25E0ADFE">
            <w:pPr>
              <w:pStyle w:val="29"/>
              <w:shd w:val="clear"/>
              <w:snapToGrid w:val="0"/>
              <w:spacing w:line="360" w:lineRule="auto"/>
              <w:ind w:left="76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响应文件的商务条款</w:t>
            </w:r>
          </w:p>
        </w:tc>
        <w:tc>
          <w:tcPr>
            <w:tcW w:w="1265" w:type="dxa"/>
          </w:tcPr>
          <w:p w14:paraId="513DE2FF">
            <w:pPr>
              <w:pStyle w:val="29"/>
              <w:shd w:val="clear"/>
              <w:tabs>
                <w:tab w:val="left" w:pos="422"/>
              </w:tabs>
              <w:snapToGrid w:val="0"/>
              <w:spacing w:line="360" w:lineRule="auto"/>
              <w:ind w:right="300"/>
              <w:jc w:val="righ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说</w:t>
            </w:r>
            <w:r>
              <w:rPr>
                <w:rFonts w:hint="eastAsia" w:ascii="宋体" w:hAnsi="宋体" w:eastAsia="宋体" w:cs="宋体"/>
                <w:b/>
                <w:color w:val="auto"/>
                <w:sz w:val="22"/>
                <w:szCs w:val="22"/>
                <w:highlight w:val="none"/>
              </w:rPr>
              <w:tab/>
            </w:r>
            <w:r>
              <w:rPr>
                <w:rFonts w:hint="eastAsia" w:ascii="宋体" w:hAnsi="宋体" w:eastAsia="宋体" w:cs="宋体"/>
                <w:b/>
                <w:color w:val="auto"/>
                <w:w w:val="95"/>
                <w:sz w:val="22"/>
                <w:szCs w:val="22"/>
                <w:highlight w:val="none"/>
              </w:rPr>
              <w:t>明</w:t>
            </w:r>
          </w:p>
        </w:tc>
      </w:tr>
      <w:tr w14:paraId="127F5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jc w:val="center"/>
        </w:trPr>
        <w:tc>
          <w:tcPr>
            <w:tcW w:w="1225" w:type="dxa"/>
          </w:tcPr>
          <w:p w14:paraId="24C18745">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1</w:t>
            </w:r>
          </w:p>
        </w:tc>
        <w:tc>
          <w:tcPr>
            <w:tcW w:w="3291" w:type="dxa"/>
          </w:tcPr>
          <w:p w14:paraId="36A1D3C0">
            <w:pPr>
              <w:pStyle w:val="29"/>
              <w:shd w:val="clear"/>
              <w:snapToGrid w:val="0"/>
              <w:spacing w:line="360" w:lineRule="auto"/>
              <w:ind w:left="1202" w:right="1191"/>
              <w:jc w:val="center"/>
              <w:rPr>
                <w:rFonts w:hint="eastAsia" w:ascii="宋体" w:hAnsi="宋体" w:eastAsia="宋体" w:cs="宋体"/>
                <w:color w:val="auto"/>
                <w:sz w:val="22"/>
                <w:szCs w:val="22"/>
                <w:highlight w:val="none"/>
              </w:rPr>
            </w:pPr>
          </w:p>
        </w:tc>
        <w:tc>
          <w:tcPr>
            <w:tcW w:w="3429" w:type="dxa"/>
          </w:tcPr>
          <w:p w14:paraId="6518EA03">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13C0E754">
            <w:pPr>
              <w:pStyle w:val="29"/>
              <w:shd w:val="clear"/>
              <w:snapToGrid w:val="0"/>
              <w:spacing w:line="360" w:lineRule="auto"/>
              <w:rPr>
                <w:rFonts w:hint="eastAsia" w:ascii="宋体" w:hAnsi="宋体" w:eastAsia="宋体" w:cs="宋体"/>
                <w:color w:val="auto"/>
                <w:sz w:val="22"/>
                <w:szCs w:val="22"/>
                <w:highlight w:val="none"/>
              </w:rPr>
            </w:pPr>
          </w:p>
        </w:tc>
      </w:tr>
      <w:tr w14:paraId="56A57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jc w:val="center"/>
        </w:trPr>
        <w:tc>
          <w:tcPr>
            <w:tcW w:w="1225" w:type="dxa"/>
          </w:tcPr>
          <w:p w14:paraId="00A2FFEB">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2</w:t>
            </w:r>
          </w:p>
        </w:tc>
        <w:tc>
          <w:tcPr>
            <w:tcW w:w="3291" w:type="dxa"/>
          </w:tcPr>
          <w:p w14:paraId="68213869">
            <w:pPr>
              <w:pStyle w:val="29"/>
              <w:shd w:val="clear"/>
              <w:snapToGrid w:val="0"/>
              <w:spacing w:line="360" w:lineRule="auto"/>
              <w:ind w:left="594"/>
              <w:rPr>
                <w:rFonts w:hint="eastAsia" w:ascii="宋体" w:hAnsi="宋体" w:eastAsia="宋体" w:cs="宋体"/>
                <w:color w:val="auto"/>
                <w:sz w:val="22"/>
                <w:szCs w:val="22"/>
                <w:highlight w:val="none"/>
              </w:rPr>
            </w:pPr>
          </w:p>
        </w:tc>
        <w:tc>
          <w:tcPr>
            <w:tcW w:w="3429" w:type="dxa"/>
          </w:tcPr>
          <w:p w14:paraId="05B0D889">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01803D03">
            <w:pPr>
              <w:pStyle w:val="29"/>
              <w:shd w:val="clear"/>
              <w:snapToGrid w:val="0"/>
              <w:spacing w:line="360" w:lineRule="auto"/>
              <w:rPr>
                <w:rFonts w:hint="eastAsia" w:ascii="宋体" w:hAnsi="宋体" w:eastAsia="宋体" w:cs="宋体"/>
                <w:color w:val="auto"/>
                <w:sz w:val="22"/>
                <w:szCs w:val="22"/>
                <w:highlight w:val="none"/>
              </w:rPr>
            </w:pPr>
          </w:p>
        </w:tc>
      </w:tr>
      <w:tr w14:paraId="170A8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jc w:val="center"/>
        </w:trPr>
        <w:tc>
          <w:tcPr>
            <w:tcW w:w="1225" w:type="dxa"/>
          </w:tcPr>
          <w:p w14:paraId="04D15811">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3</w:t>
            </w:r>
          </w:p>
        </w:tc>
        <w:tc>
          <w:tcPr>
            <w:tcW w:w="3291" w:type="dxa"/>
          </w:tcPr>
          <w:p w14:paraId="4EE8D526">
            <w:pPr>
              <w:pStyle w:val="29"/>
              <w:shd w:val="clear"/>
              <w:snapToGrid w:val="0"/>
              <w:spacing w:line="360" w:lineRule="auto"/>
              <w:ind w:left="909"/>
              <w:rPr>
                <w:rFonts w:hint="eastAsia" w:ascii="宋体" w:hAnsi="宋体" w:eastAsia="宋体" w:cs="宋体"/>
                <w:color w:val="auto"/>
                <w:sz w:val="22"/>
                <w:szCs w:val="22"/>
                <w:highlight w:val="none"/>
              </w:rPr>
            </w:pPr>
          </w:p>
        </w:tc>
        <w:tc>
          <w:tcPr>
            <w:tcW w:w="3429" w:type="dxa"/>
          </w:tcPr>
          <w:p w14:paraId="2A9D0CAC">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0D0E1971">
            <w:pPr>
              <w:pStyle w:val="29"/>
              <w:shd w:val="clear"/>
              <w:snapToGrid w:val="0"/>
              <w:spacing w:line="360" w:lineRule="auto"/>
              <w:rPr>
                <w:rFonts w:hint="eastAsia" w:ascii="宋体" w:hAnsi="宋体" w:eastAsia="宋体" w:cs="宋体"/>
                <w:color w:val="auto"/>
                <w:sz w:val="22"/>
                <w:szCs w:val="22"/>
                <w:highlight w:val="none"/>
              </w:rPr>
            </w:pPr>
          </w:p>
        </w:tc>
      </w:tr>
      <w:tr w14:paraId="27A0C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1225" w:type="dxa"/>
          </w:tcPr>
          <w:p w14:paraId="515F715D">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4</w:t>
            </w:r>
          </w:p>
        </w:tc>
        <w:tc>
          <w:tcPr>
            <w:tcW w:w="3291" w:type="dxa"/>
          </w:tcPr>
          <w:p w14:paraId="3E4EE470">
            <w:pPr>
              <w:pStyle w:val="29"/>
              <w:shd w:val="clear"/>
              <w:snapToGrid w:val="0"/>
              <w:spacing w:line="360" w:lineRule="auto"/>
              <w:ind w:left="1202" w:right="1194"/>
              <w:jc w:val="center"/>
              <w:rPr>
                <w:rFonts w:hint="eastAsia" w:ascii="宋体" w:hAnsi="宋体" w:eastAsia="宋体" w:cs="宋体"/>
                <w:color w:val="auto"/>
                <w:sz w:val="22"/>
                <w:szCs w:val="22"/>
                <w:highlight w:val="none"/>
              </w:rPr>
            </w:pPr>
          </w:p>
        </w:tc>
        <w:tc>
          <w:tcPr>
            <w:tcW w:w="3429" w:type="dxa"/>
          </w:tcPr>
          <w:p w14:paraId="13299148">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1F78CD20">
            <w:pPr>
              <w:pStyle w:val="29"/>
              <w:shd w:val="clear"/>
              <w:snapToGrid w:val="0"/>
              <w:spacing w:line="360" w:lineRule="auto"/>
              <w:rPr>
                <w:rFonts w:hint="eastAsia" w:ascii="宋体" w:hAnsi="宋体" w:eastAsia="宋体" w:cs="宋体"/>
                <w:color w:val="auto"/>
                <w:sz w:val="22"/>
                <w:szCs w:val="22"/>
                <w:highlight w:val="none"/>
              </w:rPr>
            </w:pPr>
          </w:p>
        </w:tc>
      </w:tr>
      <w:tr w14:paraId="1393D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jc w:val="center"/>
        </w:trPr>
        <w:tc>
          <w:tcPr>
            <w:tcW w:w="1225" w:type="dxa"/>
          </w:tcPr>
          <w:p w14:paraId="4751D632">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5</w:t>
            </w:r>
          </w:p>
        </w:tc>
        <w:tc>
          <w:tcPr>
            <w:tcW w:w="3291" w:type="dxa"/>
          </w:tcPr>
          <w:p w14:paraId="303E24E1">
            <w:pPr>
              <w:pStyle w:val="29"/>
              <w:shd w:val="clear"/>
              <w:snapToGrid w:val="0"/>
              <w:spacing w:line="360" w:lineRule="auto"/>
              <w:rPr>
                <w:rFonts w:hint="eastAsia" w:ascii="宋体" w:hAnsi="宋体" w:eastAsia="宋体" w:cs="宋体"/>
                <w:color w:val="auto"/>
                <w:sz w:val="22"/>
                <w:szCs w:val="22"/>
                <w:highlight w:val="none"/>
              </w:rPr>
            </w:pPr>
          </w:p>
        </w:tc>
        <w:tc>
          <w:tcPr>
            <w:tcW w:w="3429" w:type="dxa"/>
          </w:tcPr>
          <w:p w14:paraId="0856ED37">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5B6C73EB">
            <w:pPr>
              <w:pStyle w:val="29"/>
              <w:shd w:val="clear"/>
              <w:snapToGrid w:val="0"/>
              <w:spacing w:line="360" w:lineRule="auto"/>
              <w:rPr>
                <w:rFonts w:hint="eastAsia" w:ascii="宋体" w:hAnsi="宋体" w:eastAsia="宋体" w:cs="宋体"/>
                <w:color w:val="auto"/>
                <w:sz w:val="22"/>
                <w:szCs w:val="22"/>
                <w:highlight w:val="none"/>
              </w:rPr>
            </w:pPr>
          </w:p>
        </w:tc>
      </w:tr>
      <w:tr w14:paraId="0B69F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1225" w:type="dxa"/>
          </w:tcPr>
          <w:p w14:paraId="1EEFFF86">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6</w:t>
            </w:r>
          </w:p>
        </w:tc>
        <w:tc>
          <w:tcPr>
            <w:tcW w:w="3291" w:type="dxa"/>
          </w:tcPr>
          <w:p w14:paraId="3663994A">
            <w:pPr>
              <w:pStyle w:val="29"/>
              <w:shd w:val="clear"/>
              <w:snapToGrid w:val="0"/>
              <w:spacing w:line="360" w:lineRule="auto"/>
              <w:rPr>
                <w:rFonts w:hint="eastAsia" w:ascii="宋体" w:hAnsi="宋体" w:eastAsia="宋体" w:cs="宋体"/>
                <w:color w:val="auto"/>
                <w:sz w:val="22"/>
                <w:szCs w:val="22"/>
                <w:highlight w:val="none"/>
              </w:rPr>
            </w:pPr>
          </w:p>
        </w:tc>
        <w:tc>
          <w:tcPr>
            <w:tcW w:w="3429" w:type="dxa"/>
          </w:tcPr>
          <w:p w14:paraId="0D6A8432">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570C9F52">
            <w:pPr>
              <w:pStyle w:val="29"/>
              <w:shd w:val="clear"/>
              <w:snapToGrid w:val="0"/>
              <w:spacing w:line="360" w:lineRule="auto"/>
              <w:rPr>
                <w:rFonts w:hint="eastAsia" w:ascii="宋体" w:hAnsi="宋体" w:eastAsia="宋体" w:cs="宋体"/>
                <w:color w:val="auto"/>
                <w:sz w:val="22"/>
                <w:szCs w:val="22"/>
                <w:highlight w:val="none"/>
              </w:rPr>
            </w:pPr>
          </w:p>
        </w:tc>
      </w:tr>
      <w:tr w14:paraId="5334A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jc w:val="center"/>
        </w:trPr>
        <w:tc>
          <w:tcPr>
            <w:tcW w:w="1225" w:type="dxa"/>
          </w:tcPr>
          <w:p w14:paraId="1F3A6AB5">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7</w:t>
            </w:r>
          </w:p>
        </w:tc>
        <w:tc>
          <w:tcPr>
            <w:tcW w:w="3291" w:type="dxa"/>
          </w:tcPr>
          <w:p w14:paraId="41263C3D">
            <w:pPr>
              <w:pStyle w:val="29"/>
              <w:shd w:val="clear"/>
              <w:snapToGrid w:val="0"/>
              <w:spacing w:line="360" w:lineRule="auto"/>
              <w:rPr>
                <w:rFonts w:hint="eastAsia" w:ascii="宋体" w:hAnsi="宋体" w:eastAsia="宋体" w:cs="宋体"/>
                <w:color w:val="auto"/>
                <w:sz w:val="22"/>
                <w:szCs w:val="22"/>
                <w:highlight w:val="none"/>
              </w:rPr>
            </w:pPr>
          </w:p>
        </w:tc>
        <w:tc>
          <w:tcPr>
            <w:tcW w:w="3429" w:type="dxa"/>
          </w:tcPr>
          <w:p w14:paraId="3236E777">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280343E6">
            <w:pPr>
              <w:pStyle w:val="29"/>
              <w:shd w:val="clear"/>
              <w:snapToGrid w:val="0"/>
              <w:spacing w:line="360" w:lineRule="auto"/>
              <w:rPr>
                <w:rFonts w:hint="eastAsia" w:ascii="宋体" w:hAnsi="宋体" w:eastAsia="宋体" w:cs="宋体"/>
                <w:color w:val="auto"/>
                <w:sz w:val="22"/>
                <w:szCs w:val="22"/>
                <w:highlight w:val="none"/>
              </w:rPr>
            </w:pPr>
          </w:p>
        </w:tc>
      </w:tr>
      <w:tr w14:paraId="15AF1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jc w:val="center"/>
        </w:trPr>
        <w:tc>
          <w:tcPr>
            <w:tcW w:w="1225" w:type="dxa"/>
          </w:tcPr>
          <w:p w14:paraId="3DE72D4E">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8</w:t>
            </w:r>
          </w:p>
        </w:tc>
        <w:tc>
          <w:tcPr>
            <w:tcW w:w="3291" w:type="dxa"/>
          </w:tcPr>
          <w:p w14:paraId="62523119">
            <w:pPr>
              <w:pStyle w:val="29"/>
              <w:shd w:val="clear"/>
              <w:snapToGrid w:val="0"/>
              <w:spacing w:line="360" w:lineRule="auto"/>
              <w:rPr>
                <w:rFonts w:hint="eastAsia" w:ascii="宋体" w:hAnsi="宋体" w:eastAsia="宋体" w:cs="宋体"/>
                <w:color w:val="auto"/>
                <w:sz w:val="22"/>
                <w:szCs w:val="22"/>
                <w:highlight w:val="none"/>
              </w:rPr>
            </w:pPr>
          </w:p>
        </w:tc>
        <w:tc>
          <w:tcPr>
            <w:tcW w:w="3429" w:type="dxa"/>
          </w:tcPr>
          <w:p w14:paraId="02A01C92">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1623B6F4">
            <w:pPr>
              <w:pStyle w:val="29"/>
              <w:shd w:val="clear"/>
              <w:snapToGrid w:val="0"/>
              <w:spacing w:line="360" w:lineRule="auto"/>
              <w:rPr>
                <w:rFonts w:hint="eastAsia" w:ascii="宋体" w:hAnsi="宋体" w:eastAsia="宋体" w:cs="宋体"/>
                <w:color w:val="auto"/>
                <w:sz w:val="22"/>
                <w:szCs w:val="22"/>
                <w:highlight w:val="none"/>
              </w:rPr>
            </w:pPr>
          </w:p>
        </w:tc>
      </w:tr>
      <w:tr w14:paraId="5C15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jc w:val="center"/>
        </w:trPr>
        <w:tc>
          <w:tcPr>
            <w:tcW w:w="1225" w:type="dxa"/>
          </w:tcPr>
          <w:p w14:paraId="575CEF5A">
            <w:pPr>
              <w:pStyle w:val="29"/>
              <w:shd w:val="clear"/>
              <w:snapToGrid w:val="0"/>
              <w:spacing w:line="360" w:lineRule="auto"/>
              <w:ind w:left="13"/>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9</w:t>
            </w:r>
          </w:p>
        </w:tc>
        <w:tc>
          <w:tcPr>
            <w:tcW w:w="3291" w:type="dxa"/>
          </w:tcPr>
          <w:p w14:paraId="3F822DEF">
            <w:pPr>
              <w:pStyle w:val="29"/>
              <w:shd w:val="clear"/>
              <w:snapToGrid w:val="0"/>
              <w:spacing w:line="360" w:lineRule="auto"/>
              <w:rPr>
                <w:rFonts w:hint="eastAsia" w:ascii="宋体" w:hAnsi="宋体" w:eastAsia="宋体" w:cs="宋体"/>
                <w:color w:val="auto"/>
                <w:sz w:val="22"/>
                <w:szCs w:val="22"/>
                <w:highlight w:val="none"/>
              </w:rPr>
            </w:pPr>
          </w:p>
        </w:tc>
        <w:tc>
          <w:tcPr>
            <w:tcW w:w="3429" w:type="dxa"/>
          </w:tcPr>
          <w:p w14:paraId="4F50F88D">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32FA4B26">
            <w:pPr>
              <w:pStyle w:val="29"/>
              <w:shd w:val="clear"/>
              <w:snapToGrid w:val="0"/>
              <w:spacing w:line="360" w:lineRule="auto"/>
              <w:rPr>
                <w:rFonts w:hint="eastAsia" w:ascii="宋体" w:hAnsi="宋体" w:eastAsia="宋体" w:cs="宋体"/>
                <w:color w:val="auto"/>
                <w:sz w:val="22"/>
                <w:szCs w:val="22"/>
                <w:highlight w:val="none"/>
              </w:rPr>
            </w:pPr>
          </w:p>
        </w:tc>
      </w:tr>
      <w:tr w14:paraId="033DE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jc w:val="center"/>
        </w:trPr>
        <w:tc>
          <w:tcPr>
            <w:tcW w:w="1225" w:type="dxa"/>
          </w:tcPr>
          <w:p w14:paraId="14C12932">
            <w:pPr>
              <w:pStyle w:val="29"/>
              <w:shd w:val="clear"/>
              <w:snapToGrid w:val="0"/>
              <w:spacing w:line="360" w:lineRule="auto"/>
              <w:ind w:right="138"/>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w:t>
            </w:r>
          </w:p>
        </w:tc>
        <w:tc>
          <w:tcPr>
            <w:tcW w:w="3291" w:type="dxa"/>
          </w:tcPr>
          <w:p w14:paraId="17452E05">
            <w:pPr>
              <w:pStyle w:val="29"/>
              <w:shd w:val="clear"/>
              <w:snapToGrid w:val="0"/>
              <w:spacing w:line="360" w:lineRule="auto"/>
              <w:ind w:left="431"/>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w:t>
            </w:r>
          </w:p>
        </w:tc>
        <w:tc>
          <w:tcPr>
            <w:tcW w:w="3429" w:type="dxa"/>
          </w:tcPr>
          <w:p w14:paraId="41E0FF4C">
            <w:pPr>
              <w:pStyle w:val="29"/>
              <w:shd w:val="clear"/>
              <w:snapToGrid w:val="0"/>
              <w:spacing w:line="360" w:lineRule="auto"/>
              <w:ind w:left="431"/>
              <w:jc w:val="center"/>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w:t>
            </w:r>
          </w:p>
        </w:tc>
        <w:tc>
          <w:tcPr>
            <w:tcW w:w="1265" w:type="dxa"/>
          </w:tcPr>
          <w:p w14:paraId="4BDEE329">
            <w:pPr>
              <w:pStyle w:val="29"/>
              <w:shd w:val="clear"/>
              <w:snapToGrid w:val="0"/>
              <w:spacing w:line="360" w:lineRule="auto"/>
              <w:ind w:right="302"/>
              <w:jc w:val="right"/>
              <w:rPr>
                <w:rFonts w:hint="eastAsia" w:ascii="宋体" w:hAnsi="宋体" w:eastAsia="宋体" w:cs="宋体"/>
                <w:color w:val="auto"/>
                <w:sz w:val="22"/>
                <w:szCs w:val="22"/>
                <w:highlight w:val="none"/>
              </w:rPr>
            </w:pPr>
            <w:r>
              <w:rPr>
                <w:rFonts w:hint="eastAsia" w:ascii="宋体" w:hAnsi="宋体" w:eastAsia="宋体" w:cs="宋体"/>
                <w:color w:val="auto"/>
                <w:w w:val="99"/>
                <w:sz w:val="22"/>
                <w:szCs w:val="22"/>
                <w:highlight w:val="none"/>
              </w:rPr>
              <w:t>…</w:t>
            </w:r>
          </w:p>
        </w:tc>
      </w:tr>
      <w:tr w14:paraId="3EFCE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1225" w:type="dxa"/>
          </w:tcPr>
          <w:p w14:paraId="1F8B92E3">
            <w:pPr>
              <w:pStyle w:val="29"/>
              <w:shd w:val="clear"/>
              <w:snapToGrid w:val="0"/>
              <w:spacing w:line="360" w:lineRule="auto"/>
              <w:rPr>
                <w:rFonts w:hint="eastAsia" w:ascii="宋体" w:hAnsi="宋体" w:eastAsia="宋体" w:cs="宋体"/>
                <w:color w:val="auto"/>
                <w:sz w:val="22"/>
                <w:szCs w:val="22"/>
                <w:highlight w:val="none"/>
              </w:rPr>
            </w:pPr>
          </w:p>
        </w:tc>
        <w:tc>
          <w:tcPr>
            <w:tcW w:w="3291" w:type="dxa"/>
          </w:tcPr>
          <w:p w14:paraId="4EEBB928">
            <w:pPr>
              <w:pStyle w:val="29"/>
              <w:shd w:val="clear"/>
              <w:snapToGrid w:val="0"/>
              <w:spacing w:line="360" w:lineRule="auto"/>
              <w:ind w:left="7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（行数不够，自行添加）</w:t>
            </w:r>
          </w:p>
        </w:tc>
        <w:tc>
          <w:tcPr>
            <w:tcW w:w="3429" w:type="dxa"/>
          </w:tcPr>
          <w:p w14:paraId="1F40035F">
            <w:pPr>
              <w:pStyle w:val="29"/>
              <w:shd w:val="clear"/>
              <w:snapToGrid w:val="0"/>
              <w:spacing w:line="360" w:lineRule="auto"/>
              <w:rPr>
                <w:rFonts w:hint="eastAsia" w:ascii="宋体" w:hAnsi="宋体" w:eastAsia="宋体" w:cs="宋体"/>
                <w:color w:val="auto"/>
                <w:sz w:val="22"/>
                <w:szCs w:val="22"/>
                <w:highlight w:val="none"/>
              </w:rPr>
            </w:pPr>
          </w:p>
        </w:tc>
        <w:tc>
          <w:tcPr>
            <w:tcW w:w="1265" w:type="dxa"/>
          </w:tcPr>
          <w:p w14:paraId="4C2CB3A4">
            <w:pPr>
              <w:pStyle w:val="29"/>
              <w:shd w:val="clear"/>
              <w:snapToGrid w:val="0"/>
              <w:spacing w:line="360" w:lineRule="auto"/>
              <w:rPr>
                <w:rFonts w:hint="eastAsia" w:ascii="宋体" w:hAnsi="宋体" w:eastAsia="宋体" w:cs="宋体"/>
                <w:color w:val="auto"/>
                <w:sz w:val="22"/>
                <w:szCs w:val="22"/>
                <w:highlight w:val="none"/>
              </w:rPr>
            </w:pPr>
          </w:p>
        </w:tc>
      </w:tr>
    </w:tbl>
    <w:p w14:paraId="48A52B97">
      <w:pPr>
        <w:shd w:val="clear"/>
        <w:snapToGrid w:val="0"/>
        <w:spacing w:line="360" w:lineRule="auto"/>
        <w:ind w:left="5988" w:right="85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r>
        <w:rPr>
          <w:rFonts w:hint="eastAsia" w:ascii="宋体" w:hAnsi="宋体" w:eastAsia="宋体" w:cs="宋体"/>
          <w:color w:val="auto"/>
          <w:sz w:val="22"/>
          <w:szCs w:val="22"/>
          <w:highlight w:val="none"/>
          <w:lang w:val="en-US" w:eastAsia="zh-CN"/>
        </w:rPr>
        <w:t>名</w:t>
      </w:r>
      <w:r>
        <w:rPr>
          <w:rFonts w:hint="eastAsia" w:ascii="宋体" w:hAnsi="宋体" w:eastAsia="宋体" w:cs="宋体"/>
          <w:color w:val="auto"/>
          <w:sz w:val="22"/>
          <w:szCs w:val="22"/>
          <w:highlight w:val="none"/>
        </w:rPr>
        <w:t xml:space="preserve">称(加盖公章)： </w:t>
      </w:r>
    </w:p>
    <w:p w14:paraId="6CD0622B">
      <w:pPr>
        <w:shd w:val="clear"/>
        <w:snapToGrid w:val="0"/>
        <w:spacing w:line="360" w:lineRule="auto"/>
        <w:ind w:left="5988" w:right="85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授权代表（签字）：</w:t>
      </w:r>
    </w:p>
    <w:p w14:paraId="44ED087F">
      <w:pPr>
        <w:shd w:val="clear"/>
        <w:snapToGrid w:val="0"/>
        <w:spacing w:line="360" w:lineRule="auto"/>
        <w:ind w:left="612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期：</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t>日</w:t>
      </w:r>
    </w:p>
    <w:p w14:paraId="0AE0A2AE">
      <w:pPr>
        <w:shd w:val="clear"/>
        <w:snapToGrid w:val="0"/>
        <w:spacing w:line="360" w:lineRule="auto"/>
        <w:ind w:left="878"/>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注：请投标供应商根据实际情况填写。</w:t>
      </w:r>
    </w:p>
    <w:p w14:paraId="2892CAD3">
      <w:pPr>
        <w:shd w:val="clear"/>
        <w:snapToGrid w:val="0"/>
        <w:spacing w:line="360" w:lineRule="auto"/>
        <w:rPr>
          <w:rFonts w:hint="eastAsia" w:ascii="微软雅黑" w:hAnsi="微软雅黑" w:eastAsia="微软雅黑" w:cs="微软雅黑"/>
          <w:color w:val="auto"/>
          <w:sz w:val="21"/>
          <w:highlight w:val="none"/>
        </w:rPr>
      </w:pPr>
    </w:p>
    <w:p w14:paraId="10758E67">
      <w:pPr>
        <w:pStyle w:val="12"/>
        <w:shd w:val="clear"/>
        <w:rPr>
          <w:rFonts w:hint="eastAsia"/>
          <w:color w:val="auto"/>
          <w:highlight w:val="none"/>
        </w:rPr>
      </w:pPr>
    </w:p>
    <w:p w14:paraId="21E319AE">
      <w:pPr>
        <w:shd w:val="clear"/>
        <w:rPr>
          <w:rFonts w:hint="eastAsia"/>
          <w:color w:val="auto"/>
          <w:highlight w:val="none"/>
        </w:rPr>
      </w:pPr>
    </w:p>
    <w:p w14:paraId="5F38E0BE">
      <w:pPr>
        <w:pStyle w:val="12"/>
        <w:shd w:val="clear"/>
        <w:rPr>
          <w:rFonts w:hint="eastAsia"/>
          <w:color w:val="auto"/>
          <w:highlight w:val="none"/>
        </w:rPr>
      </w:pPr>
    </w:p>
    <w:p w14:paraId="5B58138B">
      <w:pPr>
        <w:shd w:val="clear"/>
        <w:rPr>
          <w:rFonts w:hint="eastAsia"/>
          <w:color w:val="auto"/>
          <w:highlight w:val="none"/>
        </w:rPr>
      </w:pPr>
    </w:p>
    <w:p w14:paraId="443B8DA5">
      <w:pPr>
        <w:pStyle w:val="12"/>
        <w:shd w:val="clear"/>
        <w:rPr>
          <w:rFonts w:hint="eastAsia"/>
          <w:color w:val="auto"/>
          <w:highlight w:val="none"/>
        </w:rPr>
      </w:pPr>
    </w:p>
    <w:p w14:paraId="2CFA0538">
      <w:pPr>
        <w:shd w:val="clear"/>
        <w:rPr>
          <w:rFonts w:hint="eastAsia"/>
          <w:color w:val="auto"/>
          <w:highlight w:val="none"/>
        </w:rPr>
      </w:pPr>
    </w:p>
    <w:p w14:paraId="4367BB9A">
      <w:pPr>
        <w:shd w:val="clear"/>
        <w:snapToGrid w:val="0"/>
        <w:spacing w:line="360" w:lineRule="auto"/>
        <w:ind w:left="9" w:right="21"/>
        <w:jc w:val="both"/>
        <w:outlineLvl w:val="1"/>
        <w:rPr>
          <w:rFonts w:hint="eastAsia" w:ascii="微软雅黑" w:hAnsi="微软雅黑" w:eastAsia="微软雅黑" w:cs="微软雅黑"/>
          <w:b/>
          <w:color w:val="auto"/>
          <w:sz w:val="21"/>
          <w:highlight w:val="none"/>
        </w:rPr>
      </w:pPr>
      <w:bookmarkStart w:id="72" w:name="_Toc32689"/>
    </w:p>
    <w:p w14:paraId="70EB2A1F">
      <w:pPr>
        <w:shd w:val="clear"/>
        <w:snapToGrid w:val="0"/>
        <w:spacing w:line="360" w:lineRule="auto"/>
        <w:ind w:left="9" w:right="21"/>
        <w:jc w:val="both"/>
        <w:outlineLvl w:val="1"/>
        <w:rPr>
          <w:rFonts w:hint="eastAsia" w:ascii="微软雅黑" w:hAnsi="微软雅黑" w:eastAsia="微软雅黑" w:cs="微软雅黑"/>
          <w:b/>
          <w:color w:val="auto"/>
          <w:sz w:val="21"/>
          <w:highlight w:val="none"/>
        </w:rPr>
      </w:pPr>
    </w:p>
    <w:p w14:paraId="04729875">
      <w:pPr>
        <w:shd w:val="clear"/>
        <w:snapToGrid w:val="0"/>
        <w:spacing w:line="360" w:lineRule="auto"/>
        <w:ind w:left="9" w:right="21"/>
        <w:jc w:val="both"/>
        <w:outlineLvl w:val="1"/>
        <w:rPr>
          <w:rFonts w:hint="eastAsia" w:ascii="微软雅黑" w:hAnsi="微软雅黑" w:eastAsia="微软雅黑" w:cs="微软雅黑"/>
          <w:b/>
          <w:color w:val="auto"/>
          <w:sz w:val="21"/>
          <w:highlight w:val="none"/>
        </w:rPr>
      </w:pPr>
    </w:p>
    <w:p w14:paraId="1C6526EA">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p>
    <w:p w14:paraId="531D4A60">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八</w:t>
      </w:r>
      <w:r>
        <w:rPr>
          <w:rFonts w:hint="eastAsia" w:ascii="宋体" w:hAnsi="宋体" w:eastAsia="宋体" w:cs="宋体"/>
          <w:b/>
          <w:color w:val="auto"/>
          <w:sz w:val="24"/>
          <w:szCs w:val="24"/>
          <w:highlight w:val="none"/>
        </w:rPr>
        <w:t>、技术条款偏离表</w:t>
      </w:r>
      <w:bookmarkEnd w:id="72"/>
    </w:p>
    <w:p w14:paraId="36E09A9C">
      <w:pPr>
        <w:pStyle w:val="12"/>
        <w:shd w:val="clear"/>
        <w:rPr>
          <w:rFonts w:hint="eastAsia"/>
          <w:color w:val="auto"/>
          <w:highlight w:val="none"/>
        </w:rPr>
      </w:pPr>
    </w:p>
    <w:p w14:paraId="0CC98637">
      <w:pPr>
        <w:widowControl/>
        <w:shd w:val="clear"/>
        <w:snapToGrid w:val="0"/>
        <w:spacing w:line="360" w:lineRule="auto"/>
        <w:jc w:val="center"/>
        <w:rPr>
          <w:rFonts w:hint="eastAsia"/>
          <w:b/>
          <w:color w:val="auto"/>
          <w:sz w:val="24"/>
          <w:szCs w:val="24"/>
          <w:highlight w:val="none"/>
        </w:rPr>
      </w:pPr>
      <w:r>
        <w:rPr>
          <w:rFonts w:hint="eastAsia"/>
          <w:b/>
          <w:color w:val="auto"/>
          <w:sz w:val="24"/>
          <w:szCs w:val="24"/>
          <w:highlight w:val="none"/>
        </w:rPr>
        <w:t>技术条款偏离表</w:t>
      </w:r>
    </w:p>
    <w:p w14:paraId="316D977D">
      <w:pPr>
        <w:pStyle w:val="12"/>
        <w:shd w:val="clea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p w14:paraId="4DF473BB">
      <w:pPr>
        <w:pStyle w:val="12"/>
        <w:shd w:val="clea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bl>
      <w:tblPr>
        <w:tblStyle w:val="20"/>
        <w:tblW w:w="9868" w:type="dxa"/>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3326"/>
        <w:gridCol w:w="1575"/>
        <w:gridCol w:w="1995"/>
        <w:gridCol w:w="1680"/>
      </w:tblGrid>
      <w:tr w14:paraId="7CC5C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292" w:type="dxa"/>
          </w:tcPr>
          <w:p w14:paraId="0FA17BD3">
            <w:pPr>
              <w:pStyle w:val="29"/>
              <w:shd w:val="clear"/>
              <w:spacing w:before="135"/>
              <w:ind w:left="43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3326" w:type="dxa"/>
          </w:tcPr>
          <w:p w14:paraId="2947BA31">
            <w:pPr>
              <w:pStyle w:val="29"/>
              <w:shd w:val="clear"/>
              <w:spacing w:before="135"/>
              <w:ind w:left="516" w:right="5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磋商文件的技术参数</w:t>
            </w:r>
          </w:p>
        </w:tc>
        <w:tc>
          <w:tcPr>
            <w:tcW w:w="1575" w:type="dxa"/>
          </w:tcPr>
          <w:p w14:paraId="1DC9DEB6">
            <w:pPr>
              <w:pStyle w:val="29"/>
              <w:shd w:val="clear"/>
              <w:spacing w:before="135"/>
              <w:ind w:left="15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磋商实际响应</w:t>
            </w:r>
          </w:p>
        </w:tc>
        <w:tc>
          <w:tcPr>
            <w:tcW w:w="1995" w:type="dxa"/>
          </w:tcPr>
          <w:p w14:paraId="15CEC59A">
            <w:pPr>
              <w:pStyle w:val="29"/>
              <w:shd w:val="clear"/>
              <w:spacing w:before="135"/>
              <w:ind w:left="15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符合/正偏离/负偏离</w:t>
            </w:r>
          </w:p>
        </w:tc>
        <w:tc>
          <w:tcPr>
            <w:tcW w:w="1680" w:type="dxa"/>
          </w:tcPr>
          <w:p w14:paraId="50CB0FFE">
            <w:pPr>
              <w:pStyle w:val="29"/>
              <w:shd w:val="clear"/>
              <w:spacing w:before="135"/>
              <w:ind w:left="91" w:right="8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tc>
      </w:tr>
      <w:tr w14:paraId="40154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2" w:type="dxa"/>
          </w:tcPr>
          <w:p w14:paraId="7739AE54">
            <w:pPr>
              <w:pStyle w:val="29"/>
              <w:shd w:val="clear"/>
              <w:rPr>
                <w:rFonts w:hint="eastAsia" w:ascii="宋体" w:hAnsi="宋体" w:eastAsia="宋体" w:cs="宋体"/>
                <w:color w:val="auto"/>
                <w:sz w:val="24"/>
                <w:szCs w:val="24"/>
                <w:highlight w:val="none"/>
              </w:rPr>
            </w:pPr>
          </w:p>
        </w:tc>
        <w:tc>
          <w:tcPr>
            <w:tcW w:w="3326" w:type="dxa"/>
          </w:tcPr>
          <w:p w14:paraId="34CE2E5B">
            <w:pPr>
              <w:pStyle w:val="29"/>
              <w:shd w:val="clear"/>
              <w:rPr>
                <w:rFonts w:hint="eastAsia" w:ascii="宋体" w:hAnsi="宋体" w:eastAsia="宋体" w:cs="宋体"/>
                <w:color w:val="auto"/>
                <w:sz w:val="24"/>
                <w:szCs w:val="24"/>
                <w:highlight w:val="none"/>
              </w:rPr>
            </w:pPr>
          </w:p>
        </w:tc>
        <w:tc>
          <w:tcPr>
            <w:tcW w:w="1575" w:type="dxa"/>
          </w:tcPr>
          <w:p w14:paraId="5664342D">
            <w:pPr>
              <w:pStyle w:val="29"/>
              <w:shd w:val="clear"/>
              <w:rPr>
                <w:rFonts w:hint="eastAsia" w:ascii="宋体" w:hAnsi="宋体" w:eastAsia="宋体" w:cs="宋体"/>
                <w:color w:val="auto"/>
                <w:sz w:val="24"/>
                <w:szCs w:val="24"/>
                <w:highlight w:val="none"/>
              </w:rPr>
            </w:pPr>
          </w:p>
        </w:tc>
        <w:tc>
          <w:tcPr>
            <w:tcW w:w="1995" w:type="dxa"/>
          </w:tcPr>
          <w:p w14:paraId="4D472683">
            <w:pPr>
              <w:pStyle w:val="29"/>
              <w:shd w:val="clear"/>
              <w:rPr>
                <w:rFonts w:hint="eastAsia" w:ascii="宋体" w:hAnsi="宋体" w:eastAsia="宋体" w:cs="宋体"/>
                <w:color w:val="auto"/>
                <w:sz w:val="24"/>
                <w:szCs w:val="24"/>
                <w:highlight w:val="none"/>
              </w:rPr>
            </w:pPr>
          </w:p>
        </w:tc>
        <w:tc>
          <w:tcPr>
            <w:tcW w:w="1680" w:type="dxa"/>
          </w:tcPr>
          <w:p w14:paraId="3123F982">
            <w:pPr>
              <w:pStyle w:val="29"/>
              <w:shd w:val="clear"/>
              <w:rPr>
                <w:rFonts w:hint="eastAsia" w:ascii="宋体" w:hAnsi="宋体" w:eastAsia="宋体" w:cs="宋体"/>
                <w:color w:val="auto"/>
                <w:sz w:val="24"/>
                <w:szCs w:val="24"/>
                <w:highlight w:val="none"/>
              </w:rPr>
            </w:pPr>
          </w:p>
        </w:tc>
      </w:tr>
      <w:tr w14:paraId="7B7AF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2" w:type="dxa"/>
          </w:tcPr>
          <w:p w14:paraId="17A706ED">
            <w:pPr>
              <w:pStyle w:val="29"/>
              <w:shd w:val="clear"/>
              <w:rPr>
                <w:rFonts w:hint="eastAsia" w:ascii="宋体" w:hAnsi="宋体" w:eastAsia="宋体" w:cs="宋体"/>
                <w:color w:val="auto"/>
                <w:sz w:val="24"/>
                <w:szCs w:val="24"/>
                <w:highlight w:val="none"/>
              </w:rPr>
            </w:pPr>
          </w:p>
        </w:tc>
        <w:tc>
          <w:tcPr>
            <w:tcW w:w="3326" w:type="dxa"/>
          </w:tcPr>
          <w:p w14:paraId="531F8E81">
            <w:pPr>
              <w:pStyle w:val="29"/>
              <w:shd w:val="clear"/>
              <w:rPr>
                <w:rFonts w:hint="eastAsia" w:ascii="宋体" w:hAnsi="宋体" w:eastAsia="宋体" w:cs="宋体"/>
                <w:color w:val="auto"/>
                <w:sz w:val="24"/>
                <w:szCs w:val="24"/>
                <w:highlight w:val="none"/>
              </w:rPr>
            </w:pPr>
          </w:p>
        </w:tc>
        <w:tc>
          <w:tcPr>
            <w:tcW w:w="1575" w:type="dxa"/>
          </w:tcPr>
          <w:p w14:paraId="0748E8B6">
            <w:pPr>
              <w:pStyle w:val="29"/>
              <w:shd w:val="clear"/>
              <w:rPr>
                <w:rFonts w:hint="eastAsia" w:ascii="宋体" w:hAnsi="宋体" w:eastAsia="宋体" w:cs="宋体"/>
                <w:color w:val="auto"/>
                <w:sz w:val="24"/>
                <w:szCs w:val="24"/>
                <w:highlight w:val="none"/>
              </w:rPr>
            </w:pPr>
          </w:p>
        </w:tc>
        <w:tc>
          <w:tcPr>
            <w:tcW w:w="1995" w:type="dxa"/>
          </w:tcPr>
          <w:p w14:paraId="5457F90F">
            <w:pPr>
              <w:pStyle w:val="29"/>
              <w:shd w:val="clear"/>
              <w:rPr>
                <w:rFonts w:hint="eastAsia" w:ascii="宋体" w:hAnsi="宋体" w:eastAsia="宋体" w:cs="宋体"/>
                <w:color w:val="auto"/>
                <w:sz w:val="24"/>
                <w:szCs w:val="24"/>
                <w:highlight w:val="none"/>
              </w:rPr>
            </w:pPr>
          </w:p>
        </w:tc>
        <w:tc>
          <w:tcPr>
            <w:tcW w:w="1680" w:type="dxa"/>
          </w:tcPr>
          <w:p w14:paraId="71ACECD1">
            <w:pPr>
              <w:pStyle w:val="29"/>
              <w:shd w:val="clear"/>
              <w:rPr>
                <w:rFonts w:hint="eastAsia" w:ascii="宋体" w:hAnsi="宋体" w:eastAsia="宋体" w:cs="宋体"/>
                <w:color w:val="auto"/>
                <w:sz w:val="24"/>
                <w:szCs w:val="24"/>
                <w:highlight w:val="none"/>
              </w:rPr>
            </w:pPr>
          </w:p>
        </w:tc>
      </w:tr>
      <w:tr w14:paraId="31DCB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2" w:type="dxa"/>
          </w:tcPr>
          <w:p w14:paraId="2CBE30C3">
            <w:pPr>
              <w:pStyle w:val="29"/>
              <w:shd w:val="clear"/>
              <w:rPr>
                <w:rFonts w:hint="eastAsia" w:ascii="宋体" w:hAnsi="宋体" w:eastAsia="宋体" w:cs="宋体"/>
                <w:color w:val="auto"/>
                <w:sz w:val="24"/>
                <w:szCs w:val="24"/>
                <w:highlight w:val="none"/>
              </w:rPr>
            </w:pPr>
          </w:p>
        </w:tc>
        <w:tc>
          <w:tcPr>
            <w:tcW w:w="3326" w:type="dxa"/>
          </w:tcPr>
          <w:p w14:paraId="03E3BD48">
            <w:pPr>
              <w:pStyle w:val="29"/>
              <w:shd w:val="clear"/>
              <w:rPr>
                <w:rFonts w:hint="eastAsia" w:ascii="宋体" w:hAnsi="宋体" w:eastAsia="宋体" w:cs="宋体"/>
                <w:color w:val="auto"/>
                <w:sz w:val="24"/>
                <w:szCs w:val="24"/>
                <w:highlight w:val="none"/>
              </w:rPr>
            </w:pPr>
          </w:p>
        </w:tc>
        <w:tc>
          <w:tcPr>
            <w:tcW w:w="1575" w:type="dxa"/>
          </w:tcPr>
          <w:p w14:paraId="35EEC5AC">
            <w:pPr>
              <w:pStyle w:val="29"/>
              <w:shd w:val="clear"/>
              <w:rPr>
                <w:rFonts w:hint="eastAsia" w:ascii="宋体" w:hAnsi="宋体" w:eastAsia="宋体" w:cs="宋体"/>
                <w:color w:val="auto"/>
                <w:sz w:val="24"/>
                <w:szCs w:val="24"/>
                <w:highlight w:val="none"/>
              </w:rPr>
            </w:pPr>
          </w:p>
        </w:tc>
        <w:tc>
          <w:tcPr>
            <w:tcW w:w="1995" w:type="dxa"/>
          </w:tcPr>
          <w:p w14:paraId="77362020">
            <w:pPr>
              <w:pStyle w:val="29"/>
              <w:shd w:val="clear"/>
              <w:rPr>
                <w:rFonts w:hint="eastAsia" w:ascii="宋体" w:hAnsi="宋体" w:eastAsia="宋体" w:cs="宋体"/>
                <w:color w:val="auto"/>
                <w:sz w:val="24"/>
                <w:szCs w:val="24"/>
                <w:highlight w:val="none"/>
              </w:rPr>
            </w:pPr>
          </w:p>
        </w:tc>
        <w:tc>
          <w:tcPr>
            <w:tcW w:w="1680" w:type="dxa"/>
          </w:tcPr>
          <w:p w14:paraId="58B1A36E">
            <w:pPr>
              <w:pStyle w:val="29"/>
              <w:shd w:val="clear"/>
              <w:rPr>
                <w:rFonts w:hint="eastAsia" w:ascii="宋体" w:hAnsi="宋体" w:eastAsia="宋体" w:cs="宋体"/>
                <w:color w:val="auto"/>
                <w:sz w:val="24"/>
                <w:szCs w:val="24"/>
                <w:highlight w:val="none"/>
              </w:rPr>
            </w:pPr>
          </w:p>
        </w:tc>
      </w:tr>
      <w:tr w14:paraId="2F801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2" w:type="dxa"/>
          </w:tcPr>
          <w:p w14:paraId="594BC56B">
            <w:pPr>
              <w:pStyle w:val="29"/>
              <w:shd w:val="clear"/>
              <w:rPr>
                <w:rFonts w:hint="eastAsia" w:ascii="宋体" w:hAnsi="宋体" w:eastAsia="宋体" w:cs="宋体"/>
                <w:color w:val="auto"/>
                <w:sz w:val="24"/>
                <w:szCs w:val="24"/>
                <w:highlight w:val="none"/>
              </w:rPr>
            </w:pPr>
          </w:p>
        </w:tc>
        <w:tc>
          <w:tcPr>
            <w:tcW w:w="3326" w:type="dxa"/>
          </w:tcPr>
          <w:p w14:paraId="2CED3BF0">
            <w:pPr>
              <w:pStyle w:val="29"/>
              <w:shd w:val="clear"/>
              <w:rPr>
                <w:rFonts w:hint="eastAsia" w:ascii="宋体" w:hAnsi="宋体" w:eastAsia="宋体" w:cs="宋体"/>
                <w:color w:val="auto"/>
                <w:sz w:val="24"/>
                <w:szCs w:val="24"/>
                <w:highlight w:val="none"/>
              </w:rPr>
            </w:pPr>
          </w:p>
        </w:tc>
        <w:tc>
          <w:tcPr>
            <w:tcW w:w="1575" w:type="dxa"/>
          </w:tcPr>
          <w:p w14:paraId="4E6D0B4C">
            <w:pPr>
              <w:pStyle w:val="29"/>
              <w:shd w:val="clear"/>
              <w:rPr>
                <w:rFonts w:hint="eastAsia" w:ascii="宋体" w:hAnsi="宋体" w:eastAsia="宋体" w:cs="宋体"/>
                <w:color w:val="auto"/>
                <w:sz w:val="24"/>
                <w:szCs w:val="24"/>
                <w:highlight w:val="none"/>
              </w:rPr>
            </w:pPr>
          </w:p>
        </w:tc>
        <w:tc>
          <w:tcPr>
            <w:tcW w:w="1995" w:type="dxa"/>
          </w:tcPr>
          <w:p w14:paraId="0BD819E3">
            <w:pPr>
              <w:pStyle w:val="29"/>
              <w:shd w:val="clear"/>
              <w:rPr>
                <w:rFonts w:hint="eastAsia" w:ascii="宋体" w:hAnsi="宋体" w:eastAsia="宋体" w:cs="宋体"/>
                <w:color w:val="auto"/>
                <w:sz w:val="24"/>
                <w:szCs w:val="24"/>
                <w:highlight w:val="none"/>
              </w:rPr>
            </w:pPr>
          </w:p>
        </w:tc>
        <w:tc>
          <w:tcPr>
            <w:tcW w:w="1680" w:type="dxa"/>
          </w:tcPr>
          <w:p w14:paraId="7CDDACCD">
            <w:pPr>
              <w:pStyle w:val="29"/>
              <w:shd w:val="clear"/>
              <w:rPr>
                <w:rFonts w:hint="eastAsia" w:ascii="宋体" w:hAnsi="宋体" w:eastAsia="宋体" w:cs="宋体"/>
                <w:color w:val="auto"/>
                <w:sz w:val="24"/>
                <w:szCs w:val="24"/>
                <w:highlight w:val="none"/>
              </w:rPr>
            </w:pPr>
          </w:p>
        </w:tc>
      </w:tr>
      <w:tr w14:paraId="08B4A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2" w:type="dxa"/>
          </w:tcPr>
          <w:p w14:paraId="7B86ACE7">
            <w:pPr>
              <w:pStyle w:val="29"/>
              <w:shd w:val="clear"/>
              <w:rPr>
                <w:rFonts w:hint="eastAsia" w:ascii="宋体" w:hAnsi="宋体" w:eastAsia="宋体" w:cs="宋体"/>
                <w:color w:val="auto"/>
                <w:sz w:val="24"/>
                <w:szCs w:val="24"/>
                <w:highlight w:val="none"/>
              </w:rPr>
            </w:pPr>
          </w:p>
        </w:tc>
        <w:tc>
          <w:tcPr>
            <w:tcW w:w="3326" w:type="dxa"/>
          </w:tcPr>
          <w:p w14:paraId="7B7691B1">
            <w:pPr>
              <w:pStyle w:val="29"/>
              <w:shd w:val="clear"/>
              <w:rPr>
                <w:rFonts w:hint="eastAsia" w:ascii="宋体" w:hAnsi="宋体" w:eastAsia="宋体" w:cs="宋体"/>
                <w:color w:val="auto"/>
                <w:sz w:val="24"/>
                <w:szCs w:val="24"/>
                <w:highlight w:val="none"/>
              </w:rPr>
            </w:pPr>
          </w:p>
        </w:tc>
        <w:tc>
          <w:tcPr>
            <w:tcW w:w="1575" w:type="dxa"/>
          </w:tcPr>
          <w:p w14:paraId="261A4C58">
            <w:pPr>
              <w:pStyle w:val="29"/>
              <w:shd w:val="clear"/>
              <w:rPr>
                <w:rFonts w:hint="eastAsia" w:ascii="宋体" w:hAnsi="宋体" w:eastAsia="宋体" w:cs="宋体"/>
                <w:color w:val="auto"/>
                <w:sz w:val="24"/>
                <w:szCs w:val="24"/>
                <w:highlight w:val="none"/>
              </w:rPr>
            </w:pPr>
          </w:p>
        </w:tc>
        <w:tc>
          <w:tcPr>
            <w:tcW w:w="1995" w:type="dxa"/>
          </w:tcPr>
          <w:p w14:paraId="44B9557B">
            <w:pPr>
              <w:pStyle w:val="29"/>
              <w:shd w:val="clear"/>
              <w:rPr>
                <w:rFonts w:hint="eastAsia" w:ascii="宋体" w:hAnsi="宋体" w:eastAsia="宋体" w:cs="宋体"/>
                <w:color w:val="auto"/>
                <w:sz w:val="24"/>
                <w:szCs w:val="24"/>
                <w:highlight w:val="none"/>
              </w:rPr>
            </w:pPr>
          </w:p>
        </w:tc>
        <w:tc>
          <w:tcPr>
            <w:tcW w:w="1680" w:type="dxa"/>
          </w:tcPr>
          <w:p w14:paraId="44830FA4">
            <w:pPr>
              <w:pStyle w:val="29"/>
              <w:shd w:val="clear"/>
              <w:rPr>
                <w:rFonts w:hint="eastAsia" w:ascii="宋体" w:hAnsi="宋体" w:eastAsia="宋体" w:cs="宋体"/>
                <w:color w:val="auto"/>
                <w:sz w:val="24"/>
                <w:szCs w:val="24"/>
                <w:highlight w:val="none"/>
              </w:rPr>
            </w:pPr>
          </w:p>
        </w:tc>
      </w:tr>
      <w:tr w14:paraId="7112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2" w:type="dxa"/>
          </w:tcPr>
          <w:p w14:paraId="67298189">
            <w:pPr>
              <w:pStyle w:val="29"/>
              <w:shd w:val="clear"/>
              <w:rPr>
                <w:rFonts w:hint="eastAsia" w:ascii="宋体" w:hAnsi="宋体" w:eastAsia="宋体" w:cs="宋体"/>
                <w:color w:val="auto"/>
                <w:sz w:val="24"/>
                <w:szCs w:val="24"/>
                <w:highlight w:val="none"/>
              </w:rPr>
            </w:pPr>
          </w:p>
        </w:tc>
        <w:tc>
          <w:tcPr>
            <w:tcW w:w="3326" w:type="dxa"/>
          </w:tcPr>
          <w:p w14:paraId="177BC490">
            <w:pPr>
              <w:pStyle w:val="29"/>
              <w:shd w:val="clear"/>
              <w:spacing w:line="252" w:lineRule="exact"/>
              <w:ind w:left="516" w:right="51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（行数不够，自行添加）</w:t>
            </w:r>
          </w:p>
        </w:tc>
        <w:tc>
          <w:tcPr>
            <w:tcW w:w="1575" w:type="dxa"/>
          </w:tcPr>
          <w:p w14:paraId="22B1BBD3">
            <w:pPr>
              <w:pStyle w:val="29"/>
              <w:shd w:val="clear"/>
              <w:rPr>
                <w:rFonts w:hint="eastAsia" w:ascii="宋体" w:hAnsi="宋体" w:eastAsia="宋体" w:cs="宋体"/>
                <w:color w:val="auto"/>
                <w:sz w:val="24"/>
                <w:szCs w:val="24"/>
                <w:highlight w:val="none"/>
              </w:rPr>
            </w:pPr>
          </w:p>
        </w:tc>
        <w:tc>
          <w:tcPr>
            <w:tcW w:w="1995" w:type="dxa"/>
          </w:tcPr>
          <w:p w14:paraId="468A59BD">
            <w:pPr>
              <w:pStyle w:val="29"/>
              <w:shd w:val="clear"/>
              <w:rPr>
                <w:rFonts w:hint="eastAsia" w:ascii="宋体" w:hAnsi="宋体" w:eastAsia="宋体" w:cs="宋体"/>
                <w:color w:val="auto"/>
                <w:sz w:val="24"/>
                <w:szCs w:val="24"/>
                <w:highlight w:val="none"/>
              </w:rPr>
            </w:pPr>
          </w:p>
        </w:tc>
        <w:tc>
          <w:tcPr>
            <w:tcW w:w="1680" w:type="dxa"/>
          </w:tcPr>
          <w:p w14:paraId="4B03068B">
            <w:pPr>
              <w:pStyle w:val="29"/>
              <w:shd w:val="clear"/>
              <w:rPr>
                <w:rFonts w:hint="eastAsia" w:ascii="宋体" w:hAnsi="宋体" w:eastAsia="宋体" w:cs="宋体"/>
                <w:color w:val="auto"/>
                <w:sz w:val="24"/>
                <w:szCs w:val="24"/>
                <w:highlight w:val="none"/>
              </w:rPr>
            </w:pPr>
          </w:p>
        </w:tc>
      </w:tr>
    </w:tbl>
    <w:p w14:paraId="20BF1355">
      <w:pPr>
        <w:shd w:val="clear"/>
        <w:ind w:right="832"/>
        <w:jc w:val="right"/>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lang w:val="en-US" w:eastAsia="zh-CN"/>
        </w:rPr>
        <w:t xml:space="preserve">  </w:t>
      </w:r>
      <w:r>
        <w:rPr>
          <w:rFonts w:hint="eastAsia" w:ascii="宋体" w:hAnsi="宋体" w:eastAsia="宋体" w:cs="宋体"/>
          <w:color w:val="auto"/>
          <w:w w:val="95"/>
          <w:sz w:val="24"/>
          <w:szCs w:val="24"/>
          <w:highlight w:val="none"/>
        </w:rPr>
        <w:t xml:space="preserve"> </w:t>
      </w:r>
    </w:p>
    <w:p w14:paraId="3034C85C">
      <w:pPr>
        <w:shd w:val="clear"/>
        <w:ind w:right="832"/>
        <w:jc w:val="right"/>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投标人</w:t>
      </w:r>
      <w:r>
        <w:rPr>
          <w:rFonts w:hint="eastAsia" w:ascii="宋体" w:hAnsi="宋体" w:eastAsia="宋体" w:cs="宋体"/>
          <w:color w:val="auto"/>
          <w:w w:val="95"/>
          <w:sz w:val="24"/>
          <w:szCs w:val="24"/>
          <w:highlight w:val="none"/>
          <w:lang w:eastAsia="zh-CN"/>
        </w:rPr>
        <w:t>名</w:t>
      </w:r>
      <w:r>
        <w:rPr>
          <w:rFonts w:hint="eastAsia" w:ascii="宋体" w:hAnsi="宋体" w:eastAsia="宋体" w:cs="宋体"/>
          <w:color w:val="auto"/>
          <w:w w:val="95"/>
          <w:sz w:val="24"/>
          <w:szCs w:val="24"/>
          <w:highlight w:val="none"/>
        </w:rPr>
        <w:t>称(加盖公章)：</w:t>
      </w:r>
    </w:p>
    <w:p w14:paraId="6F7D8122">
      <w:pPr>
        <w:shd w:val="clear"/>
        <w:ind w:right="832"/>
        <w:jc w:val="center"/>
        <w:rPr>
          <w:rFonts w:hint="eastAsia" w:ascii="宋体" w:hAnsi="宋体" w:eastAsia="宋体" w:cs="宋体"/>
          <w:color w:val="auto"/>
          <w:w w:val="95"/>
          <w:sz w:val="24"/>
          <w:szCs w:val="24"/>
          <w:highlight w:val="none"/>
          <w:lang w:val="en-US" w:eastAsia="zh-CN"/>
        </w:rPr>
      </w:pPr>
      <w:r>
        <w:rPr>
          <w:rFonts w:hint="eastAsia" w:ascii="宋体" w:hAnsi="宋体" w:eastAsia="宋体" w:cs="宋体"/>
          <w:color w:val="auto"/>
          <w:w w:val="95"/>
          <w:sz w:val="24"/>
          <w:szCs w:val="24"/>
          <w:highlight w:val="none"/>
          <w:lang w:val="en-US" w:eastAsia="zh-CN"/>
        </w:rPr>
        <w:t xml:space="preserve">                                                           授权代表（签字）：</w:t>
      </w:r>
    </w:p>
    <w:p w14:paraId="5CD915E4">
      <w:pPr>
        <w:shd w:val="clear"/>
        <w:ind w:right="832"/>
        <w:jc w:val="center"/>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lang w:val="en-US" w:eastAsia="zh-CN"/>
        </w:rPr>
        <w:t xml:space="preserve">                                                                                        </w:t>
      </w:r>
    </w:p>
    <w:p w14:paraId="0DEFFECB">
      <w:pPr>
        <w:shd w:val="clear"/>
        <w:jc w:val="center"/>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lang w:val="en-US" w:eastAsia="zh-CN"/>
        </w:rPr>
        <w:t xml:space="preserve">                                                                              </w:t>
      </w:r>
      <w:r>
        <w:rPr>
          <w:rFonts w:hint="eastAsia" w:ascii="宋体" w:hAnsi="宋体" w:eastAsia="宋体" w:cs="宋体"/>
          <w:color w:val="auto"/>
          <w:w w:val="95"/>
          <w:sz w:val="24"/>
          <w:szCs w:val="24"/>
          <w:highlight w:val="none"/>
        </w:rPr>
        <w:t>日期：年月日</w:t>
      </w:r>
    </w:p>
    <w:p w14:paraId="177A966D">
      <w:pPr>
        <w:pStyle w:val="7"/>
        <w:shd w:val="clear"/>
        <w:ind w:right="38"/>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注：</w:t>
      </w:r>
    </w:p>
    <w:p w14:paraId="77CE1929">
      <w:pPr>
        <w:pStyle w:val="7"/>
        <w:shd w:val="clear"/>
        <w:ind w:right="38"/>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1.按照项目需求详细填列。</w:t>
      </w:r>
    </w:p>
    <w:p w14:paraId="1C5995FE">
      <w:pPr>
        <w:shd w:val="clear"/>
        <w:tabs>
          <w:tab w:val="left" w:pos="159"/>
        </w:tabs>
        <w:spacing w:before="1"/>
        <w:ind w:right="76"/>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2.行数不够，可自行添加。</w:t>
      </w:r>
    </w:p>
    <w:p w14:paraId="4037E975">
      <w:pPr>
        <w:shd w:val="clear"/>
        <w:tabs>
          <w:tab w:val="left" w:pos="159"/>
        </w:tabs>
        <w:spacing w:before="1"/>
        <w:ind w:right="76"/>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3.请如实填写偏离表，如果虚假响应，将被暂停进入南京市江宁区采购活动。</w:t>
      </w:r>
    </w:p>
    <w:p w14:paraId="2B6EA674">
      <w:pPr>
        <w:shd w:val="clear"/>
        <w:tabs>
          <w:tab w:val="left" w:pos="159"/>
        </w:tabs>
        <w:spacing w:before="1"/>
        <w:ind w:right="76"/>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4.请供应商根据磋商实际情况填写，如果磋商实际响应与供应商提供的证明资料有实质性偏离的，</w:t>
      </w:r>
    </w:p>
    <w:p w14:paraId="1824CB37">
      <w:pPr>
        <w:shd w:val="clear"/>
        <w:tabs>
          <w:tab w:val="left" w:pos="159"/>
        </w:tabs>
        <w:spacing w:before="1"/>
        <w:ind w:right="76"/>
        <w:rPr>
          <w:rFonts w:hint="eastAsia" w:ascii="宋体" w:hAnsi="宋体" w:eastAsia="宋体" w:cs="宋体"/>
          <w:color w:val="auto"/>
          <w:w w:val="95"/>
          <w:sz w:val="24"/>
          <w:szCs w:val="24"/>
          <w:highlight w:val="none"/>
        </w:rPr>
      </w:pPr>
      <w:r>
        <w:rPr>
          <w:rFonts w:hint="eastAsia" w:ascii="宋体" w:hAnsi="宋体" w:eastAsia="宋体" w:cs="宋体"/>
          <w:color w:val="auto"/>
          <w:w w:val="95"/>
          <w:sz w:val="24"/>
          <w:szCs w:val="24"/>
          <w:highlight w:val="none"/>
        </w:rPr>
        <w:t>将作无效标处理。</w:t>
      </w:r>
    </w:p>
    <w:p w14:paraId="0E816157">
      <w:pPr>
        <w:shd w:val="clear"/>
        <w:rPr>
          <w:rFonts w:hint="eastAsia"/>
          <w:color w:val="auto"/>
          <w:highlight w:val="none"/>
        </w:rPr>
      </w:pPr>
    </w:p>
    <w:p w14:paraId="6FF449CD">
      <w:pPr>
        <w:shd w:val="clear"/>
        <w:jc w:val="right"/>
        <w:rPr>
          <w:rFonts w:hint="eastAsia"/>
          <w:color w:val="auto"/>
          <w:highlight w:val="none"/>
        </w:rPr>
        <w:sectPr>
          <w:pgSz w:w="11910" w:h="16840"/>
          <w:pgMar w:top="1338" w:right="1134" w:bottom="1179" w:left="1134" w:header="0" w:footer="992" w:gutter="0"/>
          <w:cols w:space="425" w:num="1"/>
        </w:sectPr>
      </w:pPr>
      <w:r>
        <w:rPr>
          <w:rFonts w:hint="eastAsia"/>
          <w:color w:val="auto"/>
          <w:sz w:val="24"/>
          <w:szCs w:val="24"/>
          <w:highlight w:val="none"/>
        </w:rPr>
        <w:br w:type="page"/>
      </w:r>
    </w:p>
    <w:p w14:paraId="43138F6A">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73" w:name="附件九、中小企业声明函格式"/>
      <w:bookmarkEnd w:id="73"/>
      <w:bookmarkStart w:id="74" w:name="附件十一、具备履行合同所必需的设备和专业技术能力的书面声明"/>
      <w:bookmarkEnd w:id="74"/>
      <w:bookmarkStart w:id="75" w:name="_Toc14125"/>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、中小企业声明函格式</w:t>
      </w:r>
      <w:bookmarkEnd w:id="75"/>
    </w:p>
    <w:p w14:paraId="53250595">
      <w:pPr>
        <w:pStyle w:val="7"/>
        <w:shd w:val="clear"/>
        <w:snapToGrid w:val="0"/>
        <w:spacing w:line="360" w:lineRule="auto"/>
        <w:rPr>
          <w:rFonts w:hint="eastAsia" w:ascii="微软雅黑" w:hAnsi="微软雅黑" w:eastAsia="微软雅黑" w:cs="微软雅黑"/>
          <w:b/>
          <w:color w:val="auto"/>
          <w:sz w:val="16"/>
          <w:highlight w:val="none"/>
        </w:rPr>
      </w:pPr>
    </w:p>
    <w:p w14:paraId="0F2D9928">
      <w:pPr>
        <w:shd w:val="clear"/>
        <w:snapToGrid w:val="0"/>
        <w:spacing w:line="360" w:lineRule="auto"/>
        <w:ind w:left="6" w:right="21"/>
        <w:jc w:val="center"/>
        <w:rPr>
          <w:rFonts w:hint="eastAsia" w:ascii="微软雅黑" w:hAnsi="微软雅黑" w:eastAsia="微软雅黑" w:cs="微软雅黑"/>
          <w:b/>
          <w:color w:val="auto"/>
          <w:sz w:val="21"/>
          <w:highlight w:val="none"/>
        </w:rPr>
      </w:pPr>
      <w:r>
        <w:rPr>
          <w:rFonts w:hint="eastAsia" w:ascii="微软雅黑" w:hAnsi="微软雅黑" w:eastAsia="微软雅黑" w:cs="微软雅黑"/>
          <w:b/>
          <w:color w:val="auto"/>
          <w:sz w:val="21"/>
          <w:highlight w:val="none"/>
        </w:rPr>
        <w:t>中小企业声明函</w:t>
      </w:r>
    </w:p>
    <w:p w14:paraId="30AC2761">
      <w:pPr>
        <w:pStyle w:val="7"/>
        <w:shd w:val="clear"/>
        <w:snapToGrid w:val="0"/>
        <w:spacing w:line="360" w:lineRule="auto"/>
        <w:rPr>
          <w:rFonts w:hint="eastAsia" w:ascii="微软雅黑" w:hAnsi="微软雅黑" w:eastAsia="微软雅黑" w:cs="微软雅黑"/>
          <w:b/>
          <w:color w:val="auto"/>
          <w:highlight w:val="none"/>
        </w:rPr>
      </w:pPr>
    </w:p>
    <w:p w14:paraId="5C18EAD0">
      <w:pPr>
        <w:pStyle w:val="41"/>
        <w:shd w:val="clear"/>
        <w:snapToGrid w:val="0"/>
        <w:spacing w:line="360" w:lineRule="auto"/>
        <w:ind w:firstLine="68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本公司（联合体）郑重声明，根据《政府采购促进中小企业发展管理办法》（财库</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2020</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46号）的规定，本公司 （联合体）参加</w:t>
      </w:r>
      <w:r>
        <w:rPr>
          <w:rFonts w:hint="eastAsia" w:ascii="宋体" w:hAnsi="宋体" w:eastAsia="宋体" w:cs="宋体"/>
          <w:color w:val="auto"/>
          <w:sz w:val="22"/>
          <w:szCs w:val="22"/>
          <w:highlight w:val="none"/>
          <w:u w:val="single"/>
        </w:rPr>
        <w:t>（单位名称）</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u w:val="single"/>
        </w:rPr>
        <w:t>（项目名</w:t>
      </w:r>
      <w:r>
        <w:rPr>
          <w:rFonts w:hint="eastAsia" w:ascii="宋体" w:hAnsi="宋体" w:eastAsia="宋体" w:cs="宋体"/>
          <w:color w:val="auto"/>
          <w:sz w:val="22"/>
          <w:szCs w:val="22"/>
          <w:highlight w:val="none"/>
          <w:u w:val="single"/>
          <w:lang w:val="en-US" w:eastAsia="zh-CN"/>
        </w:rPr>
        <w:t>称</w:t>
      </w:r>
      <w:r>
        <w:rPr>
          <w:rFonts w:hint="eastAsia" w:ascii="宋体" w:hAnsi="宋体" w:eastAsia="宋体" w:cs="宋体"/>
          <w:color w:val="auto"/>
          <w:sz w:val="22"/>
          <w:szCs w:val="22"/>
          <w:highlight w:val="none"/>
          <w:u w:val="single"/>
          <w:lang w:eastAsia="zh-CN"/>
        </w:rPr>
        <w:t>）</w:t>
      </w:r>
      <w:r>
        <w:rPr>
          <w:rFonts w:hint="eastAsia" w:ascii="宋体" w:hAnsi="宋体" w:eastAsia="宋体" w:cs="宋体"/>
          <w:color w:val="auto"/>
          <w:sz w:val="22"/>
          <w:szCs w:val="22"/>
          <w:highlight w:val="none"/>
        </w:rPr>
        <w:t>采购活动，提供的货物全部由符合政策要求的中小企业制造。相关企业（含联合体中的中小企业、签订分包意向协议的中小企业）的具体情况如下：</w:t>
      </w:r>
    </w:p>
    <w:p w14:paraId="160A6C62">
      <w:pPr>
        <w:pStyle w:val="41"/>
        <w:shd w:val="clear"/>
        <w:tabs>
          <w:tab w:val="left" w:pos="1246"/>
          <w:tab w:val="left" w:pos="4483"/>
          <w:tab w:val="left" w:pos="6739"/>
        </w:tabs>
        <w:snapToGrid w:val="0"/>
        <w:spacing w:line="360" w:lineRule="auto"/>
        <w:ind w:firstLine="679" w:firstLineChars="309"/>
        <w:jc w:val="both"/>
        <w:rPr>
          <w:rFonts w:hint="eastAsia" w:ascii="宋体" w:hAnsi="宋体" w:eastAsia="宋体" w:cs="宋体"/>
          <w:color w:val="auto"/>
          <w:sz w:val="22"/>
          <w:szCs w:val="22"/>
          <w:highlight w:val="none"/>
          <w:lang w:val="en-US" w:eastAsia="zh-CN"/>
        </w:rPr>
      </w:pPr>
      <w:bookmarkStart w:id="76" w:name="bookmark42"/>
      <w:bookmarkEnd w:id="76"/>
      <w:r>
        <w:rPr>
          <w:rFonts w:hint="eastAsia" w:ascii="宋体" w:hAnsi="宋体" w:eastAsia="宋体" w:cs="宋体"/>
          <w:i/>
          <w:iCs/>
          <w:color w:val="auto"/>
          <w:sz w:val="22"/>
          <w:szCs w:val="22"/>
          <w:highlight w:val="none"/>
          <w:u w:val="single"/>
        </w:rPr>
        <w:t>（标的名称）</w:t>
      </w:r>
      <w:r>
        <w:rPr>
          <w:rFonts w:hint="eastAsia" w:ascii="宋体" w:hAnsi="宋体" w:eastAsia="宋体" w:cs="宋体"/>
          <w:color w:val="auto"/>
          <w:sz w:val="22"/>
          <w:szCs w:val="22"/>
          <w:highlight w:val="none"/>
        </w:rPr>
        <w:t>,属于</w:t>
      </w:r>
      <w:r>
        <w:rPr>
          <w:rFonts w:hint="eastAsia" w:ascii="宋体" w:hAnsi="宋体" w:eastAsia="宋体" w:cs="宋体"/>
          <w:i/>
          <w:iCs/>
          <w:color w:val="auto"/>
          <w:sz w:val="22"/>
          <w:szCs w:val="22"/>
          <w:highlight w:val="none"/>
          <w:u w:val="single"/>
        </w:rPr>
        <w:t>（采购文件中明确的所属行业） 行业</w:t>
      </w:r>
      <w:r>
        <w:rPr>
          <w:rFonts w:hint="eastAsia" w:ascii="宋体" w:hAnsi="宋体" w:eastAsia="宋体" w:cs="宋体"/>
          <w:i/>
          <w:iCs/>
          <w:color w:val="auto"/>
          <w:sz w:val="22"/>
          <w:szCs w:val="22"/>
          <w:highlight w:val="none"/>
        </w:rPr>
        <w:t>;</w:t>
      </w:r>
      <w:r>
        <w:rPr>
          <w:rFonts w:hint="eastAsia" w:ascii="宋体" w:hAnsi="宋体" w:eastAsia="宋体" w:cs="宋体"/>
          <w:color w:val="auto"/>
          <w:sz w:val="22"/>
          <w:szCs w:val="22"/>
          <w:highlight w:val="none"/>
        </w:rPr>
        <w:t>制造商为</w:t>
      </w:r>
      <w:r>
        <w:rPr>
          <w:rFonts w:hint="eastAsia" w:ascii="宋体" w:hAnsi="宋体" w:eastAsia="宋体" w:cs="宋体"/>
          <w:i/>
          <w:iCs/>
          <w:color w:val="auto"/>
          <w:sz w:val="22"/>
          <w:szCs w:val="22"/>
          <w:highlight w:val="none"/>
          <w:u w:val="single"/>
        </w:rPr>
        <w:t>（企业名称）</w:t>
      </w:r>
      <w:r>
        <w:rPr>
          <w:rFonts w:hint="eastAsia" w:ascii="宋体" w:hAnsi="宋体" w:eastAsia="宋体" w:cs="宋体"/>
          <w:i/>
          <w:iCs/>
          <w:color w:val="auto"/>
          <w:sz w:val="22"/>
          <w:szCs w:val="22"/>
          <w:highlight w:val="none"/>
        </w:rPr>
        <w:t>,</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人，营业收 入为</w:t>
      </w:r>
      <w:r>
        <w:rPr>
          <w:rFonts w:hint="eastAsia" w:ascii="宋体" w:hAnsi="宋体" w:eastAsia="宋体" w:cs="宋体"/>
          <w:color w:val="auto"/>
          <w:sz w:val="22"/>
          <w:szCs w:val="22"/>
          <w:highlight w:val="none"/>
          <w:lang w:val="zh-CN" w:eastAsia="zh-CN" w:bidi="zh-CN"/>
        </w:rPr>
        <w:t>—</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rPr>
        <w:t>万元</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属于</w:t>
      </w:r>
      <w:r>
        <w:rPr>
          <w:rFonts w:hint="eastAsia" w:ascii="宋体" w:hAnsi="宋体" w:eastAsia="宋体" w:cs="宋体"/>
          <w:i/>
          <w:iCs/>
          <w:color w:val="auto"/>
          <w:sz w:val="22"/>
          <w:szCs w:val="22"/>
          <w:highlight w:val="none"/>
          <w:u w:val="single"/>
        </w:rPr>
        <w:t>（中型企业、小型企业、微型企业）</w:t>
      </w:r>
      <w:r>
        <w:rPr>
          <w:rFonts w:hint="eastAsia" w:ascii="宋体" w:hAnsi="宋体" w:eastAsia="宋体" w:cs="宋体"/>
          <w:i/>
          <w:iCs/>
          <w:color w:val="auto"/>
          <w:sz w:val="22"/>
          <w:szCs w:val="22"/>
          <w:highlight w:val="none"/>
          <w:u w:val="single"/>
          <w:lang w:val="en-US" w:eastAsia="zh-CN"/>
        </w:rPr>
        <w:t>；</w:t>
      </w:r>
    </w:p>
    <w:p w14:paraId="2443496C">
      <w:pPr>
        <w:pStyle w:val="42"/>
        <w:shd w:val="clear"/>
        <w:tabs>
          <w:tab w:val="left" w:leader="dot" w:pos="-1047"/>
        </w:tabs>
        <w:snapToGrid w:val="0"/>
        <w:spacing w:line="360" w:lineRule="auto"/>
        <w:rPr>
          <w:rFonts w:hint="eastAsia" w:ascii="宋体" w:hAnsi="宋体" w:eastAsia="宋体" w:cs="宋体"/>
          <w:color w:val="auto"/>
          <w:sz w:val="22"/>
          <w:szCs w:val="22"/>
          <w:highlight w:val="none"/>
        </w:rPr>
      </w:pPr>
      <w:bookmarkStart w:id="77" w:name="bookmark43"/>
      <w:bookmarkEnd w:id="77"/>
      <w:r>
        <w:rPr>
          <w:rFonts w:hint="eastAsia" w:ascii="宋体" w:hAnsi="宋体" w:eastAsia="宋体" w:cs="宋体"/>
          <w:color w:val="auto"/>
          <w:sz w:val="22"/>
          <w:szCs w:val="22"/>
          <w:highlight w:val="none"/>
          <w:lang w:val="en-US" w:eastAsia="zh-CN" w:bidi="en-US"/>
        </w:rPr>
        <w:tab/>
      </w:r>
    </w:p>
    <w:p w14:paraId="361CA3EF">
      <w:pPr>
        <w:pStyle w:val="41"/>
        <w:shd w:val="clear"/>
        <w:snapToGrid w:val="0"/>
        <w:spacing w:line="360" w:lineRule="auto"/>
        <w:ind w:firstLine="68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以上企业，不属于大企业的分支机构，不存在控股股东为大企业的情形，也不存在与大企业的负责人为同一人的情形。</w:t>
      </w:r>
    </w:p>
    <w:p w14:paraId="34EE8019">
      <w:pPr>
        <w:pStyle w:val="41"/>
        <w:shd w:val="clear"/>
        <w:snapToGrid w:val="0"/>
        <w:spacing w:line="360" w:lineRule="auto"/>
        <w:ind w:firstLine="68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本企业对上述声明内容的真实性负责。如有虚假，将依 法承担相应责任。</w:t>
      </w:r>
    </w:p>
    <w:p w14:paraId="71521F53">
      <w:pPr>
        <w:pStyle w:val="41"/>
        <w:shd w:val="clear"/>
        <w:snapToGrid w:val="0"/>
        <w:spacing w:line="360" w:lineRule="auto"/>
        <w:ind w:left="3860" w:firstLine="100"/>
        <w:jc w:val="center"/>
        <w:rPr>
          <w:rFonts w:hint="eastAsia" w:ascii="宋体" w:hAnsi="宋体" w:eastAsia="宋体" w:cs="宋体"/>
          <w:color w:val="auto"/>
          <w:sz w:val="22"/>
          <w:szCs w:val="22"/>
          <w:highlight w:val="none"/>
        </w:rPr>
      </w:pPr>
    </w:p>
    <w:p w14:paraId="76BD10F9">
      <w:pPr>
        <w:pStyle w:val="41"/>
        <w:shd w:val="clear"/>
        <w:snapToGrid w:val="0"/>
        <w:spacing w:line="360" w:lineRule="auto"/>
        <w:ind w:left="3860" w:firstLine="1532"/>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企业名称（盖章）: </w:t>
      </w:r>
    </w:p>
    <w:p w14:paraId="08F1ACB8">
      <w:pPr>
        <w:pStyle w:val="7"/>
        <w:shd w:val="clear"/>
        <w:snapToGrid w:val="0"/>
        <w:spacing w:line="360" w:lineRule="auto"/>
        <w:ind w:right="1420" w:firstLine="6160" w:firstLineChars="2800"/>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日期：</w:t>
      </w:r>
    </w:p>
    <w:p w14:paraId="534DA5A6">
      <w:pPr>
        <w:pStyle w:val="42"/>
        <w:shd w:val="clear"/>
        <w:snapToGrid w:val="0"/>
        <w:spacing w:line="360" w:lineRule="auto"/>
        <w:ind w:firstLine="0"/>
        <w:rPr>
          <w:rFonts w:hint="eastAsia" w:ascii="宋体" w:hAnsi="宋体" w:eastAsia="宋体" w:cs="宋体"/>
          <w:color w:val="auto"/>
          <w:sz w:val="22"/>
          <w:szCs w:val="22"/>
          <w:highlight w:val="none"/>
          <w:lang w:val="en-US" w:eastAsia="zh-CN"/>
        </w:rPr>
      </w:pPr>
    </w:p>
    <w:p w14:paraId="32332CF3">
      <w:pPr>
        <w:pStyle w:val="42"/>
        <w:shd w:val="clear"/>
        <w:snapToGrid w:val="0"/>
        <w:spacing w:line="360" w:lineRule="auto"/>
        <w:ind w:firstLine="0"/>
        <w:rPr>
          <w:rFonts w:hint="eastAsia" w:ascii="宋体" w:hAnsi="宋体" w:eastAsia="宋体" w:cs="宋体"/>
          <w:color w:val="auto"/>
          <w:sz w:val="22"/>
          <w:szCs w:val="22"/>
          <w:highlight w:val="none"/>
          <w:lang w:val="en-US" w:eastAsia="zh-CN"/>
        </w:rPr>
      </w:pPr>
    </w:p>
    <w:p w14:paraId="637C1C58">
      <w:pPr>
        <w:pStyle w:val="42"/>
        <w:shd w:val="clear"/>
        <w:snapToGrid w:val="0"/>
        <w:spacing w:line="360" w:lineRule="auto"/>
        <w:ind w:firstLine="0"/>
        <w:rPr>
          <w:rFonts w:hint="eastAsia" w:ascii="宋体" w:hAnsi="宋体" w:eastAsia="宋体" w:cs="宋体"/>
          <w:color w:val="auto"/>
          <w:sz w:val="22"/>
          <w:szCs w:val="22"/>
          <w:highlight w:val="none"/>
          <w:lang w:val="en-US" w:eastAsia="zh-CN"/>
        </w:rPr>
      </w:pPr>
    </w:p>
    <w:p w14:paraId="244D3B6A">
      <w:pPr>
        <w:pStyle w:val="42"/>
        <w:shd w:val="clear"/>
        <w:snapToGrid w:val="0"/>
        <w:spacing w:line="360" w:lineRule="auto"/>
        <w:ind w:firstLine="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注：</w:t>
      </w:r>
      <w:r>
        <w:rPr>
          <w:rFonts w:hint="eastAsia" w:ascii="宋体" w:hAnsi="宋体" w:eastAsia="宋体" w:cs="宋体"/>
          <w:color w:val="auto"/>
          <w:sz w:val="22"/>
          <w:szCs w:val="22"/>
          <w:highlight w:val="none"/>
        </w:rPr>
        <w:t>从业人员、营业收入、资产总额填报上一年度数据，无上一年度数据的新成立企业可不填报。</w:t>
      </w:r>
    </w:p>
    <w:p w14:paraId="2BA90101">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bookmarkStart w:id="78" w:name="_Toc720"/>
    </w:p>
    <w:p w14:paraId="11C407F0">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1BAF3406">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1C1E43D5">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609D6E13">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709C4072">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3826A795">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727641ED">
      <w:pPr>
        <w:shd w:val="clear"/>
        <w:snapToGrid w:val="0"/>
        <w:spacing w:line="360" w:lineRule="auto"/>
        <w:ind w:left="657" w:hanging="658" w:hangingChars="313"/>
        <w:outlineLvl w:val="1"/>
        <w:rPr>
          <w:rFonts w:hint="eastAsia" w:ascii="微软雅黑" w:hAnsi="微软雅黑" w:eastAsia="微软雅黑" w:cs="微软雅黑"/>
          <w:b/>
          <w:color w:val="auto"/>
          <w:sz w:val="21"/>
          <w:highlight w:val="none"/>
        </w:rPr>
      </w:pPr>
    </w:p>
    <w:p w14:paraId="365236D2">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p>
    <w:p w14:paraId="44D7E04B">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附件十、无重大违法记录声明格式</w:t>
      </w:r>
      <w:bookmarkEnd w:id="78"/>
    </w:p>
    <w:p w14:paraId="2CF16AF1">
      <w:pPr>
        <w:pStyle w:val="7"/>
        <w:shd w:val="clear"/>
        <w:snapToGrid w:val="0"/>
        <w:spacing w:line="360" w:lineRule="auto"/>
        <w:rPr>
          <w:rFonts w:hint="eastAsia" w:ascii="微软雅黑" w:hAnsi="微软雅黑" w:eastAsia="微软雅黑" w:cs="微软雅黑"/>
          <w:b/>
          <w:color w:val="auto"/>
          <w:highlight w:val="none"/>
        </w:rPr>
      </w:pPr>
    </w:p>
    <w:p w14:paraId="2884F353">
      <w:pPr>
        <w:shd w:val="clear"/>
        <w:snapToGrid w:val="0"/>
        <w:spacing w:line="360" w:lineRule="auto"/>
        <w:ind w:right="21"/>
        <w:jc w:val="center"/>
        <w:rPr>
          <w:rFonts w:hint="eastAsia" w:ascii="微软雅黑" w:hAnsi="微软雅黑" w:eastAsia="微软雅黑" w:cs="微软雅黑"/>
          <w:color w:val="auto"/>
          <w:sz w:val="36"/>
          <w:highlight w:val="none"/>
        </w:rPr>
      </w:pPr>
      <w:r>
        <w:rPr>
          <w:rFonts w:hint="eastAsia" w:ascii="微软雅黑" w:hAnsi="微软雅黑" w:eastAsia="微软雅黑" w:cs="微软雅黑"/>
          <w:color w:val="auto"/>
          <w:sz w:val="36"/>
          <w:highlight w:val="none"/>
        </w:rPr>
        <w:t>无重大违法记录声明</w:t>
      </w:r>
    </w:p>
    <w:p w14:paraId="7249A1ED">
      <w:pPr>
        <w:pStyle w:val="7"/>
        <w:shd w:val="clear"/>
        <w:snapToGrid w:val="0"/>
        <w:spacing w:line="360" w:lineRule="auto"/>
        <w:ind w:left="8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采购人名称）</w:t>
      </w:r>
      <w:r>
        <w:rPr>
          <w:rFonts w:hint="eastAsia" w:ascii="宋体" w:hAnsi="宋体" w:eastAsia="宋体" w:cs="宋体"/>
          <w:color w:val="auto"/>
          <w:sz w:val="24"/>
          <w:szCs w:val="24"/>
          <w:highlight w:val="none"/>
        </w:rPr>
        <w:t>：</w:t>
      </w:r>
    </w:p>
    <w:p w14:paraId="03383E22">
      <w:pPr>
        <w:pStyle w:val="7"/>
        <w:shd w:val="clear"/>
        <w:snapToGrid w:val="0"/>
        <w:spacing w:line="360" w:lineRule="auto"/>
        <w:ind w:left="878"/>
        <w:rPr>
          <w:rFonts w:hint="eastAsia" w:ascii="宋体" w:hAnsi="宋体" w:eastAsia="宋体" w:cs="宋体"/>
          <w:color w:val="auto"/>
          <w:sz w:val="24"/>
          <w:szCs w:val="24"/>
          <w:highlight w:val="none"/>
        </w:rPr>
      </w:pPr>
    </w:p>
    <w:p w14:paraId="5E965B5C">
      <w:pPr>
        <w:pStyle w:val="7"/>
        <w:shd w:val="clear"/>
        <w:snapToGrid w:val="0"/>
        <w:spacing w:line="360" w:lineRule="auto"/>
        <w:ind w:left="8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我单位（供应商名称）郑重声明：</w:t>
      </w:r>
    </w:p>
    <w:p w14:paraId="1DB48F34">
      <w:pPr>
        <w:pStyle w:val="7"/>
        <w:shd w:val="clear"/>
        <w:snapToGrid w:val="0"/>
        <w:spacing w:line="360" w:lineRule="auto"/>
        <w:ind w:left="87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 3 年内在经营活动中</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在下划线上如实填写：有或没有）重大违法记录。</w:t>
      </w:r>
    </w:p>
    <w:p w14:paraId="746C88CD">
      <w:pPr>
        <w:pStyle w:val="7"/>
        <w:shd w:val="clear"/>
        <w:snapToGrid w:val="0"/>
        <w:spacing w:line="360" w:lineRule="auto"/>
        <w:ind w:left="878" w:right="936"/>
        <w:rPr>
          <w:rFonts w:hint="eastAsia" w:ascii="宋体" w:hAnsi="宋体" w:eastAsia="宋体" w:cs="宋体"/>
          <w:color w:val="auto"/>
          <w:sz w:val="24"/>
          <w:szCs w:val="24"/>
          <w:highlight w:val="none"/>
        </w:rPr>
      </w:pPr>
      <w:r>
        <w:rPr>
          <w:rFonts w:hint="eastAsia" w:ascii="宋体" w:hAnsi="宋体" w:eastAsia="宋体" w:cs="宋体"/>
          <w:color w:val="auto"/>
          <w:w w:val="95"/>
          <w:sz w:val="24"/>
          <w:szCs w:val="24"/>
          <w:highlight w:val="none"/>
        </w:rPr>
        <w:t xml:space="preserve">（说明：政府采购法第二十二条第一款第五项所称重大违法记录，是指供应商因违法经营受到刑事   </w:t>
      </w:r>
      <w:r>
        <w:rPr>
          <w:rFonts w:hint="eastAsia" w:ascii="宋体" w:hAnsi="宋体" w:eastAsia="宋体" w:cs="宋体"/>
          <w:color w:val="auto"/>
          <w:sz w:val="24"/>
          <w:szCs w:val="24"/>
          <w:highlight w:val="none"/>
        </w:rPr>
        <w:t>处罚或者责令停产停业、吊销许可证或者执照、较大数额罚款等行政处罚。）</w:t>
      </w:r>
    </w:p>
    <w:p w14:paraId="587E3CD8">
      <w:pPr>
        <w:pStyle w:val="7"/>
        <w:shd w:val="clear"/>
        <w:snapToGrid w:val="0"/>
        <w:spacing w:line="360" w:lineRule="auto"/>
        <w:rPr>
          <w:rFonts w:hint="eastAsia" w:ascii="宋体" w:hAnsi="宋体" w:eastAsia="宋体" w:cs="宋体"/>
          <w:color w:val="auto"/>
          <w:sz w:val="24"/>
          <w:szCs w:val="24"/>
          <w:highlight w:val="none"/>
        </w:rPr>
      </w:pPr>
    </w:p>
    <w:p w14:paraId="2750C5E6">
      <w:pPr>
        <w:pStyle w:val="7"/>
        <w:shd w:val="clear"/>
        <w:snapToGrid w:val="0"/>
        <w:spacing w:line="360" w:lineRule="auto"/>
        <w:ind w:left="87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声明人：（公章）</w:t>
      </w: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 xml:space="preserve">                     </w:t>
      </w:r>
    </w:p>
    <w:p w14:paraId="7CE81CD7">
      <w:pPr>
        <w:pStyle w:val="7"/>
        <w:shd w:val="clear"/>
        <w:tabs>
          <w:tab w:val="left" w:pos="839"/>
          <w:tab w:val="left" w:pos="1679"/>
        </w:tabs>
        <w:snapToGrid w:val="0"/>
        <w:spacing w:line="360" w:lineRule="auto"/>
        <w:ind w:right="89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rPr>
        <w:tab/>
      </w:r>
      <w:r>
        <w:rPr>
          <w:rFonts w:hint="eastAsia" w:ascii="宋体" w:hAnsi="宋体" w:eastAsia="宋体" w:cs="宋体"/>
          <w:color w:val="auto"/>
          <w:w w:val="95"/>
          <w:sz w:val="24"/>
          <w:szCs w:val="24"/>
          <w:highlight w:val="none"/>
        </w:rPr>
        <w:t>日</w:t>
      </w:r>
    </w:p>
    <w:p w14:paraId="44A8B274">
      <w:pPr>
        <w:shd w:val="clear"/>
        <w:snapToGrid w:val="0"/>
        <w:spacing w:line="360" w:lineRule="auto"/>
        <w:jc w:val="right"/>
        <w:rPr>
          <w:rFonts w:hint="eastAsia" w:ascii="微软雅黑" w:hAnsi="微软雅黑" w:eastAsia="微软雅黑" w:cs="微软雅黑"/>
          <w:color w:val="auto"/>
          <w:highlight w:val="none"/>
        </w:rPr>
        <w:sectPr>
          <w:pgSz w:w="11910" w:h="16840"/>
          <w:pgMar w:top="1338" w:right="1134" w:bottom="1179" w:left="1134" w:header="0" w:footer="992" w:gutter="0"/>
          <w:cols w:space="425" w:num="1"/>
        </w:sectPr>
      </w:pPr>
    </w:p>
    <w:p w14:paraId="31F6D98F">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79" w:name="_Toc17302"/>
      <w:r>
        <w:rPr>
          <w:rFonts w:hint="eastAsia" w:ascii="宋体" w:hAnsi="宋体" w:eastAsia="宋体" w:cs="宋体"/>
          <w:b/>
          <w:color w:val="auto"/>
          <w:sz w:val="24"/>
          <w:szCs w:val="24"/>
          <w:highlight w:val="none"/>
        </w:rPr>
        <w:t>附件十</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、具备履行合同所必需的设备和专业技术能力的书面声明</w:t>
      </w:r>
      <w:bookmarkEnd w:id="79"/>
    </w:p>
    <w:p w14:paraId="182C2680">
      <w:pPr>
        <w:pStyle w:val="7"/>
        <w:shd w:val="clear"/>
        <w:snapToGrid w:val="0"/>
        <w:spacing w:line="360" w:lineRule="auto"/>
        <w:ind w:left="878" w:right="898" w:firstLine="492"/>
        <w:rPr>
          <w:rFonts w:hint="eastAsia" w:ascii="宋体" w:hAnsi="宋体" w:eastAsia="宋体" w:cs="宋体"/>
          <w:color w:val="auto"/>
          <w:spacing w:val="-3"/>
          <w:w w:val="95"/>
          <w:sz w:val="24"/>
          <w:szCs w:val="24"/>
          <w:highlight w:val="none"/>
        </w:rPr>
      </w:pPr>
    </w:p>
    <w:p w14:paraId="0EC21980">
      <w:pPr>
        <w:pStyle w:val="7"/>
        <w:shd w:val="clear"/>
        <w:snapToGrid w:val="0"/>
        <w:spacing w:line="360" w:lineRule="auto"/>
        <w:ind w:left="878" w:right="898" w:firstLine="492"/>
        <w:rPr>
          <w:rFonts w:hint="eastAsia" w:ascii="宋体" w:hAnsi="宋体" w:eastAsia="宋体" w:cs="宋体"/>
          <w:color w:val="auto"/>
          <w:spacing w:val="-3"/>
          <w:w w:val="95"/>
          <w:sz w:val="24"/>
          <w:szCs w:val="24"/>
          <w:highlight w:val="none"/>
        </w:rPr>
      </w:pPr>
    </w:p>
    <w:p w14:paraId="7287588A">
      <w:pPr>
        <w:pStyle w:val="7"/>
        <w:shd w:val="clear"/>
        <w:snapToGrid w:val="0"/>
        <w:spacing w:line="360" w:lineRule="auto"/>
        <w:ind w:left="878" w:right="898" w:firstLine="492"/>
        <w:rPr>
          <w:rFonts w:hint="eastAsia" w:ascii="宋体" w:hAnsi="宋体" w:eastAsia="宋体" w:cs="宋体"/>
          <w:color w:val="auto"/>
          <w:sz w:val="24"/>
          <w:szCs w:val="24"/>
          <w:highlight w:val="none"/>
        </w:rPr>
      </w:pPr>
      <w:r>
        <w:rPr>
          <w:rFonts w:hint="eastAsia" w:ascii="宋体" w:hAnsi="宋体" w:eastAsia="宋体" w:cs="宋体"/>
          <w:color w:val="auto"/>
          <w:spacing w:val="-3"/>
          <w:w w:val="95"/>
          <w:sz w:val="24"/>
          <w:szCs w:val="24"/>
          <w:highlight w:val="none"/>
        </w:rPr>
        <w:t>我公司郑重声明：我公司具备履行本项采购合同所必需的设备和专业技术能力，为履行</w:t>
      </w:r>
      <w:r>
        <w:rPr>
          <w:rFonts w:hint="eastAsia" w:ascii="宋体" w:hAnsi="宋体" w:eastAsia="宋体" w:cs="宋体"/>
          <w:color w:val="auto"/>
          <w:spacing w:val="-3"/>
          <w:sz w:val="24"/>
          <w:szCs w:val="24"/>
          <w:highlight w:val="none"/>
        </w:rPr>
        <w:t>本项采购合同我公司具备如下主要设备和主要专业技术能力：</w:t>
      </w:r>
    </w:p>
    <w:p w14:paraId="62390BB3">
      <w:pPr>
        <w:pStyle w:val="7"/>
        <w:shd w:val="clear"/>
        <w:tabs>
          <w:tab w:val="left" w:pos="4099"/>
        </w:tabs>
        <w:snapToGrid w:val="0"/>
        <w:spacing w:line="360" w:lineRule="auto"/>
        <w:ind w:left="13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主要设备有：</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CC16DF3">
      <w:pPr>
        <w:pStyle w:val="7"/>
        <w:shd w:val="clear"/>
        <w:tabs>
          <w:tab w:val="left" w:pos="4099"/>
        </w:tabs>
        <w:snapToGrid w:val="0"/>
        <w:spacing w:line="360" w:lineRule="auto"/>
        <w:ind w:left="13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主要专业技术能力有：</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15809878">
      <w:pPr>
        <w:pStyle w:val="7"/>
        <w:shd w:val="clear"/>
        <w:snapToGrid w:val="0"/>
        <w:spacing w:line="360" w:lineRule="auto"/>
        <w:rPr>
          <w:rFonts w:hint="eastAsia" w:ascii="宋体" w:hAnsi="宋体" w:eastAsia="宋体" w:cs="宋体"/>
          <w:color w:val="auto"/>
          <w:sz w:val="24"/>
          <w:szCs w:val="24"/>
          <w:highlight w:val="none"/>
        </w:rPr>
      </w:pPr>
    </w:p>
    <w:p w14:paraId="482271B4">
      <w:pPr>
        <w:pStyle w:val="7"/>
        <w:shd w:val="clear"/>
        <w:snapToGrid w:val="0"/>
        <w:spacing w:line="360" w:lineRule="auto"/>
        <w:ind w:right="428"/>
        <w:jc w:val="center"/>
        <w:rPr>
          <w:rFonts w:hint="eastAsia" w:ascii="宋体" w:hAnsi="宋体" w:eastAsia="宋体" w:cs="宋体"/>
          <w:color w:val="auto"/>
          <w:sz w:val="24"/>
          <w:szCs w:val="24"/>
          <w:highlight w:val="none"/>
        </w:rPr>
      </w:pPr>
      <w:r>
        <w:rPr>
          <w:rFonts w:hint="eastAsia" w:ascii="宋体" w:hAnsi="宋体" w:eastAsia="宋体" w:cs="宋体"/>
          <w:color w:val="auto"/>
          <w:spacing w:val="-2"/>
          <w:w w:val="95"/>
          <w:sz w:val="24"/>
          <w:szCs w:val="24"/>
          <w:highlight w:val="none"/>
          <w:lang w:val="en-US" w:eastAsia="zh-CN"/>
        </w:rPr>
        <w:t xml:space="preserve">                                               </w:t>
      </w:r>
      <w:r>
        <w:rPr>
          <w:rFonts w:hint="eastAsia" w:ascii="宋体" w:hAnsi="宋体" w:eastAsia="宋体" w:cs="宋体"/>
          <w:color w:val="auto"/>
          <w:spacing w:val="-2"/>
          <w:w w:val="95"/>
          <w:sz w:val="24"/>
          <w:szCs w:val="24"/>
          <w:highlight w:val="none"/>
        </w:rPr>
        <w:t>投标人</w:t>
      </w:r>
      <w:r>
        <w:rPr>
          <w:rFonts w:hint="eastAsia" w:ascii="宋体" w:hAnsi="宋体" w:eastAsia="宋体" w:cs="宋体"/>
          <w:color w:val="auto"/>
          <w:spacing w:val="-2"/>
          <w:w w:val="95"/>
          <w:sz w:val="24"/>
          <w:szCs w:val="24"/>
          <w:highlight w:val="none"/>
          <w:lang w:eastAsia="zh-CN"/>
        </w:rPr>
        <w:t>名</w:t>
      </w:r>
      <w:r>
        <w:rPr>
          <w:rFonts w:hint="eastAsia" w:ascii="宋体" w:hAnsi="宋体" w:eastAsia="宋体" w:cs="宋体"/>
          <w:color w:val="auto"/>
          <w:spacing w:val="-2"/>
          <w:w w:val="95"/>
          <w:sz w:val="24"/>
          <w:szCs w:val="24"/>
          <w:highlight w:val="none"/>
        </w:rPr>
        <w:t>称(加盖公章)：</w:t>
      </w:r>
    </w:p>
    <w:p w14:paraId="69BA95B7">
      <w:pPr>
        <w:pStyle w:val="7"/>
        <w:shd w:val="clear"/>
        <w:snapToGrid w:val="0"/>
        <w:spacing w:line="360" w:lineRule="auto"/>
        <w:ind w:right="428"/>
        <w:jc w:val="center"/>
        <w:rPr>
          <w:rFonts w:hint="eastAsia" w:ascii="宋体" w:hAnsi="宋体" w:eastAsia="宋体" w:cs="宋体"/>
          <w:color w:val="auto"/>
          <w:spacing w:val="-7"/>
          <w:w w:val="95"/>
          <w:sz w:val="24"/>
          <w:szCs w:val="24"/>
          <w:highlight w:val="none"/>
        </w:rPr>
      </w:pPr>
      <w:r>
        <w:rPr>
          <w:rFonts w:hint="eastAsia" w:ascii="宋体" w:hAnsi="宋体" w:eastAsia="宋体" w:cs="宋体"/>
          <w:color w:val="auto"/>
          <w:w w:val="95"/>
          <w:sz w:val="24"/>
          <w:szCs w:val="24"/>
          <w:highlight w:val="none"/>
          <w:lang w:val="en-US" w:eastAsia="zh-CN"/>
        </w:rPr>
        <w:t xml:space="preserve">                                                </w:t>
      </w:r>
      <w:r>
        <w:rPr>
          <w:rFonts w:hint="eastAsia" w:ascii="宋体" w:hAnsi="宋体" w:eastAsia="宋体" w:cs="宋体"/>
          <w:color w:val="auto"/>
          <w:w w:val="95"/>
          <w:sz w:val="24"/>
          <w:szCs w:val="24"/>
          <w:highlight w:val="none"/>
        </w:rPr>
        <w:t>授权代表（盖章或签字</w:t>
      </w:r>
      <w:r>
        <w:rPr>
          <w:rFonts w:hint="eastAsia" w:ascii="宋体" w:hAnsi="宋体" w:eastAsia="宋体" w:cs="宋体"/>
          <w:color w:val="auto"/>
          <w:spacing w:val="-7"/>
          <w:w w:val="95"/>
          <w:sz w:val="24"/>
          <w:szCs w:val="24"/>
          <w:highlight w:val="none"/>
        </w:rPr>
        <w:t>）：</w:t>
      </w:r>
    </w:p>
    <w:p w14:paraId="6351AE4D">
      <w:pPr>
        <w:pStyle w:val="7"/>
        <w:shd w:val="clear"/>
        <w:tabs>
          <w:tab w:val="left" w:pos="1259"/>
          <w:tab w:val="left" w:pos="1891"/>
          <w:tab w:val="left" w:pos="2519"/>
        </w:tabs>
        <w:snapToGrid w:val="0"/>
        <w:spacing w:line="360" w:lineRule="auto"/>
        <w:ind w:right="898"/>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rPr>
        <w:tab/>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rPr>
        <w:tab/>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rPr>
        <w:tab/>
      </w:r>
      <w:r>
        <w:rPr>
          <w:rFonts w:hint="eastAsia" w:ascii="宋体" w:hAnsi="宋体" w:eastAsia="宋体" w:cs="宋体"/>
          <w:color w:val="auto"/>
          <w:spacing w:val="-1"/>
          <w:w w:val="95"/>
          <w:sz w:val="24"/>
          <w:szCs w:val="24"/>
          <w:highlight w:val="none"/>
          <w:u w:val="none"/>
        </w:rPr>
        <w:t>日</w:t>
      </w:r>
    </w:p>
    <w:p w14:paraId="0F3FA718">
      <w:pPr>
        <w:pStyle w:val="7"/>
        <w:shd w:val="clear"/>
        <w:snapToGrid w:val="0"/>
        <w:spacing w:line="360" w:lineRule="auto"/>
        <w:rPr>
          <w:rFonts w:hint="eastAsia" w:ascii="微软雅黑" w:hAnsi="微软雅黑" w:eastAsia="微软雅黑" w:cs="微软雅黑"/>
          <w:color w:val="auto"/>
          <w:sz w:val="27"/>
          <w:highlight w:val="none"/>
        </w:rPr>
      </w:pPr>
    </w:p>
    <w:p w14:paraId="6C6ADDB0">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bookmarkStart w:id="80" w:name="附件十二、残疾人福利性单位声明函"/>
      <w:bookmarkEnd w:id="80"/>
      <w:bookmarkStart w:id="81" w:name="_Toc26725"/>
      <w:r>
        <w:rPr>
          <w:rFonts w:hint="eastAsia" w:ascii="宋体" w:hAnsi="宋体" w:eastAsia="宋体" w:cs="宋体"/>
          <w:b/>
          <w:color w:val="auto"/>
          <w:sz w:val="24"/>
          <w:szCs w:val="24"/>
          <w:highlight w:val="none"/>
        </w:rPr>
        <w:t>附件十</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、残疾人福利性单位声明函</w:t>
      </w:r>
      <w:bookmarkEnd w:id="81"/>
    </w:p>
    <w:p w14:paraId="27FAEEEE">
      <w:pPr>
        <w:pStyle w:val="7"/>
        <w:shd w:val="clear"/>
        <w:snapToGrid w:val="0"/>
        <w:spacing w:line="360" w:lineRule="auto"/>
        <w:rPr>
          <w:rFonts w:hint="eastAsia" w:ascii="微软雅黑" w:hAnsi="微软雅黑" w:eastAsia="微软雅黑" w:cs="微软雅黑"/>
          <w:b/>
          <w:color w:val="auto"/>
          <w:sz w:val="28"/>
          <w:highlight w:val="none"/>
        </w:rPr>
      </w:pPr>
    </w:p>
    <w:p w14:paraId="1E368941">
      <w:pPr>
        <w:shd w:val="clear"/>
        <w:snapToGrid w:val="0"/>
        <w:spacing w:line="360" w:lineRule="auto"/>
        <w:ind w:left="560" w:right="21"/>
        <w:jc w:val="center"/>
        <w:rPr>
          <w:rFonts w:hint="eastAsia" w:ascii="微软雅黑" w:hAnsi="微软雅黑" w:eastAsia="微软雅黑" w:cs="微软雅黑"/>
          <w:b/>
          <w:color w:val="auto"/>
          <w:sz w:val="28"/>
          <w:highlight w:val="none"/>
        </w:rPr>
      </w:pPr>
      <w:r>
        <w:rPr>
          <w:rFonts w:hint="eastAsia" w:ascii="微软雅黑" w:hAnsi="微软雅黑" w:eastAsia="微软雅黑" w:cs="微软雅黑"/>
          <w:b/>
          <w:color w:val="auto"/>
          <w:sz w:val="28"/>
          <w:highlight w:val="none"/>
        </w:rPr>
        <w:t>残疾人福利性单位声明函</w:t>
      </w:r>
    </w:p>
    <w:p w14:paraId="763877B6">
      <w:pPr>
        <w:pStyle w:val="7"/>
        <w:shd w:val="clear"/>
        <w:tabs>
          <w:tab w:val="left" w:leader="underscore" w:pos="6395"/>
        </w:tabs>
        <w:snapToGrid w:val="0"/>
        <w:spacing w:line="360" w:lineRule="auto"/>
        <w:ind w:left="878" w:right="144" w:firstLine="44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本</w:t>
      </w:r>
      <w:r>
        <w:rPr>
          <w:rFonts w:hint="eastAsia" w:ascii="宋体" w:hAnsi="宋体" w:eastAsia="宋体" w:cs="宋体"/>
          <w:color w:val="auto"/>
          <w:spacing w:val="14"/>
          <w:sz w:val="24"/>
          <w:szCs w:val="24"/>
          <w:highlight w:val="none"/>
        </w:rPr>
        <w:t>单</w:t>
      </w:r>
      <w:r>
        <w:rPr>
          <w:rFonts w:hint="eastAsia" w:ascii="宋体" w:hAnsi="宋体" w:eastAsia="宋体" w:cs="宋体"/>
          <w:color w:val="auto"/>
          <w:spacing w:val="11"/>
          <w:sz w:val="24"/>
          <w:szCs w:val="24"/>
          <w:highlight w:val="none"/>
        </w:rPr>
        <w:t>位</w:t>
      </w:r>
      <w:r>
        <w:rPr>
          <w:rFonts w:hint="eastAsia" w:ascii="宋体" w:hAnsi="宋体" w:eastAsia="宋体" w:cs="宋体"/>
          <w:color w:val="auto"/>
          <w:spacing w:val="14"/>
          <w:sz w:val="24"/>
          <w:szCs w:val="24"/>
          <w:highlight w:val="none"/>
        </w:rPr>
        <w:t>郑</w:t>
      </w:r>
      <w:r>
        <w:rPr>
          <w:rFonts w:hint="eastAsia" w:ascii="宋体" w:hAnsi="宋体" w:eastAsia="宋体" w:cs="宋体"/>
          <w:color w:val="auto"/>
          <w:spacing w:val="11"/>
          <w:sz w:val="24"/>
          <w:szCs w:val="24"/>
          <w:highlight w:val="none"/>
        </w:rPr>
        <w:t>重</w:t>
      </w:r>
      <w:r>
        <w:rPr>
          <w:rFonts w:hint="eastAsia" w:ascii="宋体" w:hAnsi="宋体" w:eastAsia="宋体" w:cs="宋体"/>
          <w:color w:val="auto"/>
          <w:spacing w:val="14"/>
          <w:sz w:val="24"/>
          <w:szCs w:val="24"/>
          <w:highlight w:val="none"/>
        </w:rPr>
        <w:t>声</w:t>
      </w:r>
      <w:r>
        <w:rPr>
          <w:rFonts w:hint="eastAsia" w:ascii="宋体" w:hAnsi="宋体" w:eastAsia="宋体" w:cs="宋体"/>
          <w:color w:val="auto"/>
          <w:spacing w:val="11"/>
          <w:sz w:val="24"/>
          <w:szCs w:val="24"/>
          <w:highlight w:val="none"/>
        </w:rPr>
        <w:t>明</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1"/>
          <w:sz w:val="24"/>
          <w:szCs w:val="24"/>
          <w:highlight w:val="none"/>
        </w:rPr>
        <w:t>根</w:t>
      </w:r>
      <w:r>
        <w:rPr>
          <w:rFonts w:hint="eastAsia" w:ascii="宋体" w:hAnsi="宋体" w:eastAsia="宋体" w:cs="宋体"/>
          <w:color w:val="auto"/>
          <w:spacing w:val="-10"/>
          <w:sz w:val="24"/>
          <w:szCs w:val="24"/>
          <w:highlight w:val="none"/>
        </w:rPr>
        <w:t>据</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11"/>
          <w:sz w:val="24"/>
          <w:szCs w:val="24"/>
          <w:highlight w:val="none"/>
        </w:rPr>
        <w:t>财</w:t>
      </w:r>
      <w:r>
        <w:rPr>
          <w:rFonts w:hint="eastAsia" w:ascii="宋体" w:hAnsi="宋体" w:eastAsia="宋体" w:cs="宋体"/>
          <w:color w:val="auto"/>
          <w:spacing w:val="14"/>
          <w:sz w:val="24"/>
          <w:szCs w:val="24"/>
          <w:highlight w:val="none"/>
        </w:rPr>
        <w:t>政</w:t>
      </w:r>
      <w:r>
        <w:rPr>
          <w:rFonts w:hint="eastAsia" w:ascii="宋体" w:hAnsi="宋体" w:eastAsia="宋体" w:cs="宋体"/>
          <w:color w:val="auto"/>
          <w:sz w:val="24"/>
          <w:szCs w:val="24"/>
          <w:highlight w:val="none"/>
        </w:rPr>
        <w:t>部</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11"/>
          <w:sz w:val="24"/>
          <w:szCs w:val="24"/>
          <w:highlight w:val="none"/>
        </w:rPr>
        <w:t>民</w:t>
      </w:r>
      <w:r>
        <w:rPr>
          <w:rFonts w:hint="eastAsia" w:ascii="宋体" w:hAnsi="宋体" w:eastAsia="宋体" w:cs="宋体"/>
          <w:color w:val="auto"/>
          <w:spacing w:val="14"/>
          <w:sz w:val="24"/>
          <w:szCs w:val="24"/>
          <w:highlight w:val="none"/>
        </w:rPr>
        <w:t>政</w:t>
      </w:r>
      <w:r>
        <w:rPr>
          <w:rFonts w:hint="eastAsia" w:ascii="宋体" w:hAnsi="宋体" w:eastAsia="宋体" w:cs="宋体"/>
          <w:color w:val="auto"/>
          <w:sz w:val="24"/>
          <w:szCs w:val="24"/>
          <w:highlight w:val="none"/>
        </w:rPr>
        <w:t>部</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1"/>
          <w:sz w:val="24"/>
          <w:szCs w:val="24"/>
          <w:highlight w:val="none"/>
        </w:rPr>
        <w:t>中</w:t>
      </w:r>
      <w:r>
        <w:rPr>
          <w:rFonts w:hint="eastAsia" w:ascii="宋体" w:hAnsi="宋体" w:eastAsia="宋体" w:cs="宋体"/>
          <w:color w:val="auto"/>
          <w:spacing w:val="14"/>
          <w:sz w:val="24"/>
          <w:szCs w:val="24"/>
          <w:highlight w:val="none"/>
        </w:rPr>
        <w:t>国</w:t>
      </w:r>
      <w:r>
        <w:rPr>
          <w:rFonts w:hint="eastAsia" w:ascii="宋体" w:hAnsi="宋体" w:eastAsia="宋体" w:cs="宋体"/>
          <w:color w:val="auto"/>
          <w:spacing w:val="11"/>
          <w:sz w:val="24"/>
          <w:szCs w:val="24"/>
          <w:highlight w:val="none"/>
        </w:rPr>
        <w:t>残</w:t>
      </w:r>
      <w:r>
        <w:rPr>
          <w:rFonts w:hint="eastAsia" w:ascii="宋体" w:hAnsi="宋体" w:eastAsia="宋体" w:cs="宋体"/>
          <w:color w:val="auto"/>
          <w:spacing w:val="14"/>
          <w:sz w:val="24"/>
          <w:szCs w:val="24"/>
          <w:highlight w:val="none"/>
        </w:rPr>
        <w:t>疾</w:t>
      </w:r>
      <w:r>
        <w:rPr>
          <w:rFonts w:hint="eastAsia" w:ascii="宋体" w:hAnsi="宋体" w:eastAsia="宋体" w:cs="宋体"/>
          <w:color w:val="auto"/>
          <w:spacing w:val="11"/>
          <w:sz w:val="24"/>
          <w:szCs w:val="24"/>
          <w:highlight w:val="none"/>
        </w:rPr>
        <w:t>人</w:t>
      </w:r>
      <w:r>
        <w:rPr>
          <w:rFonts w:hint="eastAsia" w:ascii="宋体" w:hAnsi="宋体" w:eastAsia="宋体" w:cs="宋体"/>
          <w:color w:val="auto"/>
          <w:spacing w:val="14"/>
          <w:sz w:val="24"/>
          <w:szCs w:val="24"/>
          <w:highlight w:val="none"/>
        </w:rPr>
        <w:t>联</w:t>
      </w:r>
      <w:r>
        <w:rPr>
          <w:rFonts w:hint="eastAsia" w:ascii="宋体" w:hAnsi="宋体" w:eastAsia="宋体" w:cs="宋体"/>
          <w:color w:val="auto"/>
          <w:spacing w:val="11"/>
          <w:sz w:val="24"/>
          <w:szCs w:val="24"/>
          <w:highlight w:val="none"/>
        </w:rPr>
        <w:t>合</w:t>
      </w:r>
      <w:r>
        <w:rPr>
          <w:rFonts w:hint="eastAsia" w:ascii="宋体" w:hAnsi="宋体" w:eastAsia="宋体" w:cs="宋体"/>
          <w:color w:val="auto"/>
          <w:spacing w:val="14"/>
          <w:sz w:val="24"/>
          <w:szCs w:val="24"/>
          <w:highlight w:val="none"/>
        </w:rPr>
        <w:t>会</w:t>
      </w:r>
      <w:r>
        <w:rPr>
          <w:rFonts w:hint="eastAsia" w:ascii="宋体" w:hAnsi="宋体" w:eastAsia="宋体" w:cs="宋体"/>
          <w:color w:val="auto"/>
          <w:spacing w:val="11"/>
          <w:sz w:val="24"/>
          <w:szCs w:val="24"/>
          <w:highlight w:val="none"/>
        </w:rPr>
        <w:t>关</w:t>
      </w:r>
      <w:r>
        <w:rPr>
          <w:rFonts w:hint="eastAsia" w:ascii="宋体" w:hAnsi="宋体" w:eastAsia="宋体" w:cs="宋体"/>
          <w:color w:val="auto"/>
          <w:spacing w:val="14"/>
          <w:sz w:val="24"/>
          <w:szCs w:val="24"/>
          <w:highlight w:val="none"/>
        </w:rPr>
        <w:t>于</w:t>
      </w:r>
      <w:r>
        <w:rPr>
          <w:rFonts w:hint="eastAsia" w:ascii="宋体" w:hAnsi="宋体" w:eastAsia="宋体" w:cs="宋体"/>
          <w:color w:val="auto"/>
          <w:spacing w:val="11"/>
          <w:sz w:val="24"/>
          <w:szCs w:val="24"/>
          <w:highlight w:val="none"/>
        </w:rPr>
        <w:t>促</w:t>
      </w:r>
      <w:r>
        <w:rPr>
          <w:rFonts w:hint="eastAsia" w:ascii="宋体" w:hAnsi="宋体" w:eastAsia="宋体" w:cs="宋体"/>
          <w:color w:val="auto"/>
          <w:spacing w:val="14"/>
          <w:sz w:val="24"/>
          <w:szCs w:val="24"/>
          <w:highlight w:val="none"/>
        </w:rPr>
        <w:t>进</w:t>
      </w:r>
      <w:r>
        <w:rPr>
          <w:rFonts w:hint="eastAsia" w:ascii="宋体" w:hAnsi="宋体" w:eastAsia="宋体" w:cs="宋体"/>
          <w:color w:val="auto"/>
          <w:spacing w:val="11"/>
          <w:sz w:val="24"/>
          <w:szCs w:val="24"/>
          <w:highlight w:val="none"/>
        </w:rPr>
        <w:t>残</w:t>
      </w:r>
      <w:r>
        <w:rPr>
          <w:rFonts w:hint="eastAsia" w:ascii="宋体" w:hAnsi="宋体" w:eastAsia="宋体" w:cs="宋体"/>
          <w:color w:val="auto"/>
          <w:spacing w:val="14"/>
          <w:sz w:val="24"/>
          <w:szCs w:val="24"/>
          <w:highlight w:val="none"/>
        </w:rPr>
        <w:t>疾</w:t>
      </w:r>
      <w:r>
        <w:rPr>
          <w:rFonts w:hint="eastAsia" w:ascii="宋体" w:hAnsi="宋体" w:eastAsia="宋体" w:cs="宋体"/>
          <w:color w:val="auto"/>
          <w:spacing w:val="11"/>
          <w:sz w:val="24"/>
          <w:szCs w:val="24"/>
          <w:highlight w:val="none"/>
        </w:rPr>
        <w:t>人</w:t>
      </w:r>
      <w:r>
        <w:rPr>
          <w:rFonts w:hint="eastAsia" w:ascii="宋体" w:hAnsi="宋体" w:eastAsia="宋体" w:cs="宋体"/>
          <w:color w:val="auto"/>
          <w:spacing w:val="14"/>
          <w:sz w:val="24"/>
          <w:szCs w:val="24"/>
          <w:highlight w:val="none"/>
        </w:rPr>
        <w:t>就</w:t>
      </w:r>
      <w:r>
        <w:rPr>
          <w:rFonts w:hint="eastAsia" w:ascii="宋体" w:hAnsi="宋体" w:eastAsia="宋体" w:cs="宋体"/>
          <w:color w:val="auto"/>
          <w:spacing w:val="11"/>
          <w:sz w:val="24"/>
          <w:szCs w:val="24"/>
          <w:highlight w:val="none"/>
        </w:rPr>
        <w:t>业</w:t>
      </w:r>
      <w:r>
        <w:rPr>
          <w:rFonts w:hint="eastAsia" w:ascii="宋体" w:hAnsi="宋体" w:eastAsia="宋体" w:cs="宋体"/>
          <w:color w:val="auto"/>
          <w:spacing w:val="14"/>
          <w:sz w:val="24"/>
          <w:szCs w:val="24"/>
          <w:highlight w:val="none"/>
        </w:rPr>
        <w:t>政</w:t>
      </w:r>
      <w:r>
        <w:rPr>
          <w:rFonts w:hint="eastAsia" w:ascii="宋体" w:hAnsi="宋体" w:eastAsia="宋体" w:cs="宋体"/>
          <w:color w:val="auto"/>
          <w:spacing w:val="11"/>
          <w:sz w:val="24"/>
          <w:szCs w:val="24"/>
          <w:highlight w:val="none"/>
        </w:rPr>
        <w:t>府</w:t>
      </w:r>
      <w:r>
        <w:rPr>
          <w:rFonts w:hint="eastAsia" w:ascii="宋体" w:hAnsi="宋体" w:eastAsia="宋体" w:cs="宋体"/>
          <w:color w:val="auto"/>
          <w:spacing w:val="14"/>
          <w:sz w:val="24"/>
          <w:szCs w:val="24"/>
          <w:highlight w:val="none"/>
        </w:rPr>
        <w:t>采</w:t>
      </w:r>
      <w:r>
        <w:rPr>
          <w:rFonts w:hint="eastAsia" w:ascii="宋体" w:hAnsi="宋体" w:eastAsia="宋体" w:cs="宋体"/>
          <w:color w:val="auto"/>
          <w:sz w:val="24"/>
          <w:szCs w:val="24"/>
          <w:highlight w:val="none"/>
        </w:rPr>
        <w:t>购</w:t>
      </w:r>
      <w:r>
        <w:rPr>
          <w:rFonts w:hint="eastAsia" w:ascii="宋体" w:hAnsi="宋体" w:eastAsia="宋体" w:cs="宋体"/>
          <w:color w:val="auto"/>
          <w:spacing w:val="14"/>
          <w:sz w:val="24"/>
          <w:szCs w:val="24"/>
          <w:highlight w:val="none"/>
        </w:rPr>
        <w:t>政策的通知</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14"/>
          <w:sz w:val="24"/>
          <w:szCs w:val="24"/>
          <w:highlight w:val="none"/>
        </w:rPr>
        <w:t>（财库〔</w:t>
      </w:r>
      <w:r>
        <w:rPr>
          <w:rFonts w:hint="eastAsia" w:ascii="宋体" w:hAnsi="宋体" w:eastAsia="宋体" w:cs="宋体"/>
          <w:color w:val="auto"/>
          <w:spacing w:val="5"/>
          <w:sz w:val="24"/>
          <w:szCs w:val="24"/>
          <w:highlight w:val="none"/>
        </w:rPr>
        <w:t>2017</w:t>
      </w:r>
      <w:r>
        <w:rPr>
          <w:rFonts w:hint="eastAsia" w:ascii="宋体" w:hAnsi="宋体" w:eastAsia="宋体" w:cs="宋体"/>
          <w:color w:val="auto"/>
          <w:sz w:val="24"/>
          <w:szCs w:val="24"/>
          <w:highlight w:val="none"/>
        </w:rPr>
        <w:t>〕</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141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4"/>
          <w:sz w:val="24"/>
          <w:szCs w:val="24"/>
          <w:highlight w:val="none"/>
        </w:rPr>
        <w:t>号）的规定</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14"/>
          <w:sz w:val="24"/>
          <w:szCs w:val="24"/>
          <w:highlight w:val="none"/>
        </w:rPr>
        <w:t>本单位</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04"/>
          <w:sz w:val="24"/>
          <w:szCs w:val="24"/>
          <w:highlight w:val="none"/>
          <w:u w:val="single"/>
        </w:rPr>
        <w:t xml:space="preserve"> </w:t>
      </w:r>
      <w:r>
        <w:rPr>
          <w:rFonts w:hint="eastAsia" w:ascii="宋体" w:hAnsi="宋体" w:eastAsia="宋体" w:cs="宋体"/>
          <w:color w:val="auto"/>
          <w:spacing w:val="14"/>
          <w:sz w:val="24"/>
          <w:szCs w:val="24"/>
          <w:highlight w:val="none"/>
        </w:rPr>
        <w:t>（符合</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4"/>
          <w:sz w:val="24"/>
          <w:szCs w:val="24"/>
          <w:highlight w:val="none"/>
        </w:rPr>
        <w:t>不符合</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4"/>
          <w:sz w:val="24"/>
          <w:szCs w:val="24"/>
          <w:highlight w:val="none"/>
        </w:rPr>
        <w:t>条</w:t>
      </w:r>
      <w:r>
        <w:rPr>
          <w:rFonts w:hint="eastAsia" w:ascii="宋体" w:hAnsi="宋体" w:eastAsia="宋体" w:cs="宋体"/>
          <w:color w:val="auto"/>
          <w:sz w:val="24"/>
          <w:szCs w:val="24"/>
          <w:highlight w:val="none"/>
        </w:rPr>
        <w:t>件</w:t>
      </w:r>
      <w:r>
        <w:rPr>
          <w:rFonts w:hint="eastAsia" w:ascii="宋体" w:hAnsi="宋体" w:eastAsia="宋体" w:cs="宋体"/>
          <w:color w:val="auto"/>
          <w:spacing w:val="11"/>
          <w:sz w:val="24"/>
          <w:szCs w:val="24"/>
          <w:highlight w:val="none"/>
        </w:rPr>
        <w:t>的</w:t>
      </w:r>
      <w:r>
        <w:rPr>
          <w:rFonts w:hint="eastAsia" w:ascii="宋体" w:hAnsi="宋体" w:eastAsia="宋体" w:cs="宋体"/>
          <w:color w:val="auto"/>
          <w:spacing w:val="14"/>
          <w:sz w:val="24"/>
          <w:szCs w:val="24"/>
          <w:highlight w:val="none"/>
        </w:rPr>
        <w:t>残</w:t>
      </w:r>
      <w:r>
        <w:rPr>
          <w:rFonts w:hint="eastAsia" w:ascii="宋体" w:hAnsi="宋体" w:eastAsia="宋体" w:cs="宋体"/>
          <w:color w:val="auto"/>
          <w:spacing w:val="11"/>
          <w:sz w:val="24"/>
          <w:szCs w:val="24"/>
          <w:highlight w:val="none"/>
        </w:rPr>
        <w:t>疾</w:t>
      </w:r>
      <w:r>
        <w:rPr>
          <w:rFonts w:hint="eastAsia" w:ascii="宋体" w:hAnsi="宋体" w:eastAsia="宋体" w:cs="宋体"/>
          <w:color w:val="auto"/>
          <w:spacing w:val="14"/>
          <w:sz w:val="24"/>
          <w:szCs w:val="24"/>
          <w:highlight w:val="none"/>
        </w:rPr>
        <w:t>人</w:t>
      </w:r>
      <w:r>
        <w:rPr>
          <w:rFonts w:hint="eastAsia" w:ascii="宋体" w:hAnsi="宋体" w:eastAsia="宋体" w:cs="宋体"/>
          <w:color w:val="auto"/>
          <w:spacing w:val="11"/>
          <w:sz w:val="24"/>
          <w:szCs w:val="24"/>
          <w:highlight w:val="none"/>
        </w:rPr>
        <w:t>福</w:t>
      </w:r>
      <w:r>
        <w:rPr>
          <w:rFonts w:hint="eastAsia" w:ascii="宋体" w:hAnsi="宋体" w:eastAsia="宋体" w:cs="宋体"/>
          <w:color w:val="auto"/>
          <w:spacing w:val="14"/>
          <w:sz w:val="24"/>
          <w:szCs w:val="24"/>
          <w:highlight w:val="none"/>
        </w:rPr>
        <w:t>利</w:t>
      </w:r>
      <w:r>
        <w:rPr>
          <w:rFonts w:hint="eastAsia" w:ascii="宋体" w:hAnsi="宋体" w:eastAsia="宋体" w:cs="宋体"/>
          <w:color w:val="auto"/>
          <w:spacing w:val="11"/>
          <w:sz w:val="24"/>
          <w:szCs w:val="24"/>
          <w:highlight w:val="none"/>
        </w:rPr>
        <w:t>性</w:t>
      </w:r>
      <w:r>
        <w:rPr>
          <w:rFonts w:hint="eastAsia" w:ascii="宋体" w:hAnsi="宋体" w:eastAsia="宋体" w:cs="宋体"/>
          <w:color w:val="auto"/>
          <w:spacing w:val="14"/>
          <w:sz w:val="24"/>
          <w:szCs w:val="24"/>
          <w:highlight w:val="none"/>
        </w:rPr>
        <w:t>单</w:t>
      </w:r>
      <w:r>
        <w:rPr>
          <w:rFonts w:hint="eastAsia" w:ascii="宋体" w:hAnsi="宋体" w:eastAsia="宋体" w:cs="宋体"/>
          <w:color w:val="auto"/>
          <w:spacing w:val="11"/>
          <w:sz w:val="24"/>
          <w:szCs w:val="24"/>
          <w:highlight w:val="none"/>
        </w:rPr>
        <w:t>位</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11"/>
          <w:sz w:val="24"/>
          <w:szCs w:val="24"/>
          <w:highlight w:val="none"/>
        </w:rPr>
        <w:t>且</w:t>
      </w:r>
      <w:r>
        <w:rPr>
          <w:rFonts w:hint="eastAsia" w:ascii="宋体" w:hAnsi="宋体" w:eastAsia="宋体" w:cs="宋体"/>
          <w:color w:val="auto"/>
          <w:spacing w:val="14"/>
          <w:sz w:val="24"/>
          <w:szCs w:val="24"/>
          <w:highlight w:val="none"/>
        </w:rPr>
        <w:t>本</w:t>
      </w:r>
      <w:r>
        <w:rPr>
          <w:rFonts w:hint="eastAsia" w:ascii="宋体" w:hAnsi="宋体" w:eastAsia="宋体" w:cs="宋体"/>
          <w:color w:val="auto"/>
          <w:spacing w:val="11"/>
          <w:sz w:val="24"/>
          <w:szCs w:val="24"/>
          <w:highlight w:val="none"/>
        </w:rPr>
        <w:t>单</w:t>
      </w:r>
      <w:r>
        <w:rPr>
          <w:rFonts w:hint="eastAsia" w:ascii="宋体" w:hAnsi="宋体" w:eastAsia="宋体" w:cs="宋体"/>
          <w:color w:val="auto"/>
          <w:spacing w:val="14"/>
          <w:sz w:val="24"/>
          <w:szCs w:val="24"/>
          <w:highlight w:val="none"/>
        </w:rPr>
        <w:t>位</w:t>
      </w:r>
      <w:r>
        <w:rPr>
          <w:rFonts w:hint="eastAsia" w:ascii="宋体" w:hAnsi="宋体" w:eastAsia="宋体" w:cs="宋体"/>
          <w:color w:val="auto"/>
          <w:spacing w:val="11"/>
          <w:sz w:val="24"/>
          <w:szCs w:val="24"/>
          <w:highlight w:val="none"/>
        </w:rPr>
        <w:t>参</w:t>
      </w:r>
      <w:r>
        <w:rPr>
          <w:rFonts w:hint="eastAsia" w:ascii="宋体" w:hAnsi="宋体" w:eastAsia="宋体" w:cs="宋体"/>
          <w:color w:val="auto"/>
          <w:spacing w:val="14"/>
          <w:sz w:val="24"/>
          <w:szCs w:val="24"/>
          <w:highlight w:val="none"/>
        </w:rPr>
        <w:t>加</w:t>
      </w:r>
      <w:r>
        <w:rPr>
          <w:rFonts w:hint="eastAsia" w:ascii="宋体" w:hAnsi="宋体" w:eastAsia="宋体" w:cs="宋体"/>
          <w:color w:val="auto"/>
          <w:spacing w:val="6"/>
          <w:sz w:val="24"/>
          <w:szCs w:val="24"/>
          <w:highlight w:val="none"/>
        </w:rPr>
        <w:t>______</w:t>
      </w:r>
      <w:r>
        <w:rPr>
          <w:rFonts w:hint="eastAsia" w:ascii="宋体" w:hAnsi="宋体" w:eastAsia="宋体" w:cs="宋体"/>
          <w:color w:val="auto"/>
          <w:spacing w:val="11"/>
          <w:sz w:val="24"/>
          <w:szCs w:val="24"/>
          <w:highlight w:val="none"/>
        </w:rPr>
        <w:t>单</w:t>
      </w:r>
      <w:r>
        <w:rPr>
          <w:rFonts w:hint="eastAsia" w:ascii="宋体" w:hAnsi="宋体" w:eastAsia="宋体" w:cs="宋体"/>
          <w:color w:val="auto"/>
          <w:spacing w:val="14"/>
          <w:sz w:val="24"/>
          <w:szCs w:val="24"/>
          <w:highlight w:val="none"/>
        </w:rPr>
        <w:t>位</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rPr>
        <w:tab/>
      </w:r>
      <w:r>
        <w:rPr>
          <w:rFonts w:hint="eastAsia" w:ascii="宋体" w:hAnsi="宋体" w:eastAsia="宋体" w:cs="宋体"/>
          <w:color w:val="auto"/>
          <w:spacing w:val="11"/>
          <w:w w:val="95"/>
          <w:sz w:val="24"/>
          <w:szCs w:val="24"/>
          <w:highlight w:val="none"/>
        </w:rPr>
        <w:t>项</w:t>
      </w:r>
      <w:r>
        <w:rPr>
          <w:rFonts w:hint="eastAsia" w:ascii="宋体" w:hAnsi="宋体" w:eastAsia="宋体" w:cs="宋体"/>
          <w:color w:val="auto"/>
          <w:spacing w:val="14"/>
          <w:w w:val="95"/>
          <w:sz w:val="24"/>
          <w:szCs w:val="24"/>
          <w:highlight w:val="none"/>
        </w:rPr>
        <w:t>目</w:t>
      </w:r>
      <w:r>
        <w:rPr>
          <w:rFonts w:hint="eastAsia" w:ascii="宋体" w:hAnsi="宋体" w:eastAsia="宋体" w:cs="宋体"/>
          <w:color w:val="auto"/>
          <w:spacing w:val="11"/>
          <w:w w:val="95"/>
          <w:sz w:val="24"/>
          <w:szCs w:val="24"/>
          <w:highlight w:val="none"/>
        </w:rPr>
        <w:t>采</w:t>
      </w:r>
      <w:r>
        <w:rPr>
          <w:rFonts w:hint="eastAsia" w:ascii="宋体" w:hAnsi="宋体" w:eastAsia="宋体" w:cs="宋体"/>
          <w:color w:val="auto"/>
          <w:spacing w:val="14"/>
          <w:w w:val="95"/>
          <w:sz w:val="24"/>
          <w:szCs w:val="24"/>
          <w:highlight w:val="none"/>
        </w:rPr>
        <w:t>购</w:t>
      </w:r>
      <w:r>
        <w:rPr>
          <w:rFonts w:hint="eastAsia" w:ascii="宋体" w:hAnsi="宋体" w:eastAsia="宋体" w:cs="宋体"/>
          <w:color w:val="auto"/>
          <w:spacing w:val="11"/>
          <w:w w:val="95"/>
          <w:sz w:val="24"/>
          <w:szCs w:val="24"/>
          <w:highlight w:val="none"/>
        </w:rPr>
        <w:t>活</w:t>
      </w:r>
      <w:r>
        <w:rPr>
          <w:rFonts w:hint="eastAsia" w:ascii="宋体" w:hAnsi="宋体" w:eastAsia="宋体" w:cs="宋体"/>
          <w:color w:val="auto"/>
          <w:spacing w:val="14"/>
          <w:w w:val="95"/>
          <w:sz w:val="24"/>
          <w:szCs w:val="24"/>
          <w:highlight w:val="none"/>
        </w:rPr>
        <w:t>动</w:t>
      </w:r>
      <w:r>
        <w:rPr>
          <w:rFonts w:hint="eastAsia" w:ascii="宋体" w:hAnsi="宋体" w:eastAsia="宋体" w:cs="宋体"/>
          <w:color w:val="auto"/>
          <w:spacing w:val="11"/>
          <w:w w:val="95"/>
          <w:sz w:val="24"/>
          <w:szCs w:val="24"/>
          <w:highlight w:val="none"/>
        </w:rPr>
        <w:t>提</w:t>
      </w:r>
      <w:r>
        <w:rPr>
          <w:rFonts w:hint="eastAsia" w:ascii="宋体" w:hAnsi="宋体" w:eastAsia="宋体" w:cs="宋体"/>
          <w:color w:val="auto"/>
          <w:spacing w:val="14"/>
          <w:w w:val="95"/>
          <w:sz w:val="24"/>
          <w:szCs w:val="24"/>
          <w:highlight w:val="none"/>
        </w:rPr>
        <w:t>供</w:t>
      </w:r>
      <w:r>
        <w:rPr>
          <w:rFonts w:hint="eastAsia" w:ascii="宋体" w:hAnsi="宋体" w:eastAsia="宋体" w:cs="宋体"/>
          <w:color w:val="auto"/>
          <w:spacing w:val="11"/>
          <w:w w:val="95"/>
          <w:sz w:val="24"/>
          <w:szCs w:val="24"/>
          <w:highlight w:val="none"/>
        </w:rPr>
        <w:t>本</w:t>
      </w:r>
      <w:r>
        <w:rPr>
          <w:rFonts w:hint="eastAsia" w:ascii="宋体" w:hAnsi="宋体" w:eastAsia="宋体" w:cs="宋体"/>
          <w:color w:val="auto"/>
          <w:spacing w:val="14"/>
          <w:w w:val="95"/>
          <w:sz w:val="24"/>
          <w:szCs w:val="24"/>
          <w:highlight w:val="none"/>
        </w:rPr>
        <w:t>单</w:t>
      </w:r>
      <w:r>
        <w:rPr>
          <w:rFonts w:hint="eastAsia" w:ascii="宋体" w:hAnsi="宋体" w:eastAsia="宋体" w:cs="宋体"/>
          <w:color w:val="auto"/>
          <w:spacing w:val="11"/>
          <w:w w:val="95"/>
          <w:sz w:val="24"/>
          <w:szCs w:val="24"/>
          <w:highlight w:val="none"/>
        </w:rPr>
        <w:t>位</w:t>
      </w:r>
      <w:r>
        <w:rPr>
          <w:rFonts w:hint="eastAsia" w:ascii="宋体" w:hAnsi="宋体" w:eastAsia="宋体" w:cs="宋体"/>
          <w:color w:val="auto"/>
          <w:spacing w:val="14"/>
          <w:w w:val="95"/>
          <w:sz w:val="24"/>
          <w:szCs w:val="24"/>
          <w:highlight w:val="none"/>
        </w:rPr>
        <w:t>制</w:t>
      </w:r>
      <w:r>
        <w:rPr>
          <w:rFonts w:hint="eastAsia" w:ascii="宋体" w:hAnsi="宋体" w:eastAsia="宋体" w:cs="宋体"/>
          <w:color w:val="auto"/>
          <w:spacing w:val="11"/>
          <w:w w:val="95"/>
          <w:sz w:val="24"/>
          <w:szCs w:val="24"/>
          <w:highlight w:val="none"/>
        </w:rPr>
        <w:t>造</w:t>
      </w:r>
      <w:r>
        <w:rPr>
          <w:rFonts w:hint="eastAsia" w:ascii="宋体" w:hAnsi="宋体" w:eastAsia="宋体" w:cs="宋体"/>
          <w:color w:val="auto"/>
          <w:spacing w:val="14"/>
          <w:w w:val="95"/>
          <w:sz w:val="24"/>
          <w:szCs w:val="24"/>
          <w:highlight w:val="none"/>
        </w:rPr>
        <w:t>的</w:t>
      </w:r>
      <w:r>
        <w:rPr>
          <w:rFonts w:hint="eastAsia" w:ascii="宋体" w:hAnsi="宋体" w:eastAsia="宋体" w:cs="宋体"/>
          <w:color w:val="auto"/>
          <w:spacing w:val="11"/>
          <w:w w:val="95"/>
          <w:sz w:val="24"/>
          <w:szCs w:val="24"/>
          <w:highlight w:val="none"/>
        </w:rPr>
        <w:t>货</w:t>
      </w:r>
      <w:r>
        <w:rPr>
          <w:rFonts w:hint="eastAsia" w:ascii="宋体" w:hAnsi="宋体" w:eastAsia="宋体" w:cs="宋体"/>
          <w:color w:val="auto"/>
          <w:w w:val="95"/>
          <w:sz w:val="24"/>
          <w:szCs w:val="24"/>
          <w:highlight w:val="none"/>
        </w:rPr>
        <w:t>物</w:t>
      </w:r>
    </w:p>
    <w:p w14:paraId="15770C39">
      <w:pPr>
        <w:pStyle w:val="7"/>
        <w:shd w:val="clear"/>
        <w:snapToGrid w:val="0"/>
        <w:spacing w:line="360" w:lineRule="auto"/>
        <w:ind w:left="878" w:right="144"/>
        <w:rPr>
          <w:rFonts w:hint="eastAsia" w:ascii="宋体" w:hAnsi="宋体" w:eastAsia="宋体" w:cs="宋体"/>
          <w:color w:val="auto"/>
          <w:sz w:val="24"/>
          <w:szCs w:val="24"/>
          <w:highlight w:val="none"/>
        </w:rPr>
      </w:pPr>
      <w:r>
        <w:rPr>
          <w:rFonts w:hint="eastAsia" w:ascii="宋体" w:hAnsi="宋体" w:eastAsia="宋体" w:cs="宋体"/>
          <w:color w:val="auto"/>
          <w:spacing w:val="14"/>
          <w:w w:val="95"/>
          <w:sz w:val="24"/>
          <w:szCs w:val="24"/>
          <w:highlight w:val="none"/>
        </w:rPr>
        <w:t>（</w:t>
      </w:r>
      <w:r>
        <w:rPr>
          <w:rFonts w:hint="eastAsia" w:ascii="宋体" w:hAnsi="宋体" w:eastAsia="宋体" w:cs="宋体"/>
          <w:color w:val="auto"/>
          <w:spacing w:val="13"/>
          <w:w w:val="95"/>
          <w:sz w:val="24"/>
          <w:szCs w:val="24"/>
          <w:highlight w:val="none"/>
        </w:rPr>
        <w:t>由本单位承担工程</w:t>
      </w:r>
      <w:r>
        <w:rPr>
          <w:rFonts w:hint="eastAsia" w:ascii="宋体" w:hAnsi="宋体" w:eastAsia="宋体" w:cs="宋体"/>
          <w:color w:val="auto"/>
          <w:spacing w:val="8"/>
          <w:w w:val="95"/>
          <w:sz w:val="24"/>
          <w:szCs w:val="24"/>
          <w:highlight w:val="none"/>
        </w:rPr>
        <w:t>/</w:t>
      </w:r>
      <w:r>
        <w:rPr>
          <w:rFonts w:hint="eastAsia" w:ascii="宋体" w:hAnsi="宋体" w:eastAsia="宋体" w:cs="宋体"/>
          <w:color w:val="auto"/>
          <w:spacing w:val="14"/>
          <w:w w:val="95"/>
          <w:sz w:val="24"/>
          <w:szCs w:val="24"/>
          <w:highlight w:val="none"/>
        </w:rPr>
        <w:t>提供服务</w:t>
      </w:r>
      <w:r>
        <w:rPr>
          <w:rFonts w:hint="eastAsia" w:ascii="宋体" w:hAnsi="宋体" w:eastAsia="宋体" w:cs="宋体"/>
          <w:color w:val="auto"/>
          <w:spacing w:val="15"/>
          <w:w w:val="95"/>
          <w:sz w:val="24"/>
          <w:szCs w:val="24"/>
          <w:highlight w:val="none"/>
        </w:rPr>
        <w:t>）</w:t>
      </w:r>
      <w:r>
        <w:rPr>
          <w:rFonts w:hint="eastAsia" w:ascii="宋体" w:hAnsi="宋体" w:eastAsia="宋体" w:cs="宋体"/>
          <w:color w:val="auto"/>
          <w:spacing w:val="14"/>
          <w:w w:val="95"/>
          <w:sz w:val="24"/>
          <w:szCs w:val="24"/>
          <w:highlight w:val="none"/>
        </w:rPr>
        <w:t>，或者提供其他残疾人福利性单位制造的货物（</w:t>
      </w:r>
      <w:r>
        <w:rPr>
          <w:rFonts w:hint="eastAsia" w:ascii="宋体" w:hAnsi="宋体" w:eastAsia="宋体" w:cs="宋体"/>
          <w:color w:val="auto"/>
          <w:spacing w:val="11"/>
          <w:w w:val="95"/>
          <w:sz w:val="24"/>
          <w:szCs w:val="24"/>
          <w:highlight w:val="none"/>
        </w:rPr>
        <w:t xml:space="preserve">不包括使用  </w:t>
      </w:r>
      <w:r>
        <w:rPr>
          <w:rFonts w:hint="eastAsia" w:ascii="宋体" w:hAnsi="宋体" w:eastAsia="宋体" w:cs="宋体"/>
          <w:color w:val="auto"/>
          <w:spacing w:val="11"/>
          <w:sz w:val="24"/>
          <w:szCs w:val="24"/>
          <w:highlight w:val="none"/>
        </w:rPr>
        <w:t>非残疾人福利性单位注册商标的货物）</w:t>
      </w:r>
      <w:r>
        <w:rPr>
          <w:rFonts w:hint="eastAsia" w:ascii="宋体" w:hAnsi="宋体" w:eastAsia="宋体" w:cs="宋体"/>
          <w:color w:val="auto"/>
          <w:sz w:val="24"/>
          <w:szCs w:val="24"/>
          <w:highlight w:val="none"/>
        </w:rPr>
        <w:t>。</w:t>
      </w:r>
    </w:p>
    <w:p w14:paraId="1AC992D9">
      <w:pPr>
        <w:pStyle w:val="7"/>
        <w:shd w:val="clear"/>
        <w:snapToGrid w:val="0"/>
        <w:spacing w:line="360" w:lineRule="auto"/>
        <w:ind w:left="13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039DE9CE">
      <w:pPr>
        <w:pStyle w:val="7"/>
        <w:shd w:val="clear"/>
        <w:snapToGrid w:val="0"/>
        <w:spacing w:line="360" w:lineRule="auto"/>
        <w:ind w:right="428"/>
        <w:jc w:val="right"/>
        <w:rPr>
          <w:rFonts w:hint="eastAsia" w:ascii="宋体" w:hAnsi="宋体" w:eastAsia="宋体" w:cs="宋体"/>
          <w:color w:val="auto"/>
          <w:sz w:val="24"/>
          <w:szCs w:val="24"/>
          <w:highlight w:val="none"/>
        </w:rPr>
      </w:pPr>
    </w:p>
    <w:p w14:paraId="462B64A5">
      <w:pPr>
        <w:pStyle w:val="7"/>
        <w:shd w:val="clear"/>
        <w:snapToGrid w:val="0"/>
        <w:spacing w:line="360" w:lineRule="auto"/>
        <w:ind w:right="428"/>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w:t>
      </w:r>
      <w:r>
        <w:rPr>
          <w:rFonts w:hint="eastAsia" w:ascii="宋体" w:hAnsi="宋体" w:eastAsia="宋体" w:cs="宋体"/>
          <w:color w:val="auto"/>
          <w:sz w:val="24"/>
          <w:szCs w:val="24"/>
          <w:highlight w:val="none"/>
          <w:lang w:eastAsia="zh-CN"/>
        </w:rPr>
        <w:t>名</w:t>
      </w:r>
      <w:r>
        <w:rPr>
          <w:rFonts w:hint="eastAsia" w:ascii="宋体" w:hAnsi="宋体" w:eastAsia="宋体" w:cs="宋体"/>
          <w:color w:val="auto"/>
          <w:sz w:val="24"/>
          <w:szCs w:val="24"/>
          <w:highlight w:val="none"/>
        </w:rPr>
        <w:t xml:space="preserve">称(加盖公章)： </w:t>
      </w:r>
    </w:p>
    <w:p w14:paraId="1D110162">
      <w:pPr>
        <w:pStyle w:val="7"/>
        <w:shd w:val="clear"/>
        <w:snapToGrid w:val="0"/>
        <w:spacing w:line="360" w:lineRule="auto"/>
        <w:ind w:left="0" w:leftChars="0" w:right="970" w:firstLine="6600" w:firstLineChars="27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w:t>
      </w:r>
    </w:p>
    <w:p w14:paraId="51CF5ABF">
      <w:pPr>
        <w:pStyle w:val="7"/>
        <w:shd w:val="clear"/>
        <w:snapToGrid w:val="0"/>
        <w:spacing w:line="360" w:lineRule="auto"/>
        <w:ind w:left="0" w:leftChars="0" w:right="970" w:firstLine="6600" w:firstLineChars="27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月日</w:t>
      </w:r>
      <w:r>
        <w:rPr>
          <w:rFonts w:hint="eastAsia" w:ascii="宋体" w:hAnsi="宋体" w:eastAsia="宋体" w:cs="宋体"/>
          <w:color w:val="auto"/>
          <w:sz w:val="24"/>
          <w:szCs w:val="24"/>
          <w:highlight w:val="none"/>
        </w:rPr>
        <w:tab/>
      </w:r>
    </w:p>
    <w:p w14:paraId="2B4FBDAC">
      <w:pPr>
        <w:pStyle w:val="7"/>
        <w:shd w:val="clear"/>
        <w:tabs>
          <w:tab w:val="left" w:pos="7742"/>
          <w:tab w:val="left" w:pos="8582"/>
          <w:tab w:val="left" w:pos="9213"/>
          <w:tab w:val="left" w:pos="9736"/>
        </w:tabs>
        <w:snapToGrid w:val="0"/>
        <w:spacing w:line="360" w:lineRule="auto"/>
        <w:ind w:left="7113"/>
        <w:rPr>
          <w:rFonts w:hint="eastAsia" w:ascii="微软雅黑" w:hAnsi="微软雅黑" w:eastAsia="微软雅黑" w:cs="微软雅黑"/>
          <w:color w:val="auto"/>
          <w:highlight w:val="none"/>
        </w:rPr>
      </w:pPr>
    </w:p>
    <w:p w14:paraId="502FCCDF">
      <w:pPr>
        <w:shd w:val="clear"/>
        <w:snapToGrid w:val="0"/>
        <w:spacing w:line="360" w:lineRule="auto"/>
        <w:outlineLvl w:val="1"/>
        <w:rPr>
          <w:rFonts w:hint="eastAsia" w:ascii="微软雅黑" w:hAnsi="微软雅黑" w:eastAsia="微软雅黑" w:cs="微软雅黑"/>
          <w:b/>
          <w:color w:val="auto"/>
          <w:sz w:val="21"/>
          <w:highlight w:val="none"/>
        </w:rPr>
      </w:pPr>
      <w:bookmarkStart w:id="82" w:name="附件十五、南京市政府采购供应商信用记录表"/>
      <w:bookmarkEnd w:id="82"/>
      <w:bookmarkStart w:id="83" w:name="_bookmark19"/>
      <w:bookmarkEnd w:id="83"/>
      <w:bookmarkStart w:id="84" w:name="附件十四、投标保证金退还账户信息"/>
      <w:bookmarkEnd w:id="84"/>
      <w:bookmarkStart w:id="85" w:name="_Toc3581"/>
    </w:p>
    <w:p w14:paraId="7D1C8C6D">
      <w:pPr>
        <w:shd w:val="clear"/>
        <w:snapToGrid w:val="0"/>
        <w:spacing w:line="360" w:lineRule="auto"/>
        <w:ind w:left="878" w:hanging="1007" w:hangingChars="418"/>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附件十</w:t>
      </w: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、南京市政府采购供应商信用记录表暨信用承诺书</w:t>
      </w:r>
      <w:bookmarkEnd w:id="85"/>
    </w:p>
    <w:p w14:paraId="3C2A30F2">
      <w:pPr>
        <w:shd w:val="clear"/>
        <w:snapToGrid w:val="0"/>
        <w:ind w:left="2" w:right="21"/>
        <w:jc w:val="center"/>
        <w:rPr>
          <w:rFonts w:hint="eastAsia" w:ascii="微软雅黑" w:hAnsi="微软雅黑" w:eastAsia="微软雅黑" w:cs="微软雅黑"/>
          <w:color w:val="auto"/>
          <w:sz w:val="40"/>
          <w:highlight w:val="none"/>
        </w:rPr>
      </w:pPr>
      <w:r>
        <w:rPr>
          <w:rFonts w:hint="eastAsia" w:ascii="微软雅黑" w:hAnsi="微软雅黑" w:eastAsia="微软雅黑" w:cs="微软雅黑"/>
          <w:color w:val="auto"/>
          <w:sz w:val="40"/>
          <w:highlight w:val="none"/>
        </w:rPr>
        <w:t>南京市政府采购供应商信用记录表暨信用承诺书</w:t>
      </w:r>
    </w:p>
    <w:p w14:paraId="3D2E57D1">
      <w:pPr>
        <w:shd w:val="clear"/>
        <w:snapToGrid w:val="0"/>
        <w:ind w:left="902"/>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rPr>
        <w:t>（仅为示范格式，直接填写无效，需至“南京政府采购供应商诚信档案管理系统”在线打印）</w:t>
      </w:r>
    </w:p>
    <w:p w14:paraId="73D4CDED">
      <w:pPr>
        <w:pStyle w:val="7"/>
        <w:shd w:val="clear"/>
        <w:snapToGrid w:val="0"/>
        <w:spacing w:line="360" w:lineRule="auto"/>
        <w:rPr>
          <w:rFonts w:hint="eastAsia" w:ascii="微软雅黑" w:hAnsi="微软雅黑" w:eastAsia="微软雅黑" w:cs="微软雅黑"/>
          <w:color w:val="auto"/>
          <w:sz w:val="12"/>
          <w:highlight w:val="none"/>
        </w:rPr>
      </w:pPr>
    </w:p>
    <w:tbl>
      <w:tblPr>
        <w:tblStyle w:val="20"/>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74"/>
        <w:gridCol w:w="2268"/>
        <w:gridCol w:w="2835"/>
      </w:tblGrid>
      <w:tr w14:paraId="05C1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3D1A1893">
            <w:pPr>
              <w:shd w:val="clear"/>
              <w:rPr>
                <w:rFonts w:ascii="Calibri" w:hAnsi="Calibri"/>
                <w:b/>
                <w:bCs/>
                <w:color w:val="auto"/>
                <w:sz w:val="24"/>
                <w:szCs w:val="24"/>
                <w:highlight w:val="none"/>
              </w:rPr>
            </w:pPr>
            <w:r>
              <w:rPr>
                <w:rFonts w:hint="eastAsia" w:ascii="Calibri" w:hAnsi="Calibri"/>
                <w:b/>
                <w:bCs/>
                <w:color w:val="auto"/>
                <w:sz w:val="24"/>
                <w:szCs w:val="24"/>
                <w:highlight w:val="none"/>
              </w:rPr>
              <w:t>单位名称</w:t>
            </w:r>
          </w:p>
        </w:tc>
        <w:tc>
          <w:tcPr>
            <w:tcW w:w="2274" w:type="dxa"/>
            <w:shd w:val="clear" w:color="auto" w:fill="auto"/>
            <w:vAlign w:val="center"/>
          </w:tcPr>
          <w:p w14:paraId="73F1E1A4">
            <w:pPr>
              <w:shd w:val="clear"/>
              <w:rPr>
                <w:rFonts w:ascii="Calibri" w:hAnsi="Calibri"/>
                <w:color w:val="auto"/>
                <w:sz w:val="24"/>
                <w:szCs w:val="24"/>
                <w:highlight w:val="none"/>
              </w:rPr>
            </w:pPr>
          </w:p>
        </w:tc>
        <w:tc>
          <w:tcPr>
            <w:tcW w:w="2268" w:type="dxa"/>
            <w:shd w:val="clear" w:color="auto" w:fill="auto"/>
            <w:vAlign w:val="center"/>
          </w:tcPr>
          <w:p w14:paraId="67BFECC3">
            <w:pPr>
              <w:shd w:val="clear"/>
              <w:rPr>
                <w:rFonts w:ascii="Calibri" w:hAnsi="Calibri"/>
                <w:b/>
                <w:bCs/>
                <w:color w:val="auto"/>
                <w:sz w:val="24"/>
                <w:szCs w:val="24"/>
                <w:highlight w:val="none"/>
              </w:rPr>
            </w:pPr>
            <w:r>
              <w:rPr>
                <w:rFonts w:hint="eastAsia" w:ascii="Calibri" w:hAnsi="Calibri"/>
                <w:b/>
                <w:bCs/>
                <w:color w:val="auto"/>
                <w:sz w:val="24"/>
                <w:szCs w:val="24"/>
                <w:highlight w:val="none"/>
              </w:rPr>
              <w:t>统一社会信用代码</w:t>
            </w:r>
          </w:p>
        </w:tc>
        <w:tc>
          <w:tcPr>
            <w:tcW w:w="2835" w:type="dxa"/>
            <w:shd w:val="clear" w:color="auto" w:fill="auto"/>
            <w:vAlign w:val="center"/>
          </w:tcPr>
          <w:p w14:paraId="0775F2A7">
            <w:pPr>
              <w:shd w:val="clear"/>
              <w:rPr>
                <w:rFonts w:ascii="Calibri" w:hAnsi="Calibri"/>
                <w:color w:val="auto"/>
                <w:sz w:val="24"/>
                <w:szCs w:val="24"/>
                <w:highlight w:val="none"/>
              </w:rPr>
            </w:pPr>
          </w:p>
        </w:tc>
      </w:tr>
      <w:tr w14:paraId="6177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59E2EDEC">
            <w:pPr>
              <w:shd w:val="clear"/>
              <w:rPr>
                <w:rFonts w:ascii="Calibri" w:hAnsi="Calibri"/>
                <w:b/>
                <w:bCs/>
                <w:color w:val="auto"/>
                <w:sz w:val="24"/>
                <w:szCs w:val="24"/>
                <w:highlight w:val="none"/>
              </w:rPr>
            </w:pPr>
            <w:r>
              <w:rPr>
                <w:rFonts w:hint="eastAsia" w:ascii="Calibri" w:hAnsi="Calibri"/>
                <w:b/>
                <w:bCs/>
                <w:color w:val="auto"/>
                <w:sz w:val="24"/>
                <w:szCs w:val="24"/>
                <w:highlight w:val="none"/>
              </w:rPr>
              <w:t>法定代表人</w:t>
            </w:r>
          </w:p>
        </w:tc>
        <w:tc>
          <w:tcPr>
            <w:tcW w:w="2274" w:type="dxa"/>
            <w:shd w:val="clear" w:color="auto" w:fill="auto"/>
            <w:vAlign w:val="center"/>
          </w:tcPr>
          <w:p w14:paraId="287AC1AC">
            <w:pPr>
              <w:shd w:val="clear"/>
              <w:rPr>
                <w:rFonts w:ascii="Calibri" w:hAnsi="Calibri"/>
                <w:color w:val="auto"/>
                <w:sz w:val="24"/>
                <w:szCs w:val="24"/>
                <w:highlight w:val="none"/>
              </w:rPr>
            </w:pPr>
          </w:p>
        </w:tc>
        <w:tc>
          <w:tcPr>
            <w:tcW w:w="2268" w:type="dxa"/>
            <w:shd w:val="clear" w:color="auto" w:fill="auto"/>
            <w:vAlign w:val="center"/>
          </w:tcPr>
          <w:p w14:paraId="63470B97">
            <w:pPr>
              <w:shd w:val="clear"/>
              <w:rPr>
                <w:rFonts w:ascii="Calibri" w:hAnsi="Calibri"/>
                <w:b/>
                <w:bCs/>
                <w:color w:val="auto"/>
                <w:sz w:val="24"/>
                <w:szCs w:val="24"/>
                <w:highlight w:val="none"/>
              </w:rPr>
            </w:pPr>
            <w:r>
              <w:rPr>
                <w:rFonts w:hint="eastAsia" w:ascii="Calibri" w:hAnsi="Calibri"/>
                <w:b/>
                <w:bCs/>
                <w:color w:val="auto"/>
                <w:sz w:val="24"/>
                <w:szCs w:val="24"/>
                <w:highlight w:val="none"/>
              </w:rPr>
              <w:t>联系人</w:t>
            </w:r>
          </w:p>
        </w:tc>
        <w:tc>
          <w:tcPr>
            <w:tcW w:w="2835" w:type="dxa"/>
            <w:shd w:val="clear" w:color="auto" w:fill="auto"/>
            <w:vAlign w:val="center"/>
          </w:tcPr>
          <w:p w14:paraId="2FBDC452">
            <w:pPr>
              <w:shd w:val="clear"/>
              <w:rPr>
                <w:rFonts w:ascii="Calibri" w:hAnsi="Calibri"/>
                <w:color w:val="auto"/>
                <w:sz w:val="24"/>
                <w:szCs w:val="24"/>
                <w:highlight w:val="none"/>
              </w:rPr>
            </w:pPr>
          </w:p>
        </w:tc>
      </w:tr>
      <w:tr w14:paraId="70E7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21891F3B">
            <w:pPr>
              <w:shd w:val="clear"/>
              <w:rPr>
                <w:rFonts w:ascii="Calibri" w:hAnsi="Calibri"/>
                <w:b/>
                <w:bCs/>
                <w:color w:val="auto"/>
                <w:sz w:val="24"/>
                <w:szCs w:val="24"/>
                <w:highlight w:val="none"/>
              </w:rPr>
            </w:pPr>
            <w:r>
              <w:rPr>
                <w:rFonts w:hint="eastAsia" w:ascii="Calibri" w:hAnsi="Calibri"/>
                <w:b/>
                <w:bCs/>
                <w:color w:val="auto"/>
                <w:sz w:val="24"/>
                <w:szCs w:val="24"/>
                <w:highlight w:val="none"/>
              </w:rPr>
              <w:t>联系地址</w:t>
            </w:r>
          </w:p>
        </w:tc>
        <w:tc>
          <w:tcPr>
            <w:tcW w:w="2274" w:type="dxa"/>
            <w:shd w:val="clear" w:color="auto" w:fill="auto"/>
            <w:vAlign w:val="center"/>
          </w:tcPr>
          <w:p w14:paraId="2E044295">
            <w:pPr>
              <w:shd w:val="clear"/>
              <w:rPr>
                <w:rFonts w:ascii="Calibri" w:hAnsi="Calibri"/>
                <w:color w:val="auto"/>
                <w:sz w:val="24"/>
                <w:szCs w:val="24"/>
                <w:highlight w:val="none"/>
              </w:rPr>
            </w:pPr>
          </w:p>
        </w:tc>
        <w:tc>
          <w:tcPr>
            <w:tcW w:w="2268" w:type="dxa"/>
            <w:shd w:val="clear" w:color="auto" w:fill="auto"/>
            <w:vAlign w:val="center"/>
          </w:tcPr>
          <w:p w14:paraId="73EC7F0D">
            <w:pPr>
              <w:shd w:val="clear"/>
              <w:rPr>
                <w:rFonts w:ascii="Calibri" w:hAnsi="Calibri"/>
                <w:b/>
                <w:bCs/>
                <w:color w:val="auto"/>
                <w:sz w:val="24"/>
                <w:szCs w:val="24"/>
                <w:highlight w:val="none"/>
              </w:rPr>
            </w:pPr>
            <w:r>
              <w:rPr>
                <w:rFonts w:hint="eastAsia" w:ascii="Calibri" w:hAnsi="Calibri"/>
                <w:b/>
                <w:bCs/>
                <w:color w:val="auto"/>
                <w:sz w:val="24"/>
                <w:szCs w:val="24"/>
                <w:highlight w:val="none"/>
              </w:rPr>
              <w:t>联系电话</w:t>
            </w:r>
          </w:p>
        </w:tc>
        <w:tc>
          <w:tcPr>
            <w:tcW w:w="2835" w:type="dxa"/>
            <w:shd w:val="clear" w:color="auto" w:fill="auto"/>
            <w:vAlign w:val="center"/>
          </w:tcPr>
          <w:p w14:paraId="21D1D99F">
            <w:pPr>
              <w:shd w:val="clear"/>
              <w:rPr>
                <w:rFonts w:ascii="Calibri" w:hAnsi="Calibri"/>
                <w:color w:val="auto"/>
                <w:sz w:val="24"/>
                <w:szCs w:val="24"/>
                <w:highlight w:val="none"/>
              </w:rPr>
            </w:pPr>
          </w:p>
        </w:tc>
      </w:tr>
      <w:tr w14:paraId="240C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405" w:type="dxa"/>
            <w:shd w:val="clear" w:color="auto" w:fill="auto"/>
            <w:vAlign w:val="center"/>
          </w:tcPr>
          <w:p w14:paraId="432C7128">
            <w:pPr>
              <w:shd w:val="clear"/>
              <w:rPr>
                <w:rFonts w:ascii="Calibri" w:hAnsi="Calibri"/>
                <w:b/>
                <w:bCs/>
                <w:color w:val="auto"/>
                <w:sz w:val="24"/>
                <w:szCs w:val="24"/>
                <w:highlight w:val="none"/>
              </w:rPr>
            </w:pPr>
            <w:r>
              <w:rPr>
                <w:rFonts w:hint="eastAsia" w:ascii="Calibri" w:hAnsi="Calibri"/>
                <w:b/>
                <w:bCs/>
                <w:color w:val="auto"/>
                <w:sz w:val="24"/>
                <w:szCs w:val="24"/>
                <w:highlight w:val="none"/>
              </w:rPr>
              <w:t>诚信档案记录情况</w:t>
            </w:r>
          </w:p>
        </w:tc>
        <w:tc>
          <w:tcPr>
            <w:tcW w:w="7377" w:type="dxa"/>
            <w:gridSpan w:val="3"/>
            <w:shd w:val="clear" w:color="auto" w:fill="auto"/>
            <w:vAlign w:val="center"/>
          </w:tcPr>
          <w:p w14:paraId="5C7432BF">
            <w:pPr>
              <w:shd w:val="clear"/>
              <w:rPr>
                <w:rFonts w:ascii="Calibri" w:hAnsi="Calibri"/>
                <w:color w:val="auto"/>
                <w:sz w:val="24"/>
                <w:szCs w:val="24"/>
                <w:highlight w:val="none"/>
              </w:rPr>
            </w:pPr>
          </w:p>
        </w:tc>
      </w:tr>
      <w:tr w14:paraId="0C6E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405" w:type="dxa"/>
            <w:shd w:val="clear" w:color="auto" w:fill="auto"/>
            <w:vAlign w:val="center"/>
          </w:tcPr>
          <w:p w14:paraId="15F2F1BE">
            <w:pPr>
              <w:shd w:val="clear"/>
              <w:jc w:val="center"/>
              <w:rPr>
                <w:rFonts w:ascii="Calibri" w:hAnsi="Calibri"/>
                <w:b/>
                <w:bCs/>
                <w:color w:val="auto"/>
                <w:sz w:val="24"/>
                <w:szCs w:val="24"/>
                <w:highlight w:val="none"/>
              </w:rPr>
            </w:pPr>
            <w:r>
              <w:rPr>
                <w:rFonts w:hint="eastAsia" w:ascii="Calibri" w:hAnsi="Calibri"/>
                <w:b/>
                <w:bCs/>
                <w:color w:val="auto"/>
                <w:sz w:val="24"/>
                <w:szCs w:val="24"/>
                <w:highlight w:val="none"/>
              </w:rPr>
              <w:t>信用承诺</w:t>
            </w:r>
          </w:p>
        </w:tc>
        <w:tc>
          <w:tcPr>
            <w:tcW w:w="7377" w:type="dxa"/>
            <w:gridSpan w:val="3"/>
            <w:shd w:val="clear" w:color="auto" w:fill="auto"/>
          </w:tcPr>
          <w:p w14:paraId="0B4EC04B">
            <w:pPr>
              <w:shd w:val="clear"/>
              <w:adjustRightInd w:val="0"/>
              <w:spacing w:line="310" w:lineRule="auto"/>
              <w:ind w:firstLine="480" w:firstLineChars="200"/>
              <w:rPr>
                <w:rFonts w:ascii="Calibri" w:hAnsi="Calibri"/>
                <w:color w:val="auto"/>
                <w:sz w:val="24"/>
                <w:szCs w:val="24"/>
                <w:highlight w:val="none"/>
              </w:rPr>
            </w:pPr>
            <w:r>
              <w:rPr>
                <w:rFonts w:hint="eastAsia" w:ascii="Calibri" w:hAnsi="Calibri"/>
                <w:color w:val="auto"/>
                <w:sz w:val="24"/>
                <w:szCs w:val="24"/>
                <w:highlight w:val="none"/>
              </w:rPr>
              <w:t>我公司自愿参加贵</w:t>
            </w:r>
            <w:r>
              <w:rPr>
                <w:rFonts w:ascii="Calibri" w:hAnsi="Calibri"/>
                <w:color w:val="auto"/>
                <w:sz w:val="24"/>
                <w:szCs w:val="24"/>
                <w:highlight w:val="none"/>
              </w:rPr>
              <w:t>中心（公司）组织的本次采购活动，严格遵守《中华人民共和国政府采购法》及相关法律法规，坚守</w:t>
            </w:r>
            <w:r>
              <w:rPr>
                <w:rFonts w:hint="eastAsia" w:ascii="Calibri" w:hAnsi="Calibri"/>
                <w:color w:val="auto"/>
                <w:sz w:val="24"/>
                <w:szCs w:val="24"/>
                <w:highlight w:val="none"/>
              </w:rPr>
              <w:t>公</w:t>
            </w:r>
            <w:r>
              <w:rPr>
                <w:rFonts w:ascii="Calibri" w:hAnsi="Calibri"/>
                <w:color w:val="auto"/>
                <w:sz w:val="24"/>
                <w:szCs w:val="24"/>
                <w:highlight w:val="none"/>
              </w:rPr>
              <w:t>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w:t>
            </w:r>
            <w:r>
              <w:rPr>
                <w:rFonts w:hint="eastAsia" w:ascii="Calibri" w:hAnsi="Calibri"/>
                <w:color w:val="auto"/>
                <w:sz w:val="24"/>
                <w:szCs w:val="24"/>
                <w:highlight w:val="none"/>
              </w:rPr>
              <w:t>有</w:t>
            </w:r>
            <w:r>
              <w:rPr>
                <w:rFonts w:ascii="Calibri" w:hAnsi="Calibri"/>
                <w:color w:val="auto"/>
                <w:sz w:val="24"/>
                <w:szCs w:val="24"/>
                <w:highlight w:val="none"/>
              </w:rPr>
              <w:t>重大违法记录；符合法律、行政法规和采购文件规定的其他条件。如有弄虚作假或其他违法违规行为，愿承担一切法律责任，接受各级政府采购监管部门和有权机关的审查和处罚。</w:t>
            </w:r>
          </w:p>
          <w:p w14:paraId="58301131">
            <w:pPr>
              <w:shd w:val="clear"/>
              <w:adjustRightInd w:val="0"/>
              <w:snapToGrid w:val="0"/>
              <w:spacing w:before="1680" w:beforeLines="700" w:line="360" w:lineRule="auto"/>
              <w:ind w:firstLine="480" w:firstLineChars="200"/>
              <w:jc w:val="center"/>
              <w:rPr>
                <w:rFonts w:ascii="Calibri" w:hAnsi="Calibri"/>
                <w:color w:val="auto"/>
                <w:sz w:val="24"/>
                <w:szCs w:val="24"/>
                <w:highlight w:val="none"/>
              </w:rPr>
            </w:pPr>
            <w:r>
              <w:rPr>
                <w:rFonts w:hint="eastAsia" w:ascii="Calibri" w:hAnsi="Calibri"/>
                <w:color w:val="auto"/>
                <w:sz w:val="24"/>
                <w:szCs w:val="24"/>
                <w:highlight w:val="none"/>
              </w:rPr>
              <w:t>供应商名称（盖章）：</w:t>
            </w:r>
          </w:p>
          <w:p w14:paraId="6A6E2AC6">
            <w:pPr>
              <w:shd w:val="clear"/>
              <w:adjustRightInd w:val="0"/>
              <w:snapToGrid w:val="0"/>
              <w:spacing w:line="360" w:lineRule="auto"/>
              <w:ind w:firstLine="480" w:firstLineChars="200"/>
              <w:jc w:val="center"/>
              <w:rPr>
                <w:rFonts w:ascii="Calibri" w:hAnsi="Calibri"/>
                <w:color w:val="auto"/>
                <w:sz w:val="24"/>
                <w:szCs w:val="24"/>
                <w:highlight w:val="none"/>
              </w:rPr>
            </w:pPr>
            <w:r>
              <w:rPr>
                <w:rFonts w:hint="eastAsia" w:ascii="Calibri" w:hAnsi="Calibri"/>
                <w:color w:val="auto"/>
                <w:sz w:val="24"/>
                <w:szCs w:val="24"/>
                <w:highlight w:val="none"/>
              </w:rPr>
              <w:t>法定代表人（签字）：</w:t>
            </w:r>
          </w:p>
          <w:p w14:paraId="77FDCF16">
            <w:pPr>
              <w:shd w:val="clear"/>
              <w:adjustRightInd w:val="0"/>
              <w:snapToGrid w:val="0"/>
              <w:spacing w:line="360" w:lineRule="auto"/>
              <w:ind w:firstLine="480" w:firstLineChars="200"/>
              <w:jc w:val="center"/>
              <w:rPr>
                <w:rFonts w:ascii="Calibri" w:hAnsi="Calibri"/>
                <w:color w:val="auto"/>
                <w:sz w:val="24"/>
                <w:szCs w:val="24"/>
                <w:highlight w:val="none"/>
              </w:rPr>
            </w:pPr>
            <w:r>
              <w:rPr>
                <w:rFonts w:hint="eastAsia" w:ascii="Calibri" w:hAnsi="Calibri"/>
                <w:color w:val="auto"/>
                <w:sz w:val="24"/>
                <w:szCs w:val="24"/>
                <w:highlight w:val="none"/>
              </w:rPr>
              <w:t xml:space="preserve">二○ </w:t>
            </w:r>
            <w:r>
              <w:rPr>
                <w:rFonts w:ascii="Calibri" w:hAnsi="Calibri"/>
                <w:color w:val="auto"/>
                <w:sz w:val="24"/>
                <w:szCs w:val="24"/>
                <w:highlight w:val="none"/>
              </w:rPr>
              <w:t xml:space="preserve">   </w:t>
            </w:r>
            <w:r>
              <w:rPr>
                <w:rFonts w:hint="eastAsia" w:ascii="Calibri" w:hAnsi="Calibri"/>
                <w:color w:val="auto"/>
                <w:sz w:val="24"/>
                <w:szCs w:val="24"/>
                <w:highlight w:val="none"/>
              </w:rPr>
              <w:t>年</w:t>
            </w:r>
            <w:r>
              <w:rPr>
                <w:rFonts w:ascii="Calibri" w:hAnsi="Calibri"/>
                <w:color w:val="auto"/>
                <w:sz w:val="24"/>
                <w:szCs w:val="24"/>
                <w:highlight w:val="none"/>
              </w:rPr>
              <w:t xml:space="preserve">   </w:t>
            </w:r>
            <w:r>
              <w:rPr>
                <w:rFonts w:hint="eastAsia" w:ascii="Calibri" w:hAnsi="Calibri"/>
                <w:color w:val="auto"/>
                <w:sz w:val="24"/>
                <w:szCs w:val="24"/>
                <w:highlight w:val="none"/>
              </w:rPr>
              <w:t xml:space="preserve">月 </w:t>
            </w:r>
            <w:r>
              <w:rPr>
                <w:rFonts w:ascii="Calibri" w:hAnsi="Calibri"/>
                <w:color w:val="auto"/>
                <w:sz w:val="24"/>
                <w:szCs w:val="24"/>
                <w:highlight w:val="none"/>
              </w:rPr>
              <w:t xml:space="preserve">  </w:t>
            </w:r>
            <w:r>
              <w:rPr>
                <w:rFonts w:hint="eastAsia" w:ascii="Calibri" w:hAnsi="Calibri"/>
                <w:color w:val="auto"/>
                <w:sz w:val="24"/>
                <w:szCs w:val="24"/>
                <w:highlight w:val="none"/>
              </w:rPr>
              <w:t>日</w:t>
            </w:r>
          </w:p>
        </w:tc>
      </w:tr>
    </w:tbl>
    <w:p w14:paraId="54D8EB2E">
      <w:pPr>
        <w:pStyle w:val="27"/>
        <w:shd w:val="clear"/>
        <w:snapToGrid w:val="0"/>
        <w:spacing w:line="360" w:lineRule="auto"/>
        <w:ind w:left="0" w:leftChars="0" w:firstLine="210" w:firstLineChars="100"/>
        <w:rPr>
          <w:rFonts w:hint="eastAsia" w:ascii="微软雅黑" w:hAnsi="微软雅黑" w:eastAsia="微软雅黑" w:cs="微软雅黑"/>
          <w:color w:val="auto"/>
          <w:sz w:val="24"/>
          <w:highlight w:val="none"/>
          <w:lang w:val="en-US"/>
        </w:rPr>
      </w:pPr>
      <w:r>
        <w:rPr>
          <w:rFonts w:hint="eastAsia" w:ascii="微软雅黑" w:hAnsi="微软雅黑" w:eastAsia="微软雅黑" w:cs="微软雅黑"/>
          <w:color w:val="auto"/>
          <w:sz w:val="21"/>
          <w:highlight w:val="none"/>
        </w:rPr>
        <w:t>★</w:t>
      </w:r>
      <w:r>
        <w:rPr>
          <w:rFonts w:hint="eastAsia" w:ascii="微软雅黑" w:hAnsi="微软雅黑" w:eastAsia="微软雅黑" w:cs="微软雅黑"/>
          <w:color w:val="auto"/>
          <w:sz w:val="24"/>
          <w:highlight w:val="none"/>
          <w:lang w:val="en-US"/>
        </w:rPr>
        <w:t>注：本表打印时间必须在发布采购公告之日（含）至开标当天（含）内打印。</w:t>
      </w:r>
    </w:p>
    <w:sectPr>
      <w:pgSz w:w="11910" w:h="16840"/>
      <w:pgMar w:top="1338" w:right="1134" w:bottom="1179" w:left="1134" w:header="0"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4AC48">
    <w:pPr>
      <w:pStyle w:val="7"/>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1B118">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71B118">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A8731">
    <w:pPr>
      <w:pStyle w:val="7"/>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D2F46">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25</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9CD2F46">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25</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4DA68">
    <w:pPr>
      <w:pStyle w:val="7"/>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31BB9">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34</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B931BB9">
                    <w:pPr>
                      <w:pStyle w:val="13"/>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34</w:t>
                    </w:r>
                    <w:r>
                      <w:rPr>
                        <w:rFonts w:hint="eastAsia"/>
                      </w:rPr>
                      <w:fldChar w:fldCharType="end"/>
                    </w:r>
                    <w:r>
                      <w:rPr>
                        <w:rFonts w:hint="eastAsi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643B2"/>
    <w:multiLevelType w:val="singleLevel"/>
    <w:tmpl w:val="83F643B2"/>
    <w:lvl w:ilvl="0" w:tentative="0">
      <w:start w:val="1"/>
      <w:numFmt w:val="decimal"/>
      <w:suff w:val="nothing"/>
      <w:lvlText w:val="%1）"/>
      <w:lvlJc w:val="left"/>
    </w:lvl>
  </w:abstractNum>
  <w:abstractNum w:abstractNumId="1">
    <w:nsid w:val="8AF7174A"/>
    <w:multiLevelType w:val="multilevel"/>
    <w:tmpl w:val="8AF7174A"/>
    <w:lvl w:ilvl="0" w:tentative="0">
      <w:start w:val="1"/>
      <w:numFmt w:val="decimal"/>
      <w:lvlText w:val="%1."/>
      <w:lvlJc w:val="left"/>
      <w:pPr>
        <w:tabs>
          <w:tab w:val="left" w:pos="425"/>
        </w:tabs>
        <w:ind w:left="425" w:hanging="425"/>
      </w:pPr>
    </w:lvl>
    <w:lvl w:ilvl="1" w:tentative="0">
      <w:start w:val="1"/>
      <w:numFmt w:val="decimal"/>
      <w:pStyle w:val="31"/>
      <w:lvlText w:val="%1.%2."/>
      <w:lvlJc w:val="left"/>
      <w:pPr>
        <w:tabs>
          <w:tab w:val="left" w:pos="0"/>
        </w:tabs>
        <w:ind w:left="0" w:firstLine="0"/>
      </w:pPr>
      <w:rPr>
        <w:rFonts w:hint="default"/>
      </w:r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0"/>
        </w:tabs>
        <w:ind w:left="0" w:firstLine="0"/>
      </w:pPr>
      <w:rPr>
        <w:rFonts w:hint="default" w:ascii="宋体" w:hAnsi="宋体" w:eastAsia="宋体" w:cs="宋体"/>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DFDE0628"/>
    <w:multiLevelType w:val="singleLevel"/>
    <w:tmpl w:val="DFDE0628"/>
    <w:lvl w:ilvl="0" w:tentative="0">
      <w:start w:val="3"/>
      <w:numFmt w:val="chineseCounting"/>
      <w:suff w:val="space"/>
      <w:lvlText w:val="第%1章"/>
      <w:lvlJc w:val="left"/>
      <w:rPr>
        <w:rFonts w:hint="eastAsia"/>
      </w:rPr>
    </w:lvl>
  </w:abstractNum>
  <w:abstractNum w:abstractNumId="3">
    <w:nsid w:val="E7076022"/>
    <w:multiLevelType w:val="singleLevel"/>
    <w:tmpl w:val="E7076022"/>
    <w:lvl w:ilvl="0" w:tentative="0">
      <w:start w:val="1"/>
      <w:numFmt w:val="decimal"/>
      <w:suff w:val="nothing"/>
      <w:lvlText w:val="%1）"/>
      <w:lvlJc w:val="left"/>
    </w:lvl>
  </w:abstractNum>
  <w:abstractNum w:abstractNumId="4">
    <w:nsid w:val="0000000A"/>
    <w:multiLevelType w:val="multilevel"/>
    <w:tmpl w:val="0000000A"/>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931"/>
        </w:tabs>
        <w:ind w:left="1418" w:hanging="567"/>
      </w:pPr>
      <w:rPr>
        <w:rFonts w:hint="eastAsia"/>
      </w:rPr>
    </w:lvl>
    <w:lvl w:ilvl="3" w:tentative="0">
      <w:start w:val="1"/>
      <w:numFmt w:val="decimal"/>
      <w:pStyle w:val="33"/>
      <w:lvlText w:val="%1.%2.%3.%4"/>
      <w:lvlJc w:val="left"/>
      <w:pPr>
        <w:tabs>
          <w:tab w:val="left" w:pos="2716"/>
        </w:tabs>
        <w:ind w:left="1984" w:hanging="708"/>
      </w:pPr>
      <w:rPr>
        <w:rFonts w:hint="eastAsia"/>
      </w:rPr>
    </w:lvl>
    <w:lvl w:ilvl="4" w:tentative="0">
      <w:start w:val="1"/>
      <w:numFmt w:val="decimal"/>
      <w:lvlText w:val="%1.%2.%3.%4.%5"/>
      <w:lvlJc w:val="left"/>
      <w:pPr>
        <w:tabs>
          <w:tab w:val="left" w:pos="350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39AF904B"/>
    <w:multiLevelType w:val="singleLevel"/>
    <w:tmpl w:val="39AF904B"/>
    <w:lvl w:ilvl="0" w:tentative="0">
      <w:start w:val="1"/>
      <w:numFmt w:val="decimal"/>
      <w:lvlText w:val="%1)"/>
      <w:lvlJc w:val="left"/>
      <w:pPr>
        <w:tabs>
          <w:tab w:val="left" w:pos="312"/>
        </w:tabs>
      </w:pPr>
    </w:lvl>
  </w:abstractNum>
  <w:abstractNum w:abstractNumId="6">
    <w:nsid w:val="5E2FCA77"/>
    <w:multiLevelType w:val="singleLevel"/>
    <w:tmpl w:val="5E2FCA77"/>
    <w:lvl w:ilvl="0" w:tentative="0">
      <w:start w:val="1"/>
      <w:numFmt w:val="decimal"/>
      <w:suff w:val="nothing"/>
      <w:lvlText w:val="%1）"/>
      <w:lvlJc w:val="left"/>
    </w:lvl>
  </w:abstractNum>
  <w:abstractNum w:abstractNumId="7">
    <w:nsid w:val="5F5F66EF"/>
    <w:multiLevelType w:val="singleLevel"/>
    <w:tmpl w:val="5F5F66EF"/>
    <w:lvl w:ilvl="0" w:tentative="0">
      <w:start w:val="1"/>
      <w:numFmt w:val="decimal"/>
      <w:lvlText w:val="%1)"/>
      <w:lvlJc w:val="left"/>
      <w:pPr>
        <w:tabs>
          <w:tab w:val="left" w:pos="312"/>
        </w:tabs>
      </w:pPr>
    </w:lvl>
  </w:abstractNum>
  <w:abstractNum w:abstractNumId="8">
    <w:nsid w:val="61336D4E"/>
    <w:multiLevelType w:val="singleLevel"/>
    <w:tmpl w:val="61336D4E"/>
    <w:lvl w:ilvl="0" w:tentative="0">
      <w:start w:val="6"/>
      <w:numFmt w:val="chineseCounting"/>
      <w:suff w:val="nothing"/>
      <w:lvlText w:val="%1、"/>
      <w:lvlJc w:val="left"/>
      <w:rPr>
        <w:rFonts w:hint="eastAsia"/>
      </w:rPr>
    </w:lvl>
  </w:abstractNum>
  <w:abstractNum w:abstractNumId="9">
    <w:nsid w:val="620C9854"/>
    <w:multiLevelType w:val="singleLevel"/>
    <w:tmpl w:val="620C9854"/>
    <w:lvl w:ilvl="0" w:tentative="0">
      <w:start w:val="1"/>
      <w:numFmt w:val="decimal"/>
      <w:suff w:val="nothing"/>
      <w:lvlText w:val="%1）"/>
      <w:lvlJc w:val="left"/>
    </w:lvl>
  </w:abstractNum>
  <w:abstractNum w:abstractNumId="10">
    <w:nsid w:val="64BAC47A"/>
    <w:multiLevelType w:val="singleLevel"/>
    <w:tmpl w:val="64BAC47A"/>
    <w:lvl w:ilvl="0" w:tentative="0">
      <w:start w:val="1"/>
      <w:numFmt w:val="decimal"/>
      <w:lvlText w:val="%1)"/>
      <w:lvlJc w:val="left"/>
      <w:pPr>
        <w:tabs>
          <w:tab w:val="left" w:pos="312"/>
        </w:tabs>
      </w:pPr>
    </w:lvl>
  </w:abstractNum>
  <w:num w:numId="1">
    <w:abstractNumId w:val="1"/>
  </w:num>
  <w:num w:numId="2">
    <w:abstractNumId w:val="4"/>
  </w:num>
  <w:num w:numId="3">
    <w:abstractNumId w:val="8"/>
  </w:num>
  <w:num w:numId="4">
    <w:abstractNumId w:val="2"/>
  </w:num>
  <w:num w:numId="5">
    <w:abstractNumId w:val="10"/>
  </w:num>
  <w:num w:numId="6">
    <w:abstractNumId w:val="6"/>
  </w:num>
  <w:num w:numId="7">
    <w:abstractNumId w:val="0"/>
  </w:num>
  <w:num w:numId="8">
    <w:abstractNumId w:val="3"/>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719"/>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ZmI3NWQ4MzhhMjk5NzE2YTU5ZjgwZWZjOTQ0ZTUifQ=="/>
    <w:docVar w:name="KGWebUrl" w:val="http://jszfcg.jscz.gov.cn/jszc/gateWay/joffice/office?access_token=7059a7c6-27f0-4920-b7ec-904df1d43f1a"/>
    <w:docVar w:name="KSO_WPS_MARK_KEY" w:val="80f7f2cf-646d-4e1f-b863-951934c48de5"/>
  </w:docVars>
  <w:rsids>
    <w:rsidRoot w:val="00172A27"/>
    <w:rsid w:val="00015C61"/>
    <w:rsid w:val="00092F93"/>
    <w:rsid w:val="000961F4"/>
    <w:rsid w:val="000B14C0"/>
    <w:rsid w:val="000B6D66"/>
    <w:rsid w:val="00101A0F"/>
    <w:rsid w:val="00105D5D"/>
    <w:rsid w:val="001079C3"/>
    <w:rsid w:val="00113677"/>
    <w:rsid w:val="00141463"/>
    <w:rsid w:val="0016346D"/>
    <w:rsid w:val="00172797"/>
    <w:rsid w:val="00172A27"/>
    <w:rsid w:val="0018699A"/>
    <w:rsid w:val="001D05DB"/>
    <w:rsid w:val="001D58D8"/>
    <w:rsid w:val="0030178C"/>
    <w:rsid w:val="00303D2D"/>
    <w:rsid w:val="0031198E"/>
    <w:rsid w:val="00315F6F"/>
    <w:rsid w:val="003235F4"/>
    <w:rsid w:val="00342092"/>
    <w:rsid w:val="00350DD1"/>
    <w:rsid w:val="00385844"/>
    <w:rsid w:val="003D020C"/>
    <w:rsid w:val="003D08CB"/>
    <w:rsid w:val="003E658C"/>
    <w:rsid w:val="003F7741"/>
    <w:rsid w:val="004107E4"/>
    <w:rsid w:val="004714D5"/>
    <w:rsid w:val="0047433E"/>
    <w:rsid w:val="004D3362"/>
    <w:rsid w:val="004E348A"/>
    <w:rsid w:val="00506697"/>
    <w:rsid w:val="005932C1"/>
    <w:rsid w:val="005A4D35"/>
    <w:rsid w:val="005C4C7D"/>
    <w:rsid w:val="005D6412"/>
    <w:rsid w:val="005F5085"/>
    <w:rsid w:val="006219F4"/>
    <w:rsid w:val="00627A6E"/>
    <w:rsid w:val="006629E4"/>
    <w:rsid w:val="00695CD5"/>
    <w:rsid w:val="006C1A60"/>
    <w:rsid w:val="006F114B"/>
    <w:rsid w:val="00742F17"/>
    <w:rsid w:val="007516AC"/>
    <w:rsid w:val="007C0A6C"/>
    <w:rsid w:val="007C650C"/>
    <w:rsid w:val="00804FB3"/>
    <w:rsid w:val="00842868"/>
    <w:rsid w:val="00844F4D"/>
    <w:rsid w:val="00862EDF"/>
    <w:rsid w:val="008A1EF1"/>
    <w:rsid w:val="009173B0"/>
    <w:rsid w:val="00936B1E"/>
    <w:rsid w:val="00A34FD9"/>
    <w:rsid w:val="00A71413"/>
    <w:rsid w:val="00AF5156"/>
    <w:rsid w:val="00B11E7B"/>
    <w:rsid w:val="00B41C54"/>
    <w:rsid w:val="00B90CB2"/>
    <w:rsid w:val="00BB008A"/>
    <w:rsid w:val="00BB64B9"/>
    <w:rsid w:val="00BB6DAB"/>
    <w:rsid w:val="00C32AB4"/>
    <w:rsid w:val="00CE698B"/>
    <w:rsid w:val="00CF6AC6"/>
    <w:rsid w:val="00D074FF"/>
    <w:rsid w:val="00D53BD9"/>
    <w:rsid w:val="00D80F79"/>
    <w:rsid w:val="00E30FA3"/>
    <w:rsid w:val="00E46019"/>
    <w:rsid w:val="00E709E1"/>
    <w:rsid w:val="00EF2C46"/>
    <w:rsid w:val="00EF7950"/>
    <w:rsid w:val="00F56471"/>
    <w:rsid w:val="00FC5BA8"/>
    <w:rsid w:val="01004F70"/>
    <w:rsid w:val="01D46B46"/>
    <w:rsid w:val="02810A7C"/>
    <w:rsid w:val="037F5D78"/>
    <w:rsid w:val="03C03826"/>
    <w:rsid w:val="03FB660C"/>
    <w:rsid w:val="04037103"/>
    <w:rsid w:val="04580CFB"/>
    <w:rsid w:val="045B1909"/>
    <w:rsid w:val="04960BF4"/>
    <w:rsid w:val="050C2544"/>
    <w:rsid w:val="05121559"/>
    <w:rsid w:val="05184F9C"/>
    <w:rsid w:val="05206742"/>
    <w:rsid w:val="05501F5B"/>
    <w:rsid w:val="056B59B6"/>
    <w:rsid w:val="056E5CBB"/>
    <w:rsid w:val="059211F2"/>
    <w:rsid w:val="05B71B68"/>
    <w:rsid w:val="05D05E48"/>
    <w:rsid w:val="06357182"/>
    <w:rsid w:val="067F5E42"/>
    <w:rsid w:val="071E0F8F"/>
    <w:rsid w:val="07481B68"/>
    <w:rsid w:val="07527B04"/>
    <w:rsid w:val="07576256"/>
    <w:rsid w:val="075B70FB"/>
    <w:rsid w:val="079254DA"/>
    <w:rsid w:val="07A5520D"/>
    <w:rsid w:val="07B9707D"/>
    <w:rsid w:val="07C17B6D"/>
    <w:rsid w:val="0802440D"/>
    <w:rsid w:val="0829123B"/>
    <w:rsid w:val="08292FAA"/>
    <w:rsid w:val="089A2898"/>
    <w:rsid w:val="08AF0E7E"/>
    <w:rsid w:val="08C26A84"/>
    <w:rsid w:val="091837BC"/>
    <w:rsid w:val="09227910"/>
    <w:rsid w:val="09497E1A"/>
    <w:rsid w:val="09CE2006"/>
    <w:rsid w:val="0A165759"/>
    <w:rsid w:val="0A44121E"/>
    <w:rsid w:val="0A8407E8"/>
    <w:rsid w:val="0AA277E2"/>
    <w:rsid w:val="0AC74947"/>
    <w:rsid w:val="0B6A0DB7"/>
    <w:rsid w:val="0BB21CA6"/>
    <w:rsid w:val="0BB35A1E"/>
    <w:rsid w:val="0BBC5E35"/>
    <w:rsid w:val="0BCA5242"/>
    <w:rsid w:val="0C0759FE"/>
    <w:rsid w:val="0C435CB2"/>
    <w:rsid w:val="0C922E8C"/>
    <w:rsid w:val="0D830B15"/>
    <w:rsid w:val="0DCB75FB"/>
    <w:rsid w:val="0DDF2AFB"/>
    <w:rsid w:val="0DFF4F4B"/>
    <w:rsid w:val="0E55371B"/>
    <w:rsid w:val="0E843AE0"/>
    <w:rsid w:val="0E974506"/>
    <w:rsid w:val="0E9804C3"/>
    <w:rsid w:val="0EE27364"/>
    <w:rsid w:val="0F166702"/>
    <w:rsid w:val="0F1E619E"/>
    <w:rsid w:val="0F212D4B"/>
    <w:rsid w:val="0F256C33"/>
    <w:rsid w:val="0F630E95"/>
    <w:rsid w:val="0F850361"/>
    <w:rsid w:val="0FD81308"/>
    <w:rsid w:val="0FE4264A"/>
    <w:rsid w:val="10325C21"/>
    <w:rsid w:val="10A06571"/>
    <w:rsid w:val="10B93643"/>
    <w:rsid w:val="10C009C2"/>
    <w:rsid w:val="10C629DF"/>
    <w:rsid w:val="11537A88"/>
    <w:rsid w:val="119105B0"/>
    <w:rsid w:val="11D84BCE"/>
    <w:rsid w:val="125F420A"/>
    <w:rsid w:val="12661A3D"/>
    <w:rsid w:val="126E6398"/>
    <w:rsid w:val="12791770"/>
    <w:rsid w:val="127C300E"/>
    <w:rsid w:val="1292287E"/>
    <w:rsid w:val="12B502CE"/>
    <w:rsid w:val="12C461EC"/>
    <w:rsid w:val="130E4F0F"/>
    <w:rsid w:val="130F79DE"/>
    <w:rsid w:val="13157A77"/>
    <w:rsid w:val="13800EEF"/>
    <w:rsid w:val="13AF7D54"/>
    <w:rsid w:val="13E019FC"/>
    <w:rsid w:val="13EE7777"/>
    <w:rsid w:val="13F162E1"/>
    <w:rsid w:val="140D6614"/>
    <w:rsid w:val="143B46B4"/>
    <w:rsid w:val="15125CC8"/>
    <w:rsid w:val="15127033"/>
    <w:rsid w:val="15332505"/>
    <w:rsid w:val="155E5398"/>
    <w:rsid w:val="15767062"/>
    <w:rsid w:val="15AD14D0"/>
    <w:rsid w:val="15EF0F9E"/>
    <w:rsid w:val="160B6D40"/>
    <w:rsid w:val="16157A01"/>
    <w:rsid w:val="16274611"/>
    <w:rsid w:val="163E4127"/>
    <w:rsid w:val="16676B7B"/>
    <w:rsid w:val="16797A69"/>
    <w:rsid w:val="16D056D6"/>
    <w:rsid w:val="16DD36CE"/>
    <w:rsid w:val="16F71B2D"/>
    <w:rsid w:val="17636AD6"/>
    <w:rsid w:val="176C0187"/>
    <w:rsid w:val="17D51F95"/>
    <w:rsid w:val="17FD77C1"/>
    <w:rsid w:val="1822655A"/>
    <w:rsid w:val="184E0147"/>
    <w:rsid w:val="1871358B"/>
    <w:rsid w:val="187F6035"/>
    <w:rsid w:val="18846779"/>
    <w:rsid w:val="18A84B5D"/>
    <w:rsid w:val="18CD203B"/>
    <w:rsid w:val="18D6258B"/>
    <w:rsid w:val="18E66BF6"/>
    <w:rsid w:val="18E9546C"/>
    <w:rsid w:val="193E726F"/>
    <w:rsid w:val="196F7429"/>
    <w:rsid w:val="1A644C24"/>
    <w:rsid w:val="1AB63705"/>
    <w:rsid w:val="1B790C0B"/>
    <w:rsid w:val="1B7C2826"/>
    <w:rsid w:val="1B8226DA"/>
    <w:rsid w:val="1BF04125"/>
    <w:rsid w:val="1BF45567"/>
    <w:rsid w:val="1C454471"/>
    <w:rsid w:val="1CB667DB"/>
    <w:rsid w:val="1CB77392"/>
    <w:rsid w:val="1CCB2694"/>
    <w:rsid w:val="1CEB6801"/>
    <w:rsid w:val="1D8A48A2"/>
    <w:rsid w:val="1D8B3EAD"/>
    <w:rsid w:val="1E785B91"/>
    <w:rsid w:val="1E9D0209"/>
    <w:rsid w:val="1EA43DAF"/>
    <w:rsid w:val="1ED6256A"/>
    <w:rsid w:val="1EF808BE"/>
    <w:rsid w:val="1F350DDD"/>
    <w:rsid w:val="1F510300"/>
    <w:rsid w:val="1F56342E"/>
    <w:rsid w:val="1F7363D1"/>
    <w:rsid w:val="201A63AC"/>
    <w:rsid w:val="206E7300"/>
    <w:rsid w:val="21081029"/>
    <w:rsid w:val="2122550F"/>
    <w:rsid w:val="21391CA5"/>
    <w:rsid w:val="216807CB"/>
    <w:rsid w:val="21AB4C1C"/>
    <w:rsid w:val="21BA76AF"/>
    <w:rsid w:val="22813D29"/>
    <w:rsid w:val="22964F46"/>
    <w:rsid w:val="22BC21BA"/>
    <w:rsid w:val="22C24A6D"/>
    <w:rsid w:val="22D16EB3"/>
    <w:rsid w:val="22E449E3"/>
    <w:rsid w:val="22EE4A7C"/>
    <w:rsid w:val="235D0A01"/>
    <w:rsid w:val="23A777BF"/>
    <w:rsid w:val="23C87BBD"/>
    <w:rsid w:val="23E456A4"/>
    <w:rsid w:val="23EC3FEC"/>
    <w:rsid w:val="23FC5886"/>
    <w:rsid w:val="24214F9A"/>
    <w:rsid w:val="24284DA4"/>
    <w:rsid w:val="245F1806"/>
    <w:rsid w:val="24CC7C17"/>
    <w:rsid w:val="2511136F"/>
    <w:rsid w:val="25341526"/>
    <w:rsid w:val="25373853"/>
    <w:rsid w:val="25382DC5"/>
    <w:rsid w:val="264F1518"/>
    <w:rsid w:val="267138D1"/>
    <w:rsid w:val="269B375E"/>
    <w:rsid w:val="26A63CF9"/>
    <w:rsid w:val="27104878"/>
    <w:rsid w:val="271420E3"/>
    <w:rsid w:val="272C4BAB"/>
    <w:rsid w:val="275E1C1A"/>
    <w:rsid w:val="27644FA7"/>
    <w:rsid w:val="27670C56"/>
    <w:rsid w:val="27EB331A"/>
    <w:rsid w:val="281C38FD"/>
    <w:rsid w:val="28A16ED3"/>
    <w:rsid w:val="28A41B5D"/>
    <w:rsid w:val="28D15A0A"/>
    <w:rsid w:val="29361D11"/>
    <w:rsid w:val="29581C87"/>
    <w:rsid w:val="295B29CE"/>
    <w:rsid w:val="2A15541B"/>
    <w:rsid w:val="2A8A7D6A"/>
    <w:rsid w:val="2B1D2495"/>
    <w:rsid w:val="2B807273"/>
    <w:rsid w:val="2B90655E"/>
    <w:rsid w:val="2B9920E3"/>
    <w:rsid w:val="2BA72A52"/>
    <w:rsid w:val="2C2E7A38"/>
    <w:rsid w:val="2C322D99"/>
    <w:rsid w:val="2C375B29"/>
    <w:rsid w:val="2C6D3C9C"/>
    <w:rsid w:val="2C842D93"/>
    <w:rsid w:val="2C933621"/>
    <w:rsid w:val="2CA318ED"/>
    <w:rsid w:val="2CCC3C86"/>
    <w:rsid w:val="2CF80186"/>
    <w:rsid w:val="2CFB12A7"/>
    <w:rsid w:val="2D10720E"/>
    <w:rsid w:val="2D207A9D"/>
    <w:rsid w:val="2D621C05"/>
    <w:rsid w:val="2D9F5341"/>
    <w:rsid w:val="2DCA0AEA"/>
    <w:rsid w:val="2E1F0FC6"/>
    <w:rsid w:val="2E53409B"/>
    <w:rsid w:val="2EAA27EC"/>
    <w:rsid w:val="2F340AA1"/>
    <w:rsid w:val="2F4903A0"/>
    <w:rsid w:val="2F760BD0"/>
    <w:rsid w:val="2F967065"/>
    <w:rsid w:val="2FF2491B"/>
    <w:rsid w:val="3070265D"/>
    <w:rsid w:val="30CE30A4"/>
    <w:rsid w:val="31527CE7"/>
    <w:rsid w:val="317171ED"/>
    <w:rsid w:val="31B269C5"/>
    <w:rsid w:val="31C3383B"/>
    <w:rsid w:val="3242495B"/>
    <w:rsid w:val="32B141B6"/>
    <w:rsid w:val="32B83797"/>
    <w:rsid w:val="33104F53"/>
    <w:rsid w:val="332033A7"/>
    <w:rsid w:val="33435756"/>
    <w:rsid w:val="33805457"/>
    <w:rsid w:val="338F6363"/>
    <w:rsid w:val="33EB6F0C"/>
    <w:rsid w:val="342D0465"/>
    <w:rsid w:val="34480B4A"/>
    <w:rsid w:val="34D00098"/>
    <w:rsid w:val="34FB53FB"/>
    <w:rsid w:val="354C1F5A"/>
    <w:rsid w:val="357203E8"/>
    <w:rsid w:val="358E07DF"/>
    <w:rsid w:val="35954378"/>
    <w:rsid w:val="35B63736"/>
    <w:rsid w:val="35C12962"/>
    <w:rsid w:val="36177D6F"/>
    <w:rsid w:val="36287986"/>
    <w:rsid w:val="378C5F49"/>
    <w:rsid w:val="37950407"/>
    <w:rsid w:val="379D6ADD"/>
    <w:rsid w:val="38455C56"/>
    <w:rsid w:val="3845787B"/>
    <w:rsid w:val="387C0D68"/>
    <w:rsid w:val="390D06DE"/>
    <w:rsid w:val="39BF540B"/>
    <w:rsid w:val="3A0970CD"/>
    <w:rsid w:val="3A103EB8"/>
    <w:rsid w:val="3A30515A"/>
    <w:rsid w:val="3AA84D14"/>
    <w:rsid w:val="3ABE3914"/>
    <w:rsid w:val="3AFE01B5"/>
    <w:rsid w:val="3B183317"/>
    <w:rsid w:val="3B3773F6"/>
    <w:rsid w:val="3BA117E7"/>
    <w:rsid w:val="3BFB5B0B"/>
    <w:rsid w:val="3C0F370C"/>
    <w:rsid w:val="3CB90194"/>
    <w:rsid w:val="3CF47F78"/>
    <w:rsid w:val="3D5310DB"/>
    <w:rsid w:val="3E1026D9"/>
    <w:rsid w:val="3E4E6074"/>
    <w:rsid w:val="3E57616A"/>
    <w:rsid w:val="3E6D0066"/>
    <w:rsid w:val="3F0727BF"/>
    <w:rsid w:val="3F5E4696"/>
    <w:rsid w:val="3F794836"/>
    <w:rsid w:val="3F81396A"/>
    <w:rsid w:val="3F992E15"/>
    <w:rsid w:val="3FA30340"/>
    <w:rsid w:val="3FA8079B"/>
    <w:rsid w:val="3FAA32C1"/>
    <w:rsid w:val="3FAE03FB"/>
    <w:rsid w:val="3FAE2290"/>
    <w:rsid w:val="40383515"/>
    <w:rsid w:val="40557EB1"/>
    <w:rsid w:val="406D1717"/>
    <w:rsid w:val="40FC0CF2"/>
    <w:rsid w:val="41443A38"/>
    <w:rsid w:val="41555C27"/>
    <w:rsid w:val="41581D4D"/>
    <w:rsid w:val="418331C2"/>
    <w:rsid w:val="419A253E"/>
    <w:rsid w:val="41DC7830"/>
    <w:rsid w:val="421B7893"/>
    <w:rsid w:val="42424E2B"/>
    <w:rsid w:val="4283791D"/>
    <w:rsid w:val="429A04CD"/>
    <w:rsid w:val="42F35D34"/>
    <w:rsid w:val="431E7646"/>
    <w:rsid w:val="439B47F3"/>
    <w:rsid w:val="43A044FF"/>
    <w:rsid w:val="43B83DC1"/>
    <w:rsid w:val="444C264F"/>
    <w:rsid w:val="447B7341"/>
    <w:rsid w:val="449625DC"/>
    <w:rsid w:val="44BA58AC"/>
    <w:rsid w:val="44E94A7B"/>
    <w:rsid w:val="45036AF3"/>
    <w:rsid w:val="452151CC"/>
    <w:rsid w:val="45372C41"/>
    <w:rsid w:val="454847A2"/>
    <w:rsid w:val="45843312"/>
    <w:rsid w:val="458D5119"/>
    <w:rsid w:val="45A30527"/>
    <w:rsid w:val="45DE1166"/>
    <w:rsid w:val="45E06E35"/>
    <w:rsid w:val="467B4B1D"/>
    <w:rsid w:val="4693632D"/>
    <w:rsid w:val="469D518A"/>
    <w:rsid w:val="474F5EA5"/>
    <w:rsid w:val="47D91D90"/>
    <w:rsid w:val="480D7C89"/>
    <w:rsid w:val="491D5CAA"/>
    <w:rsid w:val="496807F2"/>
    <w:rsid w:val="496C41A4"/>
    <w:rsid w:val="49725FF6"/>
    <w:rsid w:val="49D96075"/>
    <w:rsid w:val="4A2B7E47"/>
    <w:rsid w:val="4AA2506E"/>
    <w:rsid w:val="4AD8632C"/>
    <w:rsid w:val="4B4439C2"/>
    <w:rsid w:val="4B985696"/>
    <w:rsid w:val="4C713D2A"/>
    <w:rsid w:val="4C732F0B"/>
    <w:rsid w:val="4C773805"/>
    <w:rsid w:val="4C8A0DA7"/>
    <w:rsid w:val="4CC45D6B"/>
    <w:rsid w:val="4CE23492"/>
    <w:rsid w:val="4CF12673"/>
    <w:rsid w:val="4D4824EC"/>
    <w:rsid w:val="4D4F7E0C"/>
    <w:rsid w:val="4D8B3F74"/>
    <w:rsid w:val="4DAE18F7"/>
    <w:rsid w:val="4DB048A0"/>
    <w:rsid w:val="4DCA3ED6"/>
    <w:rsid w:val="4E0B4C6B"/>
    <w:rsid w:val="4E1C6E78"/>
    <w:rsid w:val="4E4B1ADD"/>
    <w:rsid w:val="4E5C1022"/>
    <w:rsid w:val="4E61488B"/>
    <w:rsid w:val="4EAE5FE2"/>
    <w:rsid w:val="4EB91524"/>
    <w:rsid w:val="4ED0073E"/>
    <w:rsid w:val="4FB75487"/>
    <w:rsid w:val="500C6F79"/>
    <w:rsid w:val="506B19F1"/>
    <w:rsid w:val="50F968BD"/>
    <w:rsid w:val="51B67708"/>
    <w:rsid w:val="52496169"/>
    <w:rsid w:val="52DD6A37"/>
    <w:rsid w:val="534630C7"/>
    <w:rsid w:val="53A36AA3"/>
    <w:rsid w:val="53FC2E8B"/>
    <w:rsid w:val="54302969"/>
    <w:rsid w:val="54304E56"/>
    <w:rsid w:val="54405D06"/>
    <w:rsid w:val="547A2AB9"/>
    <w:rsid w:val="54826E7E"/>
    <w:rsid w:val="5487657D"/>
    <w:rsid w:val="548920A7"/>
    <w:rsid w:val="549E2395"/>
    <w:rsid w:val="54CC6C94"/>
    <w:rsid w:val="552503C0"/>
    <w:rsid w:val="55456948"/>
    <w:rsid w:val="5568150A"/>
    <w:rsid w:val="55B01CC9"/>
    <w:rsid w:val="55DA38A0"/>
    <w:rsid w:val="55EB160A"/>
    <w:rsid w:val="55F83D27"/>
    <w:rsid w:val="56044479"/>
    <w:rsid w:val="5606503F"/>
    <w:rsid w:val="566A3E06"/>
    <w:rsid w:val="567819A3"/>
    <w:rsid w:val="56AF0503"/>
    <w:rsid w:val="56EA44E2"/>
    <w:rsid w:val="56FF07EB"/>
    <w:rsid w:val="571D0E04"/>
    <w:rsid w:val="579637F7"/>
    <w:rsid w:val="57BE4AFC"/>
    <w:rsid w:val="57E23C82"/>
    <w:rsid w:val="58046269"/>
    <w:rsid w:val="58254B7B"/>
    <w:rsid w:val="58367A9C"/>
    <w:rsid w:val="58AE68B9"/>
    <w:rsid w:val="58CA12F3"/>
    <w:rsid w:val="58EA5C49"/>
    <w:rsid w:val="590944A1"/>
    <w:rsid w:val="59660A46"/>
    <w:rsid w:val="597638E0"/>
    <w:rsid w:val="59993E14"/>
    <w:rsid w:val="5A3B0686"/>
    <w:rsid w:val="5A8773EA"/>
    <w:rsid w:val="5A900011"/>
    <w:rsid w:val="5AE83619"/>
    <w:rsid w:val="5B26778A"/>
    <w:rsid w:val="5BB04D63"/>
    <w:rsid w:val="5BB27DF8"/>
    <w:rsid w:val="5BCC34FA"/>
    <w:rsid w:val="5C433822"/>
    <w:rsid w:val="5D1F7DEB"/>
    <w:rsid w:val="5DE076DE"/>
    <w:rsid w:val="5DEC6335"/>
    <w:rsid w:val="5E0220A9"/>
    <w:rsid w:val="5E023961"/>
    <w:rsid w:val="5E824608"/>
    <w:rsid w:val="5E8C5354"/>
    <w:rsid w:val="5EC42288"/>
    <w:rsid w:val="5ED82947"/>
    <w:rsid w:val="5FC56E63"/>
    <w:rsid w:val="60036A5B"/>
    <w:rsid w:val="602A0F80"/>
    <w:rsid w:val="60326B7B"/>
    <w:rsid w:val="60932FCA"/>
    <w:rsid w:val="60AE3960"/>
    <w:rsid w:val="60B37912"/>
    <w:rsid w:val="60D86C2E"/>
    <w:rsid w:val="61442516"/>
    <w:rsid w:val="61BB600D"/>
    <w:rsid w:val="61F64BF1"/>
    <w:rsid w:val="623E1E4C"/>
    <w:rsid w:val="62882711"/>
    <w:rsid w:val="62CB6E8E"/>
    <w:rsid w:val="62D2602D"/>
    <w:rsid w:val="62F9652D"/>
    <w:rsid w:val="636B0FB5"/>
    <w:rsid w:val="64122457"/>
    <w:rsid w:val="65044496"/>
    <w:rsid w:val="651D3BE3"/>
    <w:rsid w:val="65474383"/>
    <w:rsid w:val="655B35B6"/>
    <w:rsid w:val="65815AE7"/>
    <w:rsid w:val="65953340"/>
    <w:rsid w:val="659D21F5"/>
    <w:rsid w:val="65A610A9"/>
    <w:rsid w:val="65B0017A"/>
    <w:rsid w:val="65BF6F58"/>
    <w:rsid w:val="6605645B"/>
    <w:rsid w:val="66C349B3"/>
    <w:rsid w:val="66E55C01"/>
    <w:rsid w:val="67180AE3"/>
    <w:rsid w:val="67200788"/>
    <w:rsid w:val="67D250C6"/>
    <w:rsid w:val="67DA6B0B"/>
    <w:rsid w:val="67DF4D46"/>
    <w:rsid w:val="6819554F"/>
    <w:rsid w:val="68E03362"/>
    <w:rsid w:val="68EC7E2A"/>
    <w:rsid w:val="6969796B"/>
    <w:rsid w:val="6999545D"/>
    <w:rsid w:val="69E228CC"/>
    <w:rsid w:val="6A084CA9"/>
    <w:rsid w:val="6A23573F"/>
    <w:rsid w:val="6A5960AA"/>
    <w:rsid w:val="6AC65B78"/>
    <w:rsid w:val="6AFF22FA"/>
    <w:rsid w:val="6B045BCD"/>
    <w:rsid w:val="6B364C1F"/>
    <w:rsid w:val="6B3B2294"/>
    <w:rsid w:val="6B3E7A7F"/>
    <w:rsid w:val="6B4750DC"/>
    <w:rsid w:val="6B525E1F"/>
    <w:rsid w:val="6C2E1DF8"/>
    <w:rsid w:val="6C787517"/>
    <w:rsid w:val="6C920596"/>
    <w:rsid w:val="6D0D05D2"/>
    <w:rsid w:val="6D1F6AF4"/>
    <w:rsid w:val="6D4749CE"/>
    <w:rsid w:val="6D815D74"/>
    <w:rsid w:val="6D8C5028"/>
    <w:rsid w:val="6DA46816"/>
    <w:rsid w:val="6DA77B44"/>
    <w:rsid w:val="6E4B6C92"/>
    <w:rsid w:val="6E531FEA"/>
    <w:rsid w:val="6E6851EF"/>
    <w:rsid w:val="6F456449"/>
    <w:rsid w:val="6FA56394"/>
    <w:rsid w:val="6FBD3A71"/>
    <w:rsid w:val="6FCD5067"/>
    <w:rsid w:val="6FD430CB"/>
    <w:rsid w:val="702754DC"/>
    <w:rsid w:val="702B4706"/>
    <w:rsid w:val="70D951E5"/>
    <w:rsid w:val="716B27A7"/>
    <w:rsid w:val="71B0505E"/>
    <w:rsid w:val="71BD2A41"/>
    <w:rsid w:val="722E61BC"/>
    <w:rsid w:val="722F2262"/>
    <w:rsid w:val="7249140F"/>
    <w:rsid w:val="726E11A1"/>
    <w:rsid w:val="7284703D"/>
    <w:rsid w:val="72C60A9F"/>
    <w:rsid w:val="73137F9A"/>
    <w:rsid w:val="73144310"/>
    <w:rsid w:val="73373C88"/>
    <w:rsid w:val="73784874"/>
    <w:rsid w:val="737E3665"/>
    <w:rsid w:val="74706497"/>
    <w:rsid w:val="74933563"/>
    <w:rsid w:val="753366D1"/>
    <w:rsid w:val="75B336CF"/>
    <w:rsid w:val="75B415C0"/>
    <w:rsid w:val="75D25EEA"/>
    <w:rsid w:val="766641B6"/>
    <w:rsid w:val="76AD4892"/>
    <w:rsid w:val="76B95977"/>
    <w:rsid w:val="76C17CA6"/>
    <w:rsid w:val="76CA6CA5"/>
    <w:rsid w:val="76D620D9"/>
    <w:rsid w:val="770E2838"/>
    <w:rsid w:val="782529B1"/>
    <w:rsid w:val="789D27E0"/>
    <w:rsid w:val="78AD76D9"/>
    <w:rsid w:val="794F7E95"/>
    <w:rsid w:val="795065E1"/>
    <w:rsid w:val="79823784"/>
    <w:rsid w:val="79A27982"/>
    <w:rsid w:val="79CD75CC"/>
    <w:rsid w:val="7A7C0FE1"/>
    <w:rsid w:val="7A825C7B"/>
    <w:rsid w:val="7A925C48"/>
    <w:rsid w:val="7AAF2356"/>
    <w:rsid w:val="7AC946F2"/>
    <w:rsid w:val="7AE57EAC"/>
    <w:rsid w:val="7B2D0EF0"/>
    <w:rsid w:val="7B6D7945"/>
    <w:rsid w:val="7B714D49"/>
    <w:rsid w:val="7C0C5586"/>
    <w:rsid w:val="7C3F6BE4"/>
    <w:rsid w:val="7C611158"/>
    <w:rsid w:val="7C9B5288"/>
    <w:rsid w:val="7CAE2B7D"/>
    <w:rsid w:val="7CB272E3"/>
    <w:rsid w:val="7CF51FC7"/>
    <w:rsid w:val="7DA71A0B"/>
    <w:rsid w:val="7DDA301B"/>
    <w:rsid w:val="7DEB1BB7"/>
    <w:rsid w:val="7E554247"/>
    <w:rsid w:val="7E5A22C3"/>
    <w:rsid w:val="7EA85A3A"/>
    <w:rsid w:val="7EC652F2"/>
    <w:rsid w:val="7ECA3CAC"/>
    <w:rsid w:val="7F4514DB"/>
    <w:rsid w:val="7F6D27E0"/>
    <w:rsid w:val="7F880EC0"/>
    <w:rsid w:val="7FF1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20"/>
      <w:ind w:left="6" w:right="21"/>
      <w:jc w:val="center"/>
      <w:outlineLvl w:val="0"/>
    </w:pPr>
    <w:rPr>
      <w:b/>
      <w:bCs/>
      <w:sz w:val="36"/>
      <w:szCs w:val="36"/>
    </w:rPr>
  </w:style>
  <w:style w:type="paragraph" w:styleId="3">
    <w:name w:val="heading 2"/>
    <w:basedOn w:val="1"/>
    <w:next w:val="1"/>
    <w:qFormat/>
    <w:uiPriority w:val="0"/>
    <w:pPr>
      <w:keepNext/>
      <w:keepLines/>
      <w:spacing w:before="260" w:after="260" w:line="413" w:lineRule="auto"/>
      <w:jc w:val="both"/>
      <w:outlineLvl w:val="1"/>
    </w:pPr>
    <w:rPr>
      <w:rFonts w:ascii="Arial" w:hAnsi="Arial" w:eastAsia="黑体" w:cs="Times New Roman"/>
      <w:b/>
      <w:bCs/>
      <w:kern w:val="2"/>
      <w:sz w:val="32"/>
      <w:szCs w:val="32"/>
      <w:lang w:val="en-US" w:bidi="ar-SA"/>
    </w:rPr>
  </w:style>
  <w:style w:type="paragraph" w:styleId="4">
    <w:name w:val="heading 4"/>
    <w:basedOn w:val="1"/>
    <w:next w:val="1"/>
    <w:qFormat/>
    <w:uiPriority w:val="0"/>
    <w:pPr>
      <w:keepNext/>
      <w:keepLines/>
      <w:spacing w:before="120" w:after="120"/>
      <w:jc w:val="both"/>
      <w:outlineLvl w:val="3"/>
    </w:pPr>
    <w:rPr>
      <w:rFonts w:ascii="Arial" w:hAnsi="Arial" w:eastAsia="黑体" w:cs="Times New Roman"/>
      <w:b/>
      <w:kern w:val="2"/>
      <w:sz w:val="28"/>
      <w:szCs w:val="20"/>
      <w:lang w:val="en-US" w:bidi="ar-SA"/>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6">
    <w:name w:val="annotation text"/>
    <w:basedOn w:val="1"/>
    <w:link w:val="74"/>
    <w:qFormat/>
    <w:uiPriority w:val="99"/>
    <w:pPr>
      <w:autoSpaceDE/>
      <w:autoSpaceDN/>
    </w:pPr>
    <w:rPr>
      <w:rFonts w:ascii="Times New Roman" w:hAnsi="Times New Roman" w:cs="Times New Roman"/>
      <w:kern w:val="2"/>
      <w:sz w:val="21"/>
      <w:szCs w:val="20"/>
      <w:lang w:val="en-US" w:bidi="ar-SA"/>
    </w:rPr>
  </w:style>
  <w:style w:type="paragraph" w:styleId="7">
    <w:name w:val="Body Text"/>
    <w:basedOn w:val="1"/>
    <w:qFormat/>
    <w:uiPriority w:val="1"/>
    <w:rPr>
      <w:sz w:val="21"/>
      <w:szCs w:val="21"/>
    </w:rPr>
  </w:style>
  <w:style w:type="paragraph" w:styleId="8">
    <w:name w:val="Body Text Indent"/>
    <w:basedOn w:val="1"/>
    <w:next w:val="9"/>
    <w:qFormat/>
    <w:uiPriority w:val="0"/>
    <w:pPr>
      <w:spacing w:after="120"/>
      <w:ind w:left="200"/>
    </w:pPr>
    <w:rPr>
      <w:rFonts w:ascii="Times New Roman" w:hAnsi="Times New Roman" w:eastAsia="Calibri" w:cs="宋体"/>
      <w:sz w:val="20"/>
      <w:szCs w:val="20"/>
      <w:lang w:val="zh-CN"/>
    </w:rPr>
  </w:style>
  <w:style w:type="paragraph" w:styleId="9">
    <w:name w:val="envelope return"/>
    <w:basedOn w:val="1"/>
    <w:unhideWhenUsed/>
    <w:qFormat/>
    <w:uiPriority w:val="99"/>
    <w:rPr>
      <w:rFonts w:ascii="Arial" w:hAnsi="Arial" w:cs="Arial"/>
    </w:rPr>
  </w:style>
  <w:style w:type="paragraph" w:styleId="10">
    <w:name w:val="toc 3"/>
    <w:basedOn w:val="1"/>
    <w:next w:val="1"/>
    <w:qFormat/>
    <w:uiPriority w:val="0"/>
    <w:pPr>
      <w:ind w:left="840" w:leftChars="400"/>
    </w:pPr>
  </w:style>
  <w:style w:type="paragraph" w:styleId="11">
    <w:name w:val="Plain Text"/>
    <w:basedOn w:val="1"/>
    <w:qFormat/>
    <w:uiPriority w:val="0"/>
    <w:rPr>
      <w:rFonts w:hAnsi="Courier New"/>
      <w:sz w:val="24"/>
    </w:rPr>
  </w:style>
  <w:style w:type="paragraph" w:styleId="12">
    <w:name w:val="Body Text Indent 2"/>
    <w:basedOn w:val="1"/>
    <w:next w:val="1"/>
    <w:link w:val="51"/>
    <w:qFormat/>
    <w:uiPriority w:val="99"/>
    <w:pPr>
      <w:spacing w:line="400" w:lineRule="exact"/>
      <w:ind w:firstLine="480"/>
    </w:pPr>
    <w:rPr>
      <w:sz w:val="24"/>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basedOn w:val="1"/>
    <w:next w:val="1"/>
    <w:qFormat/>
    <w:uiPriority w:val="1"/>
    <w:pPr>
      <w:spacing w:before="43"/>
      <w:ind w:right="781"/>
      <w:jc w:val="right"/>
    </w:pPr>
    <w:rPr>
      <w:sz w:val="21"/>
      <w:szCs w:val="21"/>
    </w:rPr>
  </w:style>
  <w:style w:type="paragraph" w:styleId="16">
    <w:name w:val="toc 2"/>
    <w:basedOn w:val="1"/>
    <w:next w:val="1"/>
    <w:qFormat/>
    <w:uiPriority w:val="0"/>
    <w:pPr>
      <w:ind w:left="420" w:leftChars="200"/>
    </w:pPr>
  </w:style>
  <w:style w:type="paragraph" w:styleId="17">
    <w:name w:val="Normal (Web)"/>
    <w:basedOn w:val="1"/>
    <w:qFormat/>
    <w:uiPriority w:val="0"/>
    <w:rPr>
      <w:rFonts w:cs="Times New Roman"/>
      <w:sz w:val="24"/>
      <w:lang w:val="en-US" w:bidi="ar-SA"/>
    </w:rPr>
  </w:style>
  <w:style w:type="paragraph" w:styleId="18">
    <w:name w:val="Title"/>
    <w:qFormat/>
    <w:uiPriority w:val="0"/>
    <w:pPr>
      <w:overflowPunct w:val="0"/>
      <w:autoSpaceDE w:val="0"/>
      <w:autoSpaceDN w:val="0"/>
      <w:adjustRightInd w:val="0"/>
      <w:spacing w:line="420" w:lineRule="exact"/>
      <w:jc w:val="center"/>
      <w:textAlignment w:val="baseline"/>
    </w:pPr>
    <w:rPr>
      <w:rFonts w:ascii="Times New Roman" w:hAnsi="Times New Roman" w:eastAsia="黑体" w:cs="Times New Roman"/>
      <w:b/>
      <w:sz w:val="28"/>
      <w:lang w:val="en-GB" w:eastAsia="zh-CN" w:bidi="ar-SA"/>
    </w:rPr>
  </w:style>
  <w:style w:type="paragraph" w:styleId="19">
    <w:name w:val="Body Text First Indent 2"/>
    <w:basedOn w:val="8"/>
    <w:next w:val="1"/>
    <w:qFormat/>
    <w:uiPriority w:val="99"/>
    <w:pPr>
      <w:ind w:firstLine="420"/>
    </w:p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basedOn w:val="22"/>
    <w:unhideWhenUsed/>
    <w:qFormat/>
    <w:uiPriority w:val="99"/>
    <w:rPr>
      <w:color w:val="800080"/>
      <w:u w:val="single"/>
    </w:rPr>
  </w:style>
  <w:style w:type="character" w:styleId="24">
    <w:name w:val="Emphasis"/>
    <w:basedOn w:val="22"/>
    <w:qFormat/>
    <w:uiPriority w:val="0"/>
    <w:rPr>
      <w:color w:val="CC0000"/>
    </w:rPr>
  </w:style>
  <w:style w:type="character" w:styleId="25">
    <w:name w:val="Hyperlink"/>
    <w:basedOn w:val="22"/>
    <w:unhideWhenUsed/>
    <w:qFormat/>
    <w:uiPriority w:val="99"/>
    <w:rPr>
      <w:color w:val="0000FF"/>
      <w:u w:val="single"/>
    </w:rPr>
  </w:style>
  <w:style w:type="character" w:styleId="26">
    <w:name w:val="HTML Cite"/>
    <w:basedOn w:val="22"/>
    <w:qFormat/>
    <w:uiPriority w:val="0"/>
    <w:rPr>
      <w:color w:val="008000"/>
    </w:rPr>
  </w:style>
  <w:style w:type="paragraph" w:styleId="27">
    <w:name w:val="List Paragraph"/>
    <w:basedOn w:val="1"/>
    <w:qFormat/>
    <w:uiPriority w:val="99"/>
    <w:pPr>
      <w:ind w:left="878" w:firstLine="420"/>
    </w:pPr>
  </w:style>
  <w:style w:type="table" w:customStyle="1" w:styleId="28">
    <w:name w:val="Table Normal"/>
    <w:semiHidden/>
    <w:unhideWhenUsed/>
    <w:qFormat/>
    <w:uiPriority w:val="2"/>
    <w:tblPr>
      <w:tblCellMar>
        <w:top w:w="0" w:type="dxa"/>
        <w:left w:w="0" w:type="dxa"/>
        <w:bottom w:w="0" w:type="dxa"/>
        <w:right w:w="0" w:type="dxa"/>
      </w:tblCellMar>
    </w:tblPr>
  </w:style>
  <w:style w:type="paragraph" w:customStyle="1" w:styleId="29">
    <w:name w:val="Table Paragraph"/>
    <w:basedOn w:val="1"/>
    <w:qFormat/>
    <w:uiPriority w:val="1"/>
  </w:style>
  <w:style w:type="paragraph" w:customStyle="1" w:styleId="30">
    <w:name w:val="p0"/>
    <w:basedOn w:val="1"/>
    <w:qFormat/>
    <w:uiPriority w:val="0"/>
    <w:pPr>
      <w:widowControl/>
    </w:pPr>
    <w:rPr>
      <w:szCs w:val="21"/>
    </w:rPr>
  </w:style>
  <w:style w:type="paragraph" w:customStyle="1" w:styleId="31">
    <w:name w:val="！标题2"/>
    <w:next w:val="32"/>
    <w:qFormat/>
    <w:uiPriority w:val="0"/>
    <w:pPr>
      <w:keepNext/>
      <w:keepLines/>
      <w:widowControl w:val="0"/>
      <w:numPr>
        <w:ilvl w:val="1"/>
        <w:numId w:val="1"/>
      </w:numPr>
      <w:tabs>
        <w:tab w:val="left" w:pos="360"/>
        <w:tab w:val="left" w:pos="1560"/>
      </w:tabs>
      <w:spacing w:before="260" w:after="260" w:line="413" w:lineRule="auto"/>
      <w:jc w:val="both"/>
      <w:outlineLvl w:val="1"/>
    </w:pPr>
    <w:rPr>
      <w:rFonts w:ascii="Arial" w:hAnsi="Arial" w:eastAsia="黑体" w:cs="Times New Roman"/>
      <w:b/>
      <w:bCs/>
      <w:sz w:val="32"/>
      <w:szCs w:val="32"/>
      <w:lang w:val="en-US" w:eastAsia="zh-CN" w:bidi="ar-SA"/>
    </w:rPr>
  </w:style>
  <w:style w:type="paragraph" w:customStyle="1" w:styleId="32">
    <w:name w:val="！正文"/>
    <w:qFormat/>
    <w:uiPriority w:val="0"/>
    <w:pPr>
      <w:widowControl w:val="0"/>
      <w:spacing w:line="360" w:lineRule="auto"/>
      <w:ind w:firstLine="420" w:firstLineChars="200"/>
      <w:jc w:val="both"/>
    </w:pPr>
    <w:rPr>
      <w:rFonts w:ascii="Times New Roman" w:hAnsi="Times New Roman" w:eastAsia="宋体" w:cs="Times New Roman"/>
      <w:sz w:val="18"/>
      <w:lang w:val="en-US" w:eastAsia="zh-CN" w:bidi="ar-SA"/>
    </w:rPr>
  </w:style>
  <w:style w:type="paragraph" w:customStyle="1" w:styleId="33">
    <w:name w:val="！标题4"/>
    <w:next w:val="1"/>
    <w:qFormat/>
    <w:uiPriority w:val="0"/>
    <w:pPr>
      <w:keepNext/>
      <w:keepLines/>
      <w:widowControl w:val="0"/>
      <w:numPr>
        <w:ilvl w:val="3"/>
        <w:numId w:val="2"/>
      </w:numPr>
      <w:tabs>
        <w:tab w:val="left" w:pos="0"/>
        <w:tab w:val="left" w:pos="360"/>
        <w:tab w:val="left" w:pos="1135"/>
      </w:tabs>
      <w:spacing w:before="280" w:after="290" w:line="372" w:lineRule="auto"/>
      <w:ind w:left="0"/>
      <w:jc w:val="both"/>
      <w:outlineLvl w:val="3"/>
    </w:pPr>
    <w:rPr>
      <w:rFonts w:ascii="Arial" w:hAnsi="Arial" w:eastAsia="黑体" w:cs="Times New Roman"/>
      <w:sz w:val="28"/>
      <w:szCs w:val="28"/>
      <w:lang w:val="en-US" w:eastAsia="zh-CN" w:bidi="ar-SA"/>
    </w:rPr>
  </w:style>
  <w:style w:type="paragraph" w:customStyle="1" w:styleId="34">
    <w:name w:val="列出段落11"/>
    <w:basedOn w:val="1"/>
    <w:qFormat/>
    <w:uiPriority w:val="0"/>
    <w:pPr>
      <w:ind w:firstLine="420" w:firstLineChars="200"/>
    </w:pPr>
    <w:rPr>
      <w:rFonts w:ascii="Calibri" w:hAnsi="Calibri"/>
    </w:rPr>
  </w:style>
  <w:style w:type="paragraph" w:customStyle="1" w:styleId="35">
    <w:name w:val="表"/>
    <w:basedOn w:val="1"/>
    <w:qFormat/>
    <w:uiPriority w:val="0"/>
    <w:pPr>
      <w:jc w:val="center"/>
    </w:pPr>
    <w:rPr>
      <w:color w:val="000000"/>
      <w:sz w:val="21"/>
      <w:szCs w:val="21"/>
    </w:rPr>
  </w:style>
  <w:style w:type="paragraph" w:customStyle="1" w:styleId="36">
    <w:name w:val="表格"/>
    <w:basedOn w:val="1"/>
    <w:next w:val="1"/>
    <w:qFormat/>
    <w:uiPriority w:val="0"/>
    <w:pPr>
      <w:jc w:val="center"/>
    </w:pPr>
    <w:rPr>
      <w:rFonts w:eastAsiaTheme="minorEastAsia" w:cstheme="minorBidi"/>
      <w:sz w:val="21"/>
    </w:rPr>
  </w:style>
  <w:style w:type="character" w:customStyle="1" w:styleId="37">
    <w:name w:val="hover18"/>
    <w:basedOn w:val="22"/>
    <w:qFormat/>
    <w:uiPriority w:val="0"/>
  </w:style>
  <w:style w:type="character" w:customStyle="1" w:styleId="38">
    <w:name w:val="hover19"/>
    <w:basedOn w:val="22"/>
    <w:qFormat/>
    <w:uiPriority w:val="0"/>
    <w:rPr>
      <w:color w:val="315EFB"/>
    </w:rPr>
  </w:style>
  <w:style w:type="character" w:customStyle="1" w:styleId="39">
    <w:name w:val="c-icon28"/>
    <w:basedOn w:val="22"/>
    <w:qFormat/>
    <w:uiPriority w:val="0"/>
  </w:style>
  <w:style w:type="character" w:customStyle="1" w:styleId="40">
    <w:name w:val="15"/>
    <w:basedOn w:val="22"/>
    <w:qFormat/>
    <w:uiPriority w:val="0"/>
    <w:rPr>
      <w:rFonts w:hint="default" w:ascii="Times New Roman" w:hAnsi="Times New Roman" w:cs="Times New Roman"/>
    </w:rPr>
  </w:style>
  <w:style w:type="paragraph" w:customStyle="1" w:styleId="41">
    <w:name w:val="Body text|1"/>
    <w:basedOn w:val="1"/>
    <w:qFormat/>
    <w:uiPriority w:val="0"/>
    <w:pPr>
      <w:spacing w:line="377" w:lineRule="auto"/>
      <w:ind w:firstLine="400"/>
    </w:pPr>
    <w:rPr>
      <w:lang w:val="zh-TW" w:eastAsia="zh-TW" w:bidi="zh-TW"/>
    </w:rPr>
  </w:style>
  <w:style w:type="paragraph" w:customStyle="1" w:styleId="42">
    <w:name w:val="Body text|2"/>
    <w:basedOn w:val="1"/>
    <w:qFormat/>
    <w:uiPriority w:val="0"/>
    <w:pPr>
      <w:ind w:hanging="1580"/>
    </w:pPr>
    <w:rPr>
      <w:sz w:val="17"/>
      <w:szCs w:val="17"/>
      <w:lang w:val="zh-TW" w:eastAsia="zh-TW" w:bidi="zh-TW"/>
    </w:rPr>
  </w:style>
  <w:style w:type="paragraph" w:customStyle="1" w:styleId="43">
    <w:name w:val="p"/>
    <w:basedOn w:val="1"/>
    <w:qFormat/>
    <w:uiPriority w:val="0"/>
    <w:pPr>
      <w:widowControl/>
      <w:autoSpaceDE/>
      <w:autoSpaceDN/>
      <w:spacing w:before="100" w:beforeAutospacing="1" w:after="100" w:afterAutospacing="1"/>
    </w:pPr>
    <w:rPr>
      <w:sz w:val="24"/>
      <w:szCs w:val="24"/>
      <w:lang w:val="en-US" w:bidi="ar-SA"/>
    </w:rPr>
  </w:style>
  <w:style w:type="paragraph" w:customStyle="1" w:styleId="44">
    <w:name w:val="表格文本"/>
    <w:basedOn w:val="1"/>
    <w:qFormat/>
    <w:uiPriority w:val="0"/>
    <w:pPr>
      <w:jc w:val="center"/>
    </w:pPr>
    <w:rPr>
      <w:bCs/>
      <w:szCs w:val="21"/>
    </w:rPr>
  </w:style>
  <w:style w:type="paragraph" w:customStyle="1" w:styleId="45">
    <w:name w:val="正文（文本）"/>
    <w:qFormat/>
    <w:uiPriority w:val="0"/>
    <w:pPr>
      <w:widowControl w:val="0"/>
      <w:snapToGrid w:val="0"/>
      <w:spacing w:beforeLines="20" w:line="360" w:lineRule="auto"/>
      <w:jc w:val="center"/>
    </w:pPr>
    <w:rPr>
      <w:rFonts w:ascii="Calibri" w:hAnsi="宋体" w:eastAsia="宋体" w:cs="Times New Roman"/>
      <w:kern w:val="2"/>
      <w:sz w:val="28"/>
      <w:szCs w:val="28"/>
      <w:lang w:val="en-US" w:eastAsia="zh-CN" w:bidi="ar-SA"/>
    </w:rPr>
  </w:style>
  <w:style w:type="paragraph" w:customStyle="1" w:styleId="46">
    <w:name w:val="首行缩进"/>
    <w:basedOn w:val="1"/>
    <w:qFormat/>
    <w:uiPriority w:val="0"/>
    <w:pPr>
      <w:ind w:firstLine="480" w:firstLineChars="200"/>
    </w:pPr>
    <w:rPr>
      <w:rFonts w:ascii="Calibri" w:hAnsi="Calibri" w:cs="Times New Roman"/>
      <w:szCs w:val="20"/>
    </w:rPr>
  </w:style>
  <w:style w:type="character" w:customStyle="1" w:styleId="47">
    <w:name w:val="font91"/>
    <w:basedOn w:val="22"/>
    <w:qFormat/>
    <w:uiPriority w:val="0"/>
    <w:rPr>
      <w:rFonts w:hint="eastAsia" w:ascii="宋体" w:hAnsi="宋体" w:eastAsia="宋体" w:cs="宋体"/>
      <w:color w:val="000000"/>
      <w:sz w:val="20"/>
      <w:szCs w:val="20"/>
      <w:u w:val="none"/>
    </w:rPr>
  </w:style>
  <w:style w:type="character" w:customStyle="1" w:styleId="48">
    <w:name w:val="font112"/>
    <w:basedOn w:val="22"/>
    <w:qFormat/>
    <w:uiPriority w:val="0"/>
    <w:rPr>
      <w:rFonts w:ascii="Calibri" w:hAnsi="Calibri" w:cs="Calibri"/>
      <w:color w:val="000000"/>
      <w:sz w:val="20"/>
      <w:szCs w:val="20"/>
      <w:u w:val="none"/>
    </w:rPr>
  </w:style>
  <w:style w:type="character" w:customStyle="1" w:styleId="49">
    <w:name w:val="font61"/>
    <w:basedOn w:val="22"/>
    <w:qFormat/>
    <w:uiPriority w:val="0"/>
    <w:rPr>
      <w:rFonts w:hint="eastAsia" w:ascii="宋体" w:hAnsi="宋体" w:eastAsia="宋体" w:cs="宋体"/>
      <w:color w:val="000000"/>
      <w:sz w:val="20"/>
      <w:szCs w:val="20"/>
      <w:u w:val="none"/>
    </w:rPr>
  </w:style>
  <w:style w:type="character" w:customStyle="1" w:styleId="50">
    <w:name w:val="font101"/>
    <w:basedOn w:val="22"/>
    <w:qFormat/>
    <w:uiPriority w:val="0"/>
    <w:rPr>
      <w:rFonts w:ascii="Calibri" w:hAnsi="Calibri" w:cs="Calibri"/>
      <w:color w:val="000000"/>
      <w:sz w:val="20"/>
      <w:szCs w:val="20"/>
      <w:u w:val="none"/>
    </w:rPr>
  </w:style>
  <w:style w:type="character" w:customStyle="1" w:styleId="51">
    <w:name w:val="正文文本缩进 2 字符"/>
    <w:basedOn w:val="22"/>
    <w:link w:val="12"/>
    <w:qFormat/>
    <w:uiPriority w:val="99"/>
    <w:rPr>
      <w:rFonts w:ascii="宋体" w:hAnsi="宋体" w:cs="宋体"/>
      <w:sz w:val="24"/>
      <w:szCs w:val="22"/>
      <w:lang w:val="zh-CN" w:bidi="zh-CN"/>
    </w:rPr>
  </w:style>
  <w:style w:type="paragraph" w:customStyle="1" w:styleId="52">
    <w:name w:val="msonormal"/>
    <w:basedOn w:val="1"/>
    <w:qFormat/>
    <w:uiPriority w:val="0"/>
    <w:pPr>
      <w:widowControl/>
      <w:autoSpaceDE/>
      <w:autoSpaceDN/>
      <w:spacing w:before="100" w:beforeAutospacing="1" w:after="100" w:afterAutospacing="1"/>
    </w:pPr>
    <w:rPr>
      <w:sz w:val="24"/>
      <w:szCs w:val="24"/>
      <w:lang w:val="en-US" w:bidi="ar-SA"/>
    </w:rPr>
  </w:style>
  <w:style w:type="paragraph" w:customStyle="1" w:styleId="53">
    <w:name w:val="xl77"/>
    <w:basedOn w:val="1"/>
    <w:qFormat/>
    <w:uiPriority w:val="0"/>
    <w:pPr>
      <w:widowControl/>
      <w:autoSpaceDE/>
      <w:autoSpaceDN/>
      <w:spacing w:before="100" w:beforeAutospacing="1" w:after="100" w:afterAutospacing="1"/>
      <w:textAlignment w:val="center"/>
    </w:pPr>
    <w:rPr>
      <w:sz w:val="24"/>
      <w:szCs w:val="24"/>
      <w:lang w:val="en-US" w:bidi="ar-SA"/>
    </w:rPr>
  </w:style>
  <w:style w:type="paragraph" w:customStyle="1" w:styleId="54">
    <w:name w:val="xl78"/>
    <w:basedOn w:val="1"/>
    <w:qFormat/>
    <w:uiPriority w:val="0"/>
    <w:pPr>
      <w:widowControl/>
      <w:autoSpaceDE/>
      <w:autoSpaceDN/>
      <w:spacing w:before="100" w:beforeAutospacing="1" w:after="100" w:afterAutospacing="1"/>
      <w:jc w:val="center"/>
    </w:pPr>
    <w:rPr>
      <w:sz w:val="24"/>
      <w:szCs w:val="24"/>
      <w:lang w:val="en-US" w:bidi="ar-SA"/>
    </w:rPr>
  </w:style>
  <w:style w:type="paragraph" w:customStyle="1" w:styleId="55">
    <w:name w:val="xl79"/>
    <w:basedOn w:val="1"/>
    <w:qFormat/>
    <w:uiPriority w:val="0"/>
    <w:pPr>
      <w:widowControl/>
      <w:autoSpaceDE/>
      <w:autoSpaceDN/>
      <w:spacing w:before="100" w:beforeAutospacing="1" w:after="100" w:afterAutospacing="1"/>
    </w:pPr>
    <w:rPr>
      <w:sz w:val="24"/>
      <w:szCs w:val="24"/>
      <w:lang w:val="en-US" w:bidi="ar-SA"/>
    </w:rPr>
  </w:style>
  <w:style w:type="paragraph" w:customStyle="1" w:styleId="56">
    <w:name w:val="xl80"/>
    <w:basedOn w:val="1"/>
    <w:qFormat/>
    <w:uiPriority w:val="0"/>
    <w:pPr>
      <w:widowControl/>
      <w:autoSpaceDE/>
      <w:autoSpaceDN/>
      <w:spacing w:before="100" w:beforeAutospacing="1" w:after="100" w:afterAutospacing="1"/>
      <w:jc w:val="center"/>
      <w:textAlignment w:val="center"/>
    </w:pPr>
    <w:rPr>
      <w:sz w:val="24"/>
      <w:szCs w:val="24"/>
      <w:lang w:val="en-US" w:bidi="ar-SA"/>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24"/>
      <w:szCs w:val="24"/>
      <w:lang w:val="en-US" w:bidi="ar-SA"/>
    </w:rPr>
  </w:style>
  <w:style w:type="paragraph" w:customStyle="1" w:styleId="58">
    <w:name w:val="xl82"/>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textAlignment w:val="center"/>
    </w:pPr>
    <w:rPr>
      <w:sz w:val="18"/>
      <w:szCs w:val="18"/>
      <w:lang w:val="en-US" w:bidi="ar-SA"/>
    </w:rPr>
  </w:style>
  <w:style w:type="paragraph" w:customStyle="1" w:styleId="59">
    <w:name w:val="xl83"/>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textAlignment w:val="center"/>
    </w:pPr>
    <w:rPr>
      <w:sz w:val="24"/>
      <w:szCs w:val="24"/>
      <w:lang w:val="en-US" w:bidi="ar-SA"/>
    </w:rPr>
  </w:style>
  <w:style w:type="paragraph" w:customStyle="1" w:styleId="60">
    <w:name w:val="xl84"/>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24"/>
      <w:szCs w:val="24"/>
      <w:lang w:val="en-US" w:bidi="ar-SA"/>
    </w:rPr>
  </w:style>
  <w:style w:type="paragraph" w:customStyle="1" w:styleId="61">
    <w:name w:val="xl85"/>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18"/>
      <w:szCs w:val="18"/>
      <w:lang w:val="en-US" w:bidi="ar-SA"/>
    </w:rPr>
  </w:style>
  <w:style w:type="paragraph" w:customStyle="1" w:styleId="62">
    <w:name w:val="xl86"/>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24"/>
      <w:szCs w:val="24"/>
      <w:lang w:val="en-US" w:bidi="ar-SA"/>
    </w:rPr>
  </w:style>
  <w:style w:type="paragraph" w:customStyle="1" w:styleId="63">
    <w:name w:val="xl87"/>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b/>
      <w:bCs/>
      <w:sz w:val="24"/>
      <w:szCs w:val="24"/>
      <w:lang w:val="en-US" w:bidi="ar-SA"/>
    </w:rPr>
  </w:style>
  <w:style w:type="paragraph" w:customStyle="1" w:styleId="64">
    <w:name w:val="xl88"/>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b/>
      <w:bCs/>
      <w:color w:val="000000"/>
      <w:sz w:val="24"/>
      <w:szCs w:val="24"/>
      <w:lang w:val="en-US" w:bidi="ar-SA"/>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b/>
      <w:bCs/>
      <w:sz w:val="24"/>
      <w:szCs w:val="24"/>
      <w:lang w:val="en-US" w:bidi="ar-SA"/>
    </w:rPr>
  </w:style>
  <w:style w:type="paragraph" w:customStyle="1" w:styleId="66">
    <w:name w:val="xl90"/>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24"/>
      <w:szCs w:val="24"/>
      <w:lang w:val="en-US" w:bidi="ar-SA"/>
    </w:rPr>
  </w:style>
  <w:style w:type="paragraph" w:customStyle="1" w:styleId="67">
    <w:name w:val="xl91"/>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24"/>
      <w:szCs w:val="24"/>
      <w:lang w:val="en-US" w:bidi="ar-SA"/>
    </w:rPr>
  </w:style>
  <w:style w:type="paragraph" w:customStyle="1" w:styleId="68">
    <w:name w:val="xl92"/>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b/>
      <w:bCs/>
      <w:color w:val="000000"/>
      <w:sz w:val="24"/>
      <w:szCs w:val="24"/>
      <w:lang w:val="en-US" w:bidi="ar-SA"/>
    </w:rPr>
  </w:style>
  <w:style w:type="paragraph" w:customStyle="1" w:styleId="69">
    <w:name w:val="xl93"/>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sz w:val="24"/>
      <w:szCs w:val="24"/>
      <w:lang w:val="en-US" w:bidi="ar-SA"/>
    </w:rPr>
  </w:style>
  <w:style w:type="paragraph" w:customStyle="1" w:styleId="70">
    <w:name w:val="xl94"/>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textAlignment w:val="center"/>
    </w:pPr>
    <w:rPr>
      <w:b/>
      <w:bCs/>
      <w:color w:val="000000"/>
      <w:sz w:val="24"/>
      <w:szCs w:val="24"/>
      <w:lang w:val="en-US" w:bidi="ar-SA"/>
    </w:rPr>
  </w:style>
  <w:style w:type="paragraph" w:customStyle="1" w:styleId="71">
    <w:name w:val="font0"/>
    <w:basedOn w:val="1"/>
    <w:qFormat/>
    <w:uiPriority w:val="0"/>
    <w:pPr>
      <w:widowControl/>
      <w:autoSpaceDE/>
      <w:autoSpaceDN/>
      <w:spacing w:before="100" w:beforeAutospacing="1" w:after="100" w:afterAutospacing="1"/>
    </w:pPr>
    <w:rPr>
      <w:sz w:val="20"/>
      <w:szCs w:val="20"/>
      <w:lang w:val="en-US" w:bidi="ar-SA"/>
    </w:rPr>
  </w:style>
  <w:style w:type="paragraph" w:customStyle="1" w:styleId="72">
    <w:name w:val="xl76"/>
    <w:basedOn w:val="1"/>
    <w:qFormat/>
    <w:uiPriority w:val="0"/>
    <w:pPr>
      <w:widowControl/>
      <w:autoSpaceDE/>
      <w:autoSpaceDN/>
      <w:spacing w:before="100" w:beforeAutospacing="1" w:after="100" w:afterAutospacing="1"/>
      <w:textAlignment w:val="center"/>
    </w:pPr>
    <w:rPr>
      <w:sz w:val="24"/>
      <w:szCs w:val="24"/>
      <w:lang w:val="en-US" w:bidi="ar-SA"/>
    </w:rPr>
  </w:style>
  <w:style w:type="character" w:customStyle="1" w:styleId="73">
    <w:name w:val="批注文字 字符"/>
    <w:basedOn w:val="22"/>
    <w:qFormat/>
    <w:uiPriority w:val="0"/>
    <w:rPr>
      <w:rFonts w:ascii="宋体" w:hAnsi="宋体" w:cs="宋体"/>
      <w:sz w:val="22"/>
      <w:szCs w:val="22"/>
      <w:lang w:val="zh-CN" w:bidi="zh-CN"/>
    </w:rPr>
  </w:style>
  <w:style w:type="character" w:customStyle="1" w:styleId="74">
    <w:name w:val="批注文字 字符1"/>
    <w:link w:val="6"/>
    <w:qFormat/>
    <w:uiPriority w:val="99"/>
    <w:rPr>
      <w:kern w:val="2"/>
      <w:sz w:val="21"/>
    </w:rPr>
  </w:style>
  <w:style w:type="paragraph" w:customStyle="1" w:styleId="75">
    <w:name w:val="font5"/>
    <w:basedOn w:val="1"/>
    <w:qFormat/>
    <w:uiPriority w:val="0"/>
    <w:pPr>
      <w:widowControl/>
      <w:autoSpaceDE/>
      <w:autoSpaceDN/>
      <w:spacing w:before="100" w:beforeAutospacing="1" w:after="100" w:afterAutospacing="1"/>
    </w:pPr>
    <w:rPr>
      <w:rFonts w:ascii="Calibri" w:hAnsi="Calibri" w:cs="Calibri"/>
      <w:sz w:val="20"/>
      <w:szCs w:val="20"/>
      <w:lang w:val="en-US" w:bidi="ar-SA"/>
    </w:rPr>
  </w:style>
  <w:style w:type="paragraph" w:customStyle="1" w:styleId="76">
    <w:name w:val="font6"/>
    <w:basedOn w:val="1"/>
    <w:qFormat/>
    <w:uiPriority w:val="0"/>
    <w:pPr>
      <w:widowControl/>
      <w:autoSpaceDE/>
      <w:autoSpaceDN/>
      <w:spacing w:before="100" w:beforeAutospacing="1" w:after="100" w:afterAutospacing="1"/>
    </w:pPr>
    <w:rPr>
      <w:sz w:val="18"/>
      <w:szCs w:val="18"/>
      <w:lang w:val="en-US" w:bidi="ar-SA"/>
    </w:rPr>
  </w:style>
  <w:style w:type="paragraph" w:customStyle="1" w:styleId="77">
    <w:name w:val="无间隔11"/>
    <w:unhideWhenUsed/>
    <w:qFormat/>
    <w:uiPriority w:val="0"/>
    <w:rPr>
      <w:rFonts w:ascii="Times New Roman" w:hAnsi="Times New Roman" w:eastAsia="宋体" w:cs="Times New Roman"/>
      <w:sz w:val="22"/>
      <w:lang w:val="en-US" w:eastAsia="en-US" w:bidi="ar-SA"/>
    </w:rPr>
  </w:style>
  <w:style w:type="paragraph" w:customStyle="1" w:styleId="78">
    <w:name w:val="0正文"/>
    <w:basedOn w:val="1"/>
    <w:qFormat/>
    <w:uiPriority w:val="0"/>
    <w:pPr>
      <w:ind w:firstLine="200" w:firstLineChars="200"/>
    </w:pPr>
    <w:rPr>
      <w:kern w:val="2"/>
      <w:sz w:val="21"/>
      <w:szCs w:val="21"/>
    </w:rPr>
  </w:style>
  <w:style w:type="paragraph" w:customStyle="1" w:styleId="79">
    <w:name w:val="msolistparagraph"/>
    <w:basedOn w:val="1"/>
    <w:qFormat/>
    <w:uiPriority w:val="0"/>
    <w:pPr>
      <w:widowControl w:val="0"/>
      <w:ind w:firstLine="420" w:firstLineChars="200"/>
      <w:jc w:val="both"/>
    </w:pPr>
    <w:rPr>
      <w:rFonts w:ascii="Calibri" w:hAnsi="Calibri"/>
      <w:kern w:val="2"/>
      <w:sz w:val="21"/>
      <w:szCs w:val="22"/>
    </w:rPr>
  </w:style>
  <w:style w:type="paragraph" w:customStyle="1" w:styleId="80">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81">
    <w:name w:val="索引 41"/>
    <w:basedOn w:val="1"/>
    <w:next w:val="1"/>
    <w:semiHidden/>
    <w:qFormat/>
    <w:uiPriority w:val="0"/>
    <w:pPr>
      <w:ind w:left="1260"/>
    </w:pPr>
    <w:rPr>
      <w:rFonts w:ascii="Calibri" w:hAnsi="Calibri" w:eastAsia="Calibri" w:cs="宋体"/>
      <w:sz w:val="20"/>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12853</Words>
  <Characters>13479</Characters>
  <Lines>34</Lines>
  <Paragraphs>50</Paragraphs>
  <TotalTime>7</TotalTime>
  <ScaleCrop>false</ScaleCrop>
  <LinksUpToDate>false</LinksUpToDate>
  <CharactersWithSpaces>13779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2024-11-18T03:05:00Z</dcterms:created>
  <dc:creator>nanjingshi</dc:creator>
  <cp:lastModifiedBy>Zxy211156</cp:lastModifiedBy>
  <cp:lastPrinted>2024-10-10T06:35:00Z</cp:lastPrinted>
  <dcterms:modified xsi:type="dcterms:W3CDTF">2026-04-02T02:40:52Z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2019-08-06T00:00:00Z</vt:filetime>
  </property>
  <property fmtid="{D5CDD505-2E9C-101B-9397-08002B2CF9AE}" pid="3" name="Creator">
    <vt:lpwstr>WPS 文字</vt:lpwstr>
  </property>
  <property fmtid="{D5CDD505-2E9C-101B-9397-08002B2CF9AE}" pid="4" name="LastSaved">
    <vt:filetime>2019-08-14T00:00:00Z</vt:filetime>
  </property>
  <property fmtid="{D5CDD505-2E9C-101B-9397-08002B2CF9AE}" pid="5" name="KSOProductBuildVer">
    <vt:lpwstr>2052-12.1.0.25225</vt:lpwstr>
  </property>
  <property fmtid="{D5CDD505-2E9C-101B-9397-08002B2CF9AE}" pid="6" name="ICV">
    <vt:lpwstr>FCC8C1E2B9684CB084B3AB149F3AB142_13</vt:lpwstr>
  </property>
  <property fmtid="{D5CDD505-2E9C-101B-9397-08002B2CF9AE}" pid="7" name="KSOTemplateDocerSaveRecord">
    <vt:lpwstr>eyJoZGlkIjoiNmMyZDY5YmZjYWQxOThkYWU3Njk1NGExZDE0YzUyNTUiLCJ1c2VySWQiOiIxMzE5NTc3NDE2In0=</vt:lpwstr>
  </property>
</Properties>
</file>