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1C84D">
      <w:pPr>
        <w:spacing w:beforeLines="50" w:afterLines="50" w:line="560" w:lineRule="exact"/>
        <w:jc w:val="center"/>
        <w:rPr>
          <w:rFonts w:hint="eastAsia" w:ascii="方正小标宋简体" w:hAnsi="方正小标宋简体" w:eastAsia="方正小标宋简体" w:cs="方正小标宋简体"/>
          <w:sz w:val="40"/>
          <w:szCs w:val="40"/>
          <w:lang w:val="en-US" w:eastAsia="zh-CN"/>
        </w:rPr>
      </w:pPr>
      <w:bookmarkStart w:id="5" w:name="_GoBack"/>
      <w:bookmarkEnd w:id="5"/>
      <w:r>
        <w:rPr>
          <w:rFonts w:hint="eastAsia" w:ascii="方正小标宋简体" w:hAnsi="方正小标宋简体" w:eastAsia="方正小标宋简体" w:cs="方正小标宋简体"/>
          <w:sz w:val="40"/>
          <w:szCs w:val="40"/>
        </w:rPr>
        <w:t>关于江宁区第二人民医院污水处理</w:t>
      </w:r>
      <w:r>
        <w:rPr>
          <w:rFonts w:hint="eastAsia" w:ascii="方正小标宋简体" w:hAnsi="方正小标宋简体" w:eastAsia="方正小标宋简体" w:cs="方正小标宋简体"/>
          <w:sz w:val="40"/>
          <w:szCs w:val="40"/>
          <w:lang w:val="en-US" w:eastAsia="zh-CN"/>
        </w:rPr>
        <w:t>运营服务的</w:t>
      </w:r>
    </w:p>
    <w:p w14:paraId="7A5875E9">
      <w:pPr>
        <w:spacing w:beforeLines="50" w:afterLines="50"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论证采购公告</w:t>
      </w:r>
    </w:p>
    <w:p w14:paraId="296551EE">
      <w:pPr>
        <w:pStyle w:val="16"/>
      </w:pPr>
    </w:p>
    <w:p w14:paraId="640DFFDE">
      <w:pPr>
        <w:spacing w:before="156" w:beforeLines="50" w:after="156" w:afterLines="50" w:line="40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一、采购人</w:t>
      </w:r>
    </w:p>
    <w:p w14:paraId="6B3B8F53">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560" w:firstLineChars="200"/>
        <w:textAlignment w:val="auto"/>
        <w:outlineLvl w:val="9"/>
        <w:rPr>
          <w:rFonts w:hint="default"/>
          <w:sz w:val="28"/>
          <w:szCs w:val="28"/>
          <w:lang w:val="en-US" w:eastAsia="zh-CN"/>
        </w:rPr>
      </w:pPr>
      <w:r>
        <w:rPr>
          <w:rFonts w:hint="eastAsia"/>
          <w:sz w:val="28"/>
          <w:szCs w:val="28"/>
          <w:lang w:val="en-US" w:eastAsia="zh-CN"/>
        </w:rPr>
        <w:t>南京市江宁区第二人民医院</w:t>
      </w:r>
    </w:p>
    <w:p w14:paraId="16933888">
      <w:pPr>
        <w:spacing w:before="156" w:beforeLines="50" w:after="156" w:afterLines="50" w:line="4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二、地址</w:t>
      </w:r>
    </w:p>
    <w:p w14:paraId="510B9B33">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lang w:val="en-US" w:eastAsia="zh-CN"/>
        </w:rPr>
        <w:t>江宁区疾病预防控制中心（江宁区天印大道671号）二楼会议室</w:t>
      </w:r>
    </w:p>
    <w:p w14:paraId="15B63303">
      <w:pPr>
        <w:spacing w:before="156" w:beforeLines="50" w:after="156" w:afterLines="50" w:line="4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三、★要求</w:t>
      </w:r>
    </w:p>
    <w:p w14:paraId="2E09D0A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1．类似于标书形式正本1本、副本3本。</w:t>
      </w:r>
    </w:p>
    <w:p w14:paraId="5943A8F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2．标书第一项提供报价表，格式如下：</w:t>
      </w:r>
    </w:p>
    <w:tbl>
      <w:tblPr>
        <w:tblStyle w:val="10"/>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2565"/>
        <w:gridCol w:w="1380"/>
        <w:gridCol w:w="1872"/>
      </w:tblGrid>
      <w:tr w14:paraId="589D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vAlign w:val="center"/>
          </w:tcPr>
          <w:p w14:paraId="41E05CFE">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项目名称</w:t>
            </w:r>
          </w:p>
        </w:tc>
        <w:tc>
          <w:tcPr>
            <w:tcW w:w="2565" w:type="dxa"/>
            <w:vAlign w:val="center"/>
          </w:tcPr>
          <w:p w14:paraId="7EE24B85">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服务内容</w:t>
            </w:r>
          </w:p>
        </w:tc>
        <w:tc>
          <w:tcPr>
            <w:tcW w:w="1380" w:type="dxa"/>
            <w:vAlign w:val="center"/>
          </w:tcPr>
          <w:p w14:paraId="29B046C1">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报价（元）</w:t>
            </w:r>
          </w:p>
        </w:tc>
        <w:tc>
          <w:tcPr>
            <w:tcW w:w="1872" w:type="dxa"/>
            <w:vAlign w:val="center"/>
          </w:tcPr>
          <w:p w14:paraId="1EA0D160">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服务期限</w:t>
            </w:r>
          </w:p>
        </w:tc>
      </w:tr>
      <w:tr w14:paraId="54E1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1" w:type="dxa"/>
            <w:vAlign w:val="center"/>
          </w:tcPr>
          <w:p w14:paraId="3AA7F641">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2565" w:type="dxa"/>
            <w:vAlign w:val="center"/>
          </w:tcPr>
          <w:p w14:paraId="4CC445BD">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1380" w:type="dxa"/>
            <w:vAlign w:val="center"/>
          </w:tcPr>
          <w:p w14:paraId="5E507095">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1872" w:type="dxa"/>
            <w:vAlign w:val="center"/>
          </w:tcPr>
          <w:p w14:paraId="193C2534">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r>
      <w:tr w14:paraId="2769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21" w:type="dxa"/>
            <w:vAlign w:val="center"/>
          </w:tcPr>
          <w:p w14:paraId="7FCB181C">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2565" w:type="dxa"/>
            <w:vAlign w:val="center"/>
          </w:tcPr>
          <w:p w14:paraId="5472A000">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1380" w:type="dxa"/>
            <w:vAlign w:val="center"/>
          </w:tcPr>
          <w:p w14:paraId="0B0C5491">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1872" w:type="dxa"/>
            <w:vAlign w:val="center"/>
          </w:tcPr>
          <w:p w14:paraId="07A09FBE">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r>
    </w:tbl>
    <w:p w14:paraId="07DBBDF3">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3．标书第二项提供污水处理</w:t>
      </w:r>
      <w:r>
        <w:rPr>
          <w:rFonts w:hint="eastAsia" w:ascii="宋体" w:hAnsi="宋体" w:eastAsia="宋体" w:cs="宋体"/>
          <w:spacing w:val="0"/>
          <w:sz w:val="28"/>
          <w:szCs w:val="28"/>
          <w:lang w:eastAsia="zh-CN"/>
        </w:rPr>
        <w:t>运营服务</w:t>
      </w:r>
      <w:r>
        <w:rPr>
          <w:rFonts w:hint="eastAsia" w:ascii="宋体" w:hAnsi="宋体" w:eastAsia="宋体" w:cs="宋体"/>
          <w:spacing w:val="0"/>
          <w:sz w:val="28"/>
          <w:szCs w:val="28"/>
        </w:rPr>
        <w:t>项目的服务方案；</w:t>
      </w:r>
    </w:p>
    <w:p w14:paraId="1F6CE7B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4．标书第三项提供污水处理</w:t>
      </w:r>
      <w:r>
        <w:rPr>
          <w:rFonts w:hint="eastAsia" w:ascii="宋体" w:hAnsi="宋体" w:eastAsia="宋体" w:cs="宋体"/>
          <w:spacing w:val="0"/>
          <w:sz w:val="28"/>
          <w:szCs w:val="28"/>
          <w:lang w:eastAsia="zh-CN"/>
        </w:rPr>
        <w:t>运营服务</w:t>
      </w:r>
      <w:r>
        <w:rPr>
          <w:rFonts w:hint="eastAsia" w:ascii="宋体" w:hAnsi="宋体" w:eastAsia="宋体" w:cs="宋体"/>
          <w:spacing w:val="0"/>
          <w:sz w:val="28"/>
          <w:szCs w:val="28"/>
        </w:rPr>
        <w:t>项目的所需清单：</w:t>
      </w: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613"/>
        <w:gridCol w:w="945"/>
        <w:gridCol w:w="975"/>
        <w:gridCol w:w="1800"/>
        <w:gridCol w:w="2277"/>
      </w:tblGrid>
      <w:tr w14:paraId="1AB3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29" w:type="dxa"/>
            <w:vAlign w:val="center"/>
          </w:tcPr>
          <w:p w14:paraId="26D2FF8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序号</w:t>
            </w:r>
          </w:p>
        </w:tc>
        <w:tc>
          <w:tcPr>
            <w:tcW w:w="1613" w:type="dxa"/>
            <w:vAlign w:val="center"/>
          </w:tcPr>
          <w:p w14:paraId="40CB75BD">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名称</w:t>
            </w:r>
          </w:p>
        </w:tc>
        <w:tc>
          <w:tcPr>
            <w:tcW w:w="945" w:type="dxa"/>
            <w:vAlign w:val="center"/>
          </w:tcPr>
          <w:p w14:paraId="737174A0">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数量</w:t>
            </w:r>
          </w:p>
        </w:tc>
        <w:tc>
          <w:tcPr>
            <w:tcW w:w="975" w:type="dxa"/>
            <w:vAlign w:val="center"/>
          </w:tcPr>
          <w:p w14:paraId="7BB53DB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单位</w:t>
            </w:r>
          </w:p>
        </w:tc>
        <w:tc>
          <w:tcPr>
            <w:tcW w:w="1800" w:type="dxa"/>
            <w:vAlign w:val="center"/>
          </w:tcPr>
          <w:p w14:paraId="00CC8CC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型号/规格</w:t>
            </w:r>
          </w:p>
        </w:tc>
        <w:tc>
          <w:tcPr>
            <w:tcW w:w="2277" w:type="dxa"/>
            <w:vAlign w:val="center"/>
          </w:tcPr>
          <w:p w14:paraId="3600958B">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作用</w:t>
            </w:r>
          </w:p>
        </w:tc>
      </w:tr>
      <w:tr w14:paraId="2CD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29" w:type="dxa"/>
            <w:vAlign w:val="center"/>
          </w:tcPr>
          <w:p w14:paraId="6FC3BB3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1</w:t>
            </w:r>
          </w:p>
        </w:tc>
        <w:tc>
          <w:tcPr>
            <w:tcW w:w="1613" w:type="dxa"/>
            <w:vAlign w:val="center"/>
          </w:tcPr>
          <w:p w14:paraId="5B8A893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945" w:type="dxa"/>
            <w:vAlign w:val="center"/>
          </w:tcPr>
          <w:p w14:paraId="15BC6A64">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975" w:type="dxa"/>
            <w:vAlign w:val="center"/>
          </w:tcPr>
          <w:p w14:paraId="306A910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1800" w:type="dxa"/>
            <w:vAlign w:val="center"/>
          </w:tcPr>
          <w:p w14:paraId="148654BC">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2277" w:type="dxa"/>
            <w:vAlign w:val="center"/>
          </w:tcPr>
          <w:p w14:paraId="109087A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r>
      <w:tr w14:paraId="12B8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29" w:type="dxa"/>
            <w:vAlign w:val="center"/>
          </w:tcPr>
          <w:p w14:paraId="161E019F">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2</w:t>
            </w:r>
          </w:p>
        </w:tc>
        <w:tc>
          <w:tcPr>
            <w:tcW w:w="1613" w:type="dxa"/>
            <w:vAlign w:val="center"/>
          </w:tcPr>
          <w:p w14:paraId="2B7C2008">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945" w:type="dxa"/>
            <w:vAlign w:val="center"/>
          </w:tcPr>
          <w:p w14:paraId="1213604D">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975" w:type="dxa"/>
            <w:vAlign w:val="center"/>
          </w:tcPr>
          <w:p w14:paraId="37B6B37B">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1800" w:type="dxa"/>
            <w:vAlign w:val="center"/>
          </w:tcPr>
          <w:p w14:paraId="06CD7222">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2277" w:type="dxa"/>
            <w:vAlign w:val="center"/>
          </w:tcPr>
          <w:p w14:paraId="6297E3E1">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r>
      <w:tr w14:paraId="3BF2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29" w:type="dxa"/>
            <w:vAlign w:val="center"/>
          </w:tcPr>
          <w:p w14:paraId="043FEC07">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3</w:t>
            </w:r>
          </w:p>
        </w:tc>
        <w:tc>
          <w:tcPr>
            <w:tcW w:w="1613" w:type="dxa"/>
            <w:vAlign w:val="center"/>
          </w:tcPr>
          <w:p w14:paraId="133AB8C2">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945" w:type="dxa"/>
            <w:vAlign w:val="center"/>
          </w:tcPr>
          <w:p w14:paraId="3F7D8D9E">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975" w:type="dxa"/>
            <w:vAlign w:val="center"/>
          </w:tcPr>
          <w:p w14:paraId="7ED2108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1800" w:type="dxa"/>
            <w:vAlign w:val="center"/>
          </w:tcPr>
          <w:p w14:paraId="129BBA93">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c>
          <w:tcPr>
            <w:tcW w:w="2277" w:type="dxa"/>
            <w:vAlign w:val="center"/>
          </w:tcPr>
          <w:p w14:paraId="74D54DE8">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p>
        </w:tc>
      </w:tr>
    </w:tbl>
    <w:p w14:paraId="2BB518D8">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5．第四项描述开展污水处理</w:t>
      </w:r>
      <w:r>
        <w:rPr>
          <w:rFonts w:hint="eastAsia" w:ascii="宋体" w:hAnsi="宋体" w:eastAsia="宋体" w:cs="宋体"/>
          <w:spacing w:val="0"/>
          <w:sz w:val="28"/>
          <w:szCs w:val="28"/>
          <w:lang w:eastAsia="zh-CN"/>
        </w:rPr>
        <w:t>运营服务</w:t>
      </w:r>
      <w:r>
        <w:rPr>
          <w:rFonts w:hint="eastAsia" w:ascii="宋体" w:hAnsi="宋体" w:eastAsia="宋体" w:cs="宋体"/>
          <w:spacing w:val="0"/>
          <w:sz w:val="28"/>
          <w:szCs w:val="28"/>
        </w:rPr>
        <w:t>项目运营管理与维护方案：</w:t>
      </w:r>
    </w:p>
    <w:p w14:paraId="2579F41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运营管理与维护方案是指参与论证单位对本次污水处理</w:t>
      </w:r>
      <w:r>
        <w:rPr>
          <w:rFonts w:hint="eastAsia" w:ascii="宋体" w:hAnsi="宋体" w:eastAsia="宋体" w:cs="宋体"/>
          <w:spacing w:val="0"/>
          <w:sz w:val="28"/>
          <w:szCs w:val="28"/>
          <w:lang w:eastAsia="zh-CN"/>
        </w:rPr>
        <w:t>运营服务</w:t>
      </w:r>
      <w:r>
        <w:rPr>
          <w:rFonts w:hint="eastAsia" w:ascii="宋体" w:hAnsi="宋体" w:eastAsia="宋体" w:cs="宋体"/>
          <w:spacing w:val="0"/>
          <w:sz w:val="28"/>
          <w:szCs w:val="28"/>
        </w:rPr>
        <w:t>项目要求做出响应的投标文件技术标部分，具体应包括参与项目设施接收、运营期内的运营维护和期满移交所提交的运作实施方案等。</w:t>
      </w:r>
    </w:p>
    <w:p w14:paraId="5AAC0264">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 xml:space="preserve">运营管理与维护方案编制的总体要求是：在医院主管部门完成污水处理站投资建设的基础上，以论证文件提供的设计文件为技术蓝本，并作为参与论证单位编制论证文件的技术管理和报价测算依据。 </w:t>
      </w:r>
    </w:p>
    <w:p w14:paraId="4784560D">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运营管理与维护方案须包含但不限于下列内容：</w:t>
      </w:r>
      <w:bookmarkStart w:id="0" w:name="_Hlt86204775"/>
      <w:bookmarkEnd w:id="0"/>
    </w:p>
    <w:p w14:paraId="7E3AEE5D">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5.1对项目设施的接收方案</w:t>
      </w:r>
      <w:bookmarkStart w:id="1" w:name="_Hlt198262275"/>
    </w:p>
    <w:p w14:paraId="7713E1DC">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在医院建设方及其调试单位通过环保验收后，完成全站项目设施接收的具体步骤和工作方案。</w:t>
      </w:r>
    </w:p>
    <w:bookmarkEnd w:id="1"/>
    <w:p w14:paraId="48EEAD82">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5.2对项目设施的日常运行管理与维护方案</w:t>
      </w:r>
    </w:p>
    <w:p w14:paraId="481449F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参与论证单位应根据污水处理站技术工艺的特点并结合其他实际情况，编制运营期内对污水处理站项目设施的日常运行管理方案，该方案应至少包括以下基本内容：</w:t>
      </w:r>
    </w:p>
    <w:p w14:paraId="043188C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 xml:space="preserve">(1) 运营维护组织结构、人员组成与岗位配置、污水站运营单位与运营商总部间协调与支持关系描述等； </w:t>
      </w:r>
    </w:p>
    <w:p w14:paraId="7221963C">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(2) 各项内控管理制度、操作规章、人员资质及岗位资格要求等；</w:t>
      </w:r>
    </w:p>
    <w:p w14:paraId="41012CA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 xml:space="preserve">(3) 运营中拟采取的环境保护措施描述，其中应包括：降低噪音的措施；防治站内废水、污水、有毒、有害气体污染的措施； </w:t>
      </w:r>
    </w:p>
    <w:p w14:paraId="3787AE3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(4) 运营维护过程中拟采取的劳动安全、工业卫生和安全、消防措施及其主要技术原则；</w:t>
      </w:r>
    </w:p>
    <w:p w14:paraId="3A4B8B10">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 为维持项目设施良好运行状况所建立的日常维护保养与检修制度，检修及维护方案；</w:t>
      </w:r>
    </w:p>
    <w:p w14:paraId="44F41A3C">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 xml:space="preserve">(6) </w:t>
      </w:r>
      <w:bookmarkStart w:id="2" w:name="_Hlt210330434"/>
      <w:bookmarkEnd w:id="2"/>
      <w:r>
        <w:rPr>
          <w:rFonts w:hint="eastAsia" w:ascii="宋体" w:hAnsi="宋体" w:eastAsia="宋体" w:cs="宋体"/>
          <w:spacing w:val="0"/>
          <w:sz w:val="28"/>
          <w:szCs w:val="28"/>
        </w:rPr>
        <w:t>污水处理进、出水的检测与报告制度，保证出水水质符合国家规范相关要求，包括上级各主管部门，环保、卫监、质控、感染，等经医院方检测合格。中标服务商承诺保证出水水质达标，如排放不达标导致的一切后果由中标服务商承担。</w:t>
      </w:r>
    </w:p>
    <w:p w14:paraId="5C44D74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5.3对项目设施的成本优化方案</w:t>
      </w:r>
    </w:p>
    <w:p w14:paraId="3E0B780D">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包括运营期内如何通过合理挖潜和实施运营创新，在确保达标排放的基础上进一步降低运行成本、持续提高运行质量、提升环境效益的措施计划和具体方案。</w:t>
      </w:r>
    </w:p>
    <w:p w14:paraId="1B9F2DC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5.4对项目设施的大修及更新改造方案</w:t>
      </w:r>
    </w:p>
    <w:p w14:paraId="406F46A5">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包括构筑物的修缮、材（物）料与设备零配件的更换、备品备件的库存、项目设施的更新改造方面的措施与计划及相关资金使用安排情况等；配合医院方设立更新</w:t>
      </w:r>
      <w:bookmarkStart w:id="3" w:name="_Hlt210880650"/>
      <w:bookmarkEnd w:id="3"/>
      <w:r>
        <w:rPr>
          <w:rFonts w:hint="eastAsia" w:ascii="宋体" w:hAnsi="宋体" w:eastAsia="宋体" w:cs="宋体"/>
          <w:spacing w:val="0"/>
          <w:sz w:val="28"/>
          <w:szCs w:val="28"/>
        </w:rPr>
        <w:t>资金及使用方面的建议方案。</w:t>
      </w:r>
      <w:bookmarkStart w:id="4" w:name="_Hlt210102896"/>
      <w:bookmarkEnd w:id="4"/>
    </w:p>
    <w:p w14:paraId="43512930">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5.5运营期内各类紧急情况下的应急预案</w:t>
      </w:r>
    </w:p>
    <w:p w14:paraId="72645A78">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包括就如何建立应对和处理突发事件如战争、自然灾害、疫情等的应急快速反应机制等方面的考虑。</w:t>
      </w:r>
    </w:p>
    <w:p w14:paraId="0A9A40FE">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5.6运营期满时项目设施无偿移交给医院方的移交方案</w:t>
      </w:r>
    </w:p>
    <w:p w14:paraId="61A6862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投标人应根据本项目污水处理站工艺的特点和其他实际情况编制初步的项目移交方案，包括移交的时间、程序以及移交内容的安排，对移交时设施运行状态指标的保证性承诺和移交后的保证措施等。</w:t>
      </w:r>
    </w:p>
    <w:p w14:paraId="1E72F903">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cs="宋体"/>
          <w:spacing w:val="0"/>
          <w:sz w:val="28"/>
          <w:szCs w:val="28"/>
          <w:lang w:val="en-US" w:eastAsia="zh-CN"/>
        </w:rPr>
        <w:t>6.</w:t>
      </w:r>
      <w:r>
        <w:rPr>
          <w:rFonts w:hint="eastAsia" w:ascii="宋体" w:hAnsi="宋体" w:eastAsia="宋体" w:cs="宋体"/>
          <w:spacing w:val="0"/>
          <w:sz w:val="28"/>
          <w:szCs w:val="28"/>
        </w:rPr>
        <w:t>第五项提供简洁清楚的排水水质要求承诺：</w:t>
      </w:r>
    </w:p>
    <w:p w14:paraId="1ECA800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(1) 水质要求：《污水综合排放标准》（GB</w:t>
      </w:r>
      <w:r>
        <w:rPr>
          <w:rFonts w:hint="eastAsia" w:ascii="宋体" w:hAnsi="宋体" w:eastAsia="宋体" w:cs="宋体"/>
          <w:spacing w:val="0"/>
          <w:sz w:val="28"/>
          <w:szCs w:val="28"/>
          <w:lang w:val="en-US" w:eastAsia="zh-CN"/>
        </w:rPr>
        <w:t>18466-2005</w:t>
      </w:r>
      <w:r>
        <w:rPr>
          <w:rFonts w:hint="eastAsia" w:ascii="宋体" w:hAnsi="宋体" w:eastAsia="宋体" w:cs="宋体"/>
          <w:spacing w:val="0"/>
          <w:sz w:val="28"/>
          <w:szCs w:val="28"/>
        </w:rPr>
        <w:t>）</w:t>
      </w:r>
      <w:r>
        <w:rPr>
          <w:rFonts w:hint="eastAsia" w:ascii="宋体" w:hAnsi="宋体" w:eastAsia="宋体" w:cs="宋体"/>
          <w:spacing w:val="0"/>
          <w:sz w:val="28"/>
          <w:szCs w:val="28"/>
          <w:lang w:val="en-US" w:eastAsia="zh-CN"/>
        </w:rPr>
        <w:t>预处理标准</w:t>
      </w:r>
      <w:r>
        <w:rPr>
          <w:rFonts w:hint="eastAsia" w:ascii="宋体" w:hAnsi="宋体" w:eastAsia="宋体" w:cs="宋体"/>
          <w:spacing w:val="0"/>
          <w:sz w:val="28"/>
          <w:szCs w:val="28"/>
        </w:rPr>
        <w:t>及《污水排入城镇下水道水质标准》（GB/T31962-2015）表 1、B 等级标准要求。</w:t>
      </w:r>
    </w:p>
    <w:p w14:paraId="0D8F21B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(2) 因中标单位的原因(如设备不能正常运行等所发生的环保部门的处罚费用)须由投标人自行承担,并负责整改直至符合环保要求,由此影响到采购方的正常工作,要承担相关的经济责任。</w:t>
      </w:r>
    </w:p>
    <w:p w14:paraId="6F08420F">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7.第六项提供污水处理</w:t>
      </w:r>
      <w:r>
        <w:rPr>
          <w:rFonts w:hint="eastAsia" w:ascii="宋体" w:hAnsi="宋体" w:eastAsia="宋体" w:cs="宋体"/>
          <w:spacing w:val="0"/>
          <w:sz w:val="28"/>
          <w:szCs w:val="28"/>
          <w:lang w:eastAsia="zh-CN"/>
        </w:rPr>
        <w:t>运营服务</w:t>
      </w:r>
      <w:r>
        <w:rPr>
          <w:rFonts w:hint="eastAsia" w:ascii="宋体" w:hAnsi="宋体" w:eastAsia="宋体" w:cs="宋体"/>
          <w:spacing w:val="0"/>
          <w:sz w:val="28"/>
          <w:szCs w:val="28"/>
        </w:rPr>
        <w:t>项目工作开展期间的安全防范措施，明确安全生产的责任，提供安全生产承诺函。</w:t>
      </w:r>
    </w:p>
    <w:p w14:paraId="6DC4A5E1">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8. 第七项提供参与论证单位资质要求：</w:t>
      </w:r>
    </w:p>
    <w:p w14:paraId="50668D17">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8.1</w:t>
      </w:r>
      <w:r>
        <w:rPr>
          <w:rFonts w:hint="eastAsia" w:ascii="宋体" w:hAnsi="宋体" w:eastAsia="宋体" w:cs="宋体"/>
          <w:spacing w:val="0"/>
          <w:sz w:val="28"/>
          <w:szCs w:val="28"/>
        </w:rPr>
        <w:t>具有独立承担民事责任的能力（提供法人或者其他组织的营业执照等证明文件，自然人的身份证明）；</w:t>
      </w:r>
    </w:p>
    <w:p w14:paraId="33630D49">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8.2</w:t>
      </w:r>
      <w:r>
        <w:rPr>
          <w:rFonts w:hint="eastAsia" w:ascii="宋体" w:hAnsi="宋体" w:eastAsia="宋体" w:cs="宋体"/>
          <w:spacing w:val="0"/>
          <w:sz w:val="28"/>
          <w:szCs w:val="28"/>
        </w:rPr>
        <w:t>具有良好的商业信誉和健全的财务会计制度（提供2023年度经审计的财务报表，或投标截止时间前六个月内银行出具的资信证明，成立不满一个月不需提供）；</w:t>
      </w:r>
    </w:p>
    <w:p w14:paraId="022EC6B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8.3</w:t>
      </w:r>
      <w:r>
        <w:rPr>
          <w:rFonts w:hint="eastAsia" w:ascii="宋体" w:hAnsi="宋体" w:eastAsia="宋体" w:cs="宋体"/>
          <w:spacing w:val="0"/>
          <w:sz w:val="28"/>
          <w:szCs w:val="28"/>
        </w:rPr>
        <w:t>具有履行合同所必需的设备和专业技术能力（根据项目需求提供履行合同所必需的设备和专业技术能力的证明材料或相关加盖公章的承诺函）；</w:t>
      </w:r>
    </w:p>
    <w:p w14:paraId="58C9C767">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8.4</w:t>
      </w:r>
      <w:r>
        <w:rPr>
          <w:rFonts w:hint="eastAsia" w:ascii="宋体" w:hAnsi="宋体" w:eastAsia="宋体" w:cs="宋体"/>
          <w:spacing w:val="0"/>
          <w:sz w:val="28"/>
          <w:szCs w:val="28"/>
        </w:rPr>
        <w:t>有依法缴纳税收和社会保障资金的良好记录（提供参加本次招标活动前三个月内（至少一个月）依法缴纳税收和社会保障资金的相关材料）；</w:t>
      </w:r>
    </w:p>
    <w:p w14:paraId="05EFA2CB">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8.5</w:t>
      </w:r>
      <w:r>
        <w:rPr>
          <w:rFonts w:hint="eastAsia" w:ascii="宋体" w:hAnsi="宋体" w:eastAsia="宋体" w:cs="宋体"/>
          <w:spacing w:val="0"/>
          <w:sz w:val="28"/>
          <w:szCs w:val="28"/>
        </w:rPr>
        <w:t>参加</w:t>
      </w:r>
      <w:r>
        <w:rPr>
          <w:rFonts w:hint="eastAsia" w:ascii="宋体" w:hAnsi="宋体" w:eastAsia="宋体" w:cs="宋体"/>
          <w:spacing w:val="0"/>
          <w:sz w:val="28"/>
          <w:szCs w:val="28"/>
          <w:lang w:val="en-US" w:eastAsia="zh-CN"/>
        </w:rPr>
        <w:t>论证</w:t>
      </w:r>
      <w:r>
        <w:rPr>
          <w:rFonts w:hint="eastAsia" w:ascii="宋体" w:hAnsi="宋体" w:eastAsia="宋体" w:cs="宋体"/>
          <w:spacing w:val="0"/>
          <w:sz w:val="28"/>
          <w:szCs w:val="28"/>
        </w:rPr>
        <w:t>活动前三年内，在经营活动中没有重大违法记录（提供参加本次</w:t>
      </w:r>
      <w:r>
        <w:rPr>
          <w:rFonts w:hint="eastAsia" w:ascii="宋体" w:hAnsi="宋体" w:eastAsia="宋体" w:cs="宋体"/>
          <w:spacing w:val="0"/>
          <w:sz w:val="28"/>
          <w:szCs w:val="28"/>
          <w:lang w:val="en-US" w:eastAsia="zh-CN"/>
        </w:rPr>
        <w:t>论证</w:t>
      </w:r>
      <w:r>
        <w:rPr>
          <w:rFonts w:hint="eastAsia" w:ascii="宋体" w:hAnsi="宋体" w:eastAsia="宋体" w:cs="宋体"/>
          <w:spacing w:val="0"/>
          <w:sz w:val="28"/>
          <w:szCs w:val="28"/>
        </w:rPr>
        <w:t>活动前3年内在经营活动中没有重大违法记录的书面声明）；</w:t>
      </w:r>
    </w:p>
    <w:p w14:paraId="6265BC81">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8.6</w:t>
      </w:r>
      <w:r>
        <w:rPr>
          <w:rFonts w:hint="eastAsia" w:ascii="宋体" w:hAnsi="宋体" w:eastAsia="宋体" w:cs="宋体"/>
          <w:spacing w:val="0"/>
          <w:sz w:val="28"/>
          <w:szCs w:val="28"/>
        </w:rPr>
        <w:t>提供供应商法定代表人授权委托书；</w:t>
      </w:r>
    </w:p>
    <w:p w14:paraId="64758028">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8.7</w:t>
      </w:r>
      <w:r>
        <w:rPr>
          <w:rFonts w:hint="eastAsia" w:ascii="宋体" w:hAnsi="宋体" w:eastAsia="宋体" w:cs="宋体"/>
          <w:spacing w:val="0"/>
          <w:sz w:val="28"/>
          <w:szCs w:val="28"/>
        </w:rPr>
        <w:t>本项目不接受联合体参加。</w:t>
      </w:r>
    </w:p>
    <w:p w14:paraId="0169DF70">
      <w:pPr>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8.8</w:t>
      </w:r>
      <w:r>
        <w:rPr>
          <w:rFonts w:hint="eastAsia" w:ascii="宋体" w:hAnsi="宋体" w:eastAsia="宋体" w:cs="宋体"/>
          <w:spacing w:val="0"/>
          <w:sz w:val="28"/>
          <w:szCs w:val="28"/>
        </w:rPr>
        <w:t>所投供应商需在中国境内注册、具有独立法人资格，符合相关法律法规的单位。所投供应商参与人员</w:t>
      </w:r>
      <w:r>
        <w:rPr>
          <w:rFonts w:hint="eastAsia" w:ascii="宋体" w:hAnsi="宋体" w:eastAsia="宋体" w:cs="宋体"/>
          <w:spacing w:val="0"/>
          <w:sz w:val="28"/>
          <w:szCs w:val="28"/>
          <w:lang w:eastAsia="zh-CN"/>
        </w:rPr>
        <w:t>及联系人</w:t>
      </w:r>
      <w:r>
        <w:rPr>
          <w:rFonts w:hint="eastAsia" w:ascii="宋体" w:hAnsi="宋体" w:eastAsia="宋体" w:cs="宋体"/>
          <w:spacing w:val="0"/>
          <w:sz w:val="28"/>
          <w:szCs w:val="28"/>
        </w:rPr>
        <w:t>要有公司授权许可等证明资料。</w:t>
      </w:r>
    </w:p>
    <w:p w14:paraId="2E42E18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center"/>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报名表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2407"/>
        <w:gridCol w:w="1680"/>
        <w:gridCol w:w="1620"/>
      </w:tblGrid>
      <w:tr w14:paraId="4ADB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141" w:type="dxa"/>
            <w:noWrap w:val="0"/>
            <w:vAlign w:val="center"/>
          </w:tcPr>
          <w:p w14:paraId="38321E9D">
            <w:pPr>
              <w:pStyle w:val="14"/>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val="0"/>
                <w:bCs w:val="0"/>
                <w:sz w:val="28"/>
                <w:szCs w:val="28"/>
              </w:rPr>
            </w:pPr>
            <w:r>
              <w:rPr>
                <w:rFonts w:hint="eastAsia" w:cs="宋体"/>
                <w:b w:val="0"/>
                <w:bCs w:val="0"/>
                <w:sz w:val="28"/>
                <w:szCs w:val="28"/>
                <w:lang w:eastAsia="zh-CN"/>
              </w:rPr>
              <w:t>单位</w:t>
            </w:r>
            <w:r>
              <w:rPr>
                <w:rFonts w:hint="eastAsia" w:ascii="宋体" w:hAnsi="宋体" w:eastAsia="宋体" w:cs="宋体"/>
                <w:b w:val="0"/>
                <w:bCs w:val="0"/>
                <w:sz w:val="28"/>
                <w:szCs w:val="28"/>
              </w:rPr>
              <w:t>名称</w:t>
            </w:r>
          </w:p>
        </w:tc>
        <w:tc>
          <w:tcPr>
            <w:tcW w:w="2407" w:type="dxa"/>
            <w:noWrap w:val="0"/>
            <w:vAlign w:val="center"/>
          </w:tcPr>
          <w:p w14:paraId="678C42A6">
            <w:pPr>
              <w:pStyle w:val="14"/>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所投</w:t>
            </w:r>
            <w:r>
              <w:rPr>
                <w:rFonts w:hint="eastAsia" w:ascii="宋体" w:hAnsi="宋体" w:eastAsia="宋体" w:cs="宋体"/>
                <w:b w:val="0"/>
                <w:bCs w:val="0"/>
                <w:sz w:val="28"/>
                <w:szCs w:val="28"/>
                <w:lang w:eastAsia="zh-CN"/>
              </w:rPr>
              <w:t>内容</w:t>
            </w:r>
          </w:p>
        </w:tc>
        <w:tc>
          <w:tcPr>
            <w:tcW w:w="1680" w:type="dxa"/>
            <w:noWrap w:val="0"/>
            <w:vAlign w:val="center"/>
          </w:tcPr>
          <w:p w14:paraId="667B6B39">
            <w:pPr>
              <w:pStyle w:val="14"/>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联系人</w:t>
            </w:r>
          </w:p>
        </w:tc>
        <w:tc>
          <w:tcPr>
            <w:tcW w:w="1620" w:type="dxa"/>
            <w:noWrap w:val="0"/>
            <w:vAlign w:val="center"/>
          </w:tcPr>
          <w:p w14:paraId="13425419">
            <w:pPr>
              <w:pStyle w:val="14"/>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联系电话</w:t>
            </w:r>
          </w:p>
        </w:tc>
      </w:tr>
      <w:tr w14:paraId="6983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41" w:type="dxa"/>
            <w:noWrap w:val="0"/>
            <w:vAlign w:val="top"/>
          </w:tcPr>
          <w:p w14:paraId="38EDD825">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c>
          <w:tcPr>
            <w:tcW w:w="2407" w:type="dxa"/>
            <w:noWrap w:val="0"/>
            <w:vAlign w:val="top"/>
          </w:tcPr>
          <w:p w14:paraId="50D05802">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c>
          <w:tcPr>
            <w:tcW w:w="1680" w:type="dxa"/>
            <w:noWrap w:val="0"/>
            <w:vAlign w:val="top"/>
          </w:tcPr>
          <w:p w14:paraId="2EA2D24A">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c>
          <w:tcPr>
            <w:tcW w:w="1620" w:type="dxa"/>
            <w:noWrap w:val="0"/>
            <w:vAlign w:val="top"/>
          </w:tcPr>
          <w:p w14:paraId="70DEE1D1">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r>
      <w:tr w14:paraId="5A5C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141" w:type="dxa"/>
            <w:noWrap w:val="0"/>
            <w:vAlign w:val="top"/>
          </w:tcPr>
          <w:p w14:paraId="16FC0164">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c>
          <w:tcPr>
            <w:tcW w:w="2407" w:type="dxa"/>
            <w:noWrap w:val="0"/>
            <w:vAlign w:val="top"/>
          </w:tcPr>
          <w:p w14:paraId="5273B762">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c>
          <w:tcPr>
            <w:tcW w:w="1680" w:type="dxa"/>
            <w:noWrap w:val="0"/>
            <w:vAlign w:val="top"/>
          </w:tcPr>
          <w:p w14:paraId="12CD8BF4">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c>
          <w:tcPr>
            <w:tcW w:w="1620" w:type="dxa"/>
            <w:noWrap w:val="0"/>
            <w:vAlign w:val="top"/>
          </w:tcPr>
          <w:p w14:paraId="756F6C69">
            <w:pPr>
              <w:pStyle w:val="14"/>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宋体" w:hAnsi="宋体" w:eastAsia="宋体" w:cs="宋体"/>
                <w:sz w:val="28"/>
                <w:szCs w:val="28"/>
              </w:rPr>
            </w:pPr>
          </w:p>
        </w:tc>
      </w:tr>
    </w:tbl>
    <w:p w14:paraId="2335106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备注</w:t>
      </w:r>
      <w:r>
        <w:rPr>
          <w:rFonts w:hint="eastAsia" w:ascii="宋体" w:hAnsi="宋体" w:eastAsia="宋体" w:cs="宋体"/>
          <w:spacing w:val="0"/>
          <w:sz w:val="28"/>
          <w:szCs w:val="28"/>
          <w:lang w:eastAsia="zh-CN"/>
        </w:rPr>
        <w:t>：</w:t>
      </w:r>
      <w:r>
        <w:rPr>
          <w:rFonts w:hint="eastAsia" w:ascii="宋体" w:hAnsi="宋体" w:eastAsia="宋体" w:cs="宋体"/>
          <w:spacing w:val="0"/>
          <w:sz w:val="28"/>
          <w:szCs w:val="28"/>
        </w:rPr>
        <w:t>报名表论证开始前现场提交</w:t>
      </w:r>
    </w:p>
    <w:p w14:paraId="69C68D26">
      <w:pPr>
        <w:keepNext w:val="0"/>
        <w:keepLines w:val="0"/>
        <w:pageBreakBefore w:val="0"/>
        <w:widowControl w:val="0"/>
        <w:kinsoku/>
        <w:wordWrap/>
        <w:overflowPunct/>
        <w:topLinePunct w:val="0"/>
        <w:autoSpaceDE/>
        <w:autoSpaceDN/>
        <w:bidi w:val="0"/>
        <w:spacing w:before="156" w:beforeLines="50" w:after="156" w:afterLines="50"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四、时间</w:t>
      </w:r>
    </w:p>
    <w:p w14:paraId="7A9FB4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1、发布时间：</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cs="宋体"/>
          <w:sz w:val="28"/>
          <w:szCs w:val="28"/>
          <w:lang w:val="en-US" w:eastAsia="zh-CN"/>
        </w:rPr>
        <w:t>3</w:t>
      </w:r>
      <w:r>
        <w:rPr>
          <w:rFonts w:hint="eastAsia" w:ascii="宋体" w:hAnsi="宋体" w:eastAsia="宋体" w:cs="宋体"/>
          <w:sz w:val="28"/>
          <w:szCs w:val="28"/>
        </w:rPr>
        <w:t>月</w:t>
      </w:r>
      <w:r>
        <w:rPr>
          <w:rFonts w:hint="eastAsia" w:ascii="宋体" w:hAnsi="宋体" w:cs="宋体"/>
          <w:sz w:val="28"/>
          <w:szCs w:val="28"/>
          <w:lang w:val="en-US" w:eastAsia="zh-CN"/>
        </w:rPr>
        <w:t>16</w:t>
      </w:r>
      <w:r>
        <w:rPr>
          <w:rFonts w:hint="eastAsia" w:ascii="宋体" w:hAnsi="宋体" w:eastAsia="宋体" w:cs="宋体"/>
          <w:sz w:val="28"/>
          <w:szCs w:val="28"/>
        </w:rPr>
        <w:t>日（星期</w:t>
      </w:r>
      <w:r>
        <w:rPr>
          <w:rFonts w:hint="eastAsia" w:ascii="宋体" w:hAnsi="宋体" w:cs="宋体"/>
          <w:sz w:val="28"/>
          <w:szCs w:val="28"/>
          <w:lang w:val="en-US" w:eastAsia="zh-CN"/>
        </w:rPr>
        <w:t>一</w:t>
      </w:r>
      <w:r>
        <w:rPr>
          <w:rFonts w:hint="eastAsia" w:ascii="宋体" w:hAnsi="宋体" w:eastAsia="宋体" w:cs="宋体"/>
          <w:sz w:val="28"/>
          <w:szCs w:val="28"/>
        </w:rPr>
        <w:t>）</w:t>
      </w:r>
    </w:p>
    <w:p w14:paraId="377AED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2、论证时间：</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cs="宋体"/>
          <w:sz w:val="28"/>
          <w:szCs w:val="28"/>
          <w:lang w:val="en-US" w:eastAsia="zh-CN"/>
        </w:rPr>
        <w:t>3</w:t>
      </w:r>
      <w:r>
        <w:rPr>
          <w:rFonts w:hint="eastAsia" w:ascii="宋体" w:hAnsi="宋体" w:eastAsia="宋体" w:cs="宋体"/>
          <w:sz w:val="28"/>
          <w:szCs w:val="28"/>
        </w:rPr>
        <w:t>月</w:t>
      </w:r>
      <w:r>
        <w:rPr>
          <w:rFonts w:hint="eastAsia" w:ascii="宋体" w:hAnsi="宋体" w:cs="宋体"/>
          <w:sz w:val="28"/>
          <w:szCs w:val="28"/>
          <w:lang w:val="en-US" w:eastAsia="zh-CN"/>
        </w:rPr>
        <w:t>23</w:t>
      </w:r>
      <w:r>
        <w:rPr>
          <w:rFonts w:hint="eastAsia" w:ascii="宋体" w:hAnsi="宋体" w:eastAsia="宋体" w:cs="宋体"/>
          <w:sz w:val="28"/>
          <w:szCs w:val="28"/>
        </w:rPr>
        <w:t>日（星期</w:t>
      </w:r>
      <w:r>
        <w:rPr>
          <w:rFonts w:hint="eastAsia" w:ascii="宋体" w:hAnsi="宋体" w:cs="宋体"/>
          <w:sz w:val="28"/>
          <w:szCs w:val="28"/>
          <w:lang w:val="en-US" w:eastAsia="zh-CN"/>
        </w:rPr>
        <w:t>一</w:t>
      </w:r>
      <w:r>
        <w:rPr>
          <w:rFonts w:hint="eastAsia" w:ascii="宋体" w:hAnsi="宋体" w:eastAsia="宋体" w:cs="宋体"/>
          <w:sz w:val="28"/>
          <w:szCs w:val="28"/>
        </w:rPr>
        <w:t>）下午14:30</w:t>
      </w:r>
    </w:p>
    <w:p w14:paraId="1786E1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五、讨论项目及要求</w:t>
      </w:r>
    </w:p>
    <w:tbl>
      <w:tblPr>
        <w:tblStyle w:val="10"/>
        <w:tblW w:w="8442" w:type="dxa"/>
        <w:tblInd w:w="93" w:type="dxa"/>
        <w:tblLayout w:type="fixed"/>
        <w:tblCellMar>
          <w:top w:w="0" w:type="dxa"/>
          <w:left w:w="108" w:type="dxa"/>
          <w:bottom w:w="0" w:type="dxa"/>
          <w:right w:w="108" w:type="dxa"/>
        </w:tblCellMar>
      </w:tblPr>
      <w:tblGrid>
        <w:gridCol w:w="3922"/>
        <w:gridCol w:w="2060"/>
        <w:gridCol w:w="2460"/>
      </w:tblGrid>
      <w:tr w14:paraId="6102B444">
        <w:tblPrEx>
          <w:tblCellMar>
            <w:top w:w="0" w:type="dxa"/>
            <w:left w:w="108" w:type="dxa"/>
            <w:bottom w:w="0" w:type="dxa"/>
            <w:right w:w="108" w:type="dxa"/>
          </w:tblCellMar>
        </w:tblPrEx>
        <w:trPr>
          <w:trHeight w:val="384" w:hRule="atLeast"/>
        </w:trPr>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BC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center"/>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项目名称</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0A0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服务期限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F72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预算金额</w:t>
            </w:r>
          </w:p>
        </w:tc>
      </w:tr>
      <w:tr w14:paraId="6F590493">
        <w:tblPrEx>
          <w:tblCellMar>
            <w:top w:w="0" w:type="dxa"/>
            <w:left w:w="108" w:type="dxa"/>
            <w:bottom w:w="0" w:type="dxa"/>
            <w:right w:w="108" w:type="dxa"/>
          </w:tblCellMar>
        </w:tblPrEx>
        <w:trPr>
          <w:trHeight w:val="1060" w:hRule="atLeast"/>
        </w:trPr>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F61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center"/>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江宁区</w:t>
            </w:r>
            <w:r>
              <w:rPr>
                <w:rFonts w:hint="eastAsia" w:ascii="宋体" w:hAnsi="宋体" w:eastAsia="宋体" w:cs="宋体"/>
                <w:spacing w:val="0"/>
                <w:sz w:val="28"/>
                <w:szCs w:val="28"/>
              </w:rPr>
              <w:t>第二人民医院污水</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t>处理运营服务项目</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E7A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1年</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1A3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30</w:t>
            </w:r>
            <w:r>
              <w:rPr>
                <w:rFonts w:hint="eastAsia" w:ascii="宋体" w:hAnsi="宋体" w:eastAsia="宋体" w:cs="宋体"/>
                <w:spacing w:val="0"/>
                <w:sz w:val="28"/>
                <w:szCs w:val="28"/>
              </w:rPr>
              <w:t>万元</w:t>
            </w:r>
          </w:p>
        </w:tc>
      </w:tr>
    </w:tbl>
    <w:p w14:paraId="4D86DE90">
      <w:pPr>
        <w:spacing w:line="360" w:lineRule="auto"/>
        <w:rPr>
          <w:rFonts w:hint="eastAsia" w:ascii="宋体" w:hAnsi="宋体" w:cs="宋体"/>
          <w:b/>
          <w:bCs/>
          <w:sz w:val="28"/>
          <w:szCs w:val="28"/>
          <w:lang w:val="en-US" w:eastAsia="zh-CN"/>
        </w:rPr>
      </w:pPr>
    </w:p>
    <w:p w14:paraId="6D4F3826">
      <w:pPr>
        <w:spacing w:line="360" w:lineRule="auto"/>
        <w:rPr>
          <w:rFonts w:hint="eastAsia" w:ascii="宋体" w:hAnsi="宋体" w:eastAsia="宋体" w:cs="宋体"/>
          <w:b/>
          <w:bCs/>
          <w:sz w:val="28"/>
          <w:szCs w:val="28"/>
        </w:rPr>
      </w:pPr>
      <w:r>
        <w:rPr>
          <w:rFonts w:hint="eastAsia" w:ascii="宋体" w:hAnsi="宋体" w:cs="宋体"/>
          <w:b/>
          <w:bCs/>
          <w:sz w:val="28"/>
          <w:szCs w:val="28"/>
          <w:lang w:val="en-US" w:eastAsia="zh-CN"/>
        </w:rPr>
        <w:t>一</w:t>
      </w:r>
      <w:r>
        <w:rPr>
          <w:rFonts w:hint="eastAsia" w:ascii="宋体" w:hAnsi="宋体" w:eastAsia="宋体" w:cs="宋体"/>
          <w:b/>
          <w:bCs/>
          <w:sz w:val="28"/>
          <w:szCs w:val="28"/>
        </w:rPr>
        <w:t>、基本概况</w:t>
      </w:r>
    </w:p>
    <w:p w14:paraId="4F363BD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u w:val="none"/>
        </w:rPr>
        <w:t>江宁区第二人民医院污</w:t>
      </w:r>
      <w:r>
        <w:rPr>
          <w:rFonts w:hint="eastAsia" w:ascii="宋体" w:hAnsi="宋体" w:eastAsia="宋体" w:cs="宋体"/>
          <w:sz w:val="28"/>
          <w:szCs w:val="28"/>
        </w:rPr>
        <w:t>水处理站及污染源自动监控、自行监测托管运维项目，包括</w:t>
      </w:r>
      <w:r>
        <w:rPr>
          <w:rFonts w:hint="eastAsia" w:ascii="宋体" w:hAnsi="宋体" w:eastAsia="宋体" w:cs="宋体"/>
          <w:sz w:val="28"/>
          <w:szCs w:val="28"/>
          <w:lang w:val="en-US" w:eastAsia="zh-CN"/>
        </w:rPr>
        <w:t>院</w:t>
      </w:r>
      <w:r>
        <w:rPr>
          <w:rFonts w:hint="eastAsia" w:ascii="宋体" w:hAnsi="宋体" w:eastAsia="宋体" w:cs="宋体"/>
          <w:sz w:val="28"/>
          <w:szCs w:val="28"/>
        </w:rPr>
        <w:t>区内污水处理设施的污水合规排放；在线监控运维；自行监测方案的编制及检测；各类台账登记及平台的填报等。现污水站日处理水量：</w:t>
      </w:r>
      <w:r>
        <w:rPr>
          <w:rFonts w:hint="eastAsia" w:ascii="宋体" w:hAnsi="宋体" w:eastAsia="宋体" w:cs="宋体"/>
          <w:sz w:val="28"/>
          <w:szCs w:val="28"/>
          <w:lang w:val="en-US" w:eastAsia="zh-CN"/>
        </w:rPr>
        <w:t>约</w:t>
      </w:r>
      <w:r>
        <w:rPr>
          <w:rFonts w:hint="eastAsia" w:ascii="宋体" w:hAnsi="宋体" w:eastAsia="宋体" w:cs="宋体"/>
          <w:sz w:val="28"/>
          <w:szCs w:val="28"/>
        </w:rPr>
        <w:t>200m³/d。</w:t>
      </w:r>
    </w:p>
    <w:p w14:paraId="249DE853">
      <w:pPr>
        <w:numPr>
          <w:ilvl w:val="0"/>
          <w:numId w:val="0"/>
        </w:numPr>
        <w:spacing w:line="360" w:lineRule="auto"/>
        <w:ind w:firstLine="562" w:firstLineChars="200"/>
        <w:rPr>
          <w:rFonts w:hint="eastAsia" w:ascii="宋体" w:hAnsi="宋体" w:eastAsia="宋体" w:cs="宋体"/>
          <w:sz w:val="28"/>
          <w:szCs w:val="28"/>
        </w:rPr>
      </w:pPr>
      <w:r>
        <w:rPr>
          <w:rFonts w:hint="eastAsia" w:ascii="宋体" w:hAnsi="宋体" w:cs="宋体"/>
          <w:b/>
          <w:bCs/>
          <w:sz w:val="28"/>
          <w:szCs w:val="28"/>
          <w:lang w:val="en-US" w:eastAsia="zh-CN"/>
        </w:rPr>
        <w:t>1.1</w:t>
      </w:r>
      <w:r>
        <w:rPr>
          <w:rFonts w:hint="eastAsia" w:ascii="宋体" w:hAnsi="宋体" w:eastAsia="宋体" w:cs="宋体"/>
          <w:b/>
          <w:bCs/>
          <w:sz w:val="28"/>
          <w:szCs w:val="28"/>
        </w:rPr>
        <w:t>污水处理运维</w:t>
      </w:r>
      <w:r>
        <w:rPr>
          <w:rFonts w:hint="eastAsia" w:ascii="宋体" w:hAnsi="宋体" w:eastAsia="宋体" w:cs="宋体"/>
          <w:b/>
          <w:bCs/>
          <w:sz w:val="28"/>
          <w:szCs w:val="28"/>
          <w:lang w:val="en-US" w:eastAsia="zh-CN"/>
        </w:rPr>
        <w:t>要求</w:t>
      </w:r>
    </w:p>
    <w:p w14:paraId="2EFDEA40">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1、承担污水处理站的日常管理与操作，包括：设备操作运行及运行记录；水质自检及记录；设备日常维护保养及记录、交接班记录等工作；确保污水处理水质达标排放。</w:t>
      </w:r>
    </w:p>
    <w:p w14:paraId="2BB7991C">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lang w:val="en-US" w:eastAsia="zh-CN"/>
        </w:rPr>
      </w:pPr>
      <w:r>
        <w:rPr>
          <w:rFonts w:hint="eastAsia" w:ascii="宋体" w:hAnsi="宋体" w:eastAsia="宋体" w:cs="宋体"/>
          <w:spacing w:val="0"/>
          <w:sz w:val="28"/>
          <w:szCs w:val="28"/>
        </w:rPr>
        <w:t>2、保障污水站的运行安全；维护污水处理站及周边环境的卫生，防止污水漫溢，及时清理栅渣</w:t>
      </w:r>
      <w:r>
        <w:rPr>
          <w:rFonts w:hint="eastAsia" w:ascii="宋体" w:hAnsi="宋体" w:eastAsia="宋体" w:cs="宋体"/>
          <w:spacing w:val="0"/>
          <w:sz w:val="28"/>
          <w:szCs w:val="28"/>
          <w:lang w:val="en-US" w:eastAsia="zh-CN"/>
        </w:rPr>
        <w:t>及</w:t>
      </w:r>
      <w:r>
        <w:rPr>
          <w:rFonts w:hint="eastAsia" w:ascii="宋体" w:hAnsi="宋体" w:eastAsia="宋体" w:cs="宋体"/>
          <w:spacing w:val="0"/>
          <w:sz w:val="28"/>
          <w:szCs w:val="28"/>
        </w:rPr>
        <w:t>漂浮物，妥善处理好废渣和污泥的消毒工作</w:t>
      </w:r>
      <w:r>
        <w:rPr>
          <w:rFonts w:hint="eastAsia" w:ascii="宋体" w:hAnsi="宋体" w:eastAsia="宋体" w:cs="宋体"/>
          <w:spacing w:val="0"/>
          <w:sz w:val="28"/>
          <w:szCs w:val="28"/>
          <w:lang w:eastAsia="zh-CN"/>
        </w:rPr>
        <w:t>，</w:t>
      </w:r>
      <w:r>
        <w:rPr>
          <w:rFonts w:hint="eastAsia" w:ascii="宋体" w:hAnsi="宋体" w:eastAsia="宋体" w:cs="宋体"/>
          <w:spacing w:val="0"/>
          <w:sz w:val="28"/>
          <w:szCs w:val="28"/>
          <w:lang w:val="en-US" w:eastAsia="zh-CN"/>
        </w:rPr>
        <w:t>清捞上来的污物需装袋交由院方处理。</w:t>
      </w:r>
    </w:p>
    <w:p w14:paraId="3D0BDC2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3、负责消毒药剂（含氯消毒剂）的</w:t>
      </w:r>
      <w:r>
        <w:rPr>
          <w:rFonts w:hint="eastAsia" w:ascii="宋体" w:hAnsi="宋体" w:eastAsia="宋体" w:cs="宋体"/>
          <w:spacing w:val="0"/>
          <w:sz w:val="28"/>
          <w:szCs w:val="28"/>
          <w:lang w:val="en-US" w:eastAsia="zh-CN"/>
        </w:rPr>
        <w:t>采购、</w:t>
      </w:r>
      <w:r>
        <w:rPr>
          <w:rFonts w:hint="eastAsia" w:ascii="宋体" w:hAnsi="宋体" w:eastAsia="宋体" w:cs="宋体"/>
          <w:spacing w:val="0"/>
          <w:sz w:val="28"/>
          <w:szCs w:val="28"/>
        </w:rPr>
        <w:t>贮存、保管、使用工作，严格按照危险品使用管理规范执行。</w:t>
      </w:r>
    </w:p>
    <w:p w14:paraId="1874877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4、接受医院、环保、疾控中心等部门的监督管理；配合医院完成各项检查任务。</w:t>
      </w:r>
    </w:p>
    <w:p w14:paraId="6B928CB6">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5、承担在管理过程中由于人员违规、设备故障、出水超标等引起的影响到招标人正常生产所造成的经济责任（包括罚款）。</w:t>
      </w:r>
    </w:p>
    <w:p w14:paraId="2FB08B32">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6、每日自检余氯、PH不得少于4次，并记录；</w:t>
      </w:r>
    </w:p>
    <w:p w14:paraId="3B1A714A">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7、负责运营期内污水站设备的维修与保养及更新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＜1000元以的费用</w:t>
      </w:r>
      <w:r>
        <w:rPr>
          <w:rFonts w:hint="eastAsia" w:ascii="宋体" w:hAnsi="宋体" w:eastAsia="宋体" w:cs="宋体"/>
          <w:sz w:val="28"/>
          <w:szCs w:val="28"/>
          <w:lang w:eastAsia="zh-CN"/>
        </w:rPr>
        <w:t>）</w:t>
      </w:r>
      <w:r>
        <w:rPr>
          <w:rFonts w:hint="eastAsia" w:ascii="宋体" w:hAnsi="宋体" w:eastAsia="宋体" w:cs="宋体"/>
          <w:spacing w:val="0"/>
          <w:sz w:val="28"/>
          <w:szCs w:val="28"/>
        </w:rPr>
        <w:t>，确保设备完好运行。包括：</w:t>
      </w:r>
    </w:p>
    <w:p w14:paraId="0896CDBF">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（1）水泵、曝气机、消毒加药维修及配件更新等；</w:t>
      </w:r>
    </w:p>
    <w:p w14:paraId="2A78FE43">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t>（2）电控设备检修、配件更换等；</w:t>
      </w:r>
    </w:p>
    <w:p w14:paraId="0F8DE7E4">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t>（3）进、排水管道及系统管道阀门的维修更换等。</w:t>
      </w:r>
    </w:p>
    <w:p w14:paraId="00A1BCA0">
      <w:pPr>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8</w:t>
      </w:r>
      <w:r>
        <w:rPr>
          <w:rFonts w:hint="eastAsia" w:ascii="宋体" w:hAnsi="宋体" w:eastAsia="宋体" w:cs="宋体"/>
          <w:spacing w:val="0"/>
          <w:sz w:val="28"/>
          <w:szCs w:val="28"/>
        </w:rPr>
        <w:t>、</w:t>
      </w:r>
      <w:r>
        <w:rPr>
          <w:rFonts w:hint="eastAsia" w:ascii="宋体" w:hAnsi="宋体" w:eastAsia="宋体" w:cs="宋体"/>
          <w:spacing w:val="0"/>
          <w:sz w:val="28"/>
          <w:szCs w:val="28"/>
          <w:lang w:eastAsia="zh-CN"/>
        </w:rPr>
        <w:t>供应商</w:t>
      </w:r>
      <w:r>
        <w:rPr>
          <w:rFonts w:hint="eastAsia" w:ascii="宋体" w:hAnsi="宋体" w:eastAsia="宋体" w:cs="宋体"/>
          <w:spacing w:val="0"/>
          <w:sz w:val="28"/>
          <w:szCs w:val="28"/>
        </w:rPr>
        <w:t>在运营维护过程中须确保劳动安全、工业卫生和防疫安全、消防措施等原则。</w:t>
      </w:r>
    </w:p>
    <w:p w14:paraId="3D6924F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投标单位近三年未因水质超标或污染治理设施运行不正常被行政处罚的（须提供承诺函）。</w:t>
      </w:r>
    </w:p>
    <w:p w14:paraId="537F07B3">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 在线监控运维内容</w:t>
      </w:r>
    </w:p>
    <w:p w14:paraId="4B5741F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乙方服务应满足《南京市污染源自动监测监控设备运行管理规定》中所规定必须承担的责任和工作范围。</w:t>
      </w:r>
    </w:p>
    <w:p w14:paraId="6D8B1FDC">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乙方每天远程监控甲方平台有关数据，遇到异常情况乙方及时报备甲方并通知在线运维人员到现场检修。</w:t>
      </w:r>
    </w:p>
    <w:p w14:paraId="0D52276C">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定期检测系统设备的运行情况、数据信息传输畅通情况，确保现场系统与环保部门软件平台之间的数据、信息传输正常。</w:t>
      </w:r>
    </w:p>
    <w:p w14:paraId="23BF0E50">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cs="宋体"/>
          <w:sz w:val="28"/>
          <w:szCs w:val="28"/>
          <w:lang w:eastAsia="zh-CN"/>
        </w:rPr>
        <w:t>）</w:t>
      </w:r>
      <w:r>
        <w:rPr>
          <w:rFonts w:hint="eastAsia" w:ascii="宋体" w:hAnsi="宋体" w:eastAsia="宋体" w:cs="宋体"/>
          <w:sz w:val="28"/>
          <w:szCs w:val="28"/>
        </w:rPr>
        <w:t>乙方保证每月对仪器进行一次校准，对自然损坏及老化的易损件进行更换、维修和升级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1000元以内由乙方承担</w:t>
      </w:r>
      <w:r>
        <w:rPr>
          <w:rFonts w:hint="eastAsia" w:ascii="宋体" w:hAnsi="宋体" w:eastAsia="宋体" w:cs="宋体"/>
          <w:sz w:val="28"/>
          <w:szCs w:val="28"/>
          <w:lang w:eastAsia="zh-CN"/>
        </w:rPr>
        <w:t>）</w:t>
      </w:r>
      <w:r>
        <w:rPr>
          <w:rFonts w:hint="eastAsia" w:ascii="宋体" w:hAnsi="宋体" w:eastAsia="宋体" w:cs="宋体"/>
          <w:sz w:val="28"/>
          <w:szCs w:val="28"/>
        </w:rPr>
        <w:t>。</w:t>
      </w:r>
    </w:p>
    <w:p w14:paraId="7394CFC0">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cs="宋体"/>
          <w:sz w:val="28"/>
          <w:szCs w:val="28"/>
          <w:lang w:eastAsia="zh-CN"/>
        </w:rPr>
        <w:t>）</w:t>
      </w:r>
      <w:r>
        <w:rPr>
          <w:rFonts w:hint="eastAsia" w:ascii="宋体" w:hAnsi="宋体" w:eastAsia="宋体" w:cs="宋体"/>
          <w:sz w:val="28"/>
          <w:szCs w:val="28"/>
        </w:rPr>
        <w:t>乙方每周对在线监控系统设备的电路、管路等进行一次巡检，排除电路、管路的堵塞、老化现象。</w:t>
      </w:r>
    </w:p>
    <w:p w14:paraId="2EF2FDE6">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cs="宋体"/>
          <w:sz w:val="28"/>
          <w:szCs w:val="28"/>
          <w:lang w:eastAsia="zh-CN"/>
        </w:rPr>
        <w:t>）</w:t>
      </w:r>
      <w:r>
        <w:rPr>
          <w:rFonts w:hint="eastAsia" w:ascii="宋体" w:hAnsi="宋体" w:eastAsia="宋体" w:cs="宋体"/>
          <w:sz w:val="28"/>
          <w:szCs w:val="28"/>
        </w:rPr>
        <w:t>乙方受甲方委托处理环保局要求的所有手续，做好平台数据维护工作，甲方需配合。</w:t>
      </w:r>
    </w:p>
    <w:p w14:paraId="3B0331DA">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cs="宋体"/>
          <w:sz w:val="28"/>
          <w:szCs w:val="28"/>
          <w:lang w:eastAsia="zh-CN"/>
        </w:rPr>
        <w:t>）</w:t>
      </w:r>
      <w:r>
        <w:rPr>
          <w:rFonts w:hint="eastAsia" w:ascii="宋体" w:hAnsi="宋体" w:eastAsia="宋体" w:cs="宋体"/>
          <w:sz w:val="28"/>
          <w:szCs w:val="28"/>
        </w:rPr>
        <w:t>乙方在线运维人员每周进行一次运营维护检查，遇到紧急故障立即响应，每月对仪器进行标定校正，数据不稳定时，8小时内到场校正，为了数据的准确性每年对设备进行强检，乙方提供全年定期上门检修服务。</w:t>
      </w:r>
    </w:p>
    <w:p w14:paraId="5E23D758">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rPr>
        <w:t>7</w:t>
      </w:r>
      <w:r>
        <w:rPr>
          <w:rFonts w:hint="eastAsia" w:ascii="宋体" w:hAnsi="宋体" w:cs="宋体"/>
          <w:sz w:val="28"/>
          <w:szCs w:val="28"/>
          <w:lang w:eastAsia="zh-CN"/>
        </w:rPr>
        <w:t>）</w:t>
      </w:r>
      <w:r>
        <w:rPr>
          <w:rFonts w:hint="eastAsia" w:ascii="宋体" w:hAnsi="宋体" w:eastAsia="宋体" w:cs="宋体"/>
          <w:sz w:val="28"/>
          <w:szCs w:val="28"/>
        </w:rPr>
        <w:t>乙方结束本年度维保服务后须提供《年终工作总结及次年工作计划》，包括在线监控系统维修保养记录、自动监测校验记录、日常运营管理、次年运维计划等内容。</w:t>
      </w:r>
    </w:p>
    <w:p w14:paraId="7C79CFA3">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1.3自行监测方案的编制及检测</w:t>
      </w:r>
    </w:p>
    <w:p w14:paraId="30303BF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中标单位负责自行监测方案的编制或变更、自行检测</w:t>
      </w:r>
      <w:r>
        <w:rPr>
          <w:rFonts w:hint="eastAsia" w:ascii="宋体" w:hAnsi="宋体" w:eastAsia="宋体" w:cs="宋体"/>
          <w:sz w:val="28"/>
          <w:szCs w:val="28"/>
          <w:lang w:val="en-US" w:eastAsia="zh-CN"/>
        </w:rPr>
        <w:t>项目</w:t>
      </w:r>
      <w:r>
        <w:rPr>
          <w:rFonts w:hint="eastAsia" w:ascii="宋体" w:hAnsi="宋体" w:eastAsia="宋体" w:cs="宋体"/>
          <w:sz w:val="28"/>
          <w:szCs w:val="28"/>
        </w:rPr>
        <w:t>的开展、检测记录保存及检测数据的公开等，相关工作需符合《排污单位自行监测指南总则》及上级主管部门的要求。中标单位协助发标方进行相关环保平台数据的上传工作。</w:t>
      </w:r>
    </w:p>
    <w:p w14:paraId="13F140CE">
      <w:pPr>
        <w:pStyle w:val="4"/>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t>注：出具的检测报告的厂家必须具有省级及以上计量主管部门颁发的CMA计量证书。（投标文件中需提供厂家授权书</w:t>
      </w:r>
      <w:r>
        <w:rPr>
          <w:rFonts w:hint="eastAsia" w:ascii="宋体" w:hAnsi="宋体" w:cs="宋体"/>
          <w:kern w:val="2"/>
          <w:sz w:val="28"/>
          <w:szCs w:val="28"/>
          <w:lang w:val="en-US" w:eastAsia="zh-CN" w:bidi="ar-SA"/>
        </w:rPr>
        <w:t>）</w:t>
      </w:r>
    </w:p>
    <w:p w14:paraId="32F8636E">
      <w:pPr>
        <w:pStyle w:val="5"/>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监测明细如下：</w:t>
      </w:r>
    </w:p>
    <w:tbl>
      <w:tblPr>
        <w:tblStyle w:val="10"/>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200"/>
        <w:gridCol w:w="3499"/>
        <w:gridCol w:w="1253"/>
        <w:gridCol w:w="1700"/>
      </w:tblGrid>
      <w:tr w14:paraId="761F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852"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96978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55064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w:t>
            </w:r>
          </w:p>
        </w:tc>
        <w:tc>
          <w:tcPr>
            <w:tcW w:w="34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3D60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2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976E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点/孔数</w:t>
            </w:r>
          </w:p>
        </w:tc>
        <w:tc>
          <w:tcPr>
            <w:tcW w:w="1700"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D229F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r>
      <w:tr w14:paraId="5A90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07A279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0" w:type="dxa"/>
            <w:vMerge w:val="restart"/>
            <w:tcBorders>
              <w:top w:val="nil"/>
              <w:left w:val="single" w:color="000000" w:sz="4" w:space="0"/>
              <w:bottom w:val="nil"/>
              <w:right w:val="single" w:color="000000" w:sz="4" w:space="0"/>
            </w:tcBorders>
            <w:shd w:val="clear" w:color="auto" w:fill="auto"/>
            <w:vAlign w:val="center"/>
          </w:tcPr>
          <w:p w14:paraId="589CA7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废水总排口</w:t>
            </w: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AC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pH</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11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39DE7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自动监测</w:t>
            </w:r>
          </w:p>
        </w:tc>
      </w:tr>
      <w:tr w14:paraId="3582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374FBD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00" w:type="dxa"/>
            <w:vMerge w:val="continue"/>
            <w:tcBorders>
              <w:left w:val="single" w:color="000000" w:sz="4" w:space="0"/>
              <w:right w:val="single" w:color="000000" w:sz="4" w:space="0"/>
            </w:tcBorders>
            <w:shd w:val="clear" w:color="auto" w:fill="auto"/>
            <w:vAlign w:val="center"/>
          </w:tcPr>
          <w:p w14:paraId="75F8B60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E9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COD</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12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328CD8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sz w:val="21"/>
                <w:szCs w:val="21"/>
                <w:u w:val="none"/>
                <w:lang w:val="en-US" w:eastAsia="zh-CN"/>
              </w:rPr>
              <w:t>自动监测</w:t>
            </w:r>
          </w:p>
        </w:tc>
      </w:tr>
      <w:tr w14:paraId="11F3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01F862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00" w:type="dxa"/>
            <w:vMerge w:val="continue"/>
            <w:tcBorders>
              <w:left w:val="single" w:color="000000" w:sz="4" w:space="0"/>
              <w:right w:val="single" w:color="000000" w:sz="4" w:space="0"/>
            </w:tcBorders>
            <w:shd w:val="clear" w:color="auto" w:fill="auto"/>
            <w:vAlign w:val="center"/>
          </w:tcPr>
          <w:p w14:paraId="4BCE0B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90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余氯</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2F3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33D38F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sz w:val="21"/>
                <w:szCs w:val="21"/>
                <w:u w:val="none"/>
                <w:lang w:val="en-US" w:eastAsia="zh-CN"/>
              </w:rPr>
              <w:t>自动监测</w:t>
            </w:r>
          </w:p>
        </w:tc>
      </w:tr>
      <w:tr w14:paraId="7B8E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44BE428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00" w:type="dxa"/>
            <w:vMerge w:val="continue"/>
            <w:tcBorders>
              <w:left w:val="single" w:color="000000" w:sz="4" w:space="0"/>
              <w:right w:val="single" w:color="000000" w:sz="4" w:space="0"/>
            </w:tcBorders>
            <w:shd w:val="clear" w:color="auto" w:fill="auto"/>
            <w:vAlign w:val="center"/>
          </w:tcPr>
          <w:p w14:paraId="12CD35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B2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流量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E3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12B9E93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sz w:val="21"/>
                <w:szCs w:val="21"/>
                <w:u w:val="none"/>
                <w:lang w:val="en-US" w:eastAsia="zh-CN"/>
              </w:rPr>
              <w:t>自动监测</w:t>
            </w:r>
          </w:p>
        </w:tc>
      </w:tr>
      <w:tr w14:paraId="522D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441E3A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00" w:type="dxa"/>
            <w:vMerge w:val="continue"/>
            <w:tcBorders>
              <w:left w:val="single" w:color="000000" w:sz="4" w:space="0"/>
              <w:right w:val="single" w:color="000000" w:sz="4" w:space="0"/>
            </w:tcBorders>
            <w:shd w:val="clear" w:color="auto" w:fill="auto"/>
            <w:vAlign w:val="center"/>
          </w:tcPr>
          <w:p w14:paraId="4224B6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F4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悬浮物</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1B39F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周/次</w:t>
            </w:r>
          </w:p>
        </w:tc>
      </w:tr>
      <w:tr w14:paraId="168E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7DE1A3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0" w:type="dxa"/>
            <w:vMerge w:val="continue"/>
            <w:tcBorders>
              <w:top w:val="nil"/>
              <w:left w:val="single" w:color="000000" w:sz="4" w:space="0"/>
              <w:bottom w:val="nil"/>
              <w:right w:val="single" w:color="000000" w:sz="4" w:space="0"/>
            </w:tcBorders>
            <w:shd w:val="clear" w:color="auto" w:fill="auto"/>
            <w:vAlign w:val="center"/>
          </w:tcPr>
          <w:p w14:paraId="4D12B8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049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D9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A87E5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月/次</w:t>
            </w:r>
          </w:p>
        </w:tc>
      </w:tr>
      <w:tr w14:paraId="151B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2BC0AD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00" w:type="dxa"/>
            <w:vMerge w:val="continue"/>
            <w:tcBorders>
              <w:top w:val="nil"/>
              <w:left w:val="single" w:color="000000" w:sz="4" w:space="0"/>
              <w:bottom w:val="nil"/>
              <w:right w:val="single" w:color="000000" w:sz="4" w:space="0"/>
            </w:tcBorders>
            <w:shd w:val="clear" w:color="auto" w:fill="auto"/>
            <w:vAlign w:val="center"/>
          </w:tcPr>
          <w:p w14:paraId="04FB1B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79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五日生化需氧量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D7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2D702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3889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75DA00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00" w:type="dxa"/>
            <w:vMerge w:val="continue"/>
            <w:tcBorders>
              <w:top w:val="nil"/>
              <w:left w:val="single" w:color="000000" w:sz="4" w:space="0"/>
              <w:bottom w:val="nil"/>
              <w:right w:val="single" w:color="000000" w:sz="4" w:space="0"/>
            </w:tcBorders>
            <w:shd w:val="clear" w:color="auto" w:fill="auto"/>
            <w:vAlign w:val="center"/>
          </w:tcPr>
          <w:p w14:paraId="3BB046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FA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动植物油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A8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F5BCE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0BE8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16D809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00" w:type="dxa"/>
            <w:vMerge w:val="continue"/>
            <w:tcBorders>
              <w:top w:val="nil"/>
              <w:left w:val="single" w:color="000000" w:sz="4" w:space="0"/>
              <w:bottom w:val="nil"/>
              <w:right w:val="single" w:color="000000" w:sz="4" w:space="0"/>
            </w:tcBorders>
            <w:shd w:val="clear" w:color="auto" w:fill="auto"/>
            <w:vAlign w:val="center"/>
          </w:tcPr>
          <w:p w14:paraId="6EF940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17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4B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49B403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2FC1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24BF022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00" w:type="dxa"/>
            <w:vMerge w:val="continue"/>
            <w:tcBorders>
              <w:top w:val="nil"/>
              <w:left w:val="single" w:color="000000" w:sz="4" w:space="0"/>
              <w:bottom w:val="nil"/>
              <w:right w:val="single" w:color="000000" w:sz="4" w:space="0"/>
            </w:tcBorders>
            <w:shd w:val="clear" w:color="auto" w:fill="auto"/>
            <w:vAlign w:val="center"/>
          </w:tcPr>
          <w:p w14:paraId="1F5295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75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挥发酚</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DA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7FB7B4B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7213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697312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00" w:type="dxa"/>
            <w:vMerge w:val="continue"/>
            <w:tcBorders>
              <w:top w:val="nil"/>
              <w:left w:val="single" w:color="000000" w:sz="4" w:space="0"/>
              <w:bottom w:val="nil"/>
              <w:right w:val="single" w:color="000000" w:sz="4" w:space="0"/>
            </w:tcBorders>
            <w:shd w:val="clear" w:color="auto" w:fill="auto"/>
            <w:vAlign w:val="center"/>
          </w:tcPr>
          <w:p w14:paraId="72291D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28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E3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C0B6D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4F28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auto" w:sz="4" w:space="0"/>
              <w:bottom w:val="single" w:color="auto" w:sz="4" w:space="0"/>
              <w:right w:val="single" w:color="000000" w:sz="4" w:space="0"/>
            </w:tcBorders>
            <w:shd w:val="clear" w:color="auto" w:fill="auto"/>
            <w:noWrap/>
            <w:vAlign w:val="center"/>
          </w:tcPr>
          <w:p w14:paraId="52D785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00" w:type="dxa"/>
            <w:vMerge w:val="continue"/>
            <w:tcBorders>
              <w:top w:val="nil"/>
              <w:left w:val="single" w:color="000000" w:sz="4" w:space="0"/>
              <w:bottom w:val="single" w:color="auto" w:sz="4" w:space="0"/>
              <w:right w:val="single" w:color="000000" w:sz="4" w:space="0"/>
            </w:tcBorders>
            <w:shd w:val="clear" w:color="auto" w:fill="auto"/>
            <w:vAlign w:val="center"/>
          </w:tcPr>
          <w:p w14:paraId="563641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F45FA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总氰化物</w:t>
            </w:r>
          </w:p>
        </w:tc>
        <w:tc>
          <w:tcPr>
            <w:tcW w:w="12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0713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auto" w:sz="4" w:space="0"/>
              <w:right w:val="single" w:color="auto" w:sz="4" w:space="0"/>
            </w:tcBorders>
            <w:shd w:val="clear" w:color="auto" w:fill="auto"/>
            <w:noWrap/>
            <w:vAlign w:val="center"/>
          </w:tcPr>
          <w:p w14:paraId="68D3CE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6E5D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DF4D44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00" w:type="dxa"/>
            <w:vMerge w:val="continue"/>
            <w:tcBorders>
              <w:top w:val="single" w:color="auto" w:sz="4" w:space="0"/>
              <w:left w:val="single" w:color="000000" w:sz="4" w:space="0"/>
              <w:bottom w:val="nil"/>
              <w:right w:val="single" w:color="000000" w:sz="4" w:space="0"/>
            </w:tcBorders>
            <w:shd w:val="clear" w:color="auto" w:fill="auto"/>
            <w:vAlign w:val="center"/>
          </w:tcPr>
          <w:p w14:paraId="7ED52B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D859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12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689C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691F65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61A1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243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00" w:type="dxa"/>
            <w:vMerge w:val="continue"/>
            <w:tcBorders>
              <w:top w:val="nil"/>
              <w:left w:val="single" w:color="000000" w:sz="4" w:space="0"/>
              <w:bottom w:val="nil"/>
              <w:right w:val="single" w:color="000000" w:sz="4" w:space="0"/>
            </w:tcBorders>
            <w:shd w:val="clear" w:color="auto" w:fill="auto"/>
            <w:vAlign w:val="center"/>
          </w:tcPr>
          <w:p w14:paraId="09FDE7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5C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B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BA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56DA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30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00" w:type="dxa"/>
            <w:vMerge w:val="continue"/>
            <w:tcBorders>
              <w:top w:val="nil"/>
              <w:left w:val="single" w:color="000000" w:sz="4" w:space="0"/>
              <w:bottom w:val="nil"/>
              <w:right w:val="single" w:color="000000" w:sz="4" w:space="0"/>
            </w:tcBorders>
            <w:shd w:val="clear" w:color="auto" w:fill="auto"/>
            <w:vAlign w:val="center"/>
          </w:tcPr>
          <w:p w14:paraId="299615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F0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总磷</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D9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CE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2F9F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255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00" w:type="dxa"/>
            <w:vMerge w:val="continue"/>
            <w:tcBorders>
              <w:top w:val="nil"/>
              <w:left w:val="single" w:color="000000" w:sz="4" w:space="0"/>
              <w:bottom w:val="nil"/>
              <w:right w:val="single" w:color="000000" w:sz="4" w:space="0"/>
            </w:tcBorders>
            <w:shd w:val="clear" w:color="auto" w:fill="auto"/>
            <w:vAlign w:val="center"/>
          </w:tcPr>
          <w:p w14:paraId="102149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7AF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沙门氏菌</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7F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1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6545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0D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00" w:type="dxa"/>
            <w:vMerge w:val="continue"/>
            <w:tcBorders>
              <w:top w:val="nil"/>
              <w:left w:val="single" w:color="000000" w:sz="4" w:space="0"/>
              <w:bottom w:val="nil"/>
              <w:right w:val="single" w:color="000000" w:sz="4" w:space="0"/>
            </w:tcBorders>
            <w:shd w:val="clear" w:color="auto" w:fill="auto"/>
            <w:vAlign w:val="center"/>
          </w:tcPr>
          <w:p w14:paraId="573E51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13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志贺氏菌</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BFE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A28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半年/次</w:t>
            </w:r>
          </w:p>
        </w:tc>
      </w:tr>
      <w:tr w14:paraId="6813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2B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00" w:type="dxa"/>
            <w:vMerge w:val="continue"/>
            <w:tcBorders>
              <w:top w:val="nil"/>
              <w:left w:val="single" w:color="000000" w:sz="4" w:space="0"/>
              <w:bottom w:val="nil"/>
              <w:right w:val="single" w:color="000000" w:sz="4" w:space="0"/>
            </w:tcBorders>
            <w:shd w:val="clear" w:color="auto" w:fill="auto"/>
            <w:vAlign w:val="center"/>
          </w:tcPr>
          <w:p w14:paraId="5D8776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B3C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六价铬</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25D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D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267B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91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00" w:type="dxa"/>
            <w:vMerge w:val="continue"/>
            <w:tcBorders>
              <w:top w:val="nil"/>
              <w:left w:val="single" w:color="000000" w:sz="4" w:space="0"/>
              <w:bottom w:val="nil"/>
              <w:right w:val="single" w:color="000000" w:sz="4" w:space="0"/>
            </w:tcBorders>
            <w:shd w:val="clear" w:color="auto" w:fill="auto"/>
            <w:vAlign w:val="center"/>
          </w:tcPr>
          <w:p w14:paraId="155619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DD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总砷</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9F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58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26BD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427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00" w:type="dxa"/>
            <w:vMerge w:val="continue"/>
            <w:tcBorders>
              <w:top w:val="nil"/>
              <w:left w:val="single" w:color="000000" w:sz="4" w:space="0"/>
              <w:bottom w:val="nil"/>
              <w:right w:val="single" w:color="000000" w:sz="4" w:space="0"/>
            </w:tcBorders>
            <w:shd w:val="clear" w:color="auto" w:fill="auto"/>
            <w:vAlign w:val="center"/>
          </w:tcPr>
          <w:p w14:paraId="0E5E9F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37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总铅</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F6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B6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6748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DC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00" w:type="dxa"/>
            <w:vMerge w:val="continue"/>
            <w:tcBorders>
              <w:top w:val="nil"/>
              <w:left w:val="single" w:color="000000" w:sz="4" w:space="0"/>
              <w:bottom w:val="nil"/>
              <w:right w:val="single" w:color="000000" w:sz="4" w:space="0"/>
            </w:tcBorders>
            <w:shd w:val="clear" w:color="auto" w:fill="auto"/>
            <w:vAlign w:val="center"/>
          </w:tcPr>
          <w:p w14:paraId="08640B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3B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总汞</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EC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3AB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6E50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DE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22</w:t>
            </w:r>
          </w:p>
        </w:tc>
        <w:tc>
          <w:tcPr>
            <w:tcW w:w="1200" w:type="dxa"/>
            <w:vMerge w:val="continue"/>
            <w:tcBorders>
              <w:top w:val="nil"/>
              <w:left w:val="single" w:color="000000" w:sz="4" w:space="0"/>
              <w:bottom w:val="nil"/>
              <w:right w:val="single" w:color="000000" w:sz="4" w:space="0"/>
            </w:tcBorders>
            <w:shd w:val="clear" w:color="auto" w:fill="auto"/>
            <w:vAlign w:val="center"/>
          </w:tcPr>
          <w:p w14:paraId="56DBCE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69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E10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C3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6BB7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26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23</w:t>
            </w:r>
          </w:p>
        </w:tc>
        <w:tc>
          <w:tcPr>
            <w:tcW w:w="1200" w:type="dxa"/>
            <w:vMerge w:val="continue"/>
            <w:tcBorders>
              <w:top w:val="nil"/>
              <w:left w:val="single" w:color="000000" w:sz="4" w:space="0"/>
              <w:bottom w:val="nil"/>
              <w:right w:val="single" w:color="000000" w:sz="4" w:space="0"/>
            </w:tcBorders>
            <w:shd w:val="clear" w:color="auto" w:fill="auto"/>
            <w:vAlign w:val="center"/>
          </w:tcPr>
          <w:p w14:paraId="10FB46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8D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B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5B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5CEE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61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24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4C82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污水站有组织废气</w:t>
            </w: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78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氨（氨气）</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F02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8A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01FB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DF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25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54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28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硫化氢</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3D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0B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209F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55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26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AB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7C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臭气浓度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B5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5D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3F92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F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27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339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锅炉有组织废气</w:t>
            </w: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7A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颗粒物</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BF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17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年/次</w:t>
            </w:r>
          </w:p>
        </w:tc>
      </w:tr>
      <w:tr w14:paraId="5A97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A3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28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73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52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二氧化硫</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66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C2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年/次</w:t>
            </w:r>
          </w:p>
        </w:tc>
      </w:tr>
      <w:tr w14:paraId="07C6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8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29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FE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5C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氮氧化物</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61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1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月/次</w:t>
            </w:r>
          </w:p>
        </w:tc>
      </w:tr>
      <w:tr w14:paraId="0BF7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D1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30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FB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B35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林格曼黑度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75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E7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年/次</w:t>
            </w:r>
          </w:p>
        </w:tc>
      </w:tr>
      <w:tr w14:paraId="10EA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06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31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C14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污水站无组织废气</w:t>
            </w: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54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30E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A8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301F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FB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32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D7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F5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硫化氢</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F72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40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526C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5F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33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EA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D1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臭气浓度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2F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34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2918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86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34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C1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75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氯气</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3F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3E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6BD5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14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35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5D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38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甲烷</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64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1A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7CE8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57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93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噪音</w:t>
            </w: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33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昼间（06：00-22：00）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4C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E0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r w14:paraId="3EE3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8E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84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1"/>
                <w:szCs w:val="21"/>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CD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夜间（22：00-06：00）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51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00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季度/次</w:t>
            </w:r>
          </w:p>
        </w:tc>
      </w:tr>
    </w:tbl>
    <w:p w14:paraId="265844C0">
      <w:pPr>
        <w:keepNext w:val="0"/>
        <w:keepLines w:val="0"/>
        <w:pageBreakBefore w:val="0"/>
        <w:wordWrap/>
        <w:overflowPunct/>
        <w:topLinePunct w:val="0"/>
        <w:bidi w:val="0"/>
        <w:spacing w:line="560" w:lineRule="exact"/>
        <w:outlineLvl w:val="9"/>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六、报价说明</w:t>
      </w:r>
    </w:p>
    <w:p w14:paraId="40906F4F">
      <w:pPr>
        <w:widowControl/>
        <w:adjustRightInd w:val="0"/>
        <w:snapToGrid w:val="0"/>
        <w:spacing w:line="4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报价包括污水处理托管运营所需的人工、相关药剂、环保及疾控排水监测、清淤、维修保养、管理成本、安全防护、税金、市场风险等所有一切可能发生的费用。</w:t>
      </w:r>
    </w:p>
    <w:p w14:paraId="596E51CB">
      <w:pPr>
        <w:keepNext w:val="0"/>
        <w:keepLines w:val="0"/>
        <w:pageBreakBefore w:val="0"/>
        <w:wordWrap/>
        <w:overflowPunct/>
        <w:topLinePunct w:val="0"/>
        <w:bidi w:val="0"/>
        <w:spacing w:beforeLines="50" w:afterLines="50" w:line="560" w:lineRule="exact"/>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七、参与论证采购的潜在供应商如不满足三家，后期将进行招标采购。</w:t>
      </w:r>
    </w:p>
    <w:p w14:paraId="48CBD7BE">
      <w:pPr>
        <w:keepNext w:val="0"/>
        <w:keepLines w:val="0"/>
        <w:pageBreakBefore w:val="0"/>
        <w:wordWrap/>
        <w:overflowPunct/>
        <w:topLinePunct w:val="0"/>
        <w:bidi w:val="0"/>
        <w:spacing w:beforeLines="50" w:afterLines="50" w:line="560" w:lineRule="exact"/>
        <w:outlineLvl w:val="9"/>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八</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参与论证采购的供应商，请提供承诺函。承诺参与同一项目的供应商之间不存在关联关系（格式自拟）。</w:t>
      </w:r>
    </w:p>
    <w:p w14:paraId="578839D0">
      <w:pPr>
        <w:keepNext w:val="0"/>
        <w:keepLines w:val="0"/>
        <w:pageBreakBefore w:val="0"/>
        <w:wordWrap/>
        <w:overflowPunct/>
        <w:topLinePunct w:val="0"/>
        <w:bidi w:val="0"/>
        <w:spacing w:beforeLines="50" w:afterLines="50" w:line="560" w:lineRule="exact"/>
        <w:outlineLvl w:val="9"/>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九、</w:t>
      </w:r>
      <w:r>
        <w:rPr>
          <w:rFonts w:hint="eastAsia" w:ascii="方正仿宋简体" w:hAnsi="方正仿宋简体" w:eastAsia="方正仿宋简体" w:cs="方正仿宋简体"/>
          <w:b/>
          <w:bCs/>
          <w:sz w:val="32"/>
          <w:szCs w:val="32"/>
        </w:rPr>
        <w:t>联系人</w:t>
      </w:r>
    </w:p>
    <w:p w14:paraId="14A9FD99">
      <w:pPr>
        <w:keepNext w:val="0"/>
        <w:keepLines w:val="0"/>
        <w:pageBreakBefore w:val="0"/>
        <w:widowControl/>
        <w:kinsoku w:val="0"/>
        <w:wordWrap/>
        <w:overflowPunct/>
        <w:topLinePunct w:val="0"/>
        <w:autoSpaceDE w:val="0"/>
        <w:autoSpaceDN w:val="0"/>
        <w:bidi w:val="0"/>
        <w:adjustRightInd w:val="0"/>
        <w:snapToGrid w:val="0"/>
        <w:spacing w:line="560" w:lineRule="exact"/>
        <w:ind w:hanging="9"/>
        <w:textAlignment w:val="baseline"/>
        <w:outlineLvl w:val="9"/>
        <w:rPr>
          <w:rFonts w:hint="eastAsia" w:ascii="方正仿宋简体" w:hAnsi="方正仿宋简体" w:eastAsia="方正仿宋简体" w:cs="方正仿宋简体"/>
          <w:spacing w:val="-3"/>
          <w:sz w:val="32"/>
          <w:szCs w:val="32"/>
        </w:rPr>
      </w:pPr>
      <w:r>
        <w:rPr>
          <w:rFonts w:hint="eastAsia" w:ascii="方正仿宋简体" w:hAnsi="方正仿宋简体" w:eastAsia="方正仿宋简体" w:cs="方正仿宋简体"/>
          <w:spacing w:val="-3"/>
          <w:sz w:val="32"/>
          <w:szCs w:val="32"/>
          <w:lang w:val="en-US" w:eastAsia="zh-CN"/>
        </w:rPr>
        <w:t xml:space="preserve">江宁区第二人民医院：蒋学兵     </w:t>
      </w:r>
      <w:r>
        <w:rPr>
          <w:rFonts w:hint="eastAsia" w:ascii="方正仿宋简体" w:hAnsi="方正仿宋简体" w:eastAsia="方正仿宋简体" w:cs="方正仿宋简体"/>
          <w:spacing w:val="-3"/>
          <w:sz w:val="32"/>
          <w:szCs w:val="32"/>
        </w:rPr>
        <w:t>联系电话：</w:t>
      </w:r>
      <w:r>
        <w:rPr>
          <w:rFonts w:hint="eastAsia" w:ascii="方正仿宋简体" w:hAnsi="方正仿宋简体" w:eastAsia="方正仿宋简体" w:cs="方正仿宋简体"/>
          <w:spacing w:val="-3"/>
          <w:sz w:val="32"/>
          <w:szCs w:val="32"/>
          <w:lang w:val="en-US" w:eastAsia="zh-CN"/>
        </w:rPr>
        <w:t>13951838111</w:t>
      </w:r>
    </w:p>
    <w:p w14:paraId="0702E6BB">
      <w:pPr>
        <w:keepNext w:val="0"/>
        <w:keepLines w:val="0"/>
        <w:pageBreakBefore w:val="0"/>
        <w:widowControl/>
        <w:kinsoku w:val="0"/>
        <w:wordWrap/>
        <w:overflowPunct/>
        <w:topLinePunct w:val="0"/>
        <w:autoSpaceDE w:val="0"/>
        <w:autoSpaceDN w:val="0"/>
        <w:bidi w:val="0"/>
        <w:adjustRightInd w:val="0"/>
        <w:snapToGrid w:val="0"/>
        <w:spacing w:line="560" w:lineRule="exact"/>
        <w:ind w:hanging="9"/>
        <w:textAlignment w:val="baseline"/>
        <w:outlineLvl w:val="9"/>
        <w:rPr>
          <w:rFonts w:hint="default" w:ascii="宋体" w:hAnsi="宋体" w:eastAsia="方正仿宋简体" w:cs="宋体"/>
          <w:b/>
          <w:bCs/>
          <w:color w:val="000000" w:themeColor="text1"/>
          <w:sz w:val="28"/>
          <w:szCs w:val="28"/>
          <w:highlight w:val="none"/>
          <w:lang w:val="en-US" w:eastAsia="zh-CN"/>
          <w14:textFill>
            <w14:solidFill>
              <w14:schemeClr w14:val="tx1"/>
            </w14:solidFill>
          </w14:textFill>
        </w:rPr>
        <w:sectPr>
          <w:headerReference r:id="rId3" w:type="default"/>
          <w:footerReference r:id="rId4" w:type="default"/>
          <w:pgSz w:w="11906" w:h="16838"/>
          <w:pgMar w:top="1417" w:right="1304" w:bottom="964" w:left="1644" w:header="851" w:footer="680" w:gutter="0"/>
          <w:cols w:space="0" w:num="1"/>
          <w:docGrid w:linePitch="290" w:charSpace="0"/>
        </w:sectPr>
      </w:pPr>
      <w:r>
        <w:rPr>
          <w:rFonts w:hint="eastAsia" w:ascii="方正仿宋简体" w:hAnsi="方正仿宋简体" w:eastAsia="方正仿宋简体" w:cs="方正仿宋简体"/>
          <w:spacing w:val="-3"/>
          <w:sz w:val="32"/>
          <w:szCs w:val="32"/>
        </w:rPr>
        <w:t>江宁卫健委：史定金</w:t>
      </w:r>
      <w:r>
        <w:rPr>
          <w:rFonts w:hint="eastAsia" w:ascii="方正仿宋简体" w:hAnsi="方正仿宋简体" w:eastAsia="方正仿宋简体" w:cs="方正仿宋简体"/>
          <w:spacing w:val="-3"/>
          <w:sz w:val="32"/>
          <w:szCs w:val="32"/>
          <w:lang w:eastAsia="zh-CN"/>
        </w:rPr>
        <w:t>、钱</w:t>
      </w:r>
      <w:r>
        <w:rPr>
          <w:rFonts w:hint="eastAsia" w:ascii="方正仿宋简体" w:hAnsi="方正仿宋简体" w:eastAsia="方正仿宋简体" w:cs="方正仿宋简体"/>
          <w:spacing w:val="-3"/>
          <w:sz w:val="32"/>
          <w:szCs w:val="32"/>
          <w:lang w:val="en-US" w:eastAsia="zh-CN"/>
        </w:rPr>
        <w:t>惠</w:t>
      </w:r>
      <w:r>
        <w:rPr>
          <w:rFonts w:hint="eastAsia" w:ascii="方正仿宋简体" w:hAnsi="方正仿宋简体" w:eastAsia="方正仿宋简体" w:cs="方正仿宋简体"/>
          <w:spacing w:val="-3"/>
          <w:sz w:val="32"/>
          <w:szCs w:val="32"/>
        </w:rPr>
        <w:t xml:space="preserve">       联系电话：5</w:t>
      </w:r>
      <w:r>
        <w:rPr>
          <w:rFonts w:hint="eastAsia" w:ascii="方正仿宋简体" w:hAnsi="方正仿宋简体" w:eastAsia="方正仿宋简体" w:cs="方正仿宋简体"/>
          <w:spacing w:val="-3"/>
          <w:sz w:val="32"/>
          <w:szCs w:val="32"/>
          <w:lang w:val="en-US" w:eastAsia="zh-CN"/>
        </w:rPr>
        <w:t>1191172</w:t>
      </w:r>
    </w:p>
    <w:p w14:paraId="58455D1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方正仿宋简体" w:hAnsi="方正仿宋简体" w:eastAsia="方正仿宋简体" w:cs="方正仿宋简体"/>
          <w:spacing w:val="-3"/>
          <w:sz w:val="32"/>
          <w:szCs w:val="32"/>
        </w:rPr>
      </w:pPr>
    </w:p>
    <w:sectPr>
      <w:pgSz w:w="11906" w:h="16838"/>
      <w:pgMar w:top="1701" w:right="1247" w:bottom="130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embedRegular r:id="rId1" w:fontKey="{DFE4D28F-DF11-42FC-8148-39F949CCA0B4}"/>
  </w:font>
  <w:font w:name="方正仿宋简体">
    <w:altName w:val="微软雅黑"/>
    <w:panose1 w:val="02010601030101010101"/>
    <w:charset w:val="86"/>
    <w:family w:val="auto"/>
    <w:pitch w:val="default"/>
    <w:sig w:usb0="00000000" w:usb1="00000000" w:usb2="00000000" w:usb3="00000000" w:csb0="00040000" w:csb1="00000000"/>
    <w:embedRegular r:id="rId2" w:fontKey="{FF8948EC-91AC-4D18-97DF-9789062B374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E2F3">
    <w:pPr>
      <w:pStyle w:val="6"/>
      <w:jc w:val="center"/>
    </w:pPr>
    <w:r>
      <w:fldChar w:fldCharType="begin"/>
    </w:r>
    <w:r>
      <w:instrText xml:space="preserve"> PAGE   \* MERGEFORMAT </w:instrText>
    </w:r>
    <w:r>
      <w:fldChar w:fldCharType="separate"/>
    </w:r>
    <w:r>
      <w:rPr>
        <w:lang w:val="zh-CN"/>
      </w:rPr>
      <w:t>16</w:t>
    </w:r>
    <w:r>
      <w:rPr>
        <w:lang w:val="zh-CN"/>
      </w:rPr>
      <w:fldChar w:fldCharType="end"/>
    </w:r>
  </w:p>
  <w:p w14:paraId="63FE5233">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0FD2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YjM5OTY1NmY3ODhiMjA0ODI0NGU3ZWU4ZjZmOTAifQ=="/>
  </w:docVars>
  <w:rsids>
    <w:rsidRoot w:val="002B74EE"/>
    <w:rsid w:val="00081582"/>
    <w:rsid w:val="000970E5"/>
    <w:rsid w:val="000C2536"/>
    <w:rsid w:val="00111330"/>
    <w:rsid w:val="001B790A"/>
    <w:rsid w:val="002B0026"/>
    <w:rsid w:val="002B324C"/>
    <w:rsid w:val="002B74EE"/>
    <w:rsid w:val="00400F2D"/>
    <w:rsid w:val="004039BD"/>
    <w:rsid w:val="004072E6"/>
    <w:rsid w:val="00425CD0"/>
    <w:rsid w:val="00426C76"/>
    <w:rsid w:val="004A4EE7"/>
    <w:rsid w:val="004C6363"/>
    <w:rsid w:val="004D2C3B"/>
    <w:rsid w:val="0051538D"/>
    <w:rsid w:val="00581835"/>
    <w:rsid w:val="005A7594"/>
    <w:rsid w:val="0062693D"/>
    <w:rsid w:val="00626C6E"/>
    <w:rsid w:val="00682C2B"/>
    <w:rsid w:val="006A79DF"/>
    <w:rsid w:val="006B153A"/>
    <w:rsid w:val="007426B7"/>
    <w:rsid w:val="008216F7"/>
    <w:rsid w:val="00847087"/>
    <w:rsid w:val="008B00A8"/>
    <w:rsid w:val="008F6806"/>
    <w:rsid w:val="009A2E55"/>
    <w:rsid w:val="009A3010"/>
    <w:rsid w:val="00A820DE"/>
    <w:rsid w:val="00B750EB"/>
    <w:rsid w:val="00BA2F86"/>
    <w:rsid w:val="00BA4007"/>
    <w:rsid w:val="00BF2B9D"/>
    <w:rsid w:val="00DC5E27"/>
    <w:rsid w:val="00DF668B"/>
    <w:rsid w:val="00E524D7"/>
    <w:rsid w:val="00F773D4"/>
    <w:rsid w:val="00F77A05"/>
    <w:rsid w:val="00FE54A0"/>
    <w:rsid w:val="0104435B"/>
    <w:rsid w:val="01D37B42"/>
    <w:rsid w:val="01D72792"/>
    <w:rsid w:val="02156F06"/>
    <w:rsid w:val="028E74FC"/>
    <w:rsid w:val="02A468E7"/>
    <w:rsid w:val="02BD0AAF"/>
    <w:rsid w:val="030E4C49"/>
    <w:rsid w:val="030F42DA"/>
    <w:rsid w:val="03C312C6"/>
    <w:rsid w:val="05A266C9"/>
    <w:rsid w:val="05E5776E"/>
    <w:rsid w:val="06312C52"/>
    <w:rsid w:val="07AA4CB2"/>
    <w:rsid w:val="094E192A"/>
    <w:rsid w:val="09DE3524"/>
    <w:rsid w:val="0A710005"/>
    <w:rsid w:val="0AAD7B08"/>
    <w:rsid w:val="0B08586D"/>
    <w:rsid w:val="0B1B6510"/>
    <w:rsid w:val="0D9008AB"/>
    <w:rsid w:val="0E736171"/>
    <w:rsid w:val="10BD7321"/>
    <w:rsid w:val="10D93FDD"/>
    <w:rsid w:val="11E56721"/>
    <w:rsid w:val="12374F64"/>
    <w:rsid w:val="12CF6836"/>
    <w:rsid w:val="12D036C3"/>
    <w:rsid w:val="13413646"/>
    <w:rsid w:val="138A7A8F"/>
    <w:rsid w:val="13924FCC"/>
    <w:rsid w:val="13DD4A86"/>
    <w:rsid w:val="14116A60"/>
    <w:rsid w:val="141653AB"/>
    <w:rsid w:val="14471F5B"/>
    <w:rsid w:val="146F2D31"/>
    <w:rsid w:val="14BE3776"/>
    <w:rsid w:val="1571109C"/>
    <w:rsid w:val="15DD7A3F"/>
    <w:rsid w:val="1707002C"/>
    <w:rsid w:val="17725152"/>
    <w:rsid w:val="178F29E9"/>
    <w:rsid w:val="17E805C1"/>
    <w:rsid w:val="184E47ED"/>
    <w:rsid w:val="191E09CD"/>
    <w:rsid w:val="1938752C"/>
    <w:rsid w:val="195D23A7"/>
    <w:rsid w:val="19B9464E"/>
    <w:rsid w:val="1AA63B8B"/>
    <w:rsid w:val="1AD76DCC"/>
    <w:rsid w:val="1AEC415D"/>
    <w:rsid w:val="1AFA019D"/>
    <w:rsid w:val="1B0219CE"/>
    <w:rsid w:val="1B1465EE"/>
    <w:rsid w:val="1B2216AE"/>
    <w:rsid w:val="1B3F306F"/>
    <w:rsid w:val="1B8E77A4"/>
    <w:rsid w:val="1BC76FE4"/>
    <w:rsid w:val="1BDC4231"/>
    <w:rsid w:val="1C500ACD"/>
    <w:rsid w:val="1D94137E"/>
    <w:rsid w:val="1E244FB7"/>
    <w:rsid w:val="1E373129"/>
    <w:rsid w:val="1E6B5CCD"/>
    <w:rsid w:val="1F3813BA"/>
    <w:rsid w:val="1F9B5057"/>
    <w:rsid w:val="1FC55C88"/>
    <w:rsid w:val="209A0F65"/>
    <w:rsid w:val="21915179"/>
    <w:rsid w:val="21C401A0"/>
    <w:rsid w:val="21DC5417"/>
    <w:rsid w:val="22145B49"/>
    <w:rsid w:val="226B220E"/>
    <w:rsid w:val="239236E4"/>
    <w:rsid w:val="23E520FA"/>
    <w:rsid w:val="23F778A7"/>
    <w:rsid w:val="24106291"/>
    <w:rsid w:val="2498752C"/>
    <w:rsid w:val="25111DAC"/>
    <w:rsid w:val="25232558"/>
    <w:rsid w:val="254E6D29"/>
    <w:rsid w:val="255C445D"/>
    <w:rsid w:val="258B7398"/>
    <w:rsid w:val="25FE7E64"/>
    <w:rsid w:val="27620DE6"/>
    <w:rsid w:val="28A97FAB"/>
    <w:rsid w:val="28F6251A"/>
    <w:rsid w:val="2922502B"/>
    <w:rsid w:val="29FE58E0"/>
    <w:rsid w:val="2A6524BA"/>
    <w:rsid w:val="2AB12845"/>
    <w:rsid w:val="2BAC76A4"/>
    <w:rsid w:val="2C5B5AC4"/>
    <w:rsid w:val="2CCB0FF4"/>
    <w:rsid w:val="300F5868"/>
    <w:rsid w:val="30187269"/>
    <w:rsid w:val="3020318B"/>
    <w:rsid w:val="303E1264"/>
    <w:rsid w:val="310D05DA"/>
    <w:rsid w:val="31717D8A"/>
    <w:rsid w:val="31C0624B"/>
    <w:rsid w:val="32045DD9"/>
    <w:rsid w:val="32125815"/>
    <w:rsid w:val="322675FA"/>
    <w:rsid w:val="32D441B6"/>
    <w:rsid w:val="32F4481F"/>
    <w:rsid w:val="336E41D4"/>
    <w:rsid w:val="3426507C"/>
    <w:rsid w:val="355444CA"/>
    <w:rsid w:val="35E62AD5"/>
    <w:rsid w:val="36BE6C02"/>
    <w:rsid w:val="36DB6FC6"/>
    <w:rsid w:val="384D1AD1"/>
    <w:rsid w:val="394B0DCA"/>
    <w:rsid w:val="3B213239"/>
    <w:rsid w:val="3B5653BC"/>
    <w:rsid w:val="3BAE1B05"/>
    <w:rsid w:val="3C420C30"/>
    <w:rsid w:val="3C526C1A"/>
    <w:rsid w:val="3C71634B"/>
    <w:rsid w:val="3DCD289F"/>
    <w:rsid w:val="3E3363CA"/>
    <w:rsid w:val="3E71703F"/>
    <w:rsid w:val="3F063710"/>
    <w:rsid w:val="3F347F29"/>
    <w:rsid w:val="419F1589"/>
    <w:rsid w:val="42046CFF"/>
    <w:rsid w:val="42647268"/>
    <w:rsid w:val="439C072D"/>
    <w:rsid w:val="44E45FA3"/>
    <w:rsid w:val="451B0E6D"/>
    <w:rsid w:val="456E70A7"/>
    <w:rsid w:val="45D86041"/>
    <w:rsid w:val="45DE64F2"/>
    <w:rsid w:val="46821E88"/>
    <w:rsid w:val="4700773A"/>
    <w:rsid w:val="47D62B12"/>
    <w:rsid w:val="47F744E7"/>
    <w:rsid w:val="484F206E"/>
    <w:rsid w:val="484F2173"/>
    <w:rsid w:val="48B118FA"/>
    <w:rsid w:val="48C273A8"/>
    <w:rsid w:val="48EE34F2"/>
    <w:rsid w:val="490A5008"/>
    <w:rsid w:val="49AB684E"/>
    <w:rsid w:val="49E41F65"/>
    <w:rsid w:val="4A4E6940"/>
    <w:rsid w:val="4A746230"/>
    <w:rsid w:val="4AE17899"/>
    <w:rsid w:val="4B0010A6"/>
    <w:rsid w:val="4BEC2029"/>
    <w:rsid w:val="4C2E3452"/>
    <w:rsid w:val="4C8B71D1"/>
    <w:rsid w:val="4D561B3D"/>
    <w:rsid w:val="4E884A88"/>
    <w:rsid w:val="4E8F6265"/>
    <w:rsid w:val="5025399B"/>
    <w:rsid w:val="505E6C93"/>
    <w:rsid w:val="5074409D"/>
    <w:rsid w:val="51834397"/>
    <w:rsid w:val="520B7627"/>
    <w:rsid w:val="52417D22"/>
    <w:rsid w:val="52AE52FC"/>
    <w:rsid w:val="52FF088A"/>
    <w:rsid w:val="53436483"/>
    <w:rsid w:val="53866DAC"/>
    <w:rsid w:val="544D09FE"/>
    <w:rsid w:val="54564B50"/>
    <w:rsid w:val="54875DA3"/>
    <w:rsid w:val="54C6680D"/>
    <w:rsid w:val="54FB49AE"/>
    <w:rsid w:val="55A16125"/>
    <w:rsid w:val="561A227F"/>
    <w:rsid w:val="563137EA"/>
    <w:rsid w:val="57697F2C"/>
    <w:rsid w:val="57876E3D"/>
    <w:rsid w:val="57DF5D64"/>
    <w:rsid w:val="58AA485B"/>
    <w:rsid w:val="59817BBD"/>
    <w:rsid w:val="59D30A5E"/>
    <w:rsid w:val="5A956973"/>
    <w:rsid w:val="5B586357"/>
    <w:rsid w:val="5BC16EF7"/>
    <w:rsid w:val="5BCF247D"/>
    <w:rsid w:val="5BDA4E9F"/>
    <w:rsid w:val="5BE64A63"/>
    <w:rsid w:val="5C840420"/>
    <w:rsid w:val="5D637EE1"/>
    <w:rsid w:val="5DD64B43"/>
    <w:rsid w:val="5DE61804"/>
    <w:rsid w:val="5E614AB6"/>
    <w:rsid w:val="5E763C8B"/>
    <w:rsid w:val="5E7B01BC"/>
    <w:rsid w:val="5E9852D7"/>
    <w:rsid w:val="5EA25FEF"/>
    <w:rsid w:val="5F096B46"/>
    <w:rsid w:val="5FD3190F"/>
    <w:rsid w:val="600E3181"/>
    <w:rsid w:val="609155CD"/>
    <w:rsid w:val="60EC0FF7"/>
    <w:rsid w:val="60FF47D9"/>
    <w:rsid w:val="61CC6FD6"/>
    <w:rsid w:val="61E34A90"/>
    <w:rsid w:val="61F12568"/>
    <w:rsid w:val="61F17B3D"/>
    <w:rsid w:val="627F567C"/>
    <w:rsid w:val="629F59B9"/>
    <w:rsid w:val="63373478"/>
    <w:rsid w:val="63AB23D8"/>
    <w:rsid w:val="63BE2C0D"/>
    <w:rsid w:val="6444391B"/>
    <w:rsid w:val="646220E8"/>
    <w:rsid w:val="647104E1"/>
    <w:rsid w:val="6512628B"/>
    <w:rsid w:val="654E134E"/>
    <w:rsid w:val="660F6EB7"/>
    <w:rsid w:val="66736AF9"/>
    <w:rsid w:val="6691435A"/>
    <w:rsid w:val="669932BB"/>
    <w:rsid w:val="67A73937"/>
    <w:rsid w:val="68081A30"/>
    <w:rsid w:val="68C740D9"/>
    <w:rsid w:val="6971264D"/>
    <w:rsid w:val="698D5C99"/>
    <w:rsid w:val="69981720"/>
    <w:rsid w:val="69EC117A"/>
    <w:rsid w:val="6A355668"/>
    <w:rsid w:val="6A8B72B1"/>
    <w:rsid w:val="6CC40DC2"/>
    <w:rsid w:val="6CDD75C2"/>
    <w:rsid w:val="6D0800A3"/>
    <w:rsid w:val="6DE0580A"/>
    <w:rsid w:val="6EFF1143"/>
    <w:rsid w:val="6F336B55"/>
    <w:rsid w:val="6F9361E4"/>
    <w:rsid w:val="6FFB2B0C"/>
    <w:rsid w:val="702F0914"/>
    <w:rsid w:val="70703D9D"/>
    <w:rsid w:val="70816966"/>
    <w:rsid w:val="71724535"/>
    <w:rsid w:val="725D150E"/>
    <w:rsid w:val="730C3FA2"/>
    <w:rsid w:val="731379AA"/>
    <w:rsid w:val="7390575B"/>
    <w:rsid w:val="73F92E57"/>
    <w:rsid w:val="7402734E"/>
    <w:rsid w:val="740A06A3"/>
    <w:rsid w:val="74AF1770"/>
    <w:rsid w:val="751F1706"/>
    <w:rsid w:val="7588655B"/>
    <w:rsid w:val="75960AA8"/>
    <w:rsid w:val="75973097"/>
    <w:rsid w:val="759A4ABC"/>
    <w:rsid w:val="75C51CF0"/>
    <w:rsid w:val="75C678D2"/>
    <w:rsid w:val="75DF7B03"/>
    <w:rsid w:val="75EF43A6"/>
    <w:rsid w:val="75FA6BBF"/>
    <w:rsid w:val="760425B9"/>
    <w:rsid w:val="76665A42"/>
    <w:rsid w:val="768A2453"/>
    <w:rsid w:val="76BF02E8"/>
    <w:rsid w:val="76E8560A"/>
    <w:rsid w:val="77B24C06"/>
    <w:rsid w:val="77B42C66"/>
    <w:rsid w:val="781738C5"/>
    <w:rsid w:val="786374C9"/>
    <w:rsid w:val="78BF6ACB"/>
    <w:rsid w:val="79ED6E1F"/>
    <w:rsid w:val="7B570CAD"/>
    <w:rsid w:val="7B611DF6"/>
    <w:rsid w:val="7CB50C59"/>
    <w:rsid w:val="7CC80E91"/>
    <w:rsid w:val="7CF45B2F"/>
    <w:rsid w:val="7D4018E6"/>
    <w:rsid w:val="7E1228F3"/>
    <w:rsid w:val="7E18537B"/>
    <w:rsid w:val="7E347E5C"/>
    <w:rsid w:val="7E5F4BB7"/>
    <w:rsid w:val="7E9B139C"/>
    <w:rsid w:val="7F370D0F"/>
    <w:rsid w:val="7F603ED3"/>
    <w:rsid w:val="7FC363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340" w:after="330" w:line="578" w:lineRule="auto"/>
      <w:outlineLvl w:val="0"/>
    </w:pPr>
    <w:rPr>
      <w:rFonts w:ascii="宋体" w:hAnsi="Times New Roman"/>
      <w:b/>
      <w:color w:val="000000"/>
      <w:kern w:val="44"/>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rPr>
      <w:kern w:val="0"/>
      <w:sz w:val="20"/>
    </w:rPr>
  </w:style>
  <w:style w:type="paragraph" w:styleId="4">
    <w:name w:val="Body Text Indent"/>
    <w:basedOn w:val="1"/>
    <w:next w:val="5"/>
    <w:qFormat/>
    <w:uiPriority w:val="0"/>
    <w:pPr>
      <w:ind w:firstLine="645"/>
    </w:pPr>
    <w:rPr>
      <w:kern w:val="0"/>
      <w:sz w:val="20"/>
    </w:rPr>
  </w:style>
  <w:style w:type="paragraph" w:styleId="5">
    <w:name w:val="envelope return"/>
    <w:basedOn w:val="1"/>
    <w:qFormat/>
    <w:uiPriority w:val="0"/>
    <w:pPr>
      <w:snapToGrid w:val="0"/>
      <w:spacing w:line="240" w:lineRule="atLeast"/>
    </w:pPr>
    <w:rPr>
      <w:rFonts w:ascii="Arial" w:hAnsi="Arial" w:cs="Arial"/>
      <w:szCs w:val="21"/>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jc w:val="center"/>
    </w:pPr>
    <w:rPr>
      <w:sz w:val="30"/>
    </w:rPr>
  </w:style>
  <w:style w:type="paragraph" w:styleId="9">
    <w:name w:val="Body Text First Indent 2"/>
    <w:basedOn w:val="4"/>
    <w:next w:val="1"/>
    <w:unhideWhenUsed/>
    <w:qFormat/>
    <w:uiPriority w:val="99"/>
    <w:pPr>
      <w:spacing w:after="120"/>
      <w:ind w:left="420" w:leftChars="200" w:firstLine="420" w:firstLineChars="200"/>
    </w:pPr>
    <w:rPr>
      <w:sz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0"/>
    <w:rPr>
      <w:color w:val="0000FF"/>
      <w:u w:val="single"/>
    </w:rPr>
  </w:style>
  <w:style w:type="paragraph" w:customStyle="1" w:styleId="14">
    <w:name w:val="首行缩进"/>
    <w:basedOn w:val="15"/>
    <w:qFormat/>
    <w:uiPriority w:val="0"/>
    <w:pPr>
      <w:spacing w:line="360" w:lineRule="auto"/>
      <w:ind w:firstLine="480" w:firstLineChars="200"/>
      <w:jc w:val="left"/>
    </w:pPr>
    <w:rPr>
      <w:rFonts w:ascii="宋体" w:hAnsi="宋体"/>
      <w:sz w:val="24"/>
    </w:rPr>
  </w:style>
  <w:style w:type="paragraph" w:customStyle="1" w:styleId="15">
    <w:name w:val="正文1"/>
    <w:next w:val="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缩进1"/>
    <w:basedOn w:val="1"/>
    <w:qFormat/>
    <w:uiPriority w:val="0"/>
    <w:pPr>
      <w:ind w:firstLine="420"/>
    </w:pPr>
    <w:rPr>
      <w:szCs w:val="20"/>
      <w:lang w:val="en-US"/>
    </w:rPr>
  </w:style>
  <w:style w:type="character" w:customStyle="1" w:styleId="17">
    <w:name w:val="页脚 Char"/>
    <w:link w:val="6"/>
    <w:qFormat/>
    <w:uiPriority w:val="0"/>
    <w:rPr>
      <w:rFonts w:ascii="Calibri" w:hAnsi="Calibri"/>
      <w:kern w:val="2"/>
      <w:sz w:val="18"/>
      <w:szCs w:val="18"/>
    </w:rPr>
  </w:style>
  <w:style w:type="character" w:customStyle="1" w:styleId="18">
    <w:name w:val="页眉 Char"/>
    <w:link w:val="7"/>
    <w:qFormat/>
    <w:uiPriority w:val="0"/>
    <w:rPr>
      <w:rFonts w:ascii="Calibri" w:hAnsi="Calibri"/>
      <w:kern w:val="2"/>
      <w:sz w:val="18"/>
      <w:szCs w:val="18"/>
    </w:rPr>
  </w:style>
  <w:style w:type="paragraph" w:styleId="19">
    <w:name w:val="List Paragraph"/>
    <w:basedOn w:val="1"/>
    <w:qFormat/>
    <w:uiPriority w:val="34"/>
    <w:pPr>
      <w:ind w:firstLine="420" w:firstLineChars="200"/>
    </w:p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41"/>
    <w:basedOn w:val="12"/>
    <w:qFormat/>
    <w:uiPriority w:val="0"/>
    <w:rPr>
      <w:rFonts w:hint="eastAsia" w:ascii="宋体" w:hAnsi="宋体" w:eastAsia="宋体" w:cs="宋体"/>
      <w:color w:val="000000"/>
      <w:sz w:val="24"/>
      <w:szCs w:val="24"/>
      <w:u w:val="none"/>
    </w:rPr>
  </w:style>
  <w:style w:type="character" w:customStyle="1" w:styleId="22">
    <w:name w:val="font31"/>
    <w:basedOn w:val="12"/>
    <w:qFormat/>
    <w:uiPriority w:val="0"/>
    <w:rPr>
      <w:rFonts w:ascii="宋体" w:hAnsi="宋体" w:eastAsia="宋体" w:cs="宋体"/>
      <w:color w:val="000000"/>
      <w:sz w:val="24"/>
      <w:szCs w:val="24"/>
      <w:u w:val="none"/>
    </w:rPr>
  </w:style>
  <w:style w:type="paragraph" w:customStyle="1" w:styleId="23">
    <w:name w:val="(标书)正文 Char Char"/>
    <w:basedOn w:val="1"/>
    <w:qFormat/>
    <w:uiPriority w:val="0"/>
    <w:pPr>
      <w:spacing w:line="380" w:lineRule="exact"/>
      <w:ind w:firstLine="522"/>
    </w:pPr>
    <w:rPr>
      <w:rFonts w:ascii="宋体" w:hAnsi="宋体"/>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Company>
  <Pages>9</Pages>
  <Words>3255</Words>
  <Characters>3366</Characters>
  <Lines>22</Lines>
  <Paragraphs>6</Paragraphs>
  <TotalTime>4</TotalTime>
  <ScaleCrop>false</ScaleCrop>
  <LinksUpToDate>false</LinksUpToDate>
  <CharactersWithSpaces>3382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2022-05-23T09:43:00Z</dcterms:created>
  <dc:creator>LY</dc:creator>
  <cp:lastModifiedBy>7月的天使</cp:lastModifiedBy>
  <cp:lastPrinted>2022-05-24T09:50:00Z</cp:lastPrinted>
  <dcterms:modified xsi:type="dcterms:W3CDTF">2026-03-16T07:22:07Z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FBDAEA3E388E4525BB94DAD4C8BEF7A8_13</vt:lpwstr>
  </property>
  <property fmtid="{D5CDD505-2E9C-101B-9397-08002B2CF9AE}" pid="4" name="KSOTemplateDocerSaveRecord">
    <vt:lpwstr>eyJoZGlkIjoiNjBlZWFmZDE2NzI5MDViMDA1N2U1MTQ5YzM1NmU1ZDEiLCJ1c2VySWQiOiIxMjU3MDQ0NjczIn0=</vt:lpwstr>
  </property>
</Properties>
</file>