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E0D5D6">
      <w:pPr>
        <w:tabs>
          <w:tab w:val="left" w:pos="390"/>
          <w:tab w:val="center" w:pos="4404"/>
        </w:tabs>
        <w:spacing w:line="360" w:lineRule="auto"/>
        <w:jc w:val="center"/>
        <w:rPr>
          <w:rFonts w:ascii="仿宋" w:hAnsi="仿宋" w:eastAsia="仿宋" w:cs="仿宋"/>
          <w:b/>
          <w:color w:val="000000"/>
          <w:sz w:val="72"/>
          <w:szCs w:val="72"/>
        </w:rPr>
      </w:pPr>
    </w:p>
    <w:p w14:paraId="659219C9">
      <w:pPr>
        <w:tabs>
          <w:tab w:val="left" w:pos="390"/>
          <w:tab w:val="center" w:pos="4404"/>
        </w:tabs>
        <w:spacing w:line="360" w:lineRule="auto"/>
        <w:jc w:val="center"/>
        <w:rPr>
          <w:rFonts w:ascii="仿宋" w:hAnsi="仿宋" w:eastAsia="仿宋" w:cs="仿宋"/>
          <w:b/>
          <w:color w:val="000000"/>
          <w:sz w:val="72"/>
          <w:szCs w:val="72"/>
        </w:rPr>
      </w:pPr>
    </w:p>
    <w:p w14:paraId="70DE748D">
      <w:pPr>
        <w:tabs>
          <w:tab w:val="left" w:pos="390"/>
          <w:tab w:val="center" w:pos="4404"/>
        </w:tabs>
        <w:spacing w:line="360" w:lineRule="auto"/>
        <w:jc w:val="center"/>
        <w:rPr>
          <w:rFonts w:ascii="仿宋" w:hAnsi="仿宋" w:eastAsia="仿宋" w:cs="仿宋"/>
          <w:b/>
          <w:color w:val="000000"/>
          <w:sz w:val="72"/>
          <w:szCs w:val="72"/>
        </w:rPr>
      </w:pPr>
      <w:r>
        <w:rPr>
          <w:rFonts w:hint="eastAsia" w:ascii="仿宋" w:hAnsi="仿宋" w:eastAsia="仿宋" w:cs="仿宋"/>
          <w:b/>
          <w:color w:val="000000"/>
          <w:sz w:val="72"/>
          <w:szCs w:val="72"/>
        </w:rPr>
        <w:t>竞争性磋商文件</w:t>
      </w:r>
    </w:p>
    <w:p w14:paraId="6DD908CD">
      <w:pPr>
        <w:spacing w:line="360" w:lineRule="auto"/>
        <w:rPr>
          <w:rFonts w:ascii="仿宋" w:hAnsi="仿宋" w:eastAsia="仿宋" w:cs="仿宋"/>
          <w:color w:val="000000"/>
          <w:sz w:val="44"/>
          <w:szCs w:val="44"/>
        </w:rPr>
      </w:pPr>
    </w:p>
    <w:p w14:paraId="5C5F0751">
      <w:pPr>
        <w:spacing w:line="360" w:lineRule="auto"/>
        <w:jc w:val="left"/>
        <w:rPr>
          <w:rFonts w:ascii="仿宋" w:hAnsi="仿宋" w:eastAsia="仿宋" w:cs="仿宋"/>
          <w:color w:val="000000"/>
          <w:sz w:val="44"/>
          <w:szCs w:val="44"/>
        </w:rPr>
      </w:pPr>
    </w:p>
    <w:p w14:paraId="72E9FCB1">
      <w:pPr>
        <w:spacing w:line="360" w:lineRule="auto"/>
        <w:jc w:val="left"/>
        <w:rPr>
          <w:rFonts w:ascii="仿宋" w:hAnsi="仿宋" w:eastAsia="仿宋" w:cs="仿宋"/>
          <w:color w:val="000000"/>
          <w:sz w:val="48"/>
          <w:szCs w:val="48"/>
        </w:rPr>
      </w:pPr>
    </w:p>
    <w:p w14:paraId="19236C66">
      <w:pPr>
        <w:spacing w:line="360" w:lineRule="auto"/>
        <w:jc w:val="left"/>
        <w:rPr>
          <w:rFonts w:ascii="仿宋" w:hAnsi="仿宋" w:eastAsia="仿宋" w:cs="仿宋"/>
          <w:color w:val="000000"/>
          <w:sz w:val="36"/>
          <w:szCs w:val="36"/>
        </w:rPr>
      </w:pPr>
    </w:p>
    <w:p w14:paraId="79257EAC">
      <w:pPr>
        <w:pStyle w:val="199"/>
        <w:rPr>
          <w:rFonts w:ascii="仿宋" w:hAnsi="仿宋" w:eastAsia="仿宋" w:cs="仿宋"/>
        </w:rPr>
      </w:pPr>
    </w:p>
    <w:p w14:paraId="2CFBC2DF">
      <w:pPr>
        <w:spacing w:line="360" w:lineRule="auto"/>
        <w:ind w:leftChars="700"/>
        <w:jc w:val="left"/>
        <w:rPr>
          <w:rFonts w:ascii="仿宋" w:hAnsi="仿宋" w:eastAsia="仿宋" w:cs="仿宋"/>
          <w:color w:val="000000"/>
          <w:sz w:val="36"/>
          <w:szCs w:val="36"/>
        </w:rPr>
      </w:pPr>
      <w:r>
        <w:rPr>
          <w:rFonts w:hint="eastAsia" w:ascii="仿宋" w:hAnsi="仿宋" w:eastAsia="仿宋" w:cs="仿宋"/>
          <w:color w:val="000000"/>
          <w:sz w:val="36"/>
          <w:szCs w:val="36"/>
        </w:rPr>
        <w:t>项目编号：JSZZ-CS-2026001</w:t>
      </w:r>
    </w:p>
    <w:p w14:paraId="1D32DD9F">
      <w:pPr>
        <w:pStyle w:val="199"/>
        <w:ind w:leftChars="700"/>
        <w:rPr>
          <w:rFonts w:ascii="仿宋" w:hAnsi="仿宋" w:eastAsia="仿宋" w:cs="仿宋"/>
        </w:rPr>
      </w:pPr>
      <w:r>
        <w:rPr>
          <w:rFonts w:hint="eastAsia" w:ascii="仿宋" w:hAnsi="仿宋" w:eastAsia="仿宋" w:cs="仿宋"/>
          <w:color w:val="000000"/>
          <w:sz w:val="36"/>
          <w:szCs w:val="36"/>
        </w:rPr>
        <w:t>项目名称：顶山街道环境检测服务项目</w:t>
      </w:r>
    </w:p>
    <w:p w14:paraId="000088DD">
      <w:pPr>
        <w:pStyle w:val="199"/>
        <w:ind w:leftChars="700"/>
        <w:rPr>
          <w:rFonts w:ascii="仿宋" w:hAnsi="仿宋" w:eastAsia="仿宋" w:cs="仿宋"/>
        </w:rPr>
      </w:pPr>
    </w:p>
    <w:p w14:paraId="3F10E973">
      <w:pPr>
        <w:pStyle w:val="199"/>
        <w:ind w:leftChars="700"/>
        <w:rPr>
          <w:rFonts w:ascii="仿宋" w:hAnsi="仿宋" w:eastAsia="仿宋" w:cs="仿宋"/>
        </w:rPr>
      </w:pPr>
    </w:p>
    <w:p w14:paraId="082D087E">
      <w:pPr>
        <w:spacing w:line="360" w:lineRule="auto"/>
        <w:ind w:leftChars="700"/>
        <w:jc w:val="left"/>
        <w:rPr>
          <w:rFonts w:hint="eastAsia" w:ascii="仿宋" w:hAnsi="仿宋" w:eastAsia="仿宋" w:cs="仿宋"/>
          <w:color w:val="000000"/>
          <w:sz w:val="36"/>
          <w:szCs w:val="36"/>
        </w:rPr>
      </w:pPr>
    </w:p>
    <w:p w14:paraId="3E0E2E22">
      <w:pPr>
        <w:spacing w:line="360" w:lineRule="auto"/>
        <w:ind w:leftChars="700"/>
        <w:jc w:val="left"/>
        <w:rPr>
          <w:rFonts w:hint="eastAsia" w:ascii="仿宋" w:hAnsi="仿宋" w:eastAsia="仿宋" w:cs="仿宋"/>
          <w:color w:val="000000"/>
          <w:sz w:val="36"/>
          <w:szCs w:val="36"/>
        </w:rPr>
      </w:pPr>
    </w:p>
    <w:p w14:paraId="6D7D1F44">
      <w:pPr>
        <w:spacing w:line="360" w:lineRule="auto"/>
        <w:ind w:leftChars="700"/>
        <w:jc w:val="left"/>
        <w:rPr>
          <w:rFonts w:hint="eastAsia" w:ascii="仿宋" w:hAnsi="仿宋" w:eastAsia="仿宋" w:cs="仿宋"/>
          <w:color w:val="000000"/>
          <w:sz w:val="36"/>
          <w:szCs w:val="36"/>
        </w:rPr>
      </w:pPr>
    </w:p>
    <w:p w14:paraId="48E2BF11">
      <w:pPr>
        <w:spacing w:line="360" w:lineRule="auto"/>
        <w:ind w:leftChars="700"/>
        <w:jc w:val="left"/>
        <w:rPr>
          <w:rFonts w:hint="eastAsia" w:ascii="仿宋" w:hAnsi="仿宋" w:eastAsia="仿宋" w:cs="仿宋"/>
          <w:color w:val="000000"/>
          <w:sz w:val="36"/>
          <w:szCs w:val="36"/>
        </w:rPr>
      </w:pPr>
    </w:p>
    <w:p w14:paraId="5F178B53">
      <w:pPr>
        <w:spacing w:line="360" w:lineRule="auto"/>
        <w:ind w:leftChars="700"/>
        <w:jc w:val="left"/>
        <w:rPr>
          <w:rFonts w:hint="eastAsia" w:ascii="仿宋" w:hAnsi="仿宋" w:eastAsia="仿宋" w:cs="仿宋"/>
          <w:color w:val="000000"/>
          <w:sz w:val="36"/>
          <w:szCs w:val="36"/>
        </w:rPr>
      </w:pPr>
    </w:p>
    <w:p w14:paraId="6482C1ED">
      <w:pPr>
        <w:spacing w:line="360" w:lineRule="auto"/>
        <w:ind w:leftChars="700"/>
        <w:jc w:val="left"/>
        <w:rPr>
          <w:rFonts w:ascii="仿宋" w:hAnsi="仿宋" w:eastAsia="仿宋" w:cs="仿宋"/>
          <w:color w:val="000000"/>
          <w:sz w:val="36"/>
          <w:szCs w:val="36"/>
        </w:rPr>
      </w:pPr>
      <w:r>
        <w:rPr>
          <w:rFonts w:hint="eastAsia" w:ascii="仿宋" w:hAnsi="仿宋" w:eastAsia="仿宋" w:cs="仿宋"/>
          <w:color w:val="000000"/>
          <w:sz w:val="36"/>
          <w:szCs w:val="36"/>
        </w:rPr>
        <w:t>采 购 人:南京市浦口区人民政府顶山街道办事处</w:t>
      </w:r>
    </w:p>
    <w:p w14:paraId="0A686E76">
      <w:pPr>
        <w:spacing w:line="360" w:lineRule="auto"/>
        <w:ind w:leftChars="700"/>
        <w:jc w:val="left"/>
        <w:rPr>
          <w:rFonts w:ascii="仿宋" w:hAnsi="仿宋" w:eastAsia="仿宋" w:cs="仿宋"/>
          <w:color w:val="000000"/>
          <w:sz w:val="36"/>
          <w:szCs w:val="36"/>
        </w:rPr>
      </w:pPr>
      <w:r>
        <w:rPr>
          <w:rFonts w:hint="eastAsia" w:ascii="仿宋" w:hAnsi="仿宋" w:eastAsia="仿宋" w:cs="仿宋"/>
          <w:color w:val="000000"/>
          <w:sz w:val="36"/>
          <w:szCs w:val="36"/>
        </w:rPr>
        <w:t xml:space="preserve">代理单位:江苏中正智汇工程咨询有限公司 </w:t>
      </w:r>
    </w:p>
    <w:p w14:paraId="1E84CD7F">
      <w:pPr>
        <w:spacing w:line="360" w:lineRule="auto"/>
        <w:ind w:leftChars="700"/>
        <w:jc w:val="left"/>
        <w:rPr>
          <w:rFonts w:ascii="仿宋" w:hAnsi="仿宋" w:eastAsia="仿宋" w:cs="仿宋"/>
          <w:color w:val="000000"/>
          <w:sz w:val="36"/>
          <w:szCs w:val="36"/>
        </w:rPr>
      </w:pPr>
      <w:r>
        <w:rPr>
          <w:rFonts w:hint="eastAsia" w:ascii="仿宋" w:hAnsi="仿宋" w:eastAsia="仿宋" w:cs="仿宋"/>
          <w:color w:val="000000"/>
          <w:sz w:val="36"/>
          <w:szCs w:val="36"/>
        </w:rPr>
        <w:t>日    期:二〇二六年一月</w:t>
      </w:r>
    </w:p>
    <w:p w14:paraId="0EE1257B">
      <w:pPr>
        <w:jc w:val="center"/>
        <w:rPr>
          <w:rFonts w:ascii="仿宋" w:hAnsi="仿宋" w:eastAsia="仿宋" w:cs="仿宋"/>
          <w:b/>
          <w:color w:val="000000"/>
          <w:sz w:val="52"/>
          <w:szCs w:val="52"/>
          <w:lang w:val="zh-CN"/>
        </w:rPr>
        <w:sectPr>
          <w:pgSz w:w="11906" w:h="16838"/>
          <w:pgMar w:top="1440" w:right="1080" w:bottom="1440" w:left="1080" w:header="851" w:footer="992" w:gutter="0"/>
          <w:cols w:space="425" w:num="1"/>
          <w:docGrid w:type="lines" w:linePitch="312" w:charSpace="0"/>
        </w:sectPr>
      </w:pPr>
    </w:p>
    <w:p w14:paraId="7895206D">
      <w:pPr>
        <w:jc w:val="center"/>
        <w:rPr>
          <w:rFonts w:ascii="仿宋" w:hAnsi="仿宋" w:eastAsia="仿宋" w:cs="仿宋"/>
          <w:b/>
          <w:color w:val="000000"/>
          <w:sz w:val="52"/>
          <w:szCs w:val="52"/>
          <w:lang w:val="zh-CN"/>
        </w:rPr>
      </w:pPr>
      <w:r>
        <w:rPr>
          <w:rFonts w:hint="eastAsia" w:ascii="仿宋" w:hAnsi="仿宋" w:eastAsia="仿宋" w:cs="仿宋"/>
          <w:b/>
          <w:color w:val="000000"/>
          <w:sz w:val="52"/>
          <w:szCs w:val="52"/>
          <w:lang w:val="zh-CN"/>
        </w:rPr>
        <w:t>目     录</w:t>
      </w:r>
    </w:p>
    <w:p w14:paraId="7FE1CCEB">
      <w:pPr>
        <w:pStyle w:val="24"/>
        <w:tabs>
          <w:tab w:val="right" w:leader="dot" w:pos="9060"/>
        </w:tabs>
        <w:rPr>
          <w:rFonts w:ascii="仿宋" w:hAnsi="仿宋" w:eastAsia="仿宋" w:cs="仿宋"/>
          <w:color w:val="000000"/>
          <w:sz w:val="24"/>
          <w:szCs w:val="24"/>
        </w:rPr>
      </w:pPr>
    </w:p>
    <w:p w14:paraId="58E17115">
      <w:pPr>
        <w:pStyle w:val="24"/>
        <w:tabs>
          <w:tab w:val="right" w:leader="dot" w:pos="8306"/>
        </w:tabs>
        <w:spacing w:line="360" w:lineRule="auto"/>
        <w:ind w:leftChars="100"/>
        <w:rPr>
          <w:sz w:val="24"/>
          <w:szCs w:val="24"/>
        </w:rPr>
      </w:pPr>
      <w:r>
        <w:rPr>
          <w:rFonts w:hint="eastAsia" w:ascii="仿宋" w:hAnsi="仿宋" w:eastAsia="仿宋" w:cs="仿宋"/>
          <w:color w:val="000000"/>
          <w:sz w:val="28"/>
          <w:szCs w:val="28"/>
        </w:rPr>
        <w:fldChar w:fldCharType="begin"/>
      </w:r>
      <w:r>
        <w:rPr>
          <w:rFonts w:hint="eastAsia" w:ascii="仿宋" w:hAnsi="仿宋" w:eastAsia="仿宋" w:cs="仿宋"/>
          <w:color w:val="000000"/>
          <w:sz w:val="28"/>
          <w:szCs w:val="28"/>
        </w:rPr>
        <w:instrText xml:space="preserve"> TOC \o "1-3" \h \z \u </w:instrText>
      </w:r>
      <w:r>
        <w:rPr>
          <w:rFonts w:hint="eastAsia" w:ascii="仿宋" w:hAnsi="仿宋" w:eastAsia="仿宋" w:cs="仿宋"/>
          <w:color w:val="000000"/>
          <w:sz w:val="28"/>
          <w:szCs w:val="28"/>
        </w:rPr>
        <w:fldChar w:fldCharType="separate"/>
      </w:r>
      <w:r>
        <w:rPr>
          <w:sz w:val="21"/>
          <w:szCs w:val="21"/>
        </w:rPr>
        <w:fldChar w:fldCharType="begin"/>
      </w:r>
      <w:r>
        <w:rPr>
          <w:sz w:val="21"/>
          <w:szCs w:val="21"/>
        </w:rPr>
        <w:instrText xml:space="preserve"> HYPERLINK \l "_Toc3817" </w:instrText>
      </w:r>
      <w:r>
        <w:rPr>
          <w:sz w:val="21"/>
          <w:szCs w:val="21"/>
        </w:rPr>
        <w:fldChar w:fldCharType="separate"/>
      </w:r>
      <w:r>
        <w:rPr>
          <w:rFonts w:hint="eastAsia" w:ascii="仿宋" w:hAnsi="仿宋" w:eastAsia="仿宋" w:cs="仿宋"/>
          <w:bCs/>
          <w:sz w:val="24"/>
          <w:szCs w:val="44"/>
          <w:lang w:val="zh-CN"/>
        </w:rPr>
        <w:t>第一章</w:t>
      </w:r>
      <w:r>
        <w:rPr>
          <w:rFonts w:hint="eastAsia" w:ascii="仿宋" w:hAnsi="仿宋" w:eastAsia="仿宋" w:cs="仿宋"/>
          <w:bCs/>
          <w:sz w:val="24"/>
          <w:szCs w:val="44"/>
        </w:rPr>
        <w:t xml:space="preserve"> </w:t>
      </w:r>
      <w:r>
        <w:rPr>
          <w:rFonts w:hint="eastAsia" w:ascii="仿宋" w:hAnsi="仿宋" w:eastAsia="仿宋" w:cs="仿宋"/>
          <w:bCs/>
          <w:sz w:val="24"/>
          <w:szCs w:val="44"/>
          <w:lang w:val="zh-CN"/>
        </w:rPr>
        <w:t>竞争性磋商公告</w:t>
      </w:r>
      <w:r>
        <w:rPr>
          <w:sz w:val="24"/>
          <w:szCs w:val="24"/>
        </w:rPr>
        <w:tab/>
      </w:r>
      <w:r>
        <w:rPr>
          <w:sz w:val="24"/>
          <w:szCs w:val="24"/>
        </w:rPr>
        <w:fldChar w:fldCharType="begin"/>
      </w:r>
      <w:r>
        <w:rPr>
          <w:sz w:val="24"/>
          <w:szCs w:val="24"/>
        </w:rPr>
        <w:instrText xml:space="preserve"> PAGEREF _Toc3817 \h </w:instrText>
      </w:r>
      <w:r>
        <w:rPr>
          <w:sz w:val="24"/>
          <w:szCs w:val="24"/>
        </w:rPr>
        <w:fldChar w:fldCharType="separate"/>
      </w:r>
      <w:r>
        <w:rPr>
          <w:sz w:val="24"/>
          <w:szCs w:val="24"/>
        </w:rPr>
        <w:t>2</w:t>
      </w:r>
      <w:r>
        <w:rPr>
          <w:sz w:val="24"/>
          <w:szCs w:val="24"/>
        </w:rPr>
        <w:fldChar w:fldCharType="end"/>
      </w:r>
      <w:r>
        <w:rPr>
          <w:sz w:val="24"/>
          <w:szCs w:val="24"/>
        </w:rPr>
        <w:fldChar w:fldCharType="end"/>
      </w:r>
    </w:p>
    <w:p w14:paraId="55C09F3E">
      <w:pPr>
        <w:pStyle w:val="24"/>
        <w:tabs>
          <w:tab w:val="right" w:leader="dot" w:pos="8306"/>
        </w:tabs>
        <w:spacing w:line="360" w:lineRule="auto"/>
        <w:ind w:leftChars="100"/>
        <w:rPr>
          <w:sz w:val="24"/>
          <w:szCs w:val="24"/>
        </w:rPr>
      </w:pPr>
      <w:r>
        <w:rPr>
          <w:sz w:val="21"/>
          <w:szCs w:val="21"/>
        </w:rPr>
        <w:fldChar w:fldCharType="begin"/>
      </w:r>
      <w:r>
        <w:rPr>
          <w:sz w:val="21"/>
          <w:szCs w:val="21"/>
        </w:rPr>
        <w:instrText xml:space="preserve"> HYPERLINK \l "_Toc13505" </w:instrText>
      </w:r>
      <w:r>
        <w:rPr>
          <w:sz w:val="21"/>
          <w:szCs w:val="21"/>
        </w:rPr>
        <w:fldChar w:fldCharType="separate"/>
      </w:r>
      <w:r>
        <w:rPr>
          <w:rFonts w:hint="eastAsia" w:ascii="仿宋" w:hAnsi="仿宋" w:eastAsia="仿宋" w:cs="仿宋"/>
          <w:bCs/>
          <w:sz w:val="24"/>
          <w:szCs w:val="44"/>
          <w:lang w:val="zh-CN"/>
        </w:rPr>
        <w:t>第二章</w:t>
      </w:r>
      <w:r>
        <w:rPr>
          <w:rFonts w:hint="eastAsia" w:ascii="仿宋" w:hAnsi="仿宋" w:eastAsia="仿宋" w:cs="仿宋"/>
          <w:bCs/>
          <w:sz w:val="24"/>
          <w:szCs w:val="44"/>
        </w:rPr>
        <w:t xml:space="preserve"> </w:t>
      </w:r>
      <w:r>
        <w:rPr>
          <w:rFonts w:hint="eastAsia" w:ascii="仿宋" w:hAnsi="仿宋" w:eastAsia="仿宋" w:cs="仿宋"/>
          <w:bCs/>
          <w:sz w:val="24"/>
          <w:szCs w:val="44"/>
          <w:lang w:val="zh-CN"/>
        </w:rPr>
        <w:t>竞争性磋商须知</w:t>
      </w:r>
      <w:r>
        <w:rPr>
          <w:sz w:val="24"/>
          <w:szCs w:val="24"/>
        </w:rPr>
        <w:tab/>
      </w:r>
      <w:r>
        <w:rPr>
          <w:sz w:val="24"/>
          <w:szCs w:val="24"/>
        </w:rPr>
        <w:fldChar w:fldCharType="begin"/>
      </w:r>
      <w:r>
        <w:rPr>
          <w:sz w:val="24"/>
          <w:szCs w:val="24"/>
        </w:rPr>
        <w:instrText xml:space="preserve"> PAGEREF _Toc13505 \h </w:instrText>
      </w:r>
      <w:r>
        <w:rPr>
          <w:sz w:val="24"/>
          <w:szCs w:val="24"/>
        </w:rPr>
        <w:fldChar w:fldCharType="separate"/>
      </w:r>
      <w:r>
        <w:rPr>
          <w:sz w:val="24"/>
          <w:szCs w:val="24"/>
        </w:rPr>
        <w:t>6</w:t>
      </w:r>
      <w:r>
        <w:rPr>
          <w:sz w:val="24"/>
          <w:szCs w:val="24"/>
        </w:rPr>
        <w:fldChar w:fldCharType="end"/>
      </w:r>
      <w:r>
        <w:rPr>
          <w:sz w:val="24"/>
          <w:szCs w:val="24"/>
        </w:rPr>
        <w:fldChar w:fldCharType="end"/>
      </w:r>
    </w:p>
    <w:p w14:paraId="67FBAF68">
      <w:pPr>
        <w:pStyle w:val="24"/>
        <w:tabs>
          <w:tab w:val="right" w:leader="dot" w:pos="8306"/>
        </w:tabs>
        <w:spacing w:line="360" w:lineRule="auto"/>
        <w:ind w:leftChars="100"/>
        <w:rPr>
          <w:sz w:val="24"/>
          <w:szCs w:val="24"/>
        </w:rPr>
      </w:pPr>
      <w:r>
        <w:rPr>
          <w:sz w:val="21"/>
          <w:szCs w:val="21"/>
        </w:rPr>
        <w:fldChar w:fldCharType="begin"/>
      </w:r>
      <w:r>
        <w:rPr>
          <w:sz w:val="21"/>
          <w:szCs w:val="21"/>
        </w:rPr>
        <w:instrText xml:space="preserve"> HYPERLINK \l "_Toc16885" </w:instrText>
      </w:r>
      <w:r>
        <w:rPr>
          <w:sz w:val="21"/>
          <w:szCs w:val="21"/>
        </w:rPr>
        <w:fldChar w:fldCharType="separate"/>
      </w:r>
      <w:r>
        <w:rPr>
          <w:rFonts w:hint="eastAsia" w:ascii="仿宋" w:hAnsi="仿宋" w:eastAsia="仿宋" w:cs="仿宋"/>
          <w:bCs/>
          <w:sz w:val="24"/>
          <w:szCs w:val="44"/>
          <w:lang w:val="zh-CN"/>
        </w:rPr>
        <w:t>第三章 成交标准</w:t>
      </w:r>
      <w:r>
        <w:rPr>
          <w:sz w:val="24"/>
          <w:szCs w:val="24"/>
        </w:rPr>
        <w:tab/>
      </w:r>
      <w:r>
        <w:rPr>
          <w:sz w:val="24"/>
          <w:szCs w:val="24"/>
        </w:rPr>
        <w:fldChar w:fldCharType="begin"/>
      </w:r>
      <w:r>
        <w:rPr>
          <w:sz w:val="24"/>
          <w:szCs w:val="24"/>
        </w:rPr>
        <w:instrText xml:space="preserve"> PAGEREF _Toc16885 \h </w:instrText>
      </w:r>
      <w:r>
        <w:rPr>
          <w:sz w:val="24"/>
          <w:szCs w:val="24"/>
        </w:rPr>
        <w:fldChar w:fldCharType="separate"/>
      </w:r>
      <w:r>
        <w:rPr>
          <w:sz w:val="24"/>
          <w:szCs w:val="24"/>
        </w:rPr>
        <w:t>14</w:t>
      </w:r>
      <w:r>
        <w:rPr>
          <w:sz w:val="24"/>
          <w:szCs w:val="24"/>
        </w:rPr>
        <w:fldChar w:fldCharType="end"/>
      </w:r>
      <w:r>
        <w:rPr>
          <w:sz w:val="24"/>
          <w:szCs w:val="24"/>
        </w:rPr>
        <w:fldChar w:fldCharType="end"/>
      </w:r>
    </w:p>
    <w:p w14:paraId="490ACE61">
      <w:pPr>
        <w:pStyle w:val="24"/>
        <w:tabs>
          <w:tab w:val="right" w:leader="dot" w:pos="8306"/>
        </w:tabs>
        <w:spacing w:line="360" w:lineRule="auto"/>
        <w:ind w:leftChars="100"/>
        <w:rPr>
          <w:sz w:val="24"/>
          <w:szCs w:val="24"/>
        </w:rPr>
      </w:pPr>
      <w:r>
        <w:rPr>
          <w:sz w:val="21"/>
          <w:szCs w:val="21"/>
        </w:rPr>
        <w:fldChar w:fldCharType="begin"/>
      </w:r>
      <w:r>
        <w:rPr>
          <w:sz w:val="21"/>
          <w:szCs w:val="21"/>
        </w:rPr>
        <w:instrText xml:space="preserve"> HYPERLINK \l "_Toc16251" </w:instrText>
      </w:r>
      <w:r>
        <w:rPr>
          <w:sz w:val="21"/>
          <w:szCs w:val="21"/>
        </w:rPr>
        <w:fldChar w:fldCharType="separate"/>
      </w:r>
      <w:r>
        <w:rPr>
          <w:rFonts w:hint="eastAsia" w:ascii="仿宋" w:hAnsi="仿宋" w:eastAsia="仿宋" w:cs="仿宋"/>
          <w:bCs/>
          <w:sz w:val="24"/>
          <w:szCs w:val="40"/>
          <w:lang w:val="zh-CN"/>
        </w:rPr>
        <w:t>第四章 采购项目需求</w:t>
      </w:r>
      <w:r>
        <w:rPr>
          <w:sz w:val="24"/>
          <w:szCs w:val="24"/>
        </w:rPr>
        <w:tab/>
      </w:r>
      <w:r>
        <w:rPr>
          <w:sz w:val="24"/>
          <w:szCs w:val="24"/>
        </w:rPr>
        <w:fldChar w:fldCharType="begin"/>
      </w:r>
      <w:r>
        <w:rPr>
          <w:sz w:val="24"/>
          <w:szCs w:val="24"/>
        </w:rPr>
        <w:instrText xml:space="preserve"> PAGEREF _Toc16251 \h </w:instrText>
      </w:r>
      <w:r>
        <w:rPr>
          <w:sz w:val="24"/>
          <w:szCs w:val="24"/>
        </w:rPr>
        <w:fldChar w:fldCharType="separate"/>
      </w:r>
      <w:r>
        <w:rPr>
          <w:sz w:val="24"/>
          <w:szCs w:val="24"/>
        </w:rPr>
        <w:t>18</w:t>
      </w:r>
      <w:r>
        <w:rPr>
          <w:sz w:val="24"/>
          <w:szCs w:val="24"/>
        </w:rPr>
        <w:fldChar w:fldCharType="end"/>
      </w:r>
      <w:r>
        <w:rPr>
          <w:sz w:val="24"/>
          <w:szCs w:val="24"/>
        </w:rPr>
        <w:fldChar w:fldCharType="end"/>
      </w:r>
    </w:p>
    <w:p w14:paraId="3B9FE28E">
      <w:pPr>
        <w:pStyle w:val="24"/>
        <w:tabs>
          <w:tab w:val="right" w:leader="dot" w:pos="8306"/>
        </w:tabs>
        <w:spacing w:line="360" w:lineRule="auto"/>
        <w:ind w:leftChars="100"/>
        <w:rPr>
          <w:sz w:val="24"/>
          <w:szCs w:val="24"/>
        </w:rPr>
      </w:pPr>
      <w:r>
        <w:rPr>
          <w:sz w:val="21"/>
          <w:szCs w:val="21"/>
        </w:rPr>
        <w:fldChar w:fldCharType="begin"/>
      </w:r>
      <w:r>
        <w:rPr>
          <w:sz w:val="21"/>
          <w:szCs w:val="21"/>
        </w:rPr>
        <w:instrText xml:space="preserve"> HYPERLINK \l "_Toc30440" </w:instrText>
      </w:r>
      <w:r>
        <w:rPr>
          <w:sz w:val="21"/>
          <w:szCs w:val="21"/>
        </w:rPr>
        <w:fldChar w:fldCharType="separate"/>
      </w:r>
      <w:r>
        <w:rPr>
          <w:rFonts w:hint="eastAsia" w:ascii="仿宋" w:hAnsi="仿宋" w:eastAsia="仿宋" w:cs="仿宋"/>
          <w:bCs/>
          <w:sz w:val="24"/>
          <w:szCs w:val="44"/>
          <w:lang w:val="zh-CN"/>
        </w:rPr>
        <w:t>第五章</w:t>
      </w:r>
      <w:r>
        <w:rPr>
          <w:rFonts w:hint="eastAsia" w:ascii="仿宋" w:hAnsi="仿宋" w:eastAsia="仿宋" w:cs="仿宋"/>
          <w:bCs/>
          <w:sz w:val="24"/>
          <w:szCs w:val="44"/>
        </w:rPr>
        <w:t xml:space="preserve"> </w:t>
      </w:r>
      <w:r>
        <w:rPr>
          <w:rFonts w:hint="eastAsia" w:ascii="仿宋" w:hAnsi="仿宋" w:eastAsia="仿宋" w:cs="仿宋"/>
          <w:bCs/>
          <w:sz w:val="24"/>
          <w:szCs w:val="44"/>
          <w:lang w:val="zh-CN"/>
        </w:rPr>
        <w:t>合同条款</w:t>
      </w:r>
      <w:r>
        <w:rPr>
          <w:sz w:val="24"/>
          <w:szCs w:val="24"/>
        </w:rPr>
        <w:tab/>
      </w:r>
      <w:r>
        <w:rPr>
          <w:sz w:val="24"/>
          <w:szCs w:val="24"/>
        </w:rPr>
        <w:fldChar w:fldCharType="begin"/>
      </w:r>
      <w:r>
        <w:rPr>
          <w:sz w:val="24"/>
          <w:szCs w:val="24"/>
        </w:rPr>
        <w:instrText xml:space="preserve"> PAGEREF _Toc30440 \h </w:instrText>
      </w:r>
      <w:r>
        <w:rPr>
          <w:sz w:val="24"/>
          <w:szCs w:val="24"/>
        </w:rPr>
        <w:fldChar w:fldCharType="separate"/>
      </w:r>
      <w:r>
        <w:rPr>
          <w:sz w:val="24"/>
          <w:szCs w:val="24"/>
        </w:rPr>
        <w:t>25</w:t>
      </w:r>
      <w:r>
        <w:rPr>
          <w:sz w:val="24"/>
          <w:szCs w:val="24"/>
        </w:rPr>
        <w:fldChar w:fldCharType="end"/>
      </w:r>
      <w:r>
        <w:rPr>
          <w:sz w:val="24"/>
          <w:szCs w:val="24"/>
        </w:rPr>
        <w:fldChar w:fldCharType="end"/>
      </w:r>
    </w:p>
    <w:p w14:paraId="40AFD86A">
      <w:pPr>
        <w:pStyle w:val="24"/>
        <w:tabs>
          <w:tab w:val="right" w:leader="dot" w:pos="8306"/>
        </w:tabs>
        <w:spacing w:line="360" w:lineRule="auto"/>
        <w:ind w:leftChars="100"/>
        <w:rPr>
          <w:sz w:val="21"/>
          <w:szCs w:val="21"/>
        </w:rPr>
      </w:pPr>
      <w:r>
        <w:rPr>
          <w:sz w:val="21"/>
          <w:szCs w:val="21"/>
        </w:rPr>
        <w:fldChar w:fldCharType="begin"/>
      </w:r>
      <w:r>
        <w:rPr>
          <w:sz w:val="21"/>
          <w:szCs w:val="21"/>
        </w:rPr>
        <w:instrText xml:space="preserve"> HYPERLINK \l "_Toc4443" </w:instrText>
      </w:r>
      <w:r>
        <w:rPr>
          <w:sz w:val="21"/>
          <w:szCs w:val="21"/>
        </w:rPr>
        <w:fldChar w:fldCharType="separate"/>
      </w:r>
      <w:r>
        <w:rPr>
          <w:rFonts w:hint="eastAsia" w:ascii="仿宋" w:hAnsi="仿宋" w:eastAsia="仿宋" w:cs="仿宋"/>
          <w:bCs/>
          <w:sz w:val="24"/>
          <w:szCs w:val="44"/>
          <w:lang w:val="zh-CN"/>
        </w:rPr>
        <w:t>第六章</w:t>
      </w:r>
      <w:r>
        <w:rPr>
          <w:rFonts w:hint="eastAsia" w:ascii="仿宋" w:hAnsi="仿宋" w:eastAsia="仿宋" w:cs="仿宋"/>
          <w:bCs/>
          <w:sz w:val="24"/>
          <w:szCs w:val="44"/>
        </w:rPr>
        <w:t xml:space="preserve"> </w:t>
      </w:r>
      <w:r>
        <w:rPr>
          <w:rFonts w:hint="eastAsia" w:ascii="仿宋" w:hAnsi="仿宋" w:eastAsia="仿宋" w:cs="仿宋"/>
          <w:bCs/>
          <w:sz w:val="24"/>
          <w:szCs w:val="44"/>
          <w:lang w:val="zh-CN"/>
        </w:rPr>
        <w:t>竞争性磋商响应文件格式及附件</w:t>
      </w:r>
      <w:r>
        <w:rPr>
          <w:sz w:val="24"/>
          <w:szCs w:val="24"/>
        </w:rPr>
        <w:tab/>
      </w:r>
      <w:r>
        <w:rPr>
          <w:sz w:val="24"/>
          <w:szCs w:val="24"/>
        </w:rPr>
        <w:fldChar w:fldCharType="begin"/>
      </w:r>
      <w:r>
        <w:rPr>
          <w:sz w:val="24"/>
          <w:szCs w:val="24"/>
        </w:rPr>
        <w:instrText xml:space="preserve"> PAGEREF _Toc4443 \h </w:instrText>
      </w:r>
      <w:r>
        <w:rPr>
          <w:sz w:val="24"/>
          <w:szCs w:val="24"/>
        </w:rPr>
        <w:fldChar w:fldCharType="separate"/>
      </w:r>
      <w:r>
        <w:rPr>
          <w:sz w:val="24"/>
          <w:szCs w:val="24"/>
        </w:rPr>
        <w:t>30</w:t>
      </w:r>
      <w:r>
        <w:rPr>
          <w:sz w:val="24"/>
          <w:szCs w:val="24"/>
        </w:rPr>
        <w:fldChar w:fldCharType="end"/>
      </w:r>
      <w:r>
        <w:rPr>
          <w:sz w:val="24"/>
          <w:szCs w:val="24"/>
        </w:rPr>
        <w:fldChar w:fldCharType="end"/>
      </w:r>
    </w:p>
    <w:p w14:paraId="1458D4DD">
      <w:pPr>
        <w:pStyle w:val="30"/>
        <w:tabs>
          <w:tab w:val="right" w:leader="dot" w:pos="8306"/>
        </w:tabs>
      </w:pPr>
    </w:p>
    <w:p w14:paraId="2298DB71">
      <w:pPr>
        <w:tabs>
          <w:tab w:val="left" w:pos="284"/>
          <w:tab w:val="left" w:pos="426"/>
        </w:tabs>
        <w:spacing w:line="480" w:lineRule="auto"/>
        <w:jc w:val="center"/>
        <w:outlineLvl w:val="0"/>
        <w:rPr>
          <w:rFonts w:ascii="仿宋" w:hAnsi="仿宋" w:eastAsia="仿宋" w:cs="仿宋"/>
          <w:b/>
          <w:bCs/>
          <w:color w:val="000000"/>
          <w:sz w:val="32"/>
          <w:szCs w:val="32"/>
          <w:lang w:val="zh-CN"/>
        </w:rPr>
      </w:pPr>
      <w:r>
        <w:rPr>
          <w:rFonts w:hint="eastAsia" w:ascii="仿宋" w:hAnsi="仿宋" w:eastAsia="仿宋" w:cs="仿宋"/>
          <w:color w:val="000000"/>
          <w:szCs w:val="28"/>
        </w:rPr>
        <w:fldChar w:fldCharType="end"/>
      </w:r>
      <w:bookmarkStart w:id="0" w:name="_Toc3817"/>
      <w:r>
        <w:rPr>
          <w:rFonts w:hint="eastAsia" w:ascii="仿宋" w:hAnsi="仿宋" w:eastAsia="仿宋" w:cs="仿宋"/>
          <w:color w:val="000000"/>
          <w:sz w:val="44"/>
        </w:rPr>
        <w:br w:type="page" w:clear="all"/>
      </w:r>
      <w:r>
        <w:rPr>
          <w:rFonts w:hint="eastAsia" w:ascii="仿宋" w:hAnsi="仿宋" w:eastAsia="仿宋" w:cs="仿宋"/>
          <w:b/>
          <w:bCs/>
          <w:color w:val="000000"/>
          <w:sz w:val="32"/>
          <w:szCs w:val="32"/>
          <w:lang w:val="zh-CN"/>
        </w:rPr>
        <w:t>第一章</w:t>
      </w:r>
      <w:r>
        <w:rPr>
          <w:rFonts w:hint="eastAsia" w:ascii="仿宋" w:hAnsi="仿宋" w:eastAsia="仿宋" w:cs="仿宋"/>
          <w:b/>
          <w:bCs/>
          <w:color w:val="000000"/>
          <w:sz w:val="32"/>
          <w:szCs w:val="32"/>
        </w:rPr>
        <w:t xml:space="preserve"> </w:t>
      </w:r>
      <w:r>
        <w:rPr>
          <w:rFonts w:hint="eastAsia" w:ascii="仿宋" w:hAnsi="仿宋" w:eastAsia="仿宋" w:cs="仿宋"/>
          <w:b/>
          <w:bCs/>
          <w:color w:val="000000"/>
          <w:sz w:val="32"/>
          <w:szCs w:val="32"/>
          <w:lang w:val="zh-CN"/>
        </w:rPr>
        <w:t>竞争性磋商公告</w:t>
      </w:r>
      <w:bookmarkEnd w:id="0"/>
    </w:p>
    <w:p w14:paraId="610AC6DC">
      <w:pPr>
        <w:spacing w:line="288" w:lineRule="auto"/>
        <w:rPr>
          <w:rFonts w:ascii="仿宋" w:hAnsi="仿宋" w:eastAsia="仿宋" w:cs="仿宋"/>
          <w:color w:val="000000"/>
        </w:rPr>
      </w:pPr>
      <w:r>
        <w:rPr>
          <w:rFonts w:hint="eastAsia" w:ascii="仿宋" w:hAnsi="仿宋" w:eastAsia="仿宋" w:cs="仿宋"/>
          <w:color w:val="000000"/>
        </w:rPr>
        <w:t>项目概况</w:t>
      </w:r>
    </w:p>
    <w:p w14:paraId="651DCE25">
      <w:pPr>
        <w:spacing w:line="288" w:lineRule="auto"/>
        <w:ind w:firstLine="420"/>
        <w:rPr>
          <w:rFonts w:ascii="仿宋" w:hAnsi="仿宋" w:eastAsia="仿宋" w:cs="仿宋"/>
        </w:rPr>
      </w:pPr>
      <w:r>
        <w:rPr>
          <w:rFonts w:hint="eastAsia" w:ascii="仿宋" w:hAnsi="仿宋" w:eastAsia="仿宋" w:cs="仿宋"/>
        </w:rPr>
        <w:t>顶山街道环境检测服务项目的潜在供应商应在规定的时间内获取采购文件，并于</w:t>
      </w:r>
      <w:r>
        <w:rPr>
          <w:rFonts w:hint="eastAsia" w:ascii="仿宋" w:hAnsi="仿宋" w:eastAsia="仿宋" w:cs="仿宋"/>
          <w:color w:val="0000FF"/>
        </w:rPr>
        <w:t>202</w:t>
      </w:r>
      <w:r>
        <w:rPr>
          <w:rFonts w:hint="eastAsia" w:ascii="仿宋" w:hAnsi="仿宋" w:eastAsia="仿宋" w:cs="仿宋"/>
          <w:color w:val="0000FF"/>
          <w:lang w:val="en-US" w:eastAsia="zh-CN"/>
        </w:rPr>
        <w:t>6</w:t>
      </w:r>
      <w:r>
        <w:rPr>
          <w:rFonts w:hint="eastAsia" w:ascii="仿宋" w:hAnsi="仿宋" w:eastAsia="仿宋" w:cs="仿宋"/>
          <w:color w:val="0000FF"/>
        </w:rPr>
        <w:t>年1月</w:t>
      </w:r>
      <w:r>
        <w:rPr>
          <w:rFonts w:hint="eastAsia" w:ascii="仿宋" w:hAnsi="仿宋" w:eastAsia="仿宋" w:cs="仿宋"/>
          <w:color w:val="0000FF"/>
          <w:lang w:val="en-US" w:eastAsia="zh-CN"/>
        </w:rPr>
        <w:t>26</w:t>
      </w:r>
      <w:r>
        <w:rPr>
          <w:rFonts w:hint="eastAsia" w:ascii="仿宋" w:hAnsi="仿宋" w:eastAsia="仿宋" w:cs="仿宋"/>
          <w:color w:val="0000FF"/>
        </w:rPr>
        <w:t>日14点30分（北京时间）</w:t>
      </w:r>
      <w:r>
        <w:rPr>
          <w:rFonts w:hint="eastAsia" w:ascii="仿宋" w:hAnsi="仿宋" w:eastAsia="仿宋" w:cs="仿宋"/>
        </w:rPr>
        <w:t>前提交响应文件。</w:t>
      </w:r>
    </w:p>
    <w:p w14:paraId="323A2734">
      <w:pPr>
        <w:spacing w:line="288" w:lineRule="auto"/>
        <w:rPr>
          <w:rFonts w:ascii="仿宋" w:hAnsi="仿宋" w:eastAsia="仿宋" w:cs="仿宋"/>
          <w:color w:val="000000"/>
        </w:rPr>
      </w:pPr>
      <w:bookmarkStart w:id="1" w:name="_Toc35393798"/>
      <w:bookmarkStart w:id="2" w:name="_Toc28359089"/>
      <w:bookmarkStart w:id="3" w:name="_Toc35393629"/>
      <w:bookmarkStart w:id="4" w:name="_Toc28359012"/>
      <w:r>
        <w:rPr>
          <w:rFonts w:hint="eastAsia" w:ascii="仿宋" w:hAnsi="仿宋" w:eastAsia="仿宋" w:cs="仿宋"/>
          <w:color w:val="000000"/>
        </w:rPr>
        <w:t>一、项目基本情况</w:t>
      </w:r>
      <w:bookmarkEnd w:id="1"/>
      <w:bookmarkEnd w:id="2"/>
      <w:bookmarkEnd w:id="3"/>
      <w:bookmarkEnd w:id="4"/>
    </w:p>
    <w:p w14:paraId="465D1878">
      <w:pPr>
        <w:spacing w:line="288" w:lineRule="auto"/>
        <w:ind w:firstLine="420"/>
        <w:rPr>
          <w:rFonts w:ascii="仿宋" w:hAnsi="仿宋" w:eastAsia="仿宋" w:cs="仿宋"/>
          <w:color w:val="000000"/>
        </w:rPr>
      </w:pPr>
      <w:r>
        <w:rPr>
          <w:rFonts w:hint="eastAsia" w:ascii="仿宋" w:hAnsi="仿宋" w:eastAsia="仿宋" w:cs="仿宋"/>
          <w:color w:val="000000"/>
        </w:rPr>
        <w:t>1、项目编号：JSZZ-CS-2026001</w:t>
      </w:r>
    </w:p>
    <w:p w14:paraId="4062151A">
      <w:pPr>
        <w:spacing w:line="288" w:lineRule="auto"/>
        <w:ind w:firstLine="420"/>
        <w:rPr>
          <w:rFonts w:ascii="仿宋" w:hAnsi="仿宋" w:eastAsia="仿宋" w:cs="仿宋"/>
          <w:color w:val="000000"/>
        </w:rPr>
      </w:pPr>
      <w:r>
        <w:rPr>
          <w:rFonts w:hint="eastAsia" w:ascii="仿宋" w:hAnsi="仿宋" w:eastAsia="仿宋" w:cs="仿宋"/>
          <w:color w:val="000000"/>
        </w:rPr>
        <w:t>2、项目名称：顶山街道环境检测服务项目</w:t>
      </w:r>
    </w:p>
    <w:p w14:paraId="15248361">
      <w:pPr>
        <w:spacing w:line="288" w:lineRule="auto"/>
        <w:ind w:firstLine="420"/>
        <w:rPr>
          <w:rFonts w:ascii="仿宋" w:hAnsi="仿宋" w:eastAsia="仿宋" w:cs="仿宋"/>
          <w:color w:val="000000"/>
        </w:rPr>
      </w:pPr>
      <w:r>
        <w:rPr>
          <w:rFonts w:hint="eastAsia" w:ascii="仿宋" w:hAnsi="仿宋" w:eastAsia="仿宋" w:cs="仿宋"/>
          <w:color w:val="000000"/>
        </w:rPr>
        <w:t>3、采购方式：竞争性磋商</w:t>
      </w:r>
    </w:p>
    <w:p w14:paraId="3B869C7C">
      <w:pPr>
        <w:spacing w:line="288" w:lineRule="auto"/>
        <w:ind w:firstLine="420"/>
        <w:rPr>
          <w:rFonts w:ascii="仿宋" w:hAnsi="仿宋" w:eastAsia="仿宋" w:cs="仿宋"/>
          <w:color w:val="000000"/>
        </w:rPr>
      </w:pPr>
      <w:r>
        <w:rPr>
          <w:rFonts w:hint="eastAsia" w:ascii="仿宋" w:hAnsi="仿宋" w:eastAsia="仿宋" w:cs="仿宋"/>
          <w:color w:val="000000"/>
        </w:rPr>
        <w:t>4、预算金额：35万元</w:t>
      </w:r>
    </w:p>
    <w:p w14:paraId="39DBBDB5">
      <w:pPr>
        <w:spacing w:line="288" w:lineRule="auto"/>
        <w:ind w:firstLine="420"/>
        <w:rPr>
          <w:rFonts w:ascii="仿宋" w:hAnsi="仿宋" w:eastAsia="仿宋" w:cs="仿宋"/>
          <w:color w:val="000000"/>
        </w:rPr>
      </w:pPr>
      <w:r>
        <w:rPr>
          <w:rFonts w:hint="eastAsia" w:ascii="仿宋" w:hAnsi="仿宋" w:eastAsia="仿宋" w:cs="仿宋"/>
          <w:color w:val="000000"/>
        </w:rPr>
        <w:t>5、最高限价：</w:t>
      </w:r>
      <w:r>
        <w:rPr>
          <w:rFonts w:hint="eastAsia" w:ascii="仿宋" w:hAnsi="仿宋" w:eastAsia="仿宋" w:cs="仿宋"/>
          <w:color w:val="000000"/>
          <w:lang w:val="en-US" w:eastAsia="zh-CN"/>
        </w:rPr>
        <w:t>最高限价单价之和为9813元，</w:t>
      </w:r>
      <w:r>
        <w:rPr>
          <w:rFonts w:hint="eastAsia" w:ascii="仿宋" w:hAnsi="仿宋" w:eastAsia="仿宋" w:cs="仿宋"/>
          <w:color w:val="000000"/>
        </w:rPr>
        <w:t>超出最高限价</w:t>
      </w:r>
      <w:r>
        <w:rPr>
          <w:rFonts w:hint="eastAsia" w:ascii="仿宋" w:hAnsi="仿宋" w:eastAsia="仿宋" w:cs="仿宋"/>
          <w:color w:val="000000"/>
          <w:lang w:val="en-US" w:eastAsia="zh-CN"/>
        </w:rPr>
        <w:t>单价</w:t>
      </w:r>
      <w:r>
        <w:rPr>
          <w:rFonts w:hint="eastAsia" w:ascii="仿宋" w:hAnsi="仿宋" w:eastAsia="仿宋" w:cs="仿宋"/>
          <w:color w:val="000000"/>
        </w:rPr>
        <w:t>的报价，将作无效报价处理。</w:t>
      </w:r>
    </w:p>
    <w:p w14:paraId="1AF5465F">
      <w:pPr>
        <w:spacing w:line="288" w:lineRule="auto"/>
        <w:ind w:firstLine="420"/>
        <w:rPr>
          <w:rFonts w:ascii="仿宋" w:hAnsi="仿宋" w:eastAsia="仿宋" w:cs="仿宋"/>
          <w:color w:val="000000"/>
        </w:rPr>
      </w:pPr>
      <w:r>
        <w:rPr>
          <w:rFonts w:hint="eastAsia" w:ascii="仿宋" w:hAnsi="仿宋" w:eastAsia="仿宋" w:cs="仿宋"/>
          <w:color w:val="000000"/>
        </w:rPr>
        <w:t>6、采购需求：为及时掌握街管河道（地表水）水质、空气、油烟、噪音等情况，有效应对环境问题，现需要委托专业服务机构，开展检测工作。内容包含每月对街管 26 条河道（地表水）25 个点位水质检测，每半年对长江入河排污口 44 个点位水质检测。同时，结合工作需要，开展空气、油烟、噪声、水质等零星检测。具体详见磋商文件第四章要求。</w:t>
      </w:r>
    </w:p>
    <w:p w14:paraId="56A42CDB">
      <w:pPr>
        <w:spacing w:line="288" w:lineRule="auto"/>
        <w:ind w:firstLine="420"/>
        <w:rPr>
          <w:rFonts w:ascii="仿宋" w:hAnsi="仿宋" w:eastAsia="仿宋" w:cs="仿宋"/>
          <w:color w:val="000000"/>
        </w:rPr>
      </w:pPr>
      <w:r>
        <w:rPr>
          <w:rFonts w:hint="eastAsia" w:ascii="仿宋" w:hAnsi="仿宋" w:eastAsia="仿宋" w:cs="仿宋"/>
          <w:color w:val="000000"/>
        </w:rPr>
        <w:t>7、合同履行期限：2026年2月1日-2027年1月31日</w:t>
      </w:r>
      <w:r>
        <w:rPr>
          <w:rFonts w:hint="eastAsia" w:ascii="仿宋" w:hAnsi="仿宋" w:eastAsia="仿宋" w:cs="仿宋"/>
          <w:color w:val="000000"/>
          <w:szCs w:val="21"/>
        </w:rPr>
        <w:t>。</w:t>
      </w:r>
    </w:p>
    <w:p w14:paraId="14A375ED">
      <w:pPr>
        <w:spacing w:line="288" w:lineRule="auto"/>
        <w:ind w:firstLine="420"/>
        <w:rPr>
          <w:rFonts w:ascii="仿宋" w:hAnsi="仿宋" w:eastAsia="仿宋" w:cs="仿宋"/>
          <w:color w:val="000000"/>
        </w:rPr>
      </w:pPr>
      <w:r>
        <w:rPr>
          <w:rFonts w:hint="eastAsia" w:ascii="仿宋" w:hAnsi="仿宋" w:eastAsia="仿宋" w:cs="仿宋"/>
          <w:color w:val="000000"/>
        </w:rPr>
        <w:t>8、本次磋商不接受联合体。</w:t>
      </w:r>
    </w:p>
    <w:p w14:paraId="26275CC1">
      <w:pPr>
        <w:spacing w:line="288" w:lineRule="auto"/>
        <w:rPr>
          <w:rFonts w:ascii="仿宋" w:hAnsi="仿宋" w:eastAsia="仿宋" w:cs="仿宋"/>
          <w:color w:val="000000"/>
        </w:rPr>
      </w:pPr>
      <w:bookmarkStart w:id="5" w:name="_Toc28359090"/>
      <w:bookmarkStart w:id="6" w:name="_Toc35393630"/>
      <w:bookmarkStart w:id="7" w:name="_Toc28359013"/>
      <w:bookmarkStart w:id="8" w:name="_Toc35393799"/>
      <w:r>
        <w:rPr>
          <w:rFonts w:hint="eastAsia" w:ascii="仿宋" w:hAnsi="仿宋" w:eastAsia="仿宋" w:cs="仿宋"/>
          <w:color w:val="000000"/>
        </w:rPr>
        <w:t>二、申请人的资格要求：</w:t>
      </w:r>
      <w:bookmarkEnd w:id="5"/>
      <w:bookmarkEnd w:id="6"/>
      <w:bookmarkEnd w:id="7"/>
      <w:bookmarkEnd w:id="8"/>
    </w:p>
    <w:p w14:paraId="7D84AD15">
      <w:pPr>
        <w:spacing w:line="288" w:lineRule="auto"/>
        <w:ind w:firstLine="420"/>
        <w:rPr>
          <w:rFonts w:ascii="仿宋" w:hAnsi="仿宋" w:eastAsia="仿宋" w:cs="仿宋"/>
          <w:color w:val="000000"/>
        </w:rPr>
      </w:pPr>
      <w:bookmarkStart w:id="9" w:name="_Toc28359091"/>
      <w:bookmarkStart w:id="10" w:name="_Toc28359014"/>
      <w:r>
        <w:rPr>
          <w:rFonts w:hint="eastAsia" w:ascii="仿宋" w:hAnsi="仿宋" w:eastAsia="仿宋" w:cs="仿宋"/>
          <w:color w:val="000000"/>
        </w:rPr>
        <w:t xml:space="preserve">1、参加政府采购活动的供应商应当具备政府采购法第二十二条第一款规定： </w:t>
      </w:r>
    </w:p>
    <w:p w14:paraId="17E84E1A">
      <w:pPr>
        <w:spacing w:line="288" w:lineRule="auto"/>
        <w:ind w:firstLine="420"/>
        <w:rPr>
          <w:rFonts w:ascii="仿宋" w:hAnsi="仿宋" w:eastAsia="仿宋" w:cs="仿宋"/>
          <w:color w:val="000000"/>
        </w:rPr>
      </w:pPr>
      <w:r>
        <w:rPr>
          <w:rFonts w:hint="eastAsia" w:ascii="仿宋" w:hAnsi="仿宋" w:eastAsia="仿宋" w:cs="仿宋"/>
          <w:color w:val="000000"/>
        </w:rPr>
        <w:t>（1）具有独立承担民事责任的能力（提供法人或者其他组织的营业执照，供应商为自然人的提供身份证明，复印件加盖公章）；</w:t>
      </w:r>
    </w:p>
    <w:p w14:paraId="3CF975D3">
      <w:pPr>
        <w:spacing w:line="288" w:lineRule="auto"/>
        <w:ind w:firstLine="420"/>
        <w:rPr>
          <w:rFonts w:ascii="仿宋" w:hAnsi="仿宋" w:eastAsia="仿宋" w:cs="仿宋"/>
          <w:color w:val="000000"/>
        </w:rPr>
      </w:pPr>
      <w:r>
        <w:rPr>
          <w:rFonts w:hint="eastAsia" w:ascii="仿宋" w:hAnsi="仿宋" w:eastAsia="仿宋" w:cs="仿宋"/>
          <w:color w:val="000000"/>
        </w:rPr>
        <w:t>（2）具有良好的商业信誉和健全的财务会计制度（提供 2024年度财务报表或2024年度财务审计报告，或磋商截止时间前六个月内银行出具的资信证明，或财政部门认可的政府采购专业担保机构出具的担保函）；</w:t>
      </w:r>
    </w:p>
    <w:p w14:paraId="1A6EF9E0">
      <w:pPr>
        <w:spacing w:line="288" w:lineRule="auto"/>
        <w:ind w:firstLine="420"/>
        <w:rPr>
          <w:rFonts w:ascii="仿宋" w:hAnsi="仿宋" w:eastAsia="仿宋" w:cs="仿宋"/>
          <w:color w:val="000000"/>
        </w:rPr>
      </w:pPr>
      <w:r>
        <w:rPr>
          <w:rFonts w:hint="eastAsia" w:ascii="仿宋" w:hAnsi="仿宋" w:eastAsia="仿宋" w:cs="仿宋"/>
          <w:color w:val="000000"/>
        </w:rPr>
        <w:t>（3）具有履行合同所必需的设备和专业技术能力（根据项目需求提供履行合同所必需的设备和专业技术能力的证明材料或相关加盖公章的承诺函）；</w:t>
      </w:r>
    </w:p>
    <w:p w14:paraId="511BE9CE">
      <w:pPr>
        <w:spacing w:line="288" w:lineRule="auto"/>
        <w:ind w:firstLine="420"/>
        <w:rPr>
          <w:rFonts w:ascii="仿宋" w:hAnsi="仿宋" w:eastAsia="仿宋" w:cs="仿宋"/>
          <w:color w:val="000000"/>
        </w:rPr>
      </w:pPr>
      <w:r>
        <w:rPr>
          <w:rFonts w:hint="eastAsia" w:ascii="仿宋" w:hAnsi="仿宋" w:eastAsia="仿宋" w:cs="仿宋"/>
          <w:color w:val="000000"/>
        </w:rPr>
        <w:t>（4）有依法缴纳税收和社会保障资金的良好记录（提供参加本次政府采购活动前半年内（至少一个月）依法缴纳税收和社会保障资金的相关资料，复印件加盖公章）；</w:t>
      </w:r>
    </w:p>
    <w:p w14:paraId="0FCFC986">
      <w:pPr>
        <w:spacing w:line="288" w:lineRule="auto"/>
        <w:ind w:firstLine="420"/>
        <w:rPr>
          <w:rFonts w:ascii="仿宋" w:hAnsi="仿宋" w:eastAsia="仿宋" w:cs="仿宋"/>
          <w:color w:val="000000"/>
        </w:rPr>
      </w:pPr>
      <w:r>
        <w:rPr>
          <w:rFonts w:hint="eastAsia" w:ascii="仿宋" w:hAnsi="仿宋" w:eastAsia="仿宋" w:cs="仿宋"/>
          <w:color w:val="000000"/>
        </w:rPr>
        <w:t>（5）参加本次采购活动前三年内，在经营活动中没有重大违法记录（提供参加本次政府采购活动前3年内在经营活动中没有重大违法记录的书面声明的原件）（格式见自拟）；</w:t>
      </w:r>
    </w:p>
    <w:p w14:paraId="02A9CCDF">
      <w:pPr>
        <w:spacing w:line="288" w:lineRule="auto"/>
        <w:ind w:firstLine="420"/>
        <w:rPr>
          <w:rFonts w:ascii="仿宋" w:hAnsi="仿宋" w:eastAsia="仿宋" w:cs="仿宋"/>
          <w:color w:val="000000"/>
        </w:rPr>
      </w:pPr>
      <w:r>
        <w:rPr>
          <w:rFonts w:hint="eastAsia" w:ascii="仿宋" w:hAnsi="仿宋" w:eastAsia="仿宋" w:cs="仿宋"/>
          <w:color w:val="000000"/>
        </w:rPr>
        <w:t>（6）法律、行政法规规定的其他条件：无。</w:t>
      </w:r>
    </w:p>
    <w:p w14:paraId="1AC8F4E4">
      <w:pPr>
        <w:spacing w:line="288" w:lineRule="auto"/>
        <w:ind w:firstLine="420"/>
        <w:rPr>
          <w:rFonts w:ascii="仿宋" w:hAnsi="仿宋" w:eastAsia="仿宋" w:cs="仿宋"/>
          <w:color w:val="000000"/>
        </w:rPr>
      </w:pPr>
      <w:r>
        <w:rPr>
          <w:rFonts w:hint="eastAsia" w:ascii="仿宋" w:hAnsi="仿宋" w:eastAsia="仿宋" w:cs="仿宋"/>
          <w:color w:val="000000"/>
        </w:rPr>
        <w:t>说明：根据《关于在政府采 购活动中推行信用承诺制的通知》（宁财购通[2021]5号）的规定，本项目磋商公告“二、申请人的资格要求第1条”中涉及的证明材料，供应商可以在响应文件中一次性提交，也可在响应文件中提供满足相应条件的书面承诺书（详见磋商文件第六章“附件”），无需要提供上述涉及的证明材料。</w:t>
      </w:r>
    </w:p>
    <w:p w14:paraId="03CB948C">
      <w:pPr>
        <w:spacing w:line="288" w:lineRule="auto"/>
        <w:ind w:firstLine="420"/>
        <w:rPr>
          <w:rFonts w:ascii="仿宋" w:hAnsi="仿宋" w:eastAsia="仿宋" w:cs="仿宋"/>
          <w:color w:val="000000"/>
        </w:rPr>
      </w:pPr>
      <w:r>
        <w:rPr>
          <w:rFonts w:hint="eastAsia" w:ascii="仿宋" w:hAnsi="仿宋" w:eastAsia="仿宋" w:cs="仿宋"/>
          <w:color w:val="000000"/>
        </w:rPr>
        <w:t>供应商仅提供信用承诺书而未提供“二、申请人的资格要求第1条”中涉及的证明材料的，供应商在中标(成交)后，须将上述由信用承诺书替代的证明材料提交采购人或采购代理机构核验，经核验无误后由采购人或采购代理机构发出中标(成交)通知书。</w:t>
      </w:r>
    </w:p>
    <w:p w14:paraId="7B176681">
      <w:pPr>
        <w:spacing w:line="288" w:lineRule="auto"/>
        <w:ind w:firstLine="420"/>
        <w:rPr>
          <w:rFonts w:ascii="仿宋" w:hAnsi="仿宋" w:eastAsia="仿宋" w:cs="仿宋"/>
          <w:color w:val="000000"/>
        </w:rPr>
      </w:pPr>
      <w:r>
        <w:rPr>
          <w:rFonts w:hint="eastAsia" w:ascii="仿宋" w:hAnsi="仿宋" w:eastAsia="仿宋" w:cs="仿宋"/>
          <w:color w:val="000000"/>
        </w:rPr>
        <w:t>供应商涉及以下情形的，不适用信用承诺，仍须提供上述证明材料：</w:t>
      </w:r>
    </w:p>
    <w:p w14:paraId="78ABA0C1">
      <w:pPr>
        <w:spacing w:line="288" w:lineRule="auto"/>
        <w:ind w:firstLine="420"/>
        <w:rPr>
          <w:rFonts w:ascii="仿宋" w:hAnsi="仿宋" w:eastAsia="仿宋" w:cs="仿宋"/>
          <w:color w:val="000000"/>
        </w:rPr>
      </w:pPr>
      <w:r>
        <w:rPr>
          <w:rFonts w:hint="eastAsia" w:ascii="仿宋" w:hAnsi="仿宋" w:eastAsia="仿宋" w:cs="仿宋"/>
          <w:color w:val="000000"/>
        </w:rPr>
        <w:t>①供应商被列入严重失信主体名单；</w:t>
      </w:r>
    </w:p>
    <w:p w14:paraId="1816D95E">
      <w:pPr>
        <w:spacing w:line="288" w:lineRule="auto"/>
        <w:ind w:firstLine="420"/>
        <w:rPr>
          <w:rFonts w:ascii="仿宋" w:hAnsi="仿宋" w:eastAsia="仿宋" w:cs="仿宋"/>
          <w:color w:val="000000"/>
        </w:rPr>
      </w:pPr>
      <w:r>
        <w:rPr>
          <w:rFonts w:hint="eastAsia" w:ascii="仿宋" w:hAnsi="仿宋" w:eastAsia="仿宋" w:cs="仿宋"/>
          <w:color w:val="000000"/>
        </w:rPr>
        <w:t>②被相关监管部门作出行政处罚且尚在处罚有效期内；</w:t>
      </w:r>
    </w:p>
    <w:p w14:paraId="4696F528">
      <w:pPr>
        <w:spacing w:line="288" w:lineRule="auto"/>
        <w:ind w:firstLine="420"/>
        <w:rPr>
          <w:rFonts w:ascii="仿宋" w:hAnsi="仿宋" w:eastAsia="仿宋" w:cs="仿宋"/>
          <w:color w:val="000000"/>
        </w:rPr>
      </w:pPr>
      <w:r>
        <w:rPr>
          <w:rFonts w:hint="eastAsia" w:ascii="仿宋" w:hAnsi="仿宋" w:eastAsia="仿宋" w:cs="仿宋"/>
          <w:color w:val="000000"/>
        </w:rPr>
        <w:t>③其他法律、行政法规规定的不适用信用承诺的情形。</w:t>
      </w:r>
    </w:p>
    <w:p w14:paraId="44072751">
      <w:pPr>
        <w:spacing w:line="288" w:lineRule="auto"/>
        <w:ind w:firstLine="420"/>
        <w:rPr>
          <w:rFonts w:ascii="仿宋" w:hAnsi="仿宋" w:eastAsia="仿宋" w:cs="仿宋"/>
          <w:color w:val="000000"/>
        </w:rPr>
      </w:pPr>
      <w:r>
        <w:rPr>
          <w:rFonts w:hint="eastAsia" w:ascii="仿宋" w:hAnsi="仿宋" w:eastAsia="仿宋" w:cs="仿宋"/>
          <w:color w:val="000000"/>
        </w:rPr>
        <w:t>2、落实政府采购政策需满足的资格要求：（如属于专门面向中小企业采购的项目，供应商应为中小微企业、监狱企业、残疾人福利性单位）本项目按照采用以下第（</w:t>
      </w:r>
      <w:r>
        <w:rPr>
          <w:rFonts w:hint="eastAsia" w:ascii="仿宋" w:hAnsi="仿宋" w:eastAsia="仿宋" w:cs="仿宋"/>
        </w:rPr>
        <w:t>4</w:t>
      </w:r>
      <w:r>
        <w:rPr>
          <w:rFonts w:hint="eastAsia" w:ascii="仿宋" w:hAnsi="仿宋" w:eastAsia="仿宋" w:cs="仿宋"/>
          <w:color w:val="000000"/>
        </w:rPr>
        <w:t xml:space="preserve">）种方式落实政府采购促进中小企业发展的要求： </w:t>
      </w:r>
    </w:p>
    <w:p w14:paraId="4546CDFA">
      <w:pPr>
        <w:spacing w:line="288" w:lineRule="auto"/>
        <w:ind w:firstLine="420"/>
        <w:rPr>
          <w:rFonts w:ascii="仿宋" w:hAnsi="仿宋" w:eastAsia="仿宋" w:cs="仿宋"/>
          <w:color w:val="000000"/>
        </w:rPr>
      </w:pPr>
      <w:r>
        <w:rPr>
          <w:rFonts w:hint="eastAsia" w:ascii="仿宋" w:hAnsi="仿宋" w:eastAsia="仿宋" w:cs="仿宋"/>
          <w:color w:val="000000"/>
        </w:rPr>
        <w:t>（1）本项目整体专门面向中小企业采购服务。</w:t>
      </w:r>
    </w:p>
    <w:p w14:paraId="34575155">
      <w:pPr>
        <w:spacing w:line="288" w:lineRule="auto"/>
        <w:ind w:firstLine="420"/>
        <w:rPr>
          <w:rFonts w:ascii="仿宋" w:hAnsi="仿宋" w:eastAsia="仿宋" w:cs="仿宋"/>
          <w:color w:val="000000"/>
        </w:rPr>
      </w:pPr>
      <w:r>
        <w:rPr>
          <w:rFonts w:hint="eastAsia" w:ascii="仿宋" w:hAnsi="仿宋" w:eastAsia="仿宋" w:cs="仿宋"/>
          <w:color w:val="000000"/>
        </w:rPr>
        <w:t xml:space="preserve">（2）本项目整体专门面向小微企业采购服务。 </w:t>
      </w:r>
    </w:p>
    <w:p w14:paraId="485ED104">
      <w:pPr>
        <w:spacing w:line="288" w:lineRule="auto"/>
        <w:ind w:firstLine="420"/>
        <w:rPr>
          <w:rFonts w:ascii="仿宋" w:hAnsi="仿宋" w:eastAsia="仿宋" w:cs="仿宋"/>
          <w:color w:val="000000"/>
        </w:rPr>
      </w:pPr>
      <w:r>
        <w:rPr>
          <w:rFonts w:hint="eastAsia" w:ascii="仿宋" w:hAnsi="仿宋" w:eastAsia="仿宋" w:cs="仿宋"/>
          <w:color w:val="000000"/>
        </w:rPr>
        <w:t xml:space="preserve">（3）本项目通过以下第（）种方式预留部分采购份额采购中小企业服务： </w:t>
      </w:r>
    </w:p>
    <w:p w14:paraId="3AC9495B">
      <w:pPr>
        <w:spacing w:line="288" w:lineRule="auto"/>
        <w:ind w:firstLine="420"/>
        <w:rPr>
          <w:rFonts w:ascii="仿宋" w:hAnsi="仿宋" w:eastAsia="仿宋" w:cs="仿宋"/>
          <w:color w:val="000000"/>
        </w:rPr>
      </w:pPr>
      <w:r>
        <w:rPr>
          <w:rFonts w:hint="eastAsia" w:ascii="仿宋" w:hAnsi="仿宋" w:eastAsia="仿宋" w:cs="仿宋"/>
          <w:color w:val="000000"/>
        </w:rPr>
        <w:t xml:space="preserve">①本项目要求供应商以联合体形式参加，中小企业合同金额应当达到的比例为%。 </w:t>
      </w:r>
    </w:p>
    <w:p w14:paraId="5F705898">
      <w:pPr>
        <w:spacing w:line="288" w:lineRule="auto"/>
        <w:ind w:firstLine="420"/>
        <w:rPr>
          <w:rFonts w:ascii="仿宋" w:hAnsi="仿宋" w:eastAsia="仿宋" w:cs="仿宋"/>
          <w:color w:val="000000"/>
        </w:rPr>
      </w:pPr>
      <w:r>
        <w:rPr>
          <w:rFonts w:hint="eastAsia" w:ascii="仿宋" w:hAnsi="仿宋" w:eastAsia="仿宋" w:cs="仿宋"/>
          <w:color w:val="000000"/>
        </w:rPr>
        <w:t xml:space="preserve">②本项目要求供应商进行合同分包，中小企业合同金额应当达到的比例为%。 </w:t>
      </w:r>
    </w:p>
    <w:p w14:paraId="71C6ABA9">
      <w:pPr>
        <w:spacing w:line="288" w:lineRule="auto"/>
        <w:ind w:firstLine="420"/>
        <w:rPr>
          <w:rFonts w:ascii="仿宋" w:hAnsi="仿宋" w:eastAsia="仿宋" w:cs="仿宋"/>
          <w:color w:val="000000"/>
        </w:rPr>
      </w:pPr>
      <w:r>
        <w:rPr>
          <w:rFonts w:hint="eastAsia" w:ascii="仿宋" w:hAnsi="仿宋" w:eastAsia="仿宋" w:cs="仿宋"/>
          <w:color w:val="000000"/>
        </w:rPr>
        <w:t xml:space="preserve">（4）本项目为非预留份额的采购项目或采购包，执行价格扣除优惠政策，具体详见第三章成交标准。 </w:t>
      </w:r>
    </w:p>
    <w:p w14:paraId="12E4089A">
      <w:pPr>
        <w:spacing w:line="288" w:lineRule="auto"/>
        <w:ind w:firstLine="420"/>
        <w:rPr>
          <w:rFonts w:ascii="仿宋" w:hAnsi="仿宋" w:eastAsia="仿宋" w:cs="仿宋"/>
          <w:b/>
          <w:bCs/>
        </w:rPr>
      </w:pPr>
      <w:r>
        <w:rPr>
          <w:rFonts w:hint="eastAsia" w:ascii="仿宋" w:hAnsi="仿宋" w:eastAsia="仿宋" w:cs="仿宋"/>
        </w:rPr>
        <w:t>3、采购人根据采购项目的特殊要求规定的特定条件：</w:t>
      </w:r>
      <w:r>
        <w:rPr>
          <w:rFonts w:hint="eastAsia" w:ascii="仿宋" w:hAnsi="仿宋" w:eastAsia="仿宋" w:cs="仿宋"/>
          <w:b/>
          <w:bCs/>
        </w:rPr>
        <w:t>供应商具有省级以上</w:t>
      </w:r>
      <w:r>
        <w:rPr>
          <w:rFonts w:hint="eastAsia" w:ascii="仿宋" w:hAnsi="仿宋" w:eastAsia="仿宋" w:cs="仿宋"/>
          <w:b/>
          <w:bCs/>
          <w:highlight w:val="none"/>
        </w:rPr>
        <w:t>市场监督管理局颁发</w:t>
      </w:r>
      <w:r>
        <w:rPr>
          <w:rFonts w:hint="eastAsia" w:ascii="仿宋" w:hAnsi="仿宋" w:eastAsia="仿宋" w:cs="仿宋"/>
          <w:b/>
          <w:bCs/>
        </w:rPr>
        <w:t>的计量认证（CMA）证书。（提供相关证明材料复印件加盖公章）</w:t>
      </w:r>
    </w:p>
    <w:p w14:paraId="26087867">
      <w:pPr>
        <w:spacing w:line="288" w:lineRule="auto"/>
        <w:ind w:firstLine="420"/>
        <w:rPr>
          <w:rFonts w:ascii="仿宋" w:hAnsi="仿宋" w:eastAsia="仿宋" w:cs="仿宋"/>
          <w:color w:val="000000"/>
        </w:rPr>
      </w:pPr>
      <w:r>
        <w:rPr>
          <w:rFonts w:hint="eastAsia" w:ascii="仿宋" w:hAnsi="仿宋" w:eastAsia="仿宋" w:cs="仿宋"/>
          <w:color w:val="000000"/>
        </w:rPr>
        <w:t>4、拒绝下述供应商参加本次采购活动：</w:t>
      </w:r>
    </w:p>
    <w:p w14:paraId="4F772673">
      <w:pPr>
        <w:spacing w:line="288" w:lineRule="auto"/>
        <w:ind w:firstLine="420"/>
        <w:rPr>
          <w:rFonts w:ascii="仿宋" w:hAnsi="仿宋" w:eastAsia="仿宋" w:cs="仿宋"/>
          <w:color w:val="000000"/>
        </w:rPr>
      </w:pPr>
      <w:bookmarkStart w:id="11" w:name="_Toc35393800"/>
      <w:bookmarkStart w:id="12" w:name="_Toc35393631"/>
      <w:r>
        <w:rPr>
          <w:rFonts w:hint="eastAsia" w:ascii="仿宋" w:hAnsi="仿宋" w:eastAsia="仿宋" w:cs="仿宋"/>
          <w:color w:val="000000"/>
        </w:rPr>
        <w:t>（1）供应商单位负责人为同一人或者存在直接控股、管理关系的不同供应商，不得参加同一合同项下的采购活动。（符合并提供承诺书）</w:t>
      </w:r>
    </w:p>
    <w:p w14:paraId="7141E274">
      <w:pPr>
        <w:spacing w:line="288" w:lineRule="auto"/>
        <w:ind w:firstLine="420"/>
        <w:rPr>
          <w:rFonts w:ascii="仿宋" w:hAnsi="仿宋" w:eastAsia="仿宋" w:cs="仿宋"/>
          <w:color w:val="000000"/>
        </w:rPr>
      </w:pPr>
      <w:r>
        <w:rPr>
          <w:rFonts w:hint="eastAsia" w:ascii="仿宋" w:hAnsi="仿宋" w:eastAsia="仿宋" w:cs="仿宋"/>
          <w:color w:val="000000"/>
        </w:rPr>
        <w:t>（2）凡为采购项目提供整体设计、规范编制或者项目管理、监理、检测等服务的供应商，不得再参加本项目的采购活动。（符合并提供承诺书）</w:t>
      </w:r>
    </w:p>
    <w:p w14:paraId="5293D5C3">
      <w:pPr>
        <w:spacing w:line="288" w:lineRule="auto"/>
        <w:ind w:firstLine="420"/>
        <w:rPr>
          <w:rFonts w:ascii="仿宋" w:hAnsi="仿宋" w:eastAsia="仿宋" w:cs="仿宋"/>
          <w:color w:val="000000"/>
        </w:rPr>
      </w:pPr>
      <w:r>
        <w:rPr>
          <w:rFonts w:hint="eastAsia" w:ascii="仿宋" w:hAnsi="仿宋" w:eastAsia="仿宋" w:cs="仿宋"/>
          <w:color w:val="000000"/>
        </w:rPr>
        <w:t>（3）拒绝列入失信被执行人、重大税收违法案件当事人名单、政府采购严重违法失信行为记录名单中的供应商参加本项目的采购活动。采购人或代理机构通过“信用中国”网站（www.creditchina.gov.cn）、“中国政府采购网”网站（www.ccgp.gov.cn）等渠道查询供应商信用记录并保存。（提供查阅记录截图并加盖企业公章）</w:t>
      </w:r>
    </w:p>
    <w:p w14:paraId="74D20D2D">
      <w:pPr>
        <w:spacing w:line="288" w:lineRule="auto"/>
        <w:rPr>
          <w:rFonts w:ascii="仿宋" w:hAnsi="仿宋" w:eastAsia="仿宋" w:cs="仿宋"/>
          <w:color w:val="000000"/>
        </w:rPr>
      </w:pPr>
      <w:r>
        <w:rPr>
          <w:rFonts w:hint="eastAsia" w:ascii="仿宋" w:hAnsi="仿宋" w:eastAsia="仿宋" w:cs="仿宋"/>
          <w:color w:val="000000"/>
        </w:rPr>
        <w:t>三、获取采购文件</w:t>
      </w:r>
      <w:bookmarkEnd w:id="9"/>
      <w:bookmarkEnd w:id="10"/>
      <w:bookmarkEnd w:id="11"/>
      <w:bookmarkEnd w:id="12"/>
    </w:p>
    <w:p w14:paraId="4DD8A2BC">
      <w:pPr>
        <w:spacing w:line="288" w:lineRule="auto"/>
        <w:ind w:firstLine="420"/>
        <w:rPr>
          <w:rFonts w:ascii="仿宋" w:hAnsi="仿宋" w:eastAsia="仿宋" w:cs="仿宋"/>
        </w:rPr>
      </w:pPr>
      <w:r>
        <w:rPr>
          <w:rFonts w:hint="eastAsia" w:ascii="仿宋" w:hAnsi="仿宋" w:eastAsia="仿宋" w:cs="仿宋"/>
        </w:rPr>
        <w:t>1、时间：</w:t>
      </w:r>
      <w:r>
        <w:rPr>
          <w:rFonts w:hint="eastAsia" w:ascii="仿宋" w:hAnsi="仿宋" w:eastAsia="仿宋" w:cs="仿宋"/>
          <w:color w:val="0000FF"/>
        </w:rPr>
        <w:t>2026年1月</w:t>
      </w:r>
      <w:r>
        <w:rPr>
          <w:rFonts w:hint="eastAsia" w:ascii="仿宋" w:hAnsi="仿宋" w:eastAsia="仿宋" w:cs="仿宋"/>
          <w:color w:val="0000FF"/>
          <w:lang w:val="en-US" w:eastAsia="zh-CN"/>
        </w:rPr>
        <w:t>16</w:t>
      </w:r>
      <w:r>
        <w:rPr>
          <w:rFonts w:hint="eastAsia" w:ascii="仿宋" w:hAnsi="仿宋" w:eastAsia="仿宋" w:cs="仿宋"/>
          <w:color w:val="0000FF"/>
        </w:rPr>
        <w:t>日至2026年1月</w:t>
      </w:r>
      <w:r>
        <w:rPr>
          <w:rFonts w:hint="eastAsia" w:ascii="仿宋" w:hAnsi="仿宋" w:eastAsia="仿宋" w:cs="仿宋"/>
          <w:color w:val="0000FF"/>
          <w:lang w:val="en-US" w:eastAsia="zh-CN"/>
        </w:rPr>
        <w:t>22</w:t>
      </w:r>
      <w:r>
        <w:rPr>
          <w:rFonts w:hint="eastAsia" w:ascii="仿宋" w:hAnsi="仿宋" w:eastAsia="仿宋" w:cs="仿宋"/>
          <w:color w:val="0000FF"/>
        </w:rPr>
        <w:t>日</w:t>
      </w:r>
      <w:r>
        <w:rPr>
          <w:rFonts w:hint="eastAsia" w:ascii="仿宋" w:hAnsi="仿宋" w:eastAsia="仿宋" w:cs="仿宋"/>
        </w:rPr>
        <w:t>，每天上午9时00分至11时30分，下午14时00分至17时00分。（北京时间，法定节假日除外）</w:t>
      </w:r>
    </w:p>
    <w:p w14:paraId="3E4D4966">
      <w:pPr>
        <w:spacing w:line="288" w:lineRule="auto"/>
        <w:ind w:firstLine="420"/>
        <w:rPr>
          <w:rFonts w:ascii="仿宋" w:hAnsi="仿宋" w:eastAsia="仿宋" w:cs="仿宋"/>
          <w:color w:val="000000"/>
        </w:rPr>
      </w:pPr>
      <w:r>
        <w:rPr>
          <w:rFonts w:hint="eastAsia" w:ascii="仿宋" w:hAnsi="仿宋" w:eastAsia="仿宋" w:cs="仿宋"/>
          <w:color w:val="000000"/>
        </w:rPr>
        <w:t>2、方式：线上获取，提供</w:t>
      </w:r>
      <w:r>
        <w:rPr>
          <w:rFonts w:hint="eastAsia" w:ascii="仿宋" w:hAnsi="仿宋" w:eastAsia="仿宋" w:cs="仿宋"/>
          <w:color w:val="000000"/>
          <w:lang w:val="en-US" w:eastAsia="zh-CN"/>
        </w:rPr>
        <w:t>营业执照副本、</w:t>
      </w:r>
      <w:r>
        <w:rPr>
          <w:rFonts w:hint="eastAsia" w:ascii="仿宋" w:hAnsi="仿宋" w:eastAsia="仿宋" w:cs="仿宋"/>
          <w:color w:val="000000"/>
        </w:rPr>
        <w:t>法人授权委托书、委托代理人的身份证复印件</w:t>
      </w:r>
      <w:r>
        <w:rPr>
          <w:rFonts w:hint="eastAsia" w:ascii="仿宋" w:hAnsi="仿宋" w:eastAsia="仿宋" w:cs="仿宋"/>
          <w:color w:val="000000"/>
          <w:lang w:eastAsia="zh-CN"/>
        </w:rPr>
        <w:t>，</w:t>
      </w:r>
      <w:r>
        <w:rPr>
          <w:rFonts w:hint="eastAsia" w:ascii="仿宋" w:hAnsi="仿宋" w:eastAsia="仿宋" w:cs="仿宋"/>
          <w:color w:val="000000"/>
          <w:lang w:val="en-US" w:eastAsia="zh-CN"/>
        </w:rPr>
        <w:t>以上资料需加</w:t>
      </w:r>
      <w:r>
        <w:rPr>
          <w:rFonts w:hint="eastAsia" w:ascii="仿宋" w:hAnsi="仿宋" w:eastAsia="仿宋" w:cs="仿宋"/>
          <w:color w:val="000000"/>
        </w:rPr>
        <w:t>盖</w:t>
      </w:r>
      <w:r>
        <w:rPr>
          <w:rFonts w:hint="eastAsia" w:ascii="仿宋" w:hAnsi="仿宋" w:eastAsia="仿宋" w:cs="仿宋"/>
          <w:color w:val="000000"/>
          <w:lang w:val="en-US" w:eastAsia="zh-CN"/>
        </w:rPr>
        <w:t>公</w:t>
      </w:r>
      <w:r>
        <w:rPr>
          <w:rFonts w:hint="eastAsia" w:ascii="仿宋" w:hAnsi="仿宋" w:eastAsia="仿宋" w:cs="仿宋"/>
          <w:color w:val="000000"/>
        </w:rPr>
        <w:t>章</w:t>
      </w:r>
      <w:r>
        <w:rPr>
          <w:rFonts w:hint="eastAsia" w:ascii="仿宋" w:hAnsi="仿宋" w:eastAsia="仿宋" w:cs="仿宋"/>
          <w:color w:val="000000"/>
          <w:lang w:eastAsia="zh-CN"/>
        </w:rPr>
        <w:t>，</w:t>
      </w:r>
      <w:r>
        <w:rPr>
          <w:rFonts w:hint="eastAsia" w:ascii="仿宋" w:hAnsi="仿宋" w:eastAsia="仿宋" w:cs="仿宋"/>
          <w:color w:val="000000"/>
        </w:rPr>
        <w:t>扫描</w:t>
      </w:r>
      <w:r>
        <w:rPr>
          <w:rFonts w:hint="eastAsia" w:ascii="仿宋" w:hAnsi="仿宋" w:eastAsia="仿宋" w:cs="仿宋"/>
          <w:color w:val="000000"/>
          <w:lang w:val="en-US" w:eastAsia="zh-CN"/>
        </w:rPr>
        <w:t>件</w:t>
      </w:r>
      <w:r>
        <w:rPr>
          <w:rFonts w:hint="eastAsia" w:ascii="仿宋" w:hAnsi="仿宋" w:eastAsia="仿宋" w:cs="仿宋"/>
          <w:color w:val="000000"/>
        </w:rPr>
        <w:t>发送至邮箱381133239@qq.com,邮件主题为“项目名称+单位名称+联系人+联系电话”。</w:t>
      </w:r>
    </w:p>
    <w:p w14:paraId="1A980B9E">
      <w:pPr>
        <w:spacing w:line="288" w:lineRule="auto"/>
        <w:rPr>
          <w:rFonts w:ascii="仿宋" w:hAnsi="仿宋" w:eastAsia="仿宋" w:cs="仿宋"/>
          <w:color w:val="000000"/>
        </w:rPr>
      </w:pPr>
      <w:bookmarkStart w:id="13" w:name="_Toc28359015"/>
      <w:bookmarkStart w:id="14" w:name="_Toc35393801"/>
      <w:bookmarkStart w:id="15" w:name="_Toc35393632"/>
      <w:bookmarkStart w:id="16" w:name="_Toc28359092"/>
      <w:r>
        <w:rPr>
          <w:rFonts w:hint="eastAsia" w:ascii="仿宋" w:hAnsi="仿宋" w:eastAsia="仿宋" w:cs="仿宋"/>
          <w:color w:val="000000"/>
        </w:rPr>
        <w:t>四、响应文件提交</w:t>
      </w:r>
      <w:bookmarkEnd w:id="13"/>
      <w:bookmarkEnd w:id="14"/>
      <w:bookmarkEnd w:id="15"/>
      <w:bookmarkEnd w:id="16"/>
    </w:p>
    <w:p w14:paraId="2CAA738F">
      <w:pPr>
        <w:spacing w:line="288" w:lineRule="auto"/>
        <w:ind w:firstLine="420"/>
        <w:rPr>
          <w:rFonts w:ascii="仿宋" w:hAnsi="仿宋" w:eastAsia="仿宋" w:cs="仿宋"/>
          <w:color w:val="000000"/>
        </w:rPr>
      </w:pPr>
      <w:r>
        <w:rPr>
          <w:rFonts w:hint="eastAsia" w:ascii="仿宋" w:hAnsi="仿宋" w:eastAsia="仿宋" w:cs="仿宋"/>
          <w:color w:val="000000"/>
        </w:rPr>
        <w:t>1、截止时间：</w:t>
      </w:r>
      <w:r>
        <w:rPr>
          <w:rFonts w:hint="eastAsia" w:ascii="仿宋" w:hAnsi="仿宋" w:eastAsia="仿宋" w:cs="仿宋"/>
          <w:color w:val="0000FF"/>
        </w:rPr>
        <w:t>2026年1月</w:t>
      </w:r>
      <w:r>
        <w:rPr>
          <w:rFonts w:hint="eastAsia" w:ascii="仿宋" w:hAnsi="仿宋" w:eastAsia="仿宋" w:cs="仿宋"/>
          <w:color w:val="0000FF"/>
          <w:lang w:val="en-US" w:eastAsia="zh-CN"/>
        </w:rPr>
        <w:t>26</w:t>
      </w:r>
      <w:r>
        <w:rPr>
          <w:rFonts w:hint="eastAsia" w:ascii="仿宋" w:hAnsi="仿宋" w:eastAsia="仿宋" w:cs="仿宋"/>
          <w:color w:val="0000FF"/>
        </w:rPr>
        <w:t>日14点30分（北京时间）</w:t>
      </w:r>
    </w:p>
    <w:p w14:paraId="009AED8D">
      <w:pPr>
        <w:spacing w:line="288" w:lineRule="auto"/>
        <w:ind w:firstLine="420"/>
        <w:rPr>
          <w:rFonts w:ascii="仿宋" w:hAnsi="仿宋" w:eastAsia="仿宋" w:cs="仿宋"/>
          <w:color w:val="000000"/>
        </w:rPr>
      </w:pPr>
      <w:r>
        <w:rPr>
          <w:rFonts w:hint="eastAsia" w:ascii="仿宋" w:hAnsi="仿宋" w:eastAsia="仿宋" w:cs="仿宋"/>
          <w:color w:val="000000"/>
        </w:rPr>
        <w:t>2、递交方式：纸质文件，现场递交。</w:t>
      </w:r>
    </w:p>
    <w:p w14:paraId="53E175AB">
      <w:pPr>
        <w:spacing w:line="288" w:lineRule="auto"/>
        <w:ind w:firstLine="420"/>
        <w:rPr>
          <w:rFonts w:ascii="仿宋" w:hAnsi="仿宋" w:eastAsia="仿宋" w:cs="仿宋"/>
          <w:color w:val="000000"/>
        </w:rPr>
      </w:pPr>
      <w:r>
        <w:rPr>
          <w:rFonts w:hint="eastAsia" w:ascii="仿宋" w:hAnsi="仿宋" w:eastAsia="仿宋" w:cs="仿宋"/>
          <w:color w:val="000000"/>
        </w:rPr>
        <w:t>3、响应文件份数：</w:t>
      </w:r>
      <w:r>
        <w:rPr>
          <w:rFonts w:hint="eastAsia" w:ascii="仿宋" w:hAnsi="仿宋" w:eastAsia="仿宋" w:cs="仿宋"/>
          <w:bCs/>
          <w:color w:val="000000"/>
        </w:rPr>
        <w:t>一式</w:t>
      </w:r>
      <w:r>
        <w:rPr>
          <w:rFonts w:hint="eastAsia" w:ascii="仿宋" w:hAnsi="仿宋" w:eastAsia="仿宋" w:cs="仿宋"/>
          <w:bCs/>
          <w:color w:val="000000"/>
          <w:lang w:val="en-US" w:eastAsia="zh-CN"/>
        </w:rPr>
        <w:t>叁</w:t>
      </w:r>
      <w:r>
        <w:rPr>
          <w:rFonts w:hint="eastAsia" w:ascii="仿宋" w:hAnsi="仿宋" w:eastAsia="仿宋" w:cs="仿宋"/>
          <w:bCs/>
          <w:color w:val="000000"/>
        </w:rPr>
        <w:t>份（壹份正本、</w:t>
      </w:r>
      <w:r>
        <w:rPr>
          <w:rFonts w:hint="eastAsia" w:ascii="仿宋" w:hAnsi="仿宋" w:eastAsia="仿宋" w:cs="仿宋"/>
          <w:bCs/>
          <w:color w:val="000000"/>
          <w:lang w:val="en-US" w:eastAsia="zh-CN"/>
        </w:rPr>
        <w:t>贰</w:t>
      </w:r>
      <w:r>
        <w:rPr>
          <w:rFonts w:hint="eastAsia" w:ascii="仿宋" w:hAnsi="仿宋" w:eastAsia="仿宋" w:cs="仿宋"/>
          <w:bCs/>
          <w:color w:val="000000"/>
        </w:rPr>
        <w:t>份副本），电子版响应文件壹份</w:t>
      </w:r>
      <w:r>
        <w:rPr>
          <w:rFonts w:hint="eastAsia" w:ascii="仿宋" w:hAnsi="仿宋" w:eastAsia="仿宋" w:cs="仿宋"/>
          <w:color w:val="000000"/>
        </w:rPr>
        <w:t>（响应文件电子版中必须包含响应文件的全部内容，不得加密，所有文档、图表等采用 PDF 格式，电子版响应文件应为盖章版扫描件，随纸质正本文件一并提交）。当纸质正本文件和电子版文件不一致时，以纸质正本文件为准。电子版文件用于存档，投标供应商需承担前述不一致造成的不利后果。每份纸质文件须清楚标明“正本”或“副本”字样。一旦正本和副本不符，以正本为准。</w:t>
      </w:r>
    </w:p>
    <w:p w14:paraId="5F72CD14">
      <w:pPr>
        <w:spacing w:line="288" w:lineRule="auto"/>
        <w:rPr>
          <w:rFonts w:ascii="仿宋" w:hAnsi="仿宋" w:eastAsia="仿宋" w:cs="仿宋"/>
          <w:color w:val="000000"/>
        </w:rPr>
      </w:pPr>
      <w:bookmarkStart w:id="17" w:name="_Toc35393633"/>
      <w:bookmarkStart w:id="18" w:name="_Toc28359093"/>
      <w:bookmarkStart w:id="19" w:name="_Toc28359016"/>
      <w:bookmarkStart w:id="20" w:name="_Toc35393802"/>
      <w:r>
        <w:rPr>
          <w:rFonts w:hint="eastAsia" w:ascii="仿宋" w:hAnsi="仿宋" w:eastAsia="仿宋" w:cs="仿宋"/>
          <w:color w:val="000000"/>
        </w:rPr>
        <w:t>五、开启</w:t>
      </w:r>
      <w:bookmarkEnd w:id="17"/>
      <w:bookmarkEnd w:id="18"/>
      <w:bookmarkEnd w:id="19"/>
      <w:bookmarkEnd w:id="20"/>
    </w:p>
    <w:p w14:paraId="1588F12E">
      <w:pPr>
        <w:spacing w:line="288" w:lineRule="auto"/>
        <w:ind w:firstLine="420"/>
        <w:rPr>
          <w:rFonts w:ascii="仿宋" w:hAnsi="仿宋" w:eastAsia="仿宋" w:cs="仿宋"/>
        </w:rPr>
      </w:pPr>
      <w:r>
        <w:rPr>
          <w:rFonts w:hint="eastAsia" w:ascii="仿宋" w:hAnsi="仿宋" w:eastAsia="仿宋" w:cs="仿宋"/>
        </w:rPr>
        <w:t>1、时间：</w:t>
      </w:r>
      <w:r>
        <w:rPr>
          <w:rFonts w:hint="eastAsia" w:ascii="仿宋" w:hAnsi="仿宋" w:eastAsia="仿宋" w:cs="仿宋"/>
          <w:color w:val="0000FF"/>
        </w:rPr>
        <w:t>2026年1月</w:t>
      </w:r>
      <w:r>
        <w:rPr>
          <w:rFonts w:hint="eastAsia" w:ascii="仿宋" w:hAnsi="仿宋" w:eastAsia="仿宋" w:cs="仿宋"/>
          <w:color w:val="0000FF"/>
          <w:lang w:val="en-US" w:eastAsia="zh-CN"/>
        </w:rPr>
        <w:t>26</w:t>
      </w:r>
      <w:r>
        <w:rPr>
          <w:rFonts w:hint="eastAsia" w:ascii="仿宋" w:hAnsi="仿宋" w:eastAsia="仿宋" w:cs="仿宋"/>
          <w:color w:val="0000FF"/>
        </w:rPr>
        <w:t>日14点30分（北京时间）</w:t>
      </w:r>
    </w:p>
    <w:p w14:paraId="3AC80968">
      <w:pPr>
        <w:spacing w:line="288" w:lineRule="auto"/>
        <w:ind w:firstLine="420"/>
        <w:rPr>
          <w:rFonts w:ascii="仿宋" w:hAnsi="仿宋" w:eastAsia="仿宋" w:cs="仿宋"/>
        </w:rPr>
      </w:pPr>
      <w:r>
        <w:rPr>
          <w:rFonts w:hint="eastAsia" w:ascii="仿宋" w:hAnsi="仿宋" w:eastAsia="仿宋" w:cs="仿宋"/>
        </w:rPr>
        <w:t>2、地点：南京市浦口区万寿路10号石林产业园C栋907会议室</w:t>
      </w:r>
    </w:p>
    <w:p w14:paraId="7DEF2E19">
      <w:pPr>
        <w:spacing w:line="288" w:lineRule="auto"/>
        <w:rPr>
          <w:rFonts w:ascii="仿宋" w:hAnsi="仿宋" w:eastAsia="仿宋" w:cs="仿宋"/>
          <w:color w:val="000000"/>
        </w:rPr>
      </w:pPr>
      <w:bookmarkStart w:id="21" w:name="_Toc28359017"/>
      <w:bookmarkStart w:id="22" w:name="_Toc28359094"/>
      <w:bookmarkStart w:id="23" w:name="_Toc35393803"/>
      <w:bookmarkStart w:id="24" w:name="_Toc35393634"/>
      <w:r>
        <w:rPr>
          <w:rFonts w:hint="eastAsia" w:ascii="仿宋" w:hAnsi="仿宋" w:eastAsia="仿宋" w:cs="仿宋"/>
          <w:color w:val="000000"/>
        </w:rPr>
        <w:t>六、公告期限</w:t>
      </w:r>
      <w:bookmarkEnd w:id="21"/>
      <w:bookmarkEnd w:id="22"/>
      <w:bookmarkEnd w:id="23"/>
      <w:bookmarkEnd w:id="24"/>
    </w:p>
    <w:p w14:paraId="238DF553">
      <w:pPr>
        <w:spacing w:line="288" w:lineRule="auto"/>
        <w:ind w:firstLine="420"/>
        <w:rPr>
          <w:rFonts w:ascii="仿宋" w:hAnsi="仿宋" w:eastAsia="仿宋" w:cs="仿宋"/>
          <w:color w:val="000000"/>
        </w:rPr>
      </w:pPr>
      <w:r>
        <w:rPr>
          <w:rFonts w:hint="eastAsia" w:ascii="仿宋" w:hAnsi="仿宋" w:eastAsia="仿宋" w:cs="仿宋"/>
          <w:color w:val="000000"/>
        </w:rPr>
        <w:t>自本公告发布之日起3个工作日。</w:t>
      </w:r>
    </w:p>
    <w:p w14:paraId="69A1C1BB">
      <w:pPr>
        <w:spacing w:line="288" w:lineRule="auto"/>
        <w:rPr>
          <w:rFonts w:ascii="仿宋" w:hAnsi="仿宋" w:eastAsia="仿宋" w:cs="仿宋"/>
          <w:color w:val="000000"/>
        </w:rPr>
      </w:pPr>
      <w:bookmarkStart w:id="25" w:name="_Toc35393804"/>
      <w:bookmarkStart w:id="26" w:name="_Toc35393635"/>
      <w:r>
        <w:rPr>
          <w:rFonts w:hint="eastAsia" w:ascii="仿宋" w:hAnsi="仿宋" w:eastAsia="仿宋" w:cs="仿宋"/>
          <w:color w:val="000000"/>
        </w:rPr>
        <w:t>七、其他补充事宜</w:t>
      </w:r>
      <w:bookmarkEnd w:id="25"/>
      <w:bookmarkEnd w:id="26"/>
    </w:p>
    <w:p w14:paraId="32A6054D">
      <w:pPr>
        <w:spacing w:line="288" w:lineRule="auto"/>
        <w:ind w:firstLine="420"/>
        <w:rPr>
          <w:rFonts w:ascii="仿宋" w:hAnsi="仿宋" w:eastAsia="仿宋" w:cs="仿宋"/>
          <w:color w:val="000000"/>
        </w:rPr>
      </w:pPr>
      <w:r>
        <w:rPr>
          <w:rFonts w:hint="eastAsia" w:ascii="仿宋" w:hAnsi="仿宋" w:eastAsia="仿宋" w:cs="仿宋"/>
          <w:color w:val="000000"/>
        </w:rPr>
        <w:t>1、采购项目需要落实的政府采购政策：</w:t>
      </w:r>
    </w:p>
    <w:p w14:paraId="2151F68E">
      <w:pPr>
        <w:spacing w:line="288" w:lineRule="auto"/>
        <w:ind w:firstLine="420"/>
        <w:rPr>
          <w:rFonts w:ascii="仿宋" w:hAnsi="仿宋" w:eastAsia="仿宋" w:cs="仿宋"/>
          <w:color w:val="000000"/>
        </w:rPr>
      </w:pPr>
      <w:r>
        <w:rPr>
          <w:rFonts w:hint="eastAsia" w:ascii="仿宋" w:hAnsi="仿宋" w:eastAsia="仿宋" w:cs="仿宋"/>
          <w:color w:val="000000"/>
        </w:rPr>
        <w:t>（1）《政府采购促进中小企业发展管理办法》</w:t>
      </w:r>
    </w:p>
    <w:p w14:paraId="5506E879">
      <w:pPr>
        <w:spacing w:line="288" w:lineRule="auto"/>
        <w:ind w:firstLine="420"/>
        <w:rPr>
          <w:rFonts w:ascii="仿宋" w:hAnsi="仿宋" w:eastAsia="仿宋" w:cs="仿宋"/>
          <w:color w:val="000000"/>
        </w:rPr>
      </w:pPr>
      <w:r>
        <w:rPr>
          <w:rFonts w:hint="eastAsia" w:ascii="仿宋" w:hAnsi="仿宋" w:eastAsia="仿宋" w:cs="仿宋"/>
          <w:color w:val="000000"/>
        </w:rPr>
        <w:t>（2）《关于政府采购支持监狱企业发展有关问题的通知》</w:t>
      </w:r>
    </w:p>
    <w:p w14:paraId="4990D681">
      <w:pPr>
        <w:spacing w:line="288" w:lineRule="auto"/>
        <w:ind w:firstLine="420"/>
        <w:rPr>
          <w:rFonts w:ascii="仿宋" w:hAnsi="仿宋" w:eastAsia="仿宋" w:cs="仿宋"/>
          <w:color w:val="000000"/>
        </w:rPr>
      </w:pPr>
      <w:r>
        <w:rPr>
          <w:rFonts w:hint="eastAsia" w:ascii="仿宋" w:hAnsi="仿宋" w:eastAsia="仿宋" w:cs="仿宋"/>
          <w:color w:val="000000"/>
        </w:rPr>
        <w:t>（3）《关于促进残疾人就业政府采购政策的通知》</w:t>
      </w:r>
    </w:p>
    <w:p w14:paraId="0EC13AF4">
      <w:pPr>
        <w:spacing w:line="288" w:lineRule="auto"/>
        <w:ind w:firstLine="420"/>
        <w:rPr>
          <w:rFonts w:ascii="仿宋" w:hAnsi="仿宋" w:eastAsia="仿宋" w:cs="仿宋"/>
          <w:color w:val="000000"/>
        </w:rPr>
      </w:pPr>
      <w:r>
        <w:rPr>
          <w:rFonts w:hint="eastAsia" w:ascii="仿宋" w:hAnsi="仿宋" w:eastAsia="仿宋" w:cs="仿宋"/>
          <w:color w:val="000000"/>
        </w:rPr>
        <w:t>（4）《关于调整优化节能产品、环境标志产品政府采购执行机制的通知》</w:t>
      </w:r>
    </w:p>
    <w:p w14:paraId="4CB6167D">
      <w:pPr>
        <w:spacing w:line="288" w:lineRule="auto"/>
        <w:ind w:firstLine="420"/>
        <w:rPr>
          <w:rFonts w:ascii="仿宋" w:hAnsi="仿宋" w:eastAsia="仿宋" w:cs="仿宋"/>
          <w:color w:val="000000"/>
        </w:rPr>
      </w:pPr>
      <w:r>
        <w:rPr>
          <w:rFonts w:hint="eastAsia" w:ascii="仿宋" w:hAnsi="仿宋" w:eastAsia="仿宋" w:cs="仿宋"/>
          <w:color w:val="000000"/>
        </w:rPr>
        <w:t>（5）《关于做好政府采购支持企业发展有关事项的通知》</w:t>
      </w:r>
    </w:p>
    <w:p w14:paraId="07EBF3F3">
      <w:pPr>
        <w:spacing w:line="288" w:lineRule="auto"/>
        <w:ind w:firstLine="420"/>
        <w:rPr>
          <w:rFonts w:ascii="仿宋" w:hAnsi="仿宋" w:eastAsia="仿宋" w:cs="仿宋"/>
          <w:color w:val="000000"/>
        </w:rPr>
      </w:pPr>
      <w:bookmarkStart w:id="27" w:name="_Toc35393805"/>
      <w:bookmarkStart w:id="28" w:name="_Toc28359095"/>
      <w:bookmarkStart w:id="29" w:name="_Toc28359018"/>
      <w:bookmarkStart w:id="30" w:name="_Toc35393636"/>
      <w:r>
        <w:rPr>
          <w:rFonts w:hint="eastAsia" w:ascii="仿宋" w:hAnsi="仿宋" w:eastAsia="仿宋" w:cs="仿宋"/>
          <w:color w:val="000000"/>
        </w:rPr>
        <w:t>2、供应商诚信档案管理</w:t>
      </w:r>
    </w:p>
    <w:p w14:paraId="4A7E07B9">
      <w:pPr>
        <w:spacing w:line="288" w:lineRule="auto"/>
        <w:ind w:firstLine="420"/>
        <w:rPr>
          <w:rFonts w:ascii="仿宋" w:hAnsi="仿宋" w:eastAsia="仿宋" w:cs="仿宋"/>
          <w:color w:val="000000"/>
        </w:rPr>
      </w:pPr>
      <w:r>
        <w:rPr>
          <w:rFonts w:hint="eastAsia" w:ascii="仿宋" w:hAnsi="仿宋" w:eastAsia="仿宋" w:cs="仿宋"/>
          <w:color w:val="000000"/>
        </w:rPr>
        <w:t>根据《南京市政府采购供应商信用管理工作暂行办法》（宁财规[2018]10号）有关规定，凡在南京地区参加政府采购活动的供应商，应当事先登陆“信用南京”（www.njcredit.gov.cn）或“南京公共采购信息网”（https://njgc.jfh.com/）主页“南京市政府采购供应商诚信档案”栏目进行注册登记。由于特殊原因未及时注册的供应商可先行获取采购文件，但必须在提交投标（响应）文件截止日2天前办理登记注册手续。</w:t>
      </w:r>
    </w:p>
    <w:p w14:paraId="12B7B670">
      <w:pPr>
        <w:spacing w:line="288" w:lineRule="auto"/>
        <w:ind w:firstLine="420"/>
        <w:rPr>
          <w:rFonts w:ascii="仿宋" w:hAnsi="仿宋" w:eastAsia="仿宋" w:cs="仿宋"/>
          <w:color w:val="000000"/>
        </w:rPr>
      </w:pPr>
      <w:r>
        <w:rPr>
          <w:rFonts w:hint="eastAsia" w:ascii="仿宋" w:hAnsi="仿宋" w:eastAsia="仿宋" w:cs="仿宋"/>
          <w:color w:val="000000"/>
        </w:rPr>
        <w:t>供应商申请网上注册的，应当按以下程序进行：</w:t>
      </w:r>
    </w:p>
    <w:p w14:paraId="30D8A0E6">
      <w:pPr>
        <w:spacing w:line="288" w:lineRule="auto"/>
        <w:ind w:firstLine="420"/>
        <w:rPr>
          <w:rFonts w:ascii="仿宋" w:hAnsi="仿宋" w:eastAsia="仿宋" w:cs="仿宋"/>
          <w:color w:val="000000"/>
        </w:rPr>
      </w:pPr>
      <w:r>
        <w:rPr>
          <w:rFonts w:hint="eastAsia" w:ascii="仿宋" w:hAnsi="仿宋" w:eastAsia="仿宋" w:cs="仿宋"/>
          <w:color w:val="000000"/>
        </w:rPr>
        <w:t>（1）登陆“信用南京”或“南京公共采购信息网”网站，点击“南京市政府采购供应商诚信档案”图标，在弹出的用户登录界面，点击“新用户注册”；</w:t>
      </w:r>
    </w:p>
    <w:p w14:paraId="5FB1A457">
      <w:pPr>
        <w:spacing w:line="288" w:lineRule="auto"/>
        <w:ind w:firstLine="420"/>
        <w:rPr>
          <w:rFonts w:ascii="仿宋" w:hAnsi="仿宋" w:eastAsia="仿宋" w:cs="仿宋"/>
          <w:color w:val="000000"/>
        </w:rPr>
      </w:pPr>
      <w:r>
        <w:rPr>
          <w:rFonts w:hint="eastAsia" w:ascii="仿宋" w:hAnsi="仿宋" w:eastAsia="仿宋" w:cs="仿宋"/>
          <w:color w:val="000000"/>
        </w:rPr>
        <w:t>（2）在“新用户注册”界面，供应商自行设置用户名、登录密码，如实填写“南京市政府采购供应商诚信档案注册登记表”，根据本办法第十七条规定上传相关资料，并进行信用承诺确认后，提交注册申请；系统审核后，供应商即可登录系统进行相关功能操作。</w:t>
      </w:r>
    </w:p>
    <w:p w14:paraId="3BD246F3">
      <w:pPr>
        <w:spacing w:line="288" w:lineRule="auto"/>
        <w:ind w:firstLine="420"/>
        <w:rPr>
          <w:rFonts w:ascii="仿宋" w:hAnsi="仿宋" w:eastAsia="仿宋" w:cs="仿宋"/>
          <w:color w:val="000000"/>
        </w:rPr>
      </w:pPr>
      <w:r>
        <w:rPr>
          <w:rFonts w:hint="eastAsia" w:ascii="仿宋" w:hAnsi="仿宋" w:eastAsia="仿宋" w:cs="仿宋"/>
          <w:color w:val="000000"/>
        </w:rPr>
        <w:t>注册成功后，供应商参加本次政府采购活动时，在采购文件发布之日起至递交响应文件截止日前，应先登录“信用南京”或“南京公共采购信息网”在线打印其“南京市政府采购供应商信用记录表暨信用承诺书”，经法定代表人签名盖章后作为响应文件的组成部分“南京市政府采购供应商信用记录表暨信用承诺书”是其参加本次政府采购活动的必备材料。</w:t>
      </w:r>
    </w:p>
    <w:p w14:paraId="05C47AE0">
      <w:pPr>
        <w:spacing w:line="288" w:lineRule="auto"/>
        <w:ind w:firstLine="420"/>
        <w:rPr>
          <w:rFonts w:ascii="仿宋" w:hAnsi="仿宋" w:eastAsia="仿宋" w:cs="仿宋"/>
          <w:color w:val="000000"/>
        </w:rPr>
      </w:pPr>
      <w:r>
        <w:rPr>
          <w:rFonts w:hint="eastAsia" w:ascii="仿宋" w:hAnsi="仿宋" w:eastAsia="仿宋" w:cs="仿宋"/>
          <w:color w:val="000000"/>
        </w:rPr>
        <w:t>南京市政府采购供应商诚信档案管理系统客服电话：025-52718366；供应商可就用户注册与打印“南京市政府采购供应商信用记录表暨信用承诺书”等事宜进行咨询。</w:t>
      </w:r>
    </w:p>
    <w:p w14:paraId="63AC5EA3">
      <w:pPr>
        <w:spacing w:line="288" w:lineRule="auto"/>
        <w:ind w:firstLine="420"/>
        <w:rPr>
          <w:rFonts w:ascii="仿宋" w:hAnsi="仿宋" w:eastAsia="仿宋" w:cs="仿宋"/>
          <w:color w:val="000000"/>
        </w:rPr>
      </w:pPr>
      <w:r>
        <w:rPr>
          <w:rFonts w:hint="eastAsia" w:ascii="仿宋" w:hAnsi="仿宋" w:eastAsia="仿宋" w:cs="仿宋"/>
          <w:color w:val="000000"/>
        </w:rPr>
        <w:t>八、凡对本次采购提出询问，请按以下方式联系。</w:t>
      </w:r>
      <w:bookmarkEnd w:id="27"/>
      <w:bookmarkEnd w:id="28"/>
      <w:bookmarkEnd w:id="29"/>
      <w:bookmarkEnd w:id="30"/>
    </w:p>
    <w:p w14:paraId="4E9978B0">
      <w:pPr>
        <w:spacing w:line="288" w:lineRule="auto"/>
        <w:ind w:firstLine="420"/>
        <w:rPr>
          <w:rFonts w:ascii="仿宋" w:hAnsi="仿宋" w:eastAsia="仿宋" w:cs="仿宋"/>
          <w:color w:val="000000"/>
        </w:rPr>
      </w:pPr>
      <w:bookmarkStart w:id="31" w:name="_Toc35393806"/>
      <w:bookmarkStart w:id="32" w:name="_Toc28359019"/>
      <w:bookmarkStart w:id="33" w:name="_Toc35393637"/>
      <w:bookmarkStart w:id="34" w:name="_Toc28359096"/>
      <w:r>
        <w:rPr>
          <w:rFonts w:hint="eastAsia" w:ascii="仿宋" w:hAnsi="仿宋" w:eastAsia="仿宋" w:cs="仿宋"/>
          <w:color w:val="000000"/>
        </w:rPr>
        <w:t>1.采购人信息</w:t>
      </w:r>
      <w:bookmarkEnd w:id="31"/>
      <w:bookmarkEnd w:id="32"/>
      <w:bookmarkEnd w:id="33"/>
      <w:bookmarkEnd w:id="34"/>
    </w:p>
    <w:p w14:paraId="28A3C4CA">
      <w:pPr>
        <w:spacing w:line="288" w:lineRule="auto"/>
        <w:ind w:firstLine="420"/>
        <w:rPr>
          <w:rFonts w:ascii="仿宋" w:hAnsi="仿宋" w:eastAsia="仿宋" w:cs="仿宋"/>
          <w:color w:val="000000"/>
        </w:rPr>
      </w:pPr>
      <w:r>
        <w:rPr>
          <w:rFonts w:hint="eastAsia" w:ascii="仿宋" w:hAnsi="仿宋" w:eastAsia="仿宋" w:cs="仿宋"/>
          <w:color w:val="000000"/>
        </w:rPr>
        <w:t>名称：南京市浦口区人民政府顶山街道办事处</w:t>
      </w:r>
    </w:p>
    <w:p w14:paraId="6DC4F68C">
      <w:pPr>
        <w:spacing w:line="288" w:lineRule="auto"/>
        <w:ind w:firstLine="420"/>
        <w:rPr>
          <w:rFonts w:ascii="仿宋" w:hAnsi="仿宋" w:eastAsia="仿宋" w:cs="仿宋"/>
          <w:color w:val="000000"/>
          <w:szCs w:val="21"/>
        </w:rPr>
      </w:pPr>
      <w:r>
        <w:rPr>
          <w:rFonts w:hint="eastAsia" w:ascii="仿宋" w:hAnsi="仿宋" w:eastAsia="仿宋" w:cs="仿宋"/>
          <w:color w:val="000000"/>
        </w:rPr>
        <w:t>地址：</w:t>
      </w:r>
      <w:r>
        <w:rPr>
          <w:rFonts w:hint="eastAsia" w:ascii="仿宋" w:hAnsi="仿宋" w:eastAsia="仿宋" w:cs="仿宋"/>
          <w:color w:val="000000"/>
          <w:szCs w:val="21"/>
        </w:rPr>
        <w:t xml:space="preserve"> 南京市浦口区顶山街道吉庆路10号</w:t>
      </w:r>
    </w:p>
    <w:p w14:paraId="452ED4FF">
      <w:pPr>
        <w:spacing w:line="288" w:lineRule="auto"/>
        <w:ind w:firstLine="420"/>
        <w:rPr>
          <w:rFonts w:ascii="仿宋" w:hAnsi="仿宋" w:eastAsia="仿宋" w:cs="仿宋"/>
          <w:color w:val="000000"/>
          <w:szCs w:val="21"/>
        </w:rPr>
      </w:pPr>
      <w:r>
        <w:rPr>
          <w:rFonts w:hint="eastAsia" w:ascii="仿宋" w:hAnsi="仿宋" w:eastAsia="仿宋" w:cs="仿宋"/>
          <w:color w:val="000000"/>
        </w:rPr>
        <w:t>联系人： 董科</w:t>
      </w:r>
    </w:p>
    <w:p w14:paraId="0A6F45BB">
      <w:pPr>
        <w:spacing w:line="288" w:lineRule="auto"/>
        <w:ind w:firstLine="420"/>
        <w:rPr>
          <w:rFonts w:ascii="仿宋" w:hAnsi="仿宋" w:eastAsia="仿宋" w:cs="仿宋"/>
          <w:color w:val="000000"/>
        </w:rPr>
      </w:pPr>
      <w:r>
        <w:rPr>
          <w:rFonts w:hint="eastAsia" w:ascii="仿宋" w:hAnsi="仿宋" w:eastAsia="仿宋" w:cs="仿宋"/>
          <w:color w:val="000000"/>
        </w:rPr>
        <w:t>联系方式：</w:t>
      </w:r>
      <w:bookmarkStart w:id="35" w:name="_Toc28359097"/>
      <w:bookmarkStart w:id="36" w:name="_Toc35393807"/>
      <w:bookmarkStart w:id="37" w:name="_Toc35393638"/>
      <w:bookmarkStart w:id="38" w:name="_Toc28359020"/>
      <w:r>
        <w:rPr>
          <w:rFonts w:hint="eastAsia" w:ascii="仿宋" w:hAnsi="仿宋" w:eastAsia="仿宋" w:cs="仿宋"/>
          <w:color w:val="000000"/>
        </w:rPr>
        <w:t xml:space="preserve"> 025-58852994</w:t>
      </w:r>
    </w:p>
    <w:p w14:paraId="6712758E">
      <w:pPr>
        <w:spacing w:line="288" w:lineRule="auto"/>
        <w:ind w:firstLine="420"/>
        <w:rPr>
          <w:rFonts w:ascii="仿宋" w:hAnsi="仿宋" w:eastAsia="仿宋" w:cs="仿宋"/>
          <w:color w:val="000000"/>
        </w:rPr>
      </w:pPr>
      <w:r>
        <w:rPr>
          <w:rFonts w:hint="eastAsia" w:ascii="仿宋" w:hAnsi="仿宋" w:eastAsia="仿宋" w:cs="仿宋"/>
          <w:color w:val="000000"/>
        </w:rPr>
        <w:t>2.采购代理机构信息</w:t>
      </w:r>
      <w:bookmarkEnd w:id="35"/>
      <w:bookmarkEnd w:id="36"/>
      <w:bookmarkEnd w:id="37"/>
      <w:bookmarkEnd w:id="38"/>
    </w:p>
    <w:p w14:paraId="73F17DA7">
      <w:pPr>
        <w:spacing w:line="288" w:lineRule="auto"/>
        <w:ind w:firstLine="420"/>
        <w:rPr>
          <w:rFonts w:ascii="仿宋" w:hAnsi="仿宋" w:eastAsia="仿宋" w:cs="仿宋"/>
          <w:color w:val="000000"/>
        </w:rPr>
      </w:pPr>
      <w:r>
        <w:rPr>
          <w:rFonts w:hint="eastAsia" w:ascii="仿宋" w:hAnsi="仿宋" w:eastAsia="仿宋" w:cs="仿宋"/>
          <w:color w:val="000000"/>
        </w:rPr>
        <w:t>名称：江苏中正智汇工程咨询有限公司</w:t>
      </w:r>
    </w:p>
    <w:p w14:paraId="5CA2B996">
      <w:pPr>
        <w:spacing w:line="288" w:lineRule="auto"/>
        <w:ind w:firstLine="420"/>
        <w:rPr>
          <w:rFonts w:ascii="仿宋" w:hAnsi="仿宋" w:eastAsia="仿宋" w:cs="仿宋"/>
          <w:color w:val="000000"/>
        </w:rPr>
      </w:pPr>
      <w:r>
        <w:rPr>
          <w:rFonts w:hint="eastAsia" w:ascii="仿宋" w:hAnsi="仿宋" w:eastAsia="仿宋" w:cs="仿宋"/>
          <w:color w:val="000000"/>
        </w:rPr>
        <w:t>地址：南京市浦口区万寿路10号石林产业园C栋704室</w:t>
      </w:r>
    </w:p>
    <w:p w14:paraId="21E33F26">
      <w:pPr>
        <w:spacing w:line="288" w:lineRule="auto"/>
        <w:ind w:firstLine="420"/>
        <w:rPr>
          <w:rFonts w:ascii="仿宋" w:hAnsi="仿宋" w:eastAsia="仿宋" w:cs="仿宋"/>
          <w:color w:val="000000"/>
        </w:rPr>
      </w:pPr>
      <w:r>
        <w:rPr>
          <w:rFonts w:hint="eastAsia" w:ascii="仿宋" w:hAnsi="仿宋" w:eastAsia="仿宋" w:cs="仿宋"/>
          <w:color w:val="000000"/>
        </w:rPr>
        <w:t>联系人：孙工</w:t>
      </w:r>
    </w:p>
    <w:p w14:paraId="71269C67">
      <w:pPr>
        <w:widowControl/>
        <w:spacing w:line="288" w:lineRule="auto"/>
        <w:ind w:firstLine="420"/>
        <w:jc w:val="left"/>
        <w:rPr>
          <w:rFonts w:ascii="仿宋" w:hAnsi="仿宋" w:eastAsia="仿宋" w:cs="仿宋"/>
          <w:color w:val="000000"/>
        </w:rPr>
      </w:pPr>
      <w:r>
        <w:rPr>
          <w:rFonts w:hint="eastAsia" w:ascii="仿宋" w:hAnsi="仿宋" w:eastAsia="仿宋" w:cs="仿宋"/>
          <w:color w:val="000000"/>
        </w:rPr>
        <w:t>联系方式：18061440984</w:t>
      </w:r>
    </w:p>
    <w:p w14:paraId="04A1FB8C">
      <w:pPr>
        <w:ind w:firstLine="5250"/>
        <w:jc w:val="right"/>
        <w:rPr>
          <w:rFonts w:ascii="仿宋" w:hAnsi="仿宋" w:eastAsia="仿宋" w:cs="仿宋"/>
          <w:color w:val="000000"/>
        </w:rPr>
      </w:pPr>
    </w:p>
    <w:p w14:paraId="0D372702">
      <w:pPr>
        <w:ind w:firstLine="5250"/>
        <w:jc w:val="right"/>
        <w:rPr>
          <w:rFonts w:ascii="仿宋" w:hAnsi="仿宋" w:eastAsia="仿宋" w:cs="仿宋"/>
          <w:color w:val="000000"/>
        </w:rPr>
      </w:pPr>
    </w:p>
    <w:p w14:paraId="1A06B62F">
      <w:pPr>
        <w:spacing w:line="360" w:lineRule="auto"/>
        <w:jc w:val="center"/>
        <w:outlineLvl w:val="0"/>
        <w:rPr>
          <w:rFonts w:ascii="仿宋" w:hAnsi="仿宋" w:eastAsia="仿宋" w:cs="仿宋"/>
          <w:b/>
          <w:bCs/>
          <w:color w:val="000000"/>
          <w:sz w:val="32"/>
          <w:szCs w:val="32"/>
          <w:lang w:val="zh-CN"/>
        </w:rPr>
      </w:pPr>
      <w:r>
        <w:rPr>
          <w:rFonts w:hint="eastAsia" w:ascii="仿宋" w:hAnsi="仿宋" w:eastAsia="仿宋" w:cs="仿宋"/>
          <w:b/>
          <w:bCs/>
          <w:color w:val="000000"/>
          <w:sz w:val="32"/>
          <w:szCs w:val="32"/>
          <w:lang w:val="zh-CN"/>
        </w:rPr>
        <w:br w:type="page" w:clear="all"/>
      </w:r>
      <w:bookmarkStart w:id="39" w:name="_Toc13505"/>
      <w:r>
        <w:rPr>
          <w:rFonts w:hint="eastAsia" w:ascii="仿宋" w:hAnsi="仿宋" w:eastAsia="仿宋" w:cs="仿宋"/>
          <w:b/>
          <w:bCs/>
          <w:color w:val="000000"/>
          <w:sz w:val="32"/>
          <w:szCs w:val="32"/>
          <w:lang w:val="zh-CN"/>
        </w:rPr>
        <w:t>第二章</w:t>
      </w:r>
      <w:r>
        <w:rPr>
          <w:rFonts w:hint="eastAsia" w:ascii="仿宋" w:hAnsi="仿宋" w:eastAsia="仿宋" w:cs="仿宋"/>
          <w:b/>
          <w:bCs/>
          <w:color w:val="000000"/>
          <w:sz w:val="32"/>
          <w:szCs w:val="32"/>
        </w:rPr>
        <w:t xml:space="preserve"> </w:t>
      </w:r>
      <w:r>
        <w:rPr>
          <w:rFonts w:hint="eastAsia" w:ascii="仿宋" w:hAnsi="仿宋" w:eastAsia="仿宋" w:cs="仿宋"/>
          <w:b/>
          <w:bCs/>
          <w:color w:val="000000"/>
          <w:sz w:val="32"/>
          <w:szCs w:val="32"/>
          <w:lang w:val="zh-CN"/>
        </w:rPr>
        <w:t>竞争性磋商须知</w:t>
      </w:r>
      <w:bookmarkEnd w:id="39"/>
    </w:p>
    <w:p w14:paraId="523D3095">
      <w:pPr>
        <w:spacing w:line="360" w:lineRule="auto"/>
        <w:ind w:firstLine="420"/>
        <w:jc w:val="left"/>
        <w:outlineLvl w:val="0"/>
        <w:rPr>
          <w:rFonts w:ascii="仿宋" w:hAnsi="仿宋" w:eastAsia="仿宋" w:cs="仿宋"/>
          <w:b/>
          <w:color w:val="000000"/>
          <w:sz w:val="28"/>
          <w:szCs w:val="28"/>
          <w:lang w:val="zh-CN"/>
        </w:rPr>
      </w:pPr>
      <w:bookmarkStart w:id="40" w:name="_Toc7420"/>
      <w:r>
        <w:rPr>
          <w:rFonts w:hint="eastAsia" w:ascii="仿宋" w:hAnsi="仿宋" w:eastAsia="仿宋" w:cs="仿宋"/>
          <w:b/>
          <w:color w:val="000000"/>
          <w:sz w:val="28"/>
          <w:szCs w:val="28"/>
          <w:lang w:val="zh-CN"/>
        </w:rPr>
        <w:t>一、总则</w:t>
      </w:r>
      <w:bookmarkEnd w:id="40"/>
    </w:p>
    <w:p w14:paraId="14B5ACF4">
      <w:pPr>
        <w:spacing w:line="360" w:lineRule="auto"/>
        <w:ind w:firstLine="420"/>
        <w:rPr>
          <w:rFonts w:ascii="仿宋" w:hAnsi="仿宋" w:eastAsia="仿宋" w:cs="仿宋"/>
          <w:b/>
          <w:color w:val="000000"/>
          <w:szCs w:val="21"/>
          <w:lang w:val="zh-CN"/>
        </w:rPr>
      </w:pPr>
      <w:r>
        <w:rPr>
          <w:rFonts w:hint="eastAsia" w:ascii="仿宋" w:hAnsi="仿宋" w:eastAsia="仿宋" w:cs="仿宋"/>
          <w:b/>
          <w:color w:val="000000"/>
          <w:szCs w:val="21"/>
          <w:lang w:val="zh-CN"/>
        </w:rPr>
        <w:t>1、适用法律：</w:t>
      </w:r>
    </w:p>
    <w:p w14:paraId="22D73D4E">
      <w:pPr>
        <w:spacing w:line="360" w:lineRule="auto"/>
        <w:ind w:firstLine="420"/>
        <w:rPr>
          <w:rFonts w:ascii="仿宋" w:hAnsi="仿宋" w:eastAsia="仿宋" w:cs="仿宋"/>
          <w:color w:val="000000"/>
          <w:szCs w:val="21"/>
          <w:lang w:val="zh-CN"/>
        </w:rPr>
      </w:pPr>
      <w:r>
        <w:rPr>
          <w:rFonts w:hint="eastAsia" w:ascii="仿宋" w:hAnsi="仿宋" w:eastAsia="仿宋" w:cs="仿宋"/>
          <w:color w:val="000000"/>
          <w:szCs w:val="21"/>
          <w:lang w:val="zh-CN"/>
        </w:rPr>
        <w:t>1.1《中华人民共和国政府采购法》、《中华人民共和国政府采购法实施条例》、《政府采购非招标方式管理办法》等有关法律、规章和规定等。</w:t>
      </w:r>
    </w:p>
    <w:p w14:paraId="702ECA30">
      <w:pPr>
        <w:spacing w:line="360" w:lineRule="auto"/>
        <w:ind w:firstLine="420"/>
        <w:rPr>
          <w:rFonts w:ascii="仿宋" w:hAnsi="仿宋" w:eastAsia="仿宋" w:cs="仿宋"/>
          <w:b/>
          <w:color w:val="000000"/>
          <w:szCs w:val="21"/>
          <w:lang w:val="zh-CN"/>
        </w:rPr>
      </w:pPr>
      <w:r>
        <w:rPr>
          <w:rFonts w:hint="eastAsia" w:ascii="仿宋" w:hAnsi="仿宋" w:eastAsia="仿宋" w:cs="仿宋"/>
          <w:b/>
          <w:color w:val="000000"/>
          <w:szCs w:val="21"/>
          <w:lang w:val="zh-CN"/>
        </w:rPr>
        <w:t>2、定义</w:t>
      </w:r>
    </w:p>
    <w:p w14:paraId="353CB3E4">
      <w:pPr>
        <w:spacing w:line="360" w:lineRule="auto"/>
        <w:ind w:firstLine="420"/>
        <w:rPr>
          <w:rFonts w:ascii="仿宋" w:hAnsi="仿宋" w:eastAsia="仿宋" w:cs="仿宋"/>
          <w:color w:val="000000"/>
          <w:szCs w:val="21"/>
          <w:lang w:val="zh-CN"/>
        </w:rPr>
      </w:pPr>
      <w:r>
        <w:rPr>
          <w:rFonts w:hint="eastAsia" w:ascii="仿宋" w:hAnsi="仿宋" w:eastAsia="仿宋" w:cs="仿宋"/>
          <w:color w:val="000000"/>
          <w:szCs w:val="21"/>
          <w:lang w:val="zh-CN"/>
        </w:rPr>
        <w:t>2.1“供应商”</w:t>
      </w:r>
      <w:r>
        <w:rPr>
          <w:rFonts w:hint="eastAsia" w:ascii="仿宋" w:hAnsi="仿宋" w:eastAsia="仿宋" w:cs="仿宋"/>
          <w:color w:val="000000"/>
          <w:szCs w:val="21"/>
        </w:rPr>
        <w:t>是指参加磋商竞争，并符合采购文件规定资格条件的法人、其他组织或者自然人。</w:t>
      </w:r>
    </w:p>
    <w:p w14:paraId="0673CFD2">
      <w:pPr>
        <w:spacing w:line="360" w:lineRule="auto"/>
        <w:ind w:firstLine="420"/>
        <w:rPr>
          <w:rFonts w:ascii="仿宋" w:hAnsi="仿宋" w:eastAsia="仿宋" w:cs="仿宋"/>
          <w:b/>
          <w:color w:val="000000"/>
          <w:szCs w:val="21"/>
          <w:lang w:val="zh-CN"/>
        </w:rPr>
      </w:pPr>
      <w:r>
        <w:rPr>
          <w:rFonts w:hint="eastAsia" w:ascii="仿宋" w:hAnsi="仿宋" w:eastAsia="仿宋" w:cs="仿宋"/>
          <w:color w:val="000000"/>
          <w:szCs w:val="21"/>
          <w:lang w:val="zh-CN"/>
        </w:rPr>
        <w:t>2.2“货物、服务和工程”指本采购文件中所述产品及相关货物、服务和工程。</w:t>
      </w:r>
    </w:p>
    <w:p w14:paraId="45FA10A8">
      <w:pPr>
        <w:spacing w:line="360" w:lineRule="auto"/>
        <w:ind w:firstLine="420"/>
        <w:rPr>
          <w:rFonts w:ascii="仿宋" w:hAnsi="仿宋" w:eastAsia="仿宋" w:cs="仿宋"/>
          <w:color w:val="000000"/>
          <w:szCs w:val="21"/>
          <w:lang w:val="zh-CN"/>
        </w:rPr>
      </w:pPr>
      <w:r>
        <w:rPr>
          <w:rFonts w:hint="eastAsia" w:ascii="仿宋" w:hAnsi="仿宋" w:eastAsia="仿宋" w:cs="仿宋"/>
          <w:color w:val="000000"/>
          <w:szCs w:val="21"/>
          <w:lang w:val="zh-CN"/>
        </w:rPr>
        <w:t>2.3“用户或使用单位”是指使用服务的单位。</w:t>
      </w:r>
    </w:p>
    <w:p w14:paraId="1F316AAE">
      <w:pPr>
        <w:spacing w:line="360" w:lineRule="auto"/>
        <w:ind w:firstLine="420"/>
        <w:rPr>
          <w:rFonts w:ascii="仿宋" w:hAnsi="仿宋" w:eastAsia="仿宋" w:cs="仿宋"/>
          <w:b/>
          <w:color w:val="000000"/>
          <w:szCs w:val="21"/>
          <w:lang w:val="zh-CN"/>
        </w:rPr>
      </w:pPr>
      <w:r>
        <w:rPr>
          <w:rFonts w:hint="eastAsia" w:ascii="仿宋" w:hAnsi="仿宋" w:eastAsia="仿宋" w:cs="仿宋"/>
          <w:b/>
          <w:color w:val="000000"/>
          <w:szCs w:val="21"/>
          <w:lang w:val="zh-CN"/>
        </w:rPr>
        <w:t>3、政策功能</w:t>
      </w:r>
    </w:p>
    <w:p w14:paraId="226979C7">
      <w:pPr>
        <w:spacing w:line="360" w:lineRule="auto"/>
        <w:ind w:firstLine="420"/>
        <w:rPr>
          <w:rFonts w:ascii="仿宋" w:hAnsi="仿宋" w:eastAsia="仿宋" w:cs="仿宋"/>
          <w:color w:val="000000"/>
          <w:szCs w:val="21"/>
          <w:lang w:val="zh-CN"/>
        </w:rPr>
      </w:pPr>
      <w:r>
        <w:rPr>
          <w:rFonts w:hint="eastAsia" w:ascii="仿宋" w:hAnsi="仿宋" w:eastAsia="仿宋" w:cs="仿宋"/>
          <w:color w:val="000000"/>
          <w:szCs w:val="21"/>
          <w:lang w:val="zh-CN"/>
        </w:rPr>
        <w:t>3.1 政府采购促进中小企业发展，在政府采购活动中，供应商提供的货物、工程或者服务符合下列情形的，享受中小企业扶持政策：</w:t>
      </w:r>
    </w:p>
    <w:p w14:paraId="2DF2BE79">
      <w:pPr>
        <w:spacing w:line="360" w:lineRule="auto"/>
        <w:ind w:firstLine="420"/>
        <w:rPr>
          <w:rFonts w:ascii="仿宋" w:hAnsi="仿宋" w:eastAsia="仿宋" w:cs="仿宋"/>
          <w:color w:val="000000"/>
          <w:szCs w:val="21"/>
          <w:lang w:val="zh-CN"/>
        </w:rPr>
      </w:pPr>
      <w:r>
        <w:rPr>
          <w:rFonts w:hint="eastAsia" w:ascii="仿宋" w:hAnsi="仿宋" w:eastAsia="仿宋" w:cs="仿宋"/>
          <w:color w:val="000000"/>
          <w:szCs w:val="21"/>
          <w:lang w:val="zh-CN"/>
        </w:rPr>
        <w:t>（1）在货物采购项目中，货物由中小企业制造，即货物由中小企业生产且使用该中小企业商号或者注册商标；</w:t>
      </w:r>
    </w:p>
    <w:p w14:paraId="026854E1">
      <w:pPr>
        <w:spacing w:line="360" w:lineRule="auto"/>
        <w:ind w:firstLine="420"/>
        <w:rPr>
          <w:rFonts w:ascii="仿宋" w:hAnsi="仿宋" w:eastAsia="仿宋" w:cs="仿宋"/>
          <w:color w:val="000000"/>
          <w:szCs w:val="21"/>
          <w:lang w:val="zh-CN"/>
        </w:rPr>
      </w:pPr>
      <w:r>
        <w:rPr>
          <w:rFonts w:hint="eastAsia" w:ascii="仿宋" w:hAnsi="仿宋" w:eastAsia="仿宋" w:cs="仿宋"/>
          <w:color w:val="000000"/>
          <w:szCs w:val="21"/>
          <w:lang w:val="zh-CN"/>
        </w:rPr>
        <w:t>（2）在工程采购项目中，工程由中小企业承建，即工程施工单位为中小企业；</w:t>
      </w:r>
    </w:p>
    <w:p w14:paraId="57F1CFF0">
      <w:pPr>
        <w:spacing w:line="360" w:lineRule="auto"/>
        <w:ind w:firstLine="420"/>
        <w:rPr>
          <w:rFonts w:ascii="仿宋" w:hAnsi="仿宋" w:eastAsia="仿宋" w:cs="仿宋"/>
          <w:color w:val="000000"/>
          <w:szCs w:val="21"/>
          <w:lang w:val="zh-CN"/>
        </w:rPr>
      </w:pPr>
      <w:r>
        <w:rPr>
          <w:rFonts w:hint="eastAsia" w:ascii="仿宋" w:hAnsi="仿宋" w:eastAsia="仿宋" w:cs="仿宋"/>
          <w:color w:val="000000"/>
          <w:szCs w:val="21"/>
          <w:lang w:val="zh-CN"/>
        </w:rPr>
        <w:t>（3）在服务采购项目中，服务由中小企业承接，即提供服务的人员为中小企业依照《中华人民共和国劳动合同法》订立劳动合同的从业人员。</w:t>
      </w:r>
    </w:p>
    <w:p w14:paraId="2D8E7490">
      <w:pPr>
        <w:spacing w:line="360" w:lineRule="auto"/>
        <w:ind w:firstLine="420"/>
        <w:rPr>
          <w:rFonts w:ascii="仿宋" w:hAnsi="仿宋" w:eastAsia="仿宋" w:cs="仿宋"/>
          <w:color w:val="000000"/>
          <w:szCs w:val="21"/>
          <w:lang w:val="zh-CN"/>
        </w:rPr>
      </w:pPr>
      <w:r>
        <w:rPr>
          <w:rFonts w:hint="eastAsia" w:ascii="仿宋" w:hAnsi="仿宋" w:eastAsia="仿宋" w:cs="仿宋"/>
          <w:color w:val="000000"/>
          <w:szCs w:val="21"/>
          <w:lang w:val="zh-CN"/>
        </w:rPr>
        <w:t>（4）在货物采购项目中，供应商提供的货物既有中小企业制造货物，也有大型企业制造货物的，不享受中小企业扶持政策。</w:t>
      </w:r>
    </w:p>
    <w:p w14:paraId="44EFF909">
      <w:pPr>
        <w:spacing w:line="360" w:lineRule="auto"/>
        <w:ind w:firstLine="420"/>
        <w:rPr>
          <w:rFonts w:ascii="仿宋" w:hAnsi="仿宋" w:eastAsia="仿宋" w:cs="仿宋"/>
          <w:color w:val="000000"/>
          <w:szCs w:val="21"/>
          <w:lang w:val="zh-CN"/>
        </w:rPr>
      </w:pPr>
      <w:r>
        <w:rPr>
          <w:rFonts w:hint="eastAsia" w:ascii="仿宋" w:hAnsi="仿宋" w:eastAsia="仿宋" w:cs="仿宋"/>
          <w:color w:val="000000"/>
          <w:szCs w:val="21"/>
          <w:lang w:val="zh-CN"/>
        </w:rPr>
        <w:t>（5）以联合体形式参加政府采购活动，联合体各方均为中小企业的，联合体视同中小企业。其中，联合体各方均为小微企业的，联合体视同小微企业。</w:t>
      </w:r>
    </w:p>
    <w:p w14:paraId="484DF0D6">
      <w:pPr>
        <w:spacing w:line="360" w:lineRule="auto"/>
        <w:ind w:firstLine="420"/>
        <w:rPr>
          <w:rFonts w:ascii="仿宋" w:hAnsi="仿宋" w:eastAsia="仿宋" w:cs="仿宋"/>
          <w:color w:val="000000"/>
          <w:szCs w:val="21"/>
          <w:lang w:val="zh-CN"/>
        </w:rPr>
      </w:pPr>
      <w:r>
        <w:rPr>
          <w:rFonts w:hint="eastAsia" w:ascii="仿宋" w:hAnsi="仿宋" w:eastAsia="仿宋" w:cs="仿宋"/>
          <w:color w:val="000000"/>
          <w:szCs w:val="21"/>
          <w:lang w:val="zh-CN"/>
        </w:rPr>
        <w:t>（6）中小企业供应商参加政府采购活动，应当出具《中小企业声明函》（格式见后附件），否则不得享受相关中小企业扶持政策。</w:t>
      </w:r>
    </w:p>
    <w:p w14:paraId="29DEC70A">
      <w:pPr>
        <w:spacing w:line="360" w:lineRule="auto"/>
        <w:ind w:firstLine="420"/>
        <w:rPr>
          <w:rFonts w:ascii="仿宋" w:hAnsi="仿宋" w:eastAsia="仿宋" w:cs="仿宋"/>
          <w:color w:val="000000"/>
          <w:szCs w:val="21"/>
          <w:lang w:val="zh-CN"/>
        </w:rPr>
      </w:pPr>
      <w:r>
        <w:rPr>
          <w:rFonts w:hint="eastAsia" w:ascii="仿宋" w:hAnsi="仿宋" w:eastAsia="仿宋" w:cs="仿宋"/>
          <w:color w:val="000000"/>
          <w:szCs w:val="21"/>
          <w:lang w:val="zh-CN"/>
        </w:rPr>
        <w:t>（7）中小企业，是指在中华人民共和国境内依法设立，依据国务院批准的中小企业划分标准（详见《关于印发中小企业划型标准规定的通知》 工信部联企业〔2011〕300号及《国家统计局关于印发〈统计上大中小微型企业划分办法（2017）〉的通知》国统字〔2017〕213号）确定的中型企业、小型企业和微型企业，但与大企业的负责人为同一人，或者与大企业存在直接控股、管理关系的除外。符合中小企业划分标准的个体工商户，在政府采购活动中视同中小企业。</w:t>
      </w:r>
    </w:p>
    <w:p w14:paraId="2E90B4FD">
      <w:pPr>
        <w:spacing w:line="360" w:lineRule="auto"/>
        <w:ind w:firstLine="420"/>
        <w:rPr>
          <w:rFonts w:ascii="仿宋" w:hAnsi="仿宋" w:eastAsia="仿宋" w:cs="仿宋"/>
          <w:color w:val="000000"/>
          <w:szCs w:val="21"/>
          <w:lang w:val="zh-CN"/>
        </w:rPr>
      </w:pPr>
      <w:r>
        <w:rPr>
          <w:rFonts w:hint="eastAsia" w:ascii="仿宋" w:hAnsi="仿宋" w:eastAsia="仿宋" w:cs="仿宋"/>
          <w:color w:val="000000"/>
          <w:szCs w:val="21"/>
          <w:lang w:val="zh-CN"/>
        </w:rPr>
        <w:t>3.2政府采购支持监狱和戒毒企业发展政策，监狱和戒毒企业提供的产品和服务在评标时将获得优势，参加投标的监狱和戒毒企业，应当提供由省级以上监狱管理局、戒毒管理局（含新疆生产建设兵团）出具的属于监狱企业的证明文件，监狱和戒毒企业享受政府采购支持政策的要求详见财库〔2014〕68号。</w:t>
      </w:r>
    </w:p>
    <w:p w14:paraId="45BFB633">
      <w:pPr>
        <w:spacing w:line="360" w:lineRule="auto"/>
        <w:ind w:firstLine="420"/>
        <w:rPr>
          <w:rFonts w:ascii="仿宋" w:hAnsi="仿宋" w:eastAsia="仿宋" w:cs="仿宋"/>
          <w:color w:val="000000"/>
          <w:szCs w:val="21"/>
          <w:lang w:val="zh-CN"/>
        </w:rPr>
      </w:pPr>
      <w:r>
        <w:rPr>
          <w:rFonts w:hint="eastAsia" w:ascii="仿宋" w:hAnsi="仿宋" w:eastAsia="仿宋" w:cs="仿宋"/>
          <w:color w:val="000000"/>
          <w:szCs w:val="21"/>
          <w:lang w:val="zh-CN"/>
        </w:rPr>
        <w:t>3.3政府采购促进残疾人就业政策，残疾人福利性单位提供的产品和服务在评标时将获得优势，参加投标的残疾人福利性单位，应当提供《残疾人福利性单位声明函》，残疾人福利性单位享受政府采购支持政策的要求详见财库〔2017〕141号。</w:t>
      </w:r>
    </w:p>
    <w:p w14:paraId="62CE8726">
      <w:pPr>
        <w:spacing w:line="360" w:lineRule="auto"/>
        <w:ind w:firstLine="420"/>
        <w:rPr>
          <w:rFonts w:ascii="仿宋" w:hAnsi="仿宋" w:eastAsia="仿宋" w:cs="仿宋"/>
          <w:color w:val="000000"/>
          <w:szCs w:val="21"/>
          <w:lang w:val="zh-CN"/>
        </w:rPr>
      </w:pPr>
      <w:r>
        <w:rPr>
          <w:rFonts w:hint="eastAsia" w:ascii="仿宋" w:hAnsi="仿宋" w:eastAsia="仿宋" w:cs="仿宋"/>
          <w:color w:val="000000"/>
          <w:szCs w:val="21"/>
          <w:lang w:val="zh-CN"/>
        </w:rPr>
        <w:t>3.4强制采购节能产品、信息安全产品，优先采购环境标志产品。节能产品是指列入财政部、国家发展和改革委员会制定的《节能产品政府采购品目清单》，且经过认定的节能产品；信息安全产品是指列入国家质检总局、国家认监委《信息安全产品强制性认证目录》，并获得强制性产品认证证书的产品；环境标志产品是指列入财政部、生态环境部制定的《环境标志产品政府采购品目清单》，且依据相关标准的最新版本认证的环境标志产品。</w:t>
      </w:r>
    </w:p>
    <w:p w14:paraId="48445C9E">
      <w:pPr>
        <w:spacing w:line="360" w:lineRule="auto"/>
        <w:ind w:firstLine="420"/>
        <w:rPr>
          <w:rFonts w:ascii="仿宋" w:hAnsi="仿宋" w:eastAsia="仿宋" w:cs="仿宋"/>
          <w:color w:val="000000"/>
          <w:szCs w:val="21"/>
          <w:lang w:val="zh-CN"/>
        </w:rPr>
      </w:pPr>
      <w:r>
        <w:rPr>
          <w:rFonts w:hint="eastAsia" w:ascii="仿宋" w:hAnsi="仿宋" w:eastAsia="仿宋" w:cs="仿宋"/>
          <w:color w:val="000000"/>
          <w:szCs w:val="21"/>
          <w:lang w:val="zh-CN"/>
        </w:rPr>
        <w:t>3.5提供的产品属于信息安全产品的，供应商应当选择经国家认证的信息安全产品投标，并提供由中国信息安全认证中心按国家标准认证颁发的有效认证证书复印件。</w:t>
      </w:r>
    </w:p>
    <w:p w14:paraId="0CFB3B28">
      <w:pPr>
        <w:spacing w:line="360" w:lineRule="auto"/>
        <w:ind w:firstLine="420"/>
        <w:rPr>
          <w:rFonts w:ascii="仿宋" w:hAnsi="仿宋" w:eastAsia="仿宋" w:cs="仿宋"/>
          <w:color w:val="000000"/>
          <w:szCs w:val="21"/>
          <w:lang w:val="zh-CN"/>
        </w:rPr>
      </w:pPr>
      <w:r>
        <w:rPr>
          <w:rFonts w:hint="eastAsia" w:ascii="仿宋" w:hAnsi="仿宋" w:eastAsia="仿宋" w:cs="仿宋"/>
          <w:color w:val="000000"/>
          <w:szCs w:val="21"/>
          <w:lang w:val="zh-CN"/>
        </w:rPr>
        <w:t>3.6提供的产品属于政府强制采购节能产品的，供应商应当选择依据国家标准中二级能效（水效）指标认证的节能产品投标，并提供有效的节能产品认证证书复印件。</w:t>
      </w:r>
    </w:p>
    <w:p w14:paraId="509FBD69">
      <w:pPr>
        <w:spacing w:line="360" w:lineRule="auto"/>
        <w:ind w:firstLine="420"/>
        <w:rPr>
          <w:rFonts w:ascii="仿宋" w:hAnsi="仿宋" w:eastAsia="仿宋" w:cs="仿宋"/>
          <w:color w:val="000000"/>
          <w:szCs w:val="21"/>
          <w:lang w:val="zh-CN"/>
        </w:rPr>
      </w:pPr>
      <w:r>
        <w:rPr>
          <w:rFonts w:hint="eastAsia" w:ascii="仿宋" w:hAnsi="仿宋" w:eastAsia="仿宋" w:cs="仿宋"/>
          <w:color w:val="000000"/>
          <w:szCs w:val="21"/>
          <w:lang w:val="zh-CN"/>
        </w:rPr>
        <w:t>3.7提供的产品属于环境标志产品的,供应商应当选择依据相关标准的最新版本认证的环境标志产品投标,并提供有效的环境标志产品认证证书复印件。</w:t>
      </w:r>
    </w:p>
    <w:p w14:paraId="25B2D2A2">
      <w:pPr>
        <w:spacing w:line="360" w:lineRule="auto"/>
        <w:ind w:firstLine="420"/>
        <w:rPr>
          <w:rFonts w:ascii="仿宋" w:hAnsi="仿宋" w:eastAsia="仿宋" w:cs="仿宋"/>
          <w:color w:val="000000"/>
          <w:szCs w:val="21"/>
          <w:lang w:val="zh-CN"/>
        </w:rPr>
      </w:pPr>
      <w:r>
        <w:rPr>
          <w:rFonts w:hint="eastAsia" w:ascii="仿宋" w:hAnsi="仿宋" w:eastAsia="仿宋" w:cs="仿宋"/>
          <w:color w:val="000000"/>
          <w:szCs w:val="21"/>
          <w:lang w:val="zh-CN"/>
        </w:rPr>
        <w:t>3.8根据财库（2011）59号文规定，如为信息系统项目，受托为整体采购项目或者其中分项目的前期工作提供设计、编制规范、进行管理等服务的供应商不得再参加该分项目的采购活动。但属于《中华人民共和国政府采购法》第三十一条规定的单一来源方式采购情形的，不适用本条。</w:t>
      </w:r>
    </w:p>
    <w:p w14:paraId="420BD694">
      <w:pPr>
        <w:spacing w:line="360" w:lineRule="auto"/>
        <w:ind w:firstLine="420"/>
        <w:rPr>
          <w:rFonts w:ascii="仿宋" w:hAnsi="仿宋" w:eastAsia="仿宋" w:cs="仿宋"/>
          <w:color w:val="000000"/>
          <w:szCs w:val="21"/>
          <w:lang w:val="zh-CN"/>
        </w:rPr>
      </w:pPr>
      <w:r>
        <w:rPr>
          <w:rFonts w:hint="eastAsia" w:ascii="仿宋" w:hAnsi="仿宋" w:eastAsia="仿宋" w:cs="仿宋"/>
          <w:color w:val="000000"/>
          <w:szCs w:val="21"/>
          <w:lang w:val="zh-CN"/>
        </w:rPr>
        <w:t>3.9为推进社会诚信体系建设，根据财政部等政策要求，在政府采购活动中查询、使用信用记录，推进政府采购领域联合惩戒工作。在政府采购活动中，通过“信用中国”、“中国政府采购网”等渠道查询相关主体信用记录，对列入失信被执行人、重大税收违法案件当事人名单、政府采购严重违法失信行为记录名单及其他不符合《中华人民共和国政府采购法》第二十二条规定条件的供应商，应当拒绝其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396CD768">
      <w:pPr>
        <w:spacing w:line="360" w:lineRule="auto"/>
        <w:ind w:firstLine="413"/>
        <w:rPr>
          <w:rFonts w:ascii="仿宋" w:hAnsi="仿宋" w:eastAsia="仿宋" w:cs="仿宋"/>
          <w:b/>
          <w:bCs/>
          <w:color w:val="000000"/>
          <w:szCs w:val="21"/>
          <w:lang w:val="zh-CN"/>
        </w:rPr>
      </w:pPr>
      <w:r>
        <w:rPr>
          <w:rFonts w:hint="eastAsia" w:ascii="仿宋" w:hAnsi="仿宋" w:eastAsia="仿宋" w:cs="仿宋"/>
          <w:b/>
          <w:color w:val="000000"/>
          <w:szCs w:val="21"/>
        </w:rPr>
        <w:t>4、</w:t>
      </w:r>
      <w:r>
        <w:rPr>
          <w:rFonts w:hint="eastAsia" w:ascii="仿宋" w:hAnsi="仿宋" w:eastAsia="仿宋" w:cs="仿宋"/>
          <w:b/>
          <w:bCs/>
          <w:color w:val="000000"/>
          <w:szCs w:val="21"/>
          <w:lang w:val="zh-CN"/>
        </w:rPr>
        <w:t>磋商费用</w:t>
      </w:r>
    </w:p>
    <w:p w14:paraId="347AB6C0">
      <w:pPr>
        <w:spacing w:line="360" w:lineRule="auto"/>
        <w:ind w:firstLine="412"/>
        <w:rPr>
          <w:rFonts w:ascii="仿宋" w:hAnsi="仿宋" w:eastAsia="仿宋" w:cs="仿宋"/>
          <w:b/>
          <w:color w:val="000000"/>
          <w:szCs w:val="21"/>
        </w:rPr>
      </w:pPr>
      <w:r>
        <w:rPr>
          <w:rFonts w:hint="eastAsia" w:ascii="仿宋" w:hAnsi="仿宋" w:eastAsia="仿宋" w:cs="仿宋"/>
          <w:color w:val="000000"/>
          <w:szCs w:val="21"/>
          <w:lang w:val="zh-CN"/>
        </w:rPr>
        <w:t>4.1供应商应承担所有与准备和参加磋商有关的费用，无论采购结果如何，代理机构和采购人在任何情况下均无义务和责任承担这些费用。</w:t>
      </w:r>
    </w:p>
    <w:p w14:paraId="52A59F47">
      <w:pPr>
        <w:spacing w:line="360" w:lineRule="auto"/>
        <w:ind w:firstLine="412"/>
        <w:rPr>
          <w:rFonts w:ascii="仿宋" w:hAnsi="仿宋" w:eastAsia="仿宋" w:cs="仿宋"/>
          <w:color w:val="000000"/>
          <w:szCs w:val="21"/>
          <w:lang w:val="zh-CN"/>
        </w:rPr>
      </w:pPr>
      <w:r>
        <w:rPr>
          <w:rFonts w:hint="eastAsia" w:ascii="仿宋" w:hAnsi="仿宋" w:eastAsia="仿宋" w:cs="仿宋"/>
          <w:color w:val="000000"/>
          <w:szCs w:val="21"/>
          <w:lang w:val="zh-CN"/>
        </w:rPr>
        <w:t>4.2本项目采购代理服务费由成交供应商支付，按关于印发《江苏省招标代理服务收费的指导意见》苏招协【2022】002号文收费标准计算，成交供应商在领取成交通知书前向采购代理机构支付采购代理服务费，此项费用不单列，请在报价时综合考虑。</w:t>
      </w:r>
    </w:p>
    <w:p w14:paraId="1CBC3F17">
      <w:pPr>
        <w:spacing w:line="360" w:lineRule="auto"/>
        <w:ind w:firstLine="420"/>
        <w:outlineLvl w:val="0"/>
        <w:rPr>
          <w:rFonts w:ascii="仿宋" w:hAnsi="仿宋" w:eastAsia="仿宋" w:cs="仿宋"/>
          <w:b/>
          <w:color w:val="000000"/>
          <w:szCs w:val="21"/>
          <w:lang w:val="zh-CN"/>
        </w:rPr>
      </w:pPr>
      <w:bookmarkStart w:id="41" w:name="_Toc32370"/>
      <w:r>
        <w:rPr>
          <w:rFonts w:hint="eastAsia" w:ascii="仿宋" w:hAnsi="仿宋" w:eastAsia="仿宋" w:cs="仿宋"/>
          <w:b/>
          <w:color w:val="000000"/>
          <w:szCs w:val="21"/>
          <w:lang w:val="zh-CN"/>
        </w:rPr>
        <w:t>二、响应文件编制</w:t>
      </w:r>
      <w:bookmarkEnd w:id="41"/>
    </w:p>
    <w:p w14:paraId="4E0EAACC">
      <w:pPr>
        <w:spacing w:line="360" w:lineRule="auto"/>
        <w:ind w:firstLine="420"/>
        <w:rPr>
          <w:rFonts w:ascii="仿宋" w:hAnsi="仿宋" w:eastAsia="仿宋" w:cs="仿宋"/>
          <w:b/>
          <w:bCs/>
          <w:color w:val="000000"/>
          <w:szCs w:val="21"/>
          <w:lang w:val="zh-CN"/>
        </w:rPr>
      </w:pPr>
      <w:r>
        <w:rPr>
          <w:rFonts w:hint="eastAsia" w:ascii="仿宋" w:hAnsi="仿宋" w:eastAsia="仿宋" w:cs="仿宋"/>
          <w:bCs/>
          <w:color w:val="000000"/>
          <w:szCs w:val="21"/>
          <w:lang w:val="zh-CN"/>
        </w:rPr>
        <w:t>1、</w:t>
      </w:r>
      <w:r>
        <w:rPr>
          <w:rFonts w:hint="eastAsia" w:ascii="仿宋" w:hAnsi="仿宋" w:eastAsia="仿宋" w:cs="仿宋"/>
          <w:color w:val="000000"/>
          <w:szCs w:val="21"/>
          <w:lang w:val="zh-CN"/>
        </w:rPr>
        <w:t>供应商应当按照磋商文件的要求编制响应文件，并对其提交的响应文件真实性、合法性承担法律责任。</w:t>
      </w:r>
    </w:p>
    <w:p w14:paraId="57EAFD4D">
      <w:pPr>
        <w:spacing w:line="360" w:lineRule="auto"/>
        <w:ind w:firstLine="420"/>
        <w:rPr>
          <w:rFonts w:ascii="仿宋" w:hAnsi="仿宋" w:eastAsia="仿宋" w:cs="仿宋"/>
          <w:b/>
          <w:bCs/>
          <w:color w:val="000000"/>
          <w:szCs w:val="21"/>
          <w:lang w:val="zh-CN"/>
        </w:rPr>
      </w:pPr>
      <w:r>
        <w:rPr>
          <w:rFonts w:hint="eastAsia" w:ascii="仿宋" w:hAnsi="仿宋" w:eastAsia="仿宋" w:cs="仿宋"/>
          <w:b/>
          <w:bCs/>
          <w:color w:val="000000"/>
          <w:szCs w:val="21"/>
          <w:lang w:val="zh-CN"/>
        </w:rPr>
        <w:t>2、响应文件的语言、计量单位、货币和编制</w:t>
      </w:r>
    </w:p>
    <w:p w14:paraId="05F31757">
      <w:pPr>
        <w:spacing w:line="360" w:lineRule="auto"/>
        <w:ind w:firstLine="420"/>
        <w:rPr>
          <w:rFonts w:ascii="仿宋" w:hAnsi="仿宋" w:eastAsia="仿宋" w:cs="仿宋"/>
          <w:color w:val="000000"/>
          <w:szCs w:val="21"/>
          <w:lang w:val="zh-CN"/>
        </w:rPr>
      </w:pPr>
      <w:r>
        <w:rPr>
          <w:rFonts w:hint="eastAsia" w:ascii="仿宋" w:hAnsi="仿宋" w:eastAsia="仿宋" w:cs="仿宋"/>
          <w:color w:val="000000"/>
          <w:szCs w:val="21"/>
          <w:lang w:val="zh-CN"/>
        </w:rPr>
        <w:t>2.1提交的响应文件、技术文件和资料以及供应商与代理机构就有关磋商的所有来往函电均应使用中文。响应文件中若有英文或其他语言文字的资料，应提供相应的中文翻译资料。对不同文本响应文件的解释发生异议的，以中文文本为准。</w:t>
      </w:r>
    </w:p>
    <w:p w14:paraId="704C0D5D">
      <w:pPr>
        <w:spacing w:line="360" w:lineRule="auto"/>
        <w:ind w:firstLine="420"/>
        <w:rPr>
          <w:rFonts w:ascii="仿宋" w:hAnsi="仿宋" w:eastAsia="仿宋" w:cs="仿宋"/>
          <w:color w:val="000000"/>
          <w:szCs w:val="21"/>
          <w:lang w:val="zh-CN"/>
        </w:rPr>
      </w:pPr>
      <w:r>
        <w:rPr>
          <w:rFonts w:hint="eastAsia" w:ascii="仿宋" w:hAnsi="仿宋" w:eastAsia="仿宋" w:cs="仿宋"/>
          <w:color w:val="000000"/>
          <w:szCs w:val="21"/>
          <w:lang w:val="zh-CN"/>
        </w:rPr>
        <w:t>2.2供应商所使用的计量单位应为国家法定计量单位。</w:t>
      </w:r>
    </w:p>
    <w:p w14:paraId="7D7B4836">
      <w:pPr>
        <w:spacing w:line="360" w:lineRule="auto"/>
        <w:ind w:firstLine="420"/>
        <w:rPr>
          <w:rFonts w:ascii="仿宋" w:hAnsi="仿宋" w:eastAsia="仿宋" w:cs="仿宋"/>
          <w:color w:val="000000"/>
          <w:szCs w:val="21"/>
          <w:lang w:val="zh-CN"/>
        </w:rPr>
      </w:pPr>
      <w:r>
        <w:rPr>
          <w:rFonts w:hint="eastAsia" w:ascii="仿宋" w:hAnsi="仿宋" w:eastAsia="仿宋" w:cs="仿宋"/>
          <w:color w:val="000000"/>
          <w:szCs w:val="21"/>
          <w:lang w:val="zh-CN"/>
        </w:rPr>
        <w:t>2.3供应商应用人民币报价。</w:t>
      </w:r>
    </w:p>
    <w:p w14:paraId="45AC1E74">
      <w:pPr>
        <w:spacing w:line="360" w:lineRule="auto"/>
        <w:ind w:firstLine="420"/>
        <w:rPr>
          <w:rFonts w:ascii="仿宋" w:hAnsi="仿宋" w:eastAsia="仿宋" w:cs="仿宋"/>
          <w:color w:val="000000"/>
          <w:szCs w:val="21"/>
          <w:lang w:val="zh-CN"/>
        </w:rPr>
      </w:pPr>
      <w:r>
        <w:rPr>
          <w:rFonts w:hint="eastAsia" w:ascii="仿宋" w:hAnsi="仿宋" w:eastAsia="仿宋" w:cs="仿宋"/>
          <w:color w:val="000000"/>
          <w:szCs w:val="21"/>
          <w:lang w:val="zh-CN"/>
        </w:rPr>
        <w:t>2.4响应文件应字迹清楚、内容齐全、不得涂改。如有修改，修改处须有供应商公章或法定代表人或其授权磋商代表签字。</w:t>
      </w:r>
    </w:p>
    <w:p w14:paraId="6689B914">
      <w:pPr>
        <w:spacing w:line="360" w:lineRule="auto"/>
        <w:ind w:firstLine="420"/>
        <w:rPr>
          <w:rFonts w:ascii="仿宋" w:hAnsi="仿宋" w:eastAsia="仿宋" w:cs="仿宋"/>
          <w:color w:val="000000"/>
          <w:szCs w:val="21"/>
          <w:lang w:val="zh-CN"/>
        </w:rPr>
      </w:pPr>
      <w:r>
        <w:rPr>
          <w:rFonts w:hint="eastAsia" w:ascii="仿宋" w:hAnsi="仿宋" w:eastAsia="仿宋" w:cs="仿宋"/>
          <w:color w:val="000000"/>
          <w:szCs w:val="21"/>
          <w:lang w:val="zh-CN"/>
        </w:rPr>
        <w:t>2.5响应文件应按照磋商文件规定的顺序，统一用A4规格幅面打印、装订成册并编制目录，由于编排混乱导致响应文件被误读或查找不到，责任由供应商承担。</w:t>
      </w:r>
    </w:p>
    <w:p w14:paraId="03243106">
      <w:pPr>
        <w:spacing w:line="360" w:lineRule="auto"/>
        <w:ind w:firstLine="420"/>
        <w:rPr>
          <w:rFonts w:ascii="仿宋" w:hAnsi="仿宋" w:eastAsia="仿宋" w:cs="仿宋"/>
          <w:color w:val="000000"/>
          <w:szCs w:val="21"/>
          <w:lang w:val="zh-CN"/>
        </w:rPr>
      </w:pPr>
      <w:r>
        <w:rPr>
          <w:rFonts w:hint="eastAsia" w:ascii="仿宋" w:hAnsi="仿宋" w:eastAsia="仿宋" w:cs="仿宋"/>
          <w:color w:val="000000"/>
          <w:szCs w:val="21"/>
          <w:lang w:val="zh-CN"/>
        </w:rPr>
        <w:t>2.6响应文件应逐页编码，不得跳页（包括但不限于授权、证明材料、声明及产品介绍、彩页等）。</w:t>
      </w:r>
    </w:p>
    <w:p w14:paraId="0398BB23">
      <w:pPr>
        <w:spacing w:line="360" w:lineRule="auto"/>
        <w:ind w:firstLine="420"/>
        <w:rPr>
          <w:rFonts w:ascii="仿宋" w:hAnsi="仿宋" w:eastAsia="仿宋" w:cs="仿宋"/>
          <w:color w:val="000000"/>
          <w:szCs w:val="21"/>
          <w:lang w:val="zh-CN"/>
        </w:rPr>
      </w:pPr>
      <w:r>
        <w:rPr>
          <w:rFonts w:hint="eastAsia" w:ascii="仿宋" w:hAnsi="仿宋" w:eastAsia="仿宋" w:cs="仿宋"/>
          <w:color w:val="000000"/>
          <w:szCs w:val="21"/>
          <w:lang w:val="zh-CN"/>
        </w:rPr>
        <w:t>2.7供应商应在响应文件中写清相应的项目编号、项目名称、供应商名称、地址、电话、传真等。</w:t>
      </w:r>
    </w:p>
    <w:p w14:paraId="203E10BD">
      <w:pPr>
        <w:spacing w:line="360" w:lineRule="auto"/>
        <w:ind w:firstLine="420"/>
        <w:rPr>
          <w:rFonts w:ascii="仿宋" w:hAnsi="仿宋" w:eastAsia="仿宋" w:cs="仿宋"/>
          <w:b/>
          <w:color w:val="000000"/>
          <w:szCs w:val="21"/>
          <w:lang w:val="zh-CN"/>
        </w:rPr>
      </w:pPr>
      <w:r>
        <w:rPr>
          <w:rFonts w:hint="eastAsia" w:ascii="仿宋" w:hAnsi="仿宋" w:eastAsia="仿宋" w:cs="仿宋"/>
          <w:b/>
          <w:color w:val="000000"/>
          <w:szCs w:val="21"/>
          <w:lang w:val="zh-CN"/>
        </w:rPr>
        <w:t>3、</w:t>
      </w:r>
      <w:r>
        <w:rPr>
          <w:rFonts w:hint="eastAsia" w:ascii="仿宋" w:hAnsi="仿宋" w:eastAsia="仿宋" w:cs="仿宋"/>
          <w:b/>
          <w:color w:val="000000"/>
          <w:szCs w:val="21"/>
        </w:rPr>
        <w:t>响应文件的组成</w:t>
      </w:r>
    </w:p>
    <w:p w14:paraId="55A37D0F">
      <w:pPr>
        <w:spacing w:line="360" w:lineRule="auto"/>
        <w:ind w:firstLine="420"/>
        <w:rPr>
          <w:rFonts w:ascii="仿宋" w:hAnsi="仿宋" w:eastAsia="仿宋" w:cs="仿宋"/>
          <w:color w:val="000000"/>
          <w:szCs w:val="21"/>
          <w:lang w:val="zh-CN"/>
        </w:rPr>
      </w:pPr>
      <w:r>
        <w:rPr>
          <w:rFonts w:hint="eastAsia" w:ascii="仿宋" w:hAnsi="仿宋" w:eastAsia="仿宋" w:cs="仿宋"/>
          <w:color w:val="000000"/>
          <w:szCs w:val="21"/>
          <w:lang w:val="zh-CN"/>
        </w:rPr>
        <w:t>3.1</w:t>
      </w:r>
      <w:r>
        <w:rPr>
          <w:rFonts w:hint="eastAsia" w:ascii="仿宋" w:hAnsi="仿宋" w:eastAsia="仿宋" w:cs="仿宋"/>
          <w:color w:val="000000"/>
          <w:szCs w:val="21"/>
        </w:rPr>
        <w:t>供应商应当根据磋商文件要求编制响应文件，并根据自己的商务能力、技术水平对磋商文件提出的要求和条件逐条标明是否响应。</w:t>
      </w:r>
      <w:r>
        <w:rPr>
          <w:rFonts w:hint="eastAsia" w:ascii="仿宋" w:hAnsi="仿宋" w:eastAsia="仿宋" w:cs="仿宋"/>
          <w:color w:val="000000"/>
          <w:szCs w:val="21"/>
          <w:lang w:val="zh-CN"/>
        </w:rPr>
        <w:t>响应文件由商务部分、技术部分、价格部分，以及其他部分组成。</w:t>
      </w:r>
    </w:p>
    <w:p w14:paraId="3C708FDD">
      <w:pPr>
        <w:spacing w:line="360" w:lineRule="auto"/>
        <w:ind w:firstLine="420"/>
        <w:rPr>
          <w:rFonts w:ascii="仿宋" w:hAnsi="仿宋" w:eastAsia="仿宋" w:cs="仿宋"/>
          <w:color w:val="000000"/>
          <w:szCs w:val="21"/>
          <w:lang w:val="zh-CN"/>
        </w:rPr>
      </w:pPr>
      <w:r>
        <w:rPr>
          <w:rFonts w:hint="eastAsia" w:ascii="仿宋" w:hAnsi="仿宋" w:eastAsia="仿宋" w:cs="仿宋"/>
          <w:b/>
          <w:bCs/>
          <w:color w:val="000000"/>
          <w:szCs w:val="21"/>
          <w:lang w:val="zh-CN"/>
        </w:rPr>
        <w:t>3.2响应文件的商务部分。</w:t>
      </w:r>
      <w:r>
        <w:rPr>
          <w:rFonts w:hint="eastAsia" w:ascii="仿宋" w:hAnsi="仿宋" w:eastAsia="仿宋" w:cs="仿宋"/>
          <w:color w:val="000000"/>
          <w:szCs w:val="21"/>
          <w:lang w:val="zh-CN"/>
        </w:rPr>
        <w:t>商务部分是证明供应商有资格参加磋商和成交后有能力履行合同的文件，</w:t>
      </w:r>
      <w:r>
        <w:rPr>
          <w:rFonts w:hint="eastAsia" w:ascii="仿宋" w:hAnsi="仿宋" w:eastAsia="仿宋" w:cs="仿宋"/>
          <w:color w:val="000000"/>
          <w:szCs w:val="21"/>
        </w:rPr>
        <w:t>这些文件应能满足竞争性磋商采购文件的要求</w:t>
      </w:r>
      <w:r>
        <w:rPr>
          <w:rFonts w:hint="eastAsia" w:ascii="仿宋" w:hAnsi="仿宋" w:eastAsia="仿宋" w:cs="仿宋"/>
          <w:color w:val="000000"/>
          <w:szCs w:val="21"/>
          <w:lang w:val="zh-CN"/>
        </w:rPr>
        <w:t>，包括但不限于下列文件，其中加</w:t>
      </w:r>
      <w:r>
        <w:rPr>
          <w:rFonts w:hint="eastAsia" w:ascii="仿宋" w:hAnsi="仿宋" w:eastAsia="仿宋" w:cs="仿宋"/>
          <w:b/>
          <w:color w:val="000000"/>
          <w:szCs w:val="21"/>
        </w:rPr>
        <w:t>★</w:t>
      </w:r>
      <w:r>
        <w:rPr>
          <w:rFonts w:hint="eastAsia" w:ascii="仿宋" w:hAnsi="仿宋" w:eastAsia="仿宋" w:cs="仿宋"/>
          <w:color w:val="000000"/>
          <w:szCs w:val="21"/>
          <w:lang w:val="zh-CN"/>
        </w:rPr>
        <w:t>项目不得有缺失或无效：</w:t>
      </w:r>
    </w:p>
    <w:p w14:paraId="315383B0">
      <w:pPr>
        <w:spacing w:line="360" w:lineRule="auto"/>
        <w:ind w:firstLine="420"/>
        <w:rPr>
          <w:rFonts w:ascii="仿宋" w:hAnsi="仿宋" w:eastAsia="仿宋" w:cs="仿宋"/>
          <w:b/>
          <w:color w:val="000000"/>
          <w:szCs w:val="21"/>
        </w:rPr>
      </w:pPr>
      <w:r>
        <w:rPr>
          <w:rFonts w:hint="eastAsia" w:ascii="仿宋" w:hAnsi="仿宋" w:eastAsia="仿宋" w:cs="仿宋"/>
          <w:b/>
          <w:color w:val="000000"/>
          <w:szCs w:val="21"/>
        </w:rPr>
        <w:t>（1）★磋商申请及声明；</w:t>
      </w:r>
    </w:p>
    <w:p w14:paraId="6F76ADB7">
      <w:pPr>
        <w:spacing w:line="360" w:lineRule="auto"/>
        <w:ind w:firstLine="420"/>
        <w:rPr>
          <w:rFonts w:ascii="仿宋" w:hAnsi="仿宋" w:eastAsia="仿宋" w:cs="仿宋"/>
          <w:b/>
          <w:color w:val="000000"/>
          <w:szCs w:val="21"/>
        </w:rPr>
      </w:pPr>
      <w:r>
        <w:rPr>
          <w:rFonts w:hint="eastAsia" w:ascii="仿宋" w:hAnsi="仿宋" w:eastAsia="仿宋" w:cs="仿宋"/>
          <w:b/>
          <w:color w:val="000000"/>
          <w:szCs w:val="21"/>
        </w:rPr>
        <w:t>（2）★法定代表人授权委托书及委托代理人的身份证复印件；</w:t>
      </w:r>
    </w:p>
    <w:p w14:paraId="177B3B2B">
      <w:pPr>
        <w:spacing w:line="360" w:lineRule="auto"/>
        <w:ind w:firstLine="420"/>
        <w:rPr>
          <w:rFonts w:ascii="仿宋" w:hAnsi="仿宋" w:eastAsia="仿宋" w:cs="仿宋"/>
          <w:b/>
          <w:color w:val="000000"/>
          <w:szCs w:val="21"/>
        </w:rPr>
      </w:pPr>
      <w:r>
        <w:rPr>
          <w:rFonts w:hint="eastAsia" w:ascii="仿宋" w:hAnsi="仿宋" w:eastAsia="仿宋" w:cs="仿宋"/>
          <w:b/>
          <w:color w:val="000000"/>
          <w:szCs w:val="21"/>
        </w:rPr>
        <w:t>（3）★资格证明文件（第一章竞争性磋商公告中的“二、申请人的资格要求”，供应商提供相关证明文件）；</w:t>
      </w:r>
    </w:p>
    <w:p w14:paraId="213176D4">
      <w:pPr>
        <w:spacing w:line="360" w:lineRule="auto"/>
        <w:ind w:firstLine="420"/>
        <w:rPr>
          <w:rFonts w:ascii="仿宋" w:hAnsi="仿宋" w:eastAsia="仿宋" w:cs="仿宋"/>
          <w:b/>
          <w:color w:val="000000"/>
          <w:szCs w:val="21"/>
        </w:rPr>
      </w:pPr>
      <w:r>
        <w:rPr>
          <w:rFonts w:hint="eastAsia" w:ascii="仿宋" w:hAnsi="仿宋" w:eastAsia="仿宋" w:cs="仿宋"/>
          <w:b/>
          <w:color w:val="000000"/>
          <w:szCs w:val="21"/>
        </w:rPr>
        <w:t>（4）★报价一览表</w:t>
      </w:r>
    </w:p>
    <w:p w14:paraId="2200EB2F">
      <w:pPr>
        <w:spacing w:line="360" w:lineRule="auto"/>
        <w:ind w:firstLine="420"/>
        <w:rPr>
          <w:rFonts w:ascii="仿宋" w:hAnsi="仿宋" w:eastAsia="仿宋" w:cs="仿宋"/>
          <w:b/>
          <w:color w:val="000000"/>
          <w:szCs w:val="21"/>
        </w:rPr>
      </w:pPr>
      <w:r>
        <w:rPr>
          <w:rFonts w:hint="eastAsia" w:ascii="仿宋" w:hAnsi="仿宋" w:eastAsia="仿宋" w:cs="仿宋"/>
          <w:b/>
          <w:color w:val="000000"/>
          <w:szCs w:val="21"/>
        </w:rPr>
        <w:t>（5）合同条款；</w:t>
      </w:r>
    </w:p>
    <w:p w14:paraId="5EA38471">
      <w:pPr>
        <w:spacing w:line="360" w:lineRule="auto"/>
        <w:ind w:firstLine="420"/>
        <w:rPr>
          <w:rFonts w:ascii="仿宋" w:hAnsi="仿宋" w:eastAsia="仿宋" w:cs="仿宋"/>
          <w:b/>
          <w:color w:val="000000"/>
          <w:szCs w:val="21"/>
        </w:rPr>
      </w:pPr>
      <w:r>
        <w:rPr>
          <w:rFonts w:hint="eastAsia" w:ascii="仿宋" w:hAnsi="仿宋" w:eastAsia="仿宋" w:cs="仿宋"/>
          <w:b/>
          <w:color w:val="000000"/>
          <w:szCs w:val="21"/>
        </w:rPr>
        <w:t>（6）《商务条款偏离表》</w:t>
      </w:r>
    </w:p>
    <w:p w14:paraId="38136113">
      <w:pPr>
        <w:spacing w:line="360" w:lineRule="auto"/>
        <w:ind w:firstLine="420"/>
        <w:rPr>
          <w:rFonts w:ascii="仿宋" w:hAnsi="仿宋" w:eastAsia="仿宋" w:cs="仿宋"/>
          <w:b/>
          <w:color w:val="000000"/>
          <w:szCs w:val="21"/>
        </w:rPr>
      </w:pPr>
      <w:r>
        <w:rPr>
          <w:rFonts w:hint="eastAsia" w:ascii="仿宋" w:hAnsi="仿宋" w:eastAsia="仿宋" w:cs="仿宋"/>
          <w:b/>
          <w:color w:val="000000"/>
          <w:szCs w:val="21"/>
        </w:rPr>
        <w:t>（7）供应商类似业绩情况表</w:t>
      </w:r>
    </w:p>
    <w:p w14:paraId="45BDAA29">
      <w:pPr>
        <w:spacing w:line="360" w:lineRule="auto"/>
        <w:ind w:firstLine="420"/>
        <w:rPr>
          <w:rFonts w:ascii="仿宋" w:hAnsi="仿宋" w:eastAsia="仿宋" w:cs="仿宋"/>
          <w:b/>
          <w:color w:val="000000"/>
          <w:szCs w:val="21"/>
        </w:rPr>
      </w:pPr>
      <w:r>
        <w:rPr>
          <w:rFonts w:hint="eastAsia" w:ascii="仿宋" w:hAnsi="仿宋" w:eastAsia="仿宋" w:cs="仿宋"/>
          <w:b/>
          <w:color w:val="000000"/>
          <w:szCs w:val="21"/>
        </w:rPr>
        <w:t>（8）供应商拟投入本项目团队人员一览表</w:t>
      </w:r>
    </w:p>
    <w:p w14:paraId="4358889C">
      <w:pPr>
        <w:spacing w:line="360" w:lineRule="auto"/>
        <w:ind w:firstLine="420"/>
        <w:rPr>
          <w:rFonts w:ascii="仿宋" w:hAnsi="仿宋" w:eastAsia="仿宋" w:cs="仿宋"/>
          <w:b/>
          <w:color w:val="000000"/>
          <w:szCs w:val="21"/>
        </w:rPr>
      </w:pPr>
      <w:r>
        <w:rPr>
          <w:rFonts w:hint="eastAsia" w:ascii="仿宋" w:hAnsi="仿宋" w:eastAsia="仿宋" w:cs="仿宋"/>
          <w:b/>
          <w:color w:val="000000"/>
          <w:szCs w:val="21"/>
        </w:rPr>
        <w:t>（9）★《南京市政府采购供应商信用记录表暨信用承诺书》（打印并加盖企业公章）；</w:t>
      </w:r>
    </w:p>
    <w:p w14:paraId="5FB701F6">
      <w:pPr>
        <w:spacing w:line="360" w:lineRule="auto"/>
        <w:ind w:firstLine="420"/>
        <w:rPr>
          <w:rFonts w:ascii="仿宋" w:hAnsi="仿宋" w:eastAsia="仿宋" w:cs="仿宋"/>
          <w:b/>
          <w:color w:val="000000"/>
          <w:szCs w:val="21"/>
        </w:rPr>
      </w:pPr>
      <w:r>
        <w:rPr>
          <w:rFonts w:hint="eastAsia" w:ascii="仿宋" w:hAnsi="仿宋" w:eastAsia="仿宋" w:cs="仿宋"/>
          <w:b/>
          <w:color w:val="000000"/>
          <w:szCs w:val="21"/>
        </w:rPr>
        <w:t>（10）★供应商诚信承诺书</w:t>
      </w:r>
    </w:p>
    <w:p w14:paraId="49ABBD6A">
      <w:pPr>
        <w:spacing w:line="360" w:lineRule="auto"/>
        <w:ind w:firstLine="420"/>
        <w:rPr>
          <w:rFonts w:ascii="仿宋" w:hAnsi="仿宋" w:eastAsia="仿宋" w:cs="仿宋"/>
          <w:color w:val="000000"/>
          <w:szCs w:val="21"/>
          <w:lang w:val="zh-CN"/>
        </w:rPr>
      </w:pPr>
      <w:r>
        <w:rPr>
          <w:rFonts w:hint="eastAsia" w:ascii="仿宋" w:hAnsi="仿宋" w:eastAsia="仿宋" w:cs="仿宋"/>
          <w:b/>
          <w:bCs/>
          <w:color w:val="000000"/>
          <w:szCs w:val="21"/>
          <w:lang w:val="zh-CN"/>
        </w:rPr>
        <w:t>3.3响应文件的技术部分。</w:t>
      </w:r>
      <w:r>
        <w:rPr>
          <w:rFonts w:hint="eastAsia" w:ascii="仿宋" w:hAnsi="仿宋" w:eastAsia="仿宋" w:cs="仿宋"/>
          <w:color w:val="000000"/>
          <w:szCs w:val="21"/>
          <w:lang w:val="zh-CN"/>
        </w:rPr>
        <w:t>技术部分是证明</w:t>
      </w:r>
      <w:r>
        <w:rPr>
          <w:rFonts w:hint="eastAsia" w:ascii="仿宋" w:hAnsi="仿宋" w:eastAsia="仿宋" w:cs="仿宋"/>
          <w:color w:val="000000"/>
          <w:szCs w:val="21"/>
        </w:rPr>
        <w:t>供应商提供的服务是合格的，并符合磋商文件要求的证明文件，以及</w:t>
      </w:r>
      <w:r>
        <w:rPr>
          <w:rFonts w:hint="eastAsia" w:ascii="仿宋" w:hAnsi="仿宋" w:eastAsia="仿宋" w:cs="仿宋"/>
          <w:color w:val="000000"/>
          <w:szCs w:val="21"/>
          <w:lang w:val="zh-CN"/>
        </w:rPr>
        <w:t>对服务的详细说明，这些文件可以是文字资料、图纸和数据等。提供的服务如与磋商文件要求有不符之处，应说明其差别之所在。包括但不限于下列文件，其中加</w:t>
      </w:r>
      <w:r>
        <w:rPr>
          <w:rFonts w:hint="eastAsia" w:ascii="仿宋" w:hAnsi="仿宋" w:eastAsia="仿宋" w:cs="仿宋"/>
          <w:color w:val="000000"/>
          <w:szCs w:val="21"/>
        </w:rPr>
        <w:t>“</w:t>
      </w:r>
      <w:r>
        <w:rPr>
          <w:rFonts w:hint="eastAsia" w:ascii="仿宋" w:hAnsi="仿宋" w:eastAsia="仿宋" w:cs="仿宋"/>
          <w:b/>
          <w:color w:val="000000"/>
          <w:szCs w:val="21"/>
        </w:rPr>
        <w:t>★</w:t>
      </w:r>
      <w:r>
        <w:rPr>
          <w:rFonts w:hint="eastAsia" w:ascii="仿宋" w:hAnsi="仿宋" w:eastAsia="仿宋" w:cs="仿宋"/>
          <w:color w:val="000000"/>
          <w:szCs w:val="21"/>
        </w:rPr>
        <w:t>”</w:t>
      </w:r>
      <w:r>
        <w:rPr>
          <w:rFonts w:hint="eastAsia" w:ascii="仿宋" w:hAnsi="仿宋" w:eastAsia="仿宋" w:cs="仿宋"/>
          <w:color w:val="000000"/>
          <w:szCs w:val="21"/>
          <w:lang w:val="zh-CN"/>
        </w:rPr>
        <w:t>项目不得有缺失或无效：</w:t>
      </w:r>
    </w:p>
    <w:p w14:paraId="6E3BADB9">
      <w:pPr>
        <w:spacing w:line="360" w:lineRule="auto"/>
        <w:ind w:firstLine="420"/>
        <w:rPr>
          <w:rFonts w:ascii="仿宋" w:hAnsi="仿宋" w:eastAsia="仿宋" w:cs="仿宋"/>
          <w:b/>
          <w:color w:val="000000"/>
          <w:szCs w:val="21"/>
        </w:rPr>
      </w:pPr>
      <w:r>
        <w:rPr>
          <w:rFonts w:hint="eastAsia" w:ascii="仿宋" w:hAnsi="仿宋" w:eastAsia="仿宋" w:cs="仿宋"/>
          <w:b/>
          <w:color w:val="000000"/>
          <w:szCs w:val="21"/>
        </w:rPr>
        <w:t>（1）项目实施方案；</w:t>
      </w:r>
    </w:p>
    <w:p w14:paraId="5CFCC23B">
      <w:pPr>
        <w:spacing w:line="360" w:lineRule="auto"/>
        <w:ind w:firstLine="420"/>
        <w:rPr>
          <w:rFonts w:ascii="仿宋" w:hAnsi="仿宋" w:eastAsia="仿宋" w:cs="仿宋"/>
          <w:b/>
          <w:color w:val="000000"/>
          <w:szCs w:val="21"/>
        </w:rPr>
      </w:pPr>
      <w:r>
        <w:rPr>
          <w:rFonts w:hint="eastAsia" w:ascii="仿宋" w:hAnsi="仿宋" w:eastAsia="仿宋" w:cs="仿宋"/>
          <w:b/>
          <w:color w:val="000000"/>
          <w:szCs w:val="21"/>
        </w:rPr>
        <w:t>（2）《技术条款偏离表》</w:t>
      </w:r>
    </w:p>
    <w:p w14:paraId="57C778C4">
      <w:pPr>
        <w:spacing w:line="360" w:lineRule="auto"/>
        <w:ind w:firstLine="420"/>
        <w:rPr>
          <w:rFonts w:ascii="仿宋" w:hAnsi="仿宋" w:eastAsia="仿宋" w:cs="仿宋"/>
          <w:b/>
          <w:color w:val="000000"/>
          <w:szCs w:val="21"/>
        </w:rPr>
      </w:pPr>
      <w:r>
        <w:rPr>
          <w:rFonts w:hint="eastAsia" w:ascii="仿宋" w:hAnsi="仿宋" w:eastAsia="仿宋" w:cs="仿宋"/>
          <w:b/>
          <w:color w:val="000000"/>
          <w:szCs w:val="21"/>
        </w:rPr>
        <w:t>（3）供应商认为需要提供的其他技术资料。</w:t>
      </w:r>
    </w:p>
    <w:p w14:paraId="5499A92F">
      <w:pPr>
        <w:spacing w:line="360" w:lineRule="auto"/>
        <w:ind w:firstLine="420"/>
        <w:rPr>
          <w:rFonts w:ascii="仿宋" w:hAnsi="仿宋" w:eastAsia="仿宋" w:cs="仿宋"/>
          <w:b/>
          <w:color w:val="000000"/>
          <w:szCs w:val="21"/>
          <w:lang w:val="zh-CN"/>
        </w:rPr>
      </w:pPr>
      <w:r>
        <w:rPr>
          <w:rFonts w:hint="eastAsia" w:ascii="仿宋" w:hAnsi="仿宋" w:eastAsia="仿宋" w:cs="仿宋"/>
          <w:b/>
          <w:color w:val="000000"/>
          <w:szCs w:val="21"/>
          <w:lang w:val="zh-CN"/>
        </w:rPr>
        <w:t>3.4响应文件的价格部分</w:t>
      </w:r>
    </w:p>
    <w:p w14:paraId="7B42F129">
      <w:pPr>
        <w:spacing w:line="360" w:lineRule="auto"/>
        <w:ind w:firstLine="420"/>
        <w:rPr>
          <w:rFonts w:ascii="仿宋" w:hAnsi="仿宋" w:eastAsia="仿宋" w:cs="仿宋"/>
          <w:color w:val="000000"/>
          <w:szCs w:val="21"/>
          <w:lang w:val="zh-CN"/>
        </w:rPr>
      </w:pPr>
      <w:r>
        <w:rPr>
          <w:rFonts w:hint="eastAsia" w:ascii="仿宋" w:hAnsi="仿宋" w:eastAsia="仿宋" w:cs="仿宋"/>
          <w:color w:val="000000"/>
          <w:szCs w:val="21"/>
          <w:lang w:val="zh-CN"/>
        </w:rPr>
        <w:t>（1）价格部分是对服务价格构成的说明，磋商文件如没有特别说明的话，对每一项服务仅接受一个价格。</w:t>
      </w:r>
    </w:p>
    <w:p w14:paraId="63D7FB9F">
      <w:pPr>
        <w:spacing w:line="360" w:lineRule="auto"/>
        <w:ind w:firstLine="420"/>
        <w:rPr>
          <w:rFonts w:ascii="仿宋" w:hAnsi="仿宋" w:eastAsia="仿宋" w:cs="仿宋"/>
          <w:color w:val="000000"/>
          <w:szCs w:val="21"/>
          <w:lang w:val="zh-CN"/>
        </w:rPr>
      </w:pPr>
      <w:r>
        <w:rPr>
          <w:rFonts w:hint="eastAsia" w:ascii="仿宋" w:hAnsi="仿宋" w:eastAsia="仿宋" w:cs="仿宋"/>
          <w:color w:val="000000"/>
          <w:szCs w:val="21"/>
          <w:lang w:val="zh-CN"/>
        </w:rPr>
        <w:t>（2）报价应包含完成本服务项目发生的所有含税费用、支付给员工的工资和国家强制缴纳的各种社会保障资金，以及供应商认为需要的其他费用等。</w:t>
      </w:r>
    </w:p>
    <w:p w14:paraId="74F38C1B">
      <w:pPr>
        <w:spacing w:line="360" w:lineRule="auto"/>
        <w:ind w:firstLine="420"/>
        <w:rPr>
          <w:rFonts w:ascii="仿宋" w:hAnsi="仿宋" w:eastAsia="仿宋" w:cs="仿宋"/>
          <w:color w:val="000000"/>
          <w:szCs w:val="21"/>
          <w:lang w:val="zh-CN"/>
        </w:rPr>
      </w:pPr>
      <w:r>
        <w:rPr>
          <w:rFonts w:hint="eastAsia" w:ascii="仿宋" w:hAnsi="仿宋" w:eastAsia="仿宋" w:cs="仿宋"/>
          <w:color w:val="000000"/>
          <w:szCs w:val="21"/>
          <w:lang w:val="zh-CN"/>
        </w:rPr>
        <w:t>（3）供应商应充分考虑到市场价格变动，以及项目实施过程中的不可预见因素，一旦成交，总价格不变。如果有漏项，视同让利。</w:t>
      </w:r>
    </w:p>
    <w:p w14:paraId="6F2D1AD0">
      <w:pPr>
        <w:spacing w:line="360" w:lineRule="auto"/>
        <w:ind w:firstLine="420"/>
        <w:rPr>
          <w:rFonts w:ascii="仿宋" w:hAnsi="仿宋" w:eastAsia="仿宋" w:cs="仿宋"/>
          <w:color w:val="000000"/>
          <w:szCs w:val="21"/>
          <w:lang w:val="zh-CN"/>
        </w:rPr>
      </w:pPr>
      <w:r>
        <w:rPr>
          <w:rFonts w:hint="eastAsia" w:ascii="仿宋" w:hAnsi="仿宋" w:eastAsia="仿宋" w:cs="仿宋"/>
          <w:color w:val="000000"/>
          <w:szCs w:val="21"/>
          <w:lang w:val="zh-CN"/>
        </w:rPr>
        <w:t>（4）经磋商后，如果成交价低于供应商在响应文件首次报价的，分项报价同比例调整。</w:t>
      </w:r>
    </w:p>
    <w:p w14:paraId="0EEF11A3">
      <w:pPr>
        <w:spacing w:line="360" w:lineRule="auto"/>
        <w:ind w:firstLine="420"/>
        <w:rPr>
          <w:rFonts w:ascii="仿宋" w:hAnsi="仿宋" w:eastAsia="仿宋" w:cs="仿宋"/>
          <w:color w:val="000000"/>
          <w:szCs w:val="21"/>
          <w:lang w:val="zh-CN"/>
        </w:rPr>
      </w:pPr>
      <w:r>
        <w:rPr>
          <w:rFonts w:hint="eastAsia" w:ascii="仿宋" w:hAnsi="仿宋" w:eastAsia="仿宋" w:cs="仿宋"/>
          <w:color w:val="000000"/>
          <w:szCs w:val="21"/>
          <w:lang w:val="zh-CN"/>
        </w:rPr>
        <w:t>（5）供应商应在《报价表》（如有）、《分项报价表》（如有）等标明提供货物和服务的单价、总价以及分项报价。供应商系小企业（含小型、微型企业）、残疾人福利性单位、监狱企业的，并提供本企业制造的货物、承担的工程或者服务，或者提供其他小企业、残疾人福利性单位、监狱企业制造的货物，须在《报价表》（如有）、《分项报价表》（如有）中注明,供应商应当如实申报,否则谈判小组有权取消其小微企业、残疾人福利性单位、监狱企业优惠政策。</w:t>
      </w:r>
    </w:p>
    <w:p w14:paraId="0AFF7C0E">
      <w:pPr>
        <w:spacing w:line="360" w:lineRule="auto"/>
        <w:ind w:firstLine="420"/>
        <w:rPr>
          <w:rFonts w:ascii="仿宋" w:hAnsi="仿宋" w:eastAsia="仿宋" w:cs="仿宋"/>
          <w:color w:val="000000"/>
          <w:szCs w:val="21"/>
          <w:lang w:val="zh-CN"/>
        </w:rPr>
      </w:pPr>
      <w:r>
        <w:rPr>
          <w:rFonts w:hint="eastAsia" w:ascii="仿宋" w:hAnsi="仿宋" w:eastAsia="仿宋" w:cs="仿宋"/>
          <w:color w:val="000000"/>
          <w:szCs w:val="21"/>
          <w:lang w:val="zh-CN"/>
        </w:rPr>
        <w:t>3.5响应文件的其他部分。其他部分由供应商根据编制响应文件需要提供的其他相关文件。</w:t>
      </w:r>
    </w:p>
    <w:p w14:paraId="6B0063FA">
      <w:pPr>
        <w:tabs>
          <w:tab w:val="left" w:pos="3934"/>
        </w:tabs>
        <w:spacing w:line="360" w:lineRule="auto"/>
        <w:ind w:firstLine="420"/>
        <w:outlineLvl w:val="0"/>
        <w:rPr>
          <w:rFonts w:ascii="仿宋" w:hAnsi="仿宋" w:eastAsia="仿宋" w:cs="仿宋"/>
          <w:b/>
          <w:bCs/>
          <w:color w:val="000000"/>
          <w:szCs w:val="21"/>
          <w:lang w:val="zh-CN"/>
        </w:rPr>
      </w:pPr>
      <w:bookmarkStart w:id="42" w:name="_Toc21838"/>
      <w:r>
        <w:rPr>
          <w:rFonts w:hint="eastAsia" w:ascii="仿宋" w:hAnsi="仿宋" w:eastAsia="仿宋" w:cs="仿宋"/>
          <w:b/>
          <w:bCs/>
          <w:color w:val="000000"/>
          <w:szCs w:val="21"/>
          <w:lang w:val="zh-CN"/>
        </w:rPr>
        <w:t>三、响应文件签署与提交</w:t>
      </w:r>
      <w:bookmarkEnd w:id="42"/>
    </w:p>
    <w:p w14:paraId="3550E3E8">
      <w:pPr>
        <w:spacing w:line="360" w:lineRule="auto"/>
        <w:ind w:firstLine="420"/>
        <w:rPr>
          <w:rFonts w:ascii="仿宋" w:hAnsi="仿宋" w:eastAsia="仿宋" w:cs="仿宋"/>
          <w:bCs/>
          <w:color w:val="000000"/>
          <w:szCs w:val="21"/>
          <w:lang w:val="zh-CN"/>
        </w:rPr>
      </w:pPr>
      <w:r>
        <w:rPr>
          <w:rFonts w:hint="eastAsia" w:ascii="仿宋" w:hAnsi="仿宋" w:eastAsia="仿宋" w:cs="仿宋"/>
          <w:bCs/>
          <w:color w:val="000000"/>
          <w:szCs w:val="21"/>
          <w:lang w:val="zh-CN"/>
        </w:rPr>
        <w:t>1</w:t>
      </w:r>
      <w:r>
        <w:rPr>
          <w:rFonts w:hint="eastAsia" w:ascii="仿宋" w:hAnsi="仿宋" w:eastAsia="仿宋" w:cs="仿宋"/>
          <w:b/>
          <w:bCs/>
          <w:color w:val="000000"/>
          <w:szCs w:val="21"/>
          <w:lang w:val="zh-CN"/>
        </w:rPr>
        <w:t>、响应文件签署</w:t>
      </w:r>
    </w:p>
    <w:p w14:paraId="1812D2D2">
      <w:pPr>
        <w:spacing w:line="360" w:lineRule="auto"/>
        <w:ind w:firstLine="420"/>
        <w:rPr>
          <w:rFonts w:ascii="仿宋" w:hAnsi="仿宋" w:eastAsia="仿宋" w:cs="仿宋"/>
          <w:b/>
          <w:bCs/>
          <w:color w:val="000000"/>
          <w:szCs w:val="21"/>
          <w:lang w:val="zh-CN"/>
        </w:rPr>
      </w:pPr>
      <w:r>
        <w:rPr>
          <w:rFonts w:hint="eastAsia" w:ascii="仿宋" w:hAnsi="仿宋" w:eastAsia="仿宋" w:cs="仿宋"/>
          <w:color w:val="000000"/>
          <w:szCs w:val="21"/>
          <w:lang w:val="zh-CN"/>
        </w:rPr>
        <w:t>1.1响应文件应由供应商法定代表人或授权代表签字，并加盖公章。</w:t>
      </w:r>
    </w:p>
    <w:p w14:paraId="31E52480">
      <w:pPr>
        <w:spacing w:line="360" w:lineRule="auto"/>
        <w:ind w:firstLine="420"/>
        <w:rPr>
          <w:rFonts w:ascii="仿宋" w:hAnsi="仿宋" w:eastAsia="仿宋" w:cs="仿宋"/>
          <w:color w:val="000000"/>
          <w:szCs w:val="21"/>
          <w:lang w:val="zh-CN"/>
        </w:rPr>
      </w:pPr>
      <w:r>
        <w:rPr>
          <w:rFonts w:hint="eastAsia" w:ascii="仿宋" w:hAnsi="仿宋" w:eastAsia="仿宋" w:cs="仿宋"/>
          <w:color w:val="000000"/>
          <w:szCs w:val="21"/>
          <w:lang w:val="zh-CN"/>
        </w:rPr>
        <w:t>1.2供应商应当在磋商文件要求提交响应文件的截止时间前，将响应文件密封送达指定地点。</w:t>
      </w:r>
    </w:p>
    <w:p w14:paraId="59EC000F">
      <w:pPr>
        <w:spacing w:line="360" w:lineRule="auto"/>
        <w:ind w:firstLine="420"/>
        <w:rPr>
          <w:rFonts w:ascii="仿宋" w:hAnsi="仿宋" w:eastAsia="仿宋" w:cs="仿宋"/>
          <w:b/>
          <w:bCs/>
          <w:color w:val="000000"/>
          <w:szCs w:val="21"/>
          <w:lang w:val="zh-CN"/>
        </w:rPr>
      </w:pPr>
      <w:r>
        <w:rPr>
          <w:rFonts w:hint="eastAsia" w:ascii="仿宋" w:hAnsi="仿宋" w:eastAsia="仿宋" w:cs="仿宋"/>
          <w:bCs/>
          <w:color w:val="000000"/>
          <w:szCs w:val="21"/>
          <w:lang w:val="zh-CN"/>
        </w:rPr>
        <w:t>1.3有下列情形之一的响应文件将拒收：</w:t>
      </w:r>
    </w:p>
    <w:p w14:paraId="15C64BF2">
      <w:pPr>
        <w:spacing w:line="360" w:lineRule="auto"/>
        <w:ind w:firstLine="420"/>
        <w:rPr>
          <w:rFonts w:ascii="仿宋" w:hAnsi="仿宋" w:eastAsia="仿宋" w:cs="仿宋"/>
          <w:color w:val="000000"/>
          <w:szCs w:val="21"/>
          <w:lang w:val="zh-CN"/>
        </w:rPr>
      </w:pPr>
      <w:r>
        <w:rPr>
          <w:rFonts w:hint="eastAsia" w:ascii="仿宋" w:hAnsi="仿宋" w:eastAsia="仿宋" w:cs="仿宋"/>
          <w:color w:val="000000"/>
          <w:szCs w:val="21"/>
          <w:lang w:val="zh-CN"/>
        </w:rPr>
        <w:t>（1）递交的响应性文件未按要求密封的；</w:t>
      </w:r>
    </w:p>
    <w:p w14:paraId="3D9D372C">
      <w:pPr>
        <w:spacing w:line="360" w:lineRule="auto"/>
        <w:ind w:firstLine="420"/>
        <w:rPr>
          <w:rFonts w:ascii="仿宋" w:hAnsi="仿宋" w:eastAsia="仿宋" w:cs="仿宋"/>
          <w:color w:val="000000"/>
          <w:szCs w:val="21"/>
          <w:lang w:val="zh-CN"/>
        </w:rPr>
      </w:pPr>
      <w:r>
        <w:rPr>
          <w:rFonts w:hint="eastAsia" w:ascii="仿宋" w:hAnsi="仿宋" w:eastAsia="仿宋" w:cs="仿宋"/>
          <w:color w:val="000000"/>
          <w:szCs w:val="21"/>
          <w:lang w:val="zh-CN"/>
        </w:rPr>
        <w:t>（2）在磋商文件要求提交响应文件的截止时间之后送达的。</w:t>
      </w:r>
    </w:p>
    <w:p w14:paraId="61DCB6C3">
      <w:pPr>
        <w:spacing w:line="360" w:lineRule="auto"/>
        <w:ind w:firstLine="420"/>
        <w:rPr>
          <w:rFonts w:ascii="仿宋" w:hAnsi="仿宋" w:eastAsia="仿宋" w:cs="仿宋"/>
          <w:color w:val="000000"/>
          <w:szCs w:val="21"/>
          <w:lang w:val="zh-CN"/>
        </w:rPr>
      </w:pPr>
      <w:r>
        <w:rPr>
          <w:rFonts w:hint="eastAsia" w:ascii="仿宋" w:hAnsi="仿宋" w:eastAsia="仿宋" w:cs="仿宋"/>
          <w:b/>
          <w:color w:val="000000"/>
          <w:szCs w:val="21"/>
          <w:lang w:val="zh-CN"/>
        </w:rPr>
        <w:t>四、磋商</w:t>
      </w:r>
    </w:p>
    <w:p w14:paraId="000AE3ED">
      <w:pPr>
        <w:spacing w:line="360" w:lineRule="auto"/>
        <w:ind w:firstLine="420"/>
        <w:rPr>
          <w:rFonts w:ascii="仿宋" w:hAnsi="仿宋" w:eastAsia="仿宋" w:cs="仿宋"/>
          <w:b/>
          <w:bCs/>
          <w:color w:val="000000"/>
          <w:szCs w:val="21"/>
          <w:lang w:val="zh-CN"/>
        </w:rPr>
      </w:pPr>
      <w:r>
        <w:rPr>
          <w:rFonts w:hint="eastAsia" w:ascii="仿宋" w:hAnsi="仿宋" w:eastAsia="仿宋" w:cs="仿宋"/>
          <w:b/>
          <w:bCs/>
          <w:color w:val="000000"/>
          <w:szCs w:val="21"/>
          <w:lang w:val="zh-CN"/>
        </w:rPr>
        <w:t>1、磋商组织</w:t>
      </w:r>
    </w:p>
    <w:p w14:paraId="5598C303">
      <w:pPr>
        <w:spacing w:line="360" w:lineRule="auto"/>
        <w:ind w:firstLine="420"/>
        <w:rPr>
          <w:rFonts w:ascii="仿宋" w:hAnsi="仿宋" w:eastAsia="仿宋" w:cs="仿宋"/>
          <w:color w:val="000000"/>
          <w:szCs w:val="21"/>
          <w:lang w:val="zh-CN"/>
        </w:rPr>
      </w:pPr>
      <w:r>
        <w:rPr>
          <w:rFonts w:hint="eastAsia" w:ascii="仿宋" w:hAnsi="仿宋" w:eastAsia="仿宋" w:cs="仿宋"/>
          <w:color w:val="000000"/>
          <w:szCs w:val="21"/>
          <w:lang w:val="zh-CN"/>
        </w:rPr>
        <w:t>1.1在提交响应文件时间截止后，代理机构在规定的时间和地点组织磋商小组分别与供应商进行磋商。</w:t>
      </w:r>
    </w:p>
    <w:p w14:paraId="40D5AC4C">
      <w:pPr>
        <w:spacing w:line="360" w:lineRule="auto"/>
        <w:ind w:firstLine="420"/>
        <w:rPr>
          <w:rFonts w:ascii="仿宋" w:hAnsi="仿宋" w:eastAsia="仿宋" w:cs="仿宋"/>
          <w:color w:val="000000"/>
          <w:szCs w:val="21"/>
          <w:lang w:val="zh-CN"/>
        </w:rPr>
      </w:pPr>
      <w:r>
        <w:rPr>
          <w:rFonts w:hint="eastAsia" w:ascii="仿宋" w:hAnsi="仿宋" w:eastAsia="仿宋" w:cs="仿宋"/>
          <w:color w:val="000000"/>
          <w:szCs w:val="21"/>
          <w:lang w:val="zh-CN"/>
        </w:rPr>
        <w:t>1.2磋商工作由代理机构负责组织，具体磋商事务由依法组建的磋商小组负责。</w:t>
      </w:r>
    </w:p>
    <w:p w14:paraId="51248CAE">
      <w:pPr>
        <w:spacing w:line="360" w:lineRule="auto"/>
        <w:ind w:firstLine="420"/>
        <w:rPr>
          <w:rFonts w:ascii="仿宋" w:hAnsi="仿宋" w:eastAsia="仿宋" w:cs="仿宋"/>
          <w:b/>
          <w:color w:val="000000"/>
          <w:szCs w:val="21"/>
          <w:lang w:val="zh-CN"/>
        </w:rPr>
      </w:pPr>
      <w:r>
        <w:rPr>
          <w:rFonts w:hint="eastAsia" w:ascii="仿宋" w:hAnsi="仿宋" w:eastAsia="仿宋" w:cs="仿宋"/>
          <w:b/>
          <w:color w:val="000000"/>
          <w:szCs w:val="21"/>
          <w:lang w:val="zh-CN"/>
        </w:rPr>
        <w:t>2、磋商程序</w:t>
      </w:r>
    </w:p>
    <w:p w14:paraId="4DEEEBB8">
      <w:pPr>
        <w:spacing w:line="360" w:lineRule="auto"/>
        <w:ind w:firstLine="420"/>
        <w:rPr>
          <w:rFonts w:ascii="仿宋" w:hAnsi="仿宋" w:eastAsia="仿宋" w:cs="仿宋"/>
          <w:color w:val="000000"/>
          <w:szCs w:val="21"/>
          <w:lang w:val="zh-CN"/>
        </w:rPr>
      </w:pPr>
      <w:r>
        <w:rPr>
          <w:rFonts w:hint="eastAsia" w:ascii="仿宋" w:hAnsi="仿宋" w:eastAsia="仿宋" w:cs="仿宋"/>
          <w:color w:val="000000"/>
          <w:szCs w:val="21"/>
          <w:lang w:val="zh-CN"/>
        </w:rPr>
        <w:t>2.1磋商小组评审供应商所递交的响应性文件，</w:t>
      </w:r>
      <w:r>
        <w:rPr>
          <w:rFonts w:hint="eastAsia" w:ascii="仿宋" w:hAnsi="仿宋" w:eastAsia="仿宋" w:cs="仿宋"/>
          <w:color w:val="000000"/>
          <w:szCs w:val="21"/>
        </w:rPr>
        <w:t>并根据磋商文件规定的程序、评定成交的标准等事项与实质性响应磋商文件要求的供应商进行磋商。未实质性响应磋商文件的响应文件按无效处理，磋商小组应将告知有关供应商。</w:t>
      </w:r>
    </w:p>
    <w:p w14:paraId="353925FB">
      <w:pPr>
        <w:spacing w:line="360" w:lineRule="auto"/>
        <w:ind w:firstLine="420"/>
        <w:rPr>
          <w:rFonts w:ascii="仿宋" w:hAnsi="仿宋" w:eastAsia="仿宋" w:cs="仿宋"/>
          <w:color w:val="000000"/>
          <w:szCs w:val="21"/>
          <w:lang w:val="zh-CN"/>
        </w:rPr>
      </w:pPr>
      <w:r>
        <w:rPr>
          <w:rFonts w:hint="eastAsia" w:ascii="仿宋" w:hAnsi="仿宋" w:eastAsia="仿宋" w:cs="仿宋"/>
          <w:color w:val="000000"/>
          <w:szCs w:val="21"/>
          <w:lang w:val="zh-CN"/>
        </w:rPr>
        <w:t>2.2磋商小组所有成员集中与单一供应商分别进行磋商，所有参加磋商的供应商均有同等的磋商机会。</w:t>
      </w:r>
    </w:p>
    <w:p w14:paraId="3E018049">
      <w:pPr>
        <w:spacing w:line="360" w:lineRule="auto"/>
        <w:ind w:firstLine="420"/>
        <w:rPr>
          <w:rFonts w:ascii="仿宋" w:hAnsi="仿宋" w:eastAsia="仿宋" w:cs="仿宋"/>
          <w:color w:val="000000"/>
          <w:szCs w:val="21"/>
          <w:lang w:val="zh-CN"/>
        </w:rPr>
      </w:pPr>
      <w:r>
        <w:rPr>
          <w:rFonts w:hint="eastAsia" w:ascii="仿宋" w:hAnsi="仿宋" w:eastAsia="仿宋" w:cs="仿宋"/>
          <w:color w:val="000000"/>
          <w:szCs w:val="21"/>
          <w:lang w:val="zh-CN"/>
        </w:rPr>
        <w:t>2.3磋商过程中，磋商小组根据磋商文件和磋商情况可能实质性变动采购需求中的技术、服务要求以及合同条款。实质性变动是磋商文件的有效组成部分，磋商小组将以书面形式通知所有参加磋商的供应商。</w:t>
      </w:r>
      <w:r>
        <w:rPr>
          <w:rFonts w:hint="eastAsia" w:ascii="仿宋" w:hAnsi="仿宋" w:eastAsia="仿宋" w:cs="仿宋"/>
          <w:b/>
          <w:color w:val="000000"/>
          <w:szCs w:val="21"/>
          <w:lang w:val="zh-CN"/>
        </w:rPr>
        <w:t>用“</w:t>
      </w:r>
      <w:r>
        <w:rPr>
          <w:rFonts w:hint="eastAsia" w:ascii="仿宋" w:hAnsi="仿宋" w:eastAsia="仿宋" w:cs="仿宋"/>
          <w:b/>
          <w:color w:val="000000"/>
          <w:szCs w:val="21"/>
        </w:rPr>
        <w:t>★</w:t>
      </w:r>
      <w:r>
        <w:rPr>
          <w:rFonts w:hint="eastAsia" w:ascii="仿宋" w:hAnsi="仿宋" w:eastAsia="仿宋" w:cs="仿宋"/>
          <w:b/>
          <w:color w:val="000000"/>
          <w:szCs w:val="21"/>
          <w:lang w:val="zh-CN"/>
        </w:rPr>
        <w:t>”加注或特别说明的内容为实质性要求。</w:t>
      </w:r>
    </w:p>
    <w:p w14:paraId="53ED9D6E">
      <w:pPr>
        <w:spacing w:line="360" w:lineRule="auto"/>
        <w:ind w:firstLine="420"/>
        <w:rPr>
          <w:rFonts w:ascii="仿宋" w:hAnsi="仿宋" w:eastAsia="仿宋" w:cs="仿宋"/>
          <w:color w:val="000000"/>
          <w:szCs w:val="21"/>
          <w:lang w:val="zh-CN"/>
        </w:rPr>
      </w:pPr>
      <w:r>
        <w:rPr>
          <w:rFonts w:hint="eastAsia" w:ascii="仿宋" w:hAnsi="仿宋" w:eastAsia="仿宋" w:cs="仿宋"/>
          <w:color w:val="000000"/>
          <w:szCs w:val="21"/>
          <w:lang w:val="zh-CN"/>
        </w:rPr>
        <w:t>2.4供应商应当按照磋商文件的变动情况和磋商小组的要求重新提交响应文件，并由其法定代表人或授权代表签字或者加盖公章。</w:t>
      </w:r>
    </w:p>
    <w:p w14:paraId="37FDEEC1">
      <w:pPr>
        <w:spacing w:line="360" w:lineRule="auto"/>
        <w:ind w:firstLine="420"/>
        <w:rPr>
          <w:rFonts w:ascii="仿宋" w:hAnsi="仿宋" w:eastAsia="仿宋" w:cs="仿宋"/>
          <w:color w:val="000000"/>
          <w:szCs w:val="21"/>
          <w:lang w:val="zh-CN"/>
        </w:rPr>
      </w:pPr>
      <w:r>
        <w:rPr>
          <w:rFonts w:hint="eastAsia" w:ascii="仿宋" w:hAnsi="仿宋" w:eastAsia="仿宋" w:cs="仿宋"/>
          <w:color w:val="000000"/>
          <w:szCs w:val="21"/>
          <w:lang w:val="zh-CN"/>
        </w:rPr>
        <w:t>2.5磋商结束后，磋商小组将要求所有继续参加磋商的供应商在规定时间内提交最后报价。最后报价由其法定代表人或授权代表签字或者加盖公章，最后报价是供应商响应文件的有效组成部分。</w:t>
      </w:r>
    </w:p>
    <w:p w14:paraId="79305851">
      <w:pPr>
        <w:spacing w:line="360" w:lineRule="auto"/>
        <w:ind w:firstLine="420"/>
        <w:rPr>
          <w:rFonts w:ascii="仿宋" w:hAnsi="仿宋" w:eastAsia="仿宋" w:cs="仿宋"/>
          <w:color w:val="000000"/>
          <w:szCs w:val="21"/>
          <w:lang w:val="zh-CN"/>
        </w:rPr>
      </w:pPr>
      <w:r>
        <w:rPr>
          <w:rFonts w:hint="eastAsia" w:ascii="仿宋" w:hAnsi="仿宋" w:eastAsia="仿宋" w:cs="仿宋"/>
          <w:color w:val="000000"/>
          <w:szCs w:val="21"/>
          <w:lang w:val="zh-CN"/>
        </w:rPr>
        <w:t>2.6</w:t>
      </w:r>
      <w:r>
        <w:rPr>
          <w:rFonts w:hint="eastAsia" w:ascii="仿宋" w:hAnsi="仿宋" w:eastAsia="仿宋" w:cs="仿宋"/>
          <w:color w:val="000000"/>
          <w:szCs w:val="21"/>
        </w:rPr>
        <w:t>已提交响应文件的供应商，在提交最后报价之前，可以根据磋商情况退出磋商。</w:t>
      </w:r>
    </w:p>
    <w:p w14:paraId="60F4381B">
      <w:pPr>
        <w:spacing w:line="360" w:lineRule="auto"/>
        <w:ind w:firstLine="422"/>
        <w:rPr>
          <w:rFonts w:ascii="仿宋" w:hAnsi="仿宋" w:eastAsia="仿宋" w:cs="仿宋"/>
          <w:b/>
          <w:color w:val="000000"/>
          <w:szCs w:val="21"/>
        </w:rPr>
      </w:pPr>
      <w:r>
        <w:rPr>
          <w:rFonts w:hint="eastAsia" w:ascii="仿宋" w:hAnsi="仿宋" w:eastAsia="仿宋" w:cs="仿宋"/>
          <w:b/>
          <w:color w:val="000000"/>
          <w:szCs w:val="21"/>
          <w:lang w:val="zh-CN"/>
        </w:rPr>
        <w:t>2.7出现下列情形之一的响应文件按照无效处理：</w:t>
      </w:r>
    </w:p>
    <w:p w14:paraId="33489006">
      <w:pPr>
        <w:spacing w:line="360" w:lineRule="auto"/>
        <w:ind w:firstLine="420"/>
        <w:rPr>
          <w:rFonts w:ascii="仿宋" w:hAnsi="仿宋" w:eastAsia="仿宋" w:cs="仿宋"/>
          <w:color w:val="000000"/>
          <w:szCs w:val="21"/>
        </w:rPr>
      </w:pPr>
      <w:r>
        <w:rPr>
          <w:rFonts w:hint="eastAsia" w:ascii="仿宋" w:hAnsi="仿宋" w:eastAsia="仿宋" w:cs="仿宋"/>
          <w:color w:val="000000"/>
          <w:szCs w:val="21"/>
        </w:rPr>
        <w:t>（1）不具备磋商文件中规定资格条件的；</w:t>
      </w:r>
    </w:p>
    <w:p w14:paraId="2E99C46A">
      <w:pPr>
        <w:spacing w:line="360" w:lineRule="auto"/>
        <w:ind w:firstLine="420"/>
        <w:rPr>
          <w:rFonts w:ascii="仿宋" w:hAnsi="仿宋" w:eastAsia="仿宋" w:cs="仿宋"/>
          <w:color w:val="000000"/>
          <w:szCs w:val="21"/>
        </w:rPr>
      </w:pPr>
      <w:r>
        <w:rPr>
          <w:rFonts w:hint="eastAsia" w:ascii="仿宋" w:hAnsi="仿宋" w:eastAsia="仿宋" w:cs="仿宋"/>
          <w:color w:val="000000"/>
          <w:szCs w:val="21"/>
        </w:rPr>
        <w:t>（2）未实质性响应磋商文件要求的；</w:t>
      </w:r>
    </w:p>
    <w:p w14:paraId="3E56B8EE">
      <w:pPr>
        <w:spacing w:line="360" w:lineRule="auto"/>
        <w:ind w:firstLine="420"/>
        <w:rPr>
          <w:rFonts w:ascii="仿宋" w:hAnsi="仿宋" w:eastAsia="仿宋" w:cs="仿宋"/>
          <w:color w:val="000000"/>
          <w:szCs w:val="21"/>
          <w:lang w:val="zh-CN"/>
        </w:rPr>
      </w:pPr>
      <w:r>
        <w:rPr>
          <w:rFonts w:hint="eastAsia" w:ascii="仿宋" w:hAnsi="仿宋" w:eastAsia="仿宋" w:cs="仿宋"/>
          <w:color w:val="000000"/>
          <w:szCs w:val="21"/>
          <w:lang w:val="zh-CN"/>
        </w:rPr>
        <w:t>（3）没有详细说明完成本项目所提供的服务或工程方案、</w:t>
      </w:r>
      <w:r>
        <w:rPr>
          <w:rFonts w:hint="eastAsia" w:ascii="仿宋" w:hAnsi="仿宋" w:eastAsia="仿宋" w:cs="仿宋"/>
          <w:color w:val="000000"/>
          <w:szCs w:val="21"/>
        </w:rPr>
        <w:t>服务响应的，</w:t>
      </w:r>
      <w:r>
        <w:rPr>
          <w:rFonts w:hint="eastAsia" w:ascii="仿宋" w:hAnsi="仿宋" w:eastAsia="仿宋" w:cs="仿宋"/>
          <w:color w:val="000000"/>
          <w:szCs w:val="21"/>
          <w:lang w:val="zh-CN"/>
        </w:rPr>
        <w:t>而是直接拷贝采购文件服务要求的；</w:t>
      </w:r>
    </w:p>
    <w:p w14:paraId="7C62B7DA">
      <w:pPr>
        <w:spacing w:line="360" w:lineRule="auto"/>
        <w:ind w:firstLine="420"/>
        <w:rPr>
          <w:rFonts w:hint="eastAsia" w:ascii="仿宋" w:hAnsi="仿宋" w:eastAsia="仿宋" w:cs="仿宋"/>
          <w:color w:val="000000"/>
          <w:szCs w:val="21"/>
          <w:lang w:val="zh-CN"/>
        </w:rPr>
      </w:pPr>
      <w:r>
        <w:rPr>
          <w:rFonts w:hint="eastAsia" w:ascii="仿宋" w:hAnsi="仿宋" w:eastAsia="仿宋" w:cs="仿宋"/>
          <w:color w:val="000000"/>
          <w:szCs w:val="21"/>
          <w:lang w:val="zh-CN" w:eastAsia="zh-CN"/>
        </w:rPr>
        <w:t>（</w:t>
      </w:r>
      <w:r>
        <w:rPr>
          <w:rFonts w:hint="eastAsia" w:ascii="仿宋" w:hAnsi="仿宋" w:eastAsia="仿宋" w:cs="仿宋"/>
          <w:color w:val="000000"/>
          <w:szCs w:val="21"/>
          <w:lang w:val="en-US" w:eastAsia="zh-CN"/>
        </w:rPr>
        <w:t>4</w:t>
      </w:r>
      <w:r>
        <w:rPr>
          <w:rFonts w:hint="eastAsia" w:ascii="仿宋" w:hAnsi="仿宋" w:eastAsia="仿宋" w:cs="仿宋"/>
          <w:color w:val="000000"/>
          <w:szCs w:val="21"/>
          <w:lang w:val="zh-CN" w:eastAsia="zh-CN"/>
        </w:rPr>
        <w:t>）</w:t>
      </w:r>
      <w:r>
        <w:rPr>
          <w:rFonts w:hint="eastAsia" w:ascii="仿宋" w:hAnsi="仿宋" w:eastAsia="仿宋" w:cs="仿宋"/>
          <w:color w:val="000000"/>
          <w:szCs w:val="21"/>
          <w:lang w:val="zh-CN"/>
        </w:rPr>
        <w:t>未</w:t>
      </w:r>
      <w:r>
        <w:rPr>
          <w:rFonts w:hint="eastAsia" w:ascii="仿宋" w:hAnsi="仿宋" w:eastAsia="仿宋" w:cs="仿宋"/>
          <w:color w:val="000000"/>
          <w:szCs w:val="21"/>
          <w:lang w:val="zh-CN" w:eastAsia="zh-CN"/>
        </w:rPr>
        <w:t>按要求</w:t>
      </w:r>
      <w:r>
        <w:rPr>
          <w:rFonts w:hint="eastAsia" w:ascii="仿宋" w:hAnsi="仿宋" w:eastAsia="仿宋" w:cs="仿宋"/>
          <w:color w:val="000000"/>
          <w:szCs w:val="21"/>
          <w:lang w:val="zh-CN"/>
        </w:rPr>
        <w:t>提供《南京市政府采购供应商信用记录表暨信用承诺书》。</w:t>
      </w:r>
    </w:p>
    <w:p w14:paraId="28558AB2">
      <w:pPr>
        <w:spacing w:line="360" w:lineRule="auto"/>
        <w:ind w:firstLine="420"/>
        <w:rPr>
          <w:rFonts w:hint="eastAsia" w:ascii="仿宋" w:hAnsi="仿宋" w:eastAsia="仿宋" w:cs="仿宋"/>
          <w:color w:val="000000"/>
          <w:szCs w:val="21"/>
          <w:lang w:val="zh-CN"/>
        </w:rPr>
      </w:pPr>
      <w:r>
        <w:rPr>
          <w:rFonts w:hint="eastAsia" w:ascii="仿宋" w:hAnsi="仿宋" w:eastAsia="仿宋" w:cs="仿宋"/>
          <w:color w:val="000000"/>
          <w:szCs w:val="21"/>
          <w:lang w:val="zh-CN"/>
        </w:rPr>
        <w:t>（</w:t>
      </w:r>
      <w:r>
        <w:rPr>
          <w:rFonts w:hint="eastAsia" w:ascii="仿宋" w:hAnsi="仿宋" w:eastAsia="仿宋" w:cs="仿宋"/>
          <w:color w:val="000000"/>
          <w:szCs w:val="21"/>
          <w:lang w:val="en-US" w:eastAsia="zh-CN"/>
        </w:rPr>
        <w:t>5</w:t>
      </w:r>
      <w:r>
        <w:rPr>
          <w:rFonts w:hint="eastAsia" w:ascii="仿宋" w:hAnsi="仿宋" w:eastAsia="仿宋" w:cs="仿宋"/>
          <w:color w:val="000000"/>
          <w:szCs w:val="21"/>
          <w:lang w:val="zh-CN"/>
        </w:rPr>
        <w:t>）磋商小组认为供应商的报价明显低于其他通过符合性审查供应商的报价，有可能影响服务质量或者不能诚信履约的，将通过苏采云系统要求其在合理的时间内提供说明，必要时提交相关证明材料。供应商不能证明其报价合理性的，磋商小组应当将其作为无效响应处理；</w:t>
      </w:r>
    </w:p>
    <w:p w14:paraId="4EBD1803">
      <w:pPr>
        <w:spacing w:line="360" w:lineRule="auto"/>
        <w:ind w:firstLine="420"/>
        <w:rPr>
          <w:rFonts w:hint="eastAsia" w:ascii="仿宋" w:hAnsi="仿宋" w:eastAsia="仿宋" w:cs="仿宋"/>
          <w:color w:val="000000"/>
          <w:szCs w:val="21"/>
          <w:lang w:val="zh-CN"/>
        </w:rPr>
      </w:pPr>
      <w:r>
        <w:rPr>
          <w:rFonts w:hint="eastAsia" w:ascii="仿宋" w:hAnsi="仿宋" w:eastAsia="仿宋" w:cs="仿宋"/>
          <w:color w:val="000000"/>
          <w:szCs w:val="21"/>
          <w:lang w:val="zh-CN"/>
        </w:rPr>
        <w:t>（</w:t>
      </w:r>
      <w:r>
        <w:rPr>
          <w:rFonts w:hint="eastAsia" w:ascii="仿宋" w:hAnsi="仿宋" w:eastAsia="仿宋" w:cs="仿宋"/>
          <w:color w:val="000000"/>
          <w:szCs w:val="21"/>
          <w:lang w:val="en-US" w:eastAsia="zh-CN"/>
        </w:rPr>
        <w:t>6</w:t>
      </w:r>
      <w:r>
        <w:rPr>
          <w:rFonts w:hint="eastAsia" w:ascii="仿宋" w:hAnsi="仿宋" w:eastAsia="仿宋" w:cs="仿宋"/>
          <w:color w:val="000000"/>
          <w:szCs w:val="21"/>
          <w:lang w:val="zh-CN"/>
        </w:rPr>
        <w:t>）响应文件含有采购人不能接受的附加条件的；</w:t>
      </w:r>
    </w:p>
    <w:p w14:paraId="17FF0D84">
      <w:pPr>
        <w:spacing w:line="360" w:lineRule="auto"/>
        <w:ind w:firstLine="420"/>
        <w:rPr>
          <w:rFonts w:hint="eastAsia" w:ascii="仿宋" w:hAnsi="仿宋" w:eastAsia="仿宋" w:cs="仿宋"/>
          <w:color w:val="000000"/>
          <w:szCs w:val="21"/>
          <w:lang w:val="zh-CN"/>
        </w:rPr>
      </w:pPr>
      <w:r>
        <w:rPr>
          <w:rFonts w:hint="eastAsia" w:ascii="仿宋" w:hAnsi="仿宋" w:eastAsia="仿宋" w:cs="仿宋"/>
          <w:color w:val="000000"/>
          <w:szCs w:val="21"/>
          <w:lang w:val="zh-CN"/>
        </w:rPr>
        <w:t>（</w:t>
      </w:r>
      <w:r>
        <w:rPr>
          <w:rFonts w:hint="eastAsia" w:ascii="仿宋" w:hAnsi="仿宋" w:eastAsia="仿宋" w:cs="仿宋"/>
          <w:color w:val="000000"/>
          <w:szCs w:val="21"/>
          <w:lang w:val="en-US" w:eastAsia="zh-CN"/>
        </w:rPr>
        <w:t>7</w:t>
      </w:r>
      <w:r>
        <w:rPr>
          <w:rFonts w:hint="eastAsia" w:ascii="仿宋" w:hAnsi="仿宋" w:eastAsia="仿宋" w:cs="仿宋"/>
          <w:color w:val="000000"/>
          <w:szCs w:val="21"/>
          <w:lang w:val="zh-CN"/>
        </w:rPr>
        <w:t>）不符合法律、法规和竞争性磋商文件规定的其他实质性要求的。</w:t>
      </w:r>
    </w:p>
    <w:p w14:paraId="49EECE99">
      <w:pPr>
        <w:spacing w:line="360" w:lineRule="auto"/>
        <w:ind w:firstLine="420"/>
        <w:rPr>
          <w:rFonts w:ascii="仿宋" w:hAnsi="仿宋" w:eastAsia="仿宋" w:cs="仿宋"/>
          <w:color w:val="000000"/>
          <w:szCs w:val="21"/>
          <w:lang w:val="zh-CN"/>
        </w:rPr>
      </w:pPr>
      <w:r>
        <w:rPr>
          <w:rFonts w:hint="eastAsia" w:ascii="仿宋" w:hAnsi="仿宋" w:eastAsia="仿宋" w:cs="仿宋"/>
          <w:color w:val="000000"/>
          <w:szCs w:val="21"/>
          <w:lang w:val="zh-CN"/>
        </w:rPr>
        <w:t>（8）供应商被</w:t>
      </w:r>
      <w:r>
        <w:rPr>
          <w:rFonts w:hint="eastAsia" w:ascii="仿宋" w:hAnsi="仿宋" w:eastAsia="仿宋" w:cs="仿宋"/>
          <w:bCs/>
          <w:color w:val="000000"/>
          <w:szCs w:val="21"/>
        </w:rPr>
        <w:t>“信用中国”网站（www.creditchina.gov.cn）、“中国政府采购网”网站（www.ccgp.gov.cn）</w:t>
      </w:r>
      <w:r>
        <w:rPr>
          <w:rFonts w:hint="eastAsia" w:ascii="仿宋" w:hAnsi="仿宋" w:eastAsia="仿宋" w:cs="仿宋"/>
          <w:color w:val="000000"/>
          <w:szCs w:val="21"/>
          <w:lang w:val="zh-CN"/>
        </w:rPr>
        <w:t>列入失信被执行人、重大税收违法案件当事人名单、政府采购严重违法失信行为记录名单的。接受联合体的项目，两个以上的自然人、法人或者其他组织组成一个联合体，以一个供应商的身份共同参加政府采购活动的，联合体成员存在不良信用记录的，视同联合体存在不良应用记录；</w:t>
      </w:r>
    </w:p>
    <w:p w14:paraId="3B054F76">
      <w:pPr>
        <w:spacing w:line="360" w:lineRule="auto"/>
        <w:ind w:firstLine="422"/>
        <w:rPr>
          <w:rFonts w:ascii="仿宋" w:hAnsi="仿宋" w:eastAsia="仿宋" w:cs="仿宋"/>
          <w:b/>
          <w:color w:val="000000"/>
          <w:szCs w:val="21"/>
          <w:lang w:val="zh-CN"/>
        </w:rPr>
      </w:pPr>
      <w:bookmarkStart w:id="63" w:name="_GoBack"/>
      <w:bookmarkEnd w:id="63"/>
      <w:r>
        <w:rPr>
          <w:rFonts w:hint="eastAsia" w:ascii="仿宋" w:hAnsi="仿宋" w:eastAsia="仿宋" w:cs="仿宋"/>
          <w:b/>
          <w:color w:val="000000"/>
          <w:szCs w:val="21"/>
          <w:lang w:val="zh-CN"/>
        </w:rPr>
        <w:t>2.8</w:t>
      </w:r>
      <w:r>
        <w:rPr>
          <w:rFonts w:hint="eastAsia" w:ascii="仿宋" w:hAnsi="仿宋" w:eastAsia="仿宋" w:cs="仿宋"/>
          <w:b/>
          <w:bCs/>
          <w:color w:val="000000"/>
          <w:szCs w:val="21"/>
        </w:rPr>
        <w:t>出现下列情形之一的，磋商终止：</w:t>
      </w:r>
    </w:p>
    <w:p w14:paraId="74A942BB">
      <w:pPr>
        <w:spacing w:line="360" w:lineRule="auto"/>
        <w:ind w:firstLine="315"/>
        <w:rPr>
          <w:rFonts w:ascii="仿宋" w:hAnsi="仿宋" w:eastAsia="仿宋" w:cs="仿宋"/>
          <w:color w:val="000000"/>
          <w:szCs w:val="21"/>
          <w:lang w:val="zh-CN"/>
        </w:rPr>
      </w:pPr>
      <w:r>
        <w:rPr>
          <w:rFonts w:hint="eastAsia" w:ascii="仿宋" w:hAnsi="仿宋" w:eastAsia="仿宋" w:cs="仿宋"/>
          <w:bCs/>
          <w:color w:val="000000"/>
          <w:szCs w:val="21"/>
          <w:lang w:val="zh-CN"/>
        </w:rPr>
        <w:t>（1）因情况变化，不再符合规定的竞争性磋商采购方式适用情形的；</w:t>
      </w:r>
    </w:p>
    <w:p w14:paraId="39168123">
      <w:pPr>
        <w:spacing w:line="360" w:lineRule="auto"/>
        <w:ind w:firstLine="315"/>
        <w:rPr>
          <w:rFonts w:ascii="仿宋" w:hAnsi="仿宋" w:eastAsia="仿宋" w:cs="仿宋"/>
          <w:color w:val="000000"/>
          <w:szCs w:val="21"/>
          <w:lang w:val="zh-CN"/>
        </w:rPr>
      </w:pPr>
      <w:r>
        <w:rPr>
          <w:rFonts w:hint="eastAsia" w:ascii="仿宋" w:hAnsi="仿宋" w:eastAsia="仿宋" w:cs="仿宋"/>
          <w:bCs/>
          <w:color w:val="000000"/>
          <w:szCs w:val="21"/>
          <w:lang w:val="zh-CN"/>
        </w:rPr>
        <w:t>（2）所有供应商的响应文件被磋商小组认定为无效的；</w:t>
      </w:r>
    </w:p>
    <w:p w14:paraId="69A6C161">
      <w:pPr>
        <w:spacing w:line="360" w:lineRule="auto"/>
        <w:ind w:firstLine="315"/>
        <w:rPr>
          <w:rFonts w:ascii="仿宋" w:hAnsi="仿宋" w:eastAsia="仿宋" w:cs="仿宋"/>
          <w:color w:val="000000"/>
          <w:szCs w:val="21"/>
          <w:lang w:val="zh-CN"/>
        </w:rPr>
      </w:pPr>
      <w:r>
        <w:rPr>
          <w:rFonts w:hint="eastAsia" w:ascii="仿宋" w:hAnsi="仿宋" w:eastAsia="仿宋" w:cs="仿宋"/>
          <w:bCs/>
          <w:color w:val="000000"/>
          <w:szCs w:val="21"/>
          <w:lang w:val="zh-CN"/>
        </w:rPr>
        <w:t>（3）</w:t>
      </w:r>
      <w:r>
        <w:rPr>
          <w:rFonts w:hint="eastAsia" w:ascii="仿宋" w:hAnsi="仿宋" w:eastAsia="仿宋" w:cs="仿宋"/>
          <w:color w:val="000000"/>
          <w:szCs w:val="21"/>
          <w:lang w:val="zh-CN"/>
        </w:rPr>
        <w:t>出现影响采购公正的违法、违规行为的；</w:t>
      </w:r>
    </w:p>
    <w:p w14:paraId="531C6DBA">
      <w:pPr>
        <w:spacing w:line="360" w:lineRule="auto"/>
        <w:ind w:firstLine="315"/>
        <w:rPr>
          <w:rFonts w:ascii="仿宋" w:hAnsi="仿宋" w:eastAsia="仿宋" w:cs="仿宋"/>
          <w:color w:val="000000"/>
          <w:szCs w:val="21"/>
          <w:lang w:val="zh-CN"/>
        </w:rPr>
      </w:pPr>
      <w:r>
        <w:rPr>
          <w:rFonts w:hint="eastAsia" w:ascii="仿宋" w:hAnsi="仿宋" w:eastAsia="仿宋" w:cs="仿宋"/>
          <w:bCs/>
          <w:color w:val="000000"/>
          <w:szCs w:val="21"/>
          <w:lang w:val="zh-CN"/>
        </w:rPr>
        <w:t>（4）供应商的最终报价超过采购预算的；</w:t>
      </w:r>
    </w:p>
    <w:p w14:paraId="1FF12393">
      <w:pPr>
        <w:spacing w:line="360" w:lineRule="auto"/>
        <w:ind w:firstLine="315"/>
        <w:rPr>
          <w:rFonts w:ascii="仿宋" w:hAnsi="仿宋" w:eastAsia="仿宋" w:cs="仿宋"/>
          <w:color w:val="000000"/>
          <w:szCs w:val="21"/>
          <w:lang w:val="zh-CN"/>
        </w:rPr>
      </w:pPr>
      <w:r>
        <w:rPr>
          <w:rFonts w:hint="eastAsia" w:ascii="仿宋" w:hAnsi="仿宋" w:eastAsia="仿宋" w:cs="仿宋"/>
          <w:color w:val="000000"/>
          <w:szCs w:val="21"/>
          <w:lang w:val="zh-CN"/>
        </w:rPr>
        <w:t>（5）因重大变故，采购任务取消的；</w:t>
      </w:r>
    </w:p>
    <w:p w14:paraId="0AF6B533">
      <w:pPr>
        <w:spacing w:line="360" w:lineRule="auto"/>
        <w:ind w:right="-199" w:firstLine="315"/>
        <w:rPr>
          <w:rFonts w:ascii="仿宋" w:hAnsi="仿宋" w:eastAsia="仿宋" w:cs="仿宋"/>
          <w:color w:val="000000"/>
          <w:szCs w:val="21"/>
          <w:lang w:val="zh-CN"/>
        </w:rPr>
      </w:pPr>
      <w:r>
        <w:rPr>
          <w:rFonts w:hint="eastAsia" w:ascii="仿宋" w:hAnsi="仿宋" w:eastAsia="仿宋" w:cs="仿宋"/>
          <w:color w:val="000000"/>
          <w:szCs w:val="21"/>
          <w:lang w:val="zh-CN"/>
        </w:rPr>
        <w:t>（6）采购人需求发生重大变化暂时不能确定或供应商提供的货物、服务和工程不能满足需求等。</w:t>
      </w:r>
    </w:p>
    <w:p w14:paraId="202E0BEB">
      <w:pPr>
        <w:spacing w:line="360" w:lineRule="auto"/>
        <w:ind w:firstLine="420"/>
        <w:rPr>
          <w:rFonts w:ascii="仿宋" w:hAnsi="仿宋" w:eastAsia="仿宋" w:cs="仿宋"/>
          <w:b/>
          <w:color w:val="000000"/>
          <w:szCs w:val="21"/>
          <w:lang w:val="zh-CN"/>
        </w:rPr>
      </w:pPr>
      <w:r>
        <w:rPr>
          <w:rFonts w:hint="eastAsia" w:ascii="仿宋" w:hAnsi="仿宋" w:eastAsia="仿宋" w:cs="仿宋"/>
          <w:b/>
          <w:color w:val="000000"/>
          <w:szCs w:val="21"/>
          <w:lang w:val="zh-CN"/>
        </w:rPr>
        <w:t>3、评定成交方法和标准</w:t>
      </w:r>
    </w:p>
    <w:p w14:paraId="5C5BF7B4">
      <w:pPr>
        <w:spacing w:line="360" w:lineRule="auto"/>
        <w:ind w:firstLine="420"/>
        <w:rPr>
          <w:rFonts w:ascii="仿宋" w:hAnsi="仿宋" w:eastAsia="仿宋" w:cs="仿宋"/>
          <w:color w:val="000000"/>
          <w:szCs w:val="21"/>
          <w:lang w:val="zh-CN"/>
        </w:rPr>
      </w:pPr>
      <w:r>
        <w:rPr>
          <w:rFonts w:hint="eastAsia" w:ascii="仿宋" w:hAnsi="仿宋" w:eastAsia="仿宋" w:cs="仿宋"/>
          <w:color w:val="000000"/>
          <w:szCs w:val="21"/>
          <w:lang w:val="zh-CN"/>
        </w:rPr>
        <w:t>3.1</w:t>
      </w:r>
      <w:r>
        <w:rPr>
          <w:rFonts w:hint="eastAsia" w:ascii="仿宋" w:hAnsi="仿宋" w:eastAsia="仿宋" w:cs="仿宋"/>
          <w:b/>
          <w:color w:val="000000"/>
          <w:szCs w:val="21"/>
          <w:lang w:val="zh-CN"/>
        </w:rPr>
        <w:t>采用综合评分法。</w:t>
      </w:r>
      <w:r>
        <w:rPr>
          <w:rFonts w:hint="eastAsia" w:ascii="仿宋" w:hAnsi="仿宋" w:eastAsia="仿宋" w:cs="仿宋"/>
          <w:color w:val="000000"/>
          <w:szCs w:val="21"/>
          <w:lang w:val="zh-CN"/>
        </w:rPr>
        <w:t>即在最大限度地满足竞争性磋商文件实质性要求前提下，按照磋商文件中规定的各项因素进行综合评审后，以评审总得分最高的供应商作为成交候选供应商或者成交供应商的评审方法。</w:t>
      </w:r>
    </w:p>
    <w:p w14:paraId="2E036D39">
      <w:pPr>
        <w:spacing w:line="360" w:lineRule="auto"/>
        <w:ind w:firstLine="420"/>
        <w:rPr>
          <w:rFonts w:ascii="仿宋" w:hAnsi="仿宋" w:eastAsia="仿宋" w:cs="仿宋"/>
          <w:color w:val="000000"/>
          <w:szCs w:val="21"/>
          <w:lang w:val="zh-CN"/>
        </w:rPr>
      </w:pPr>
      <w:r>
        <w:rPr>
          <w:rFonts w:hint="eastAsia" w:ascii="仿宋" w:hAnsi="仿宋" w:eastAsia="仿宋" w:cs="仿宋"/>
          <w:color w:val="000000"/>
          <w:szCs w:val="21"/>
          <w:lang w:val="zh-CN"/>
        </w:rPr>
        <w:t>3.2综合评审的主要因素是：价格、项目实施方案、业绩、人员配备情况等。</w:t>
      </w:r>
    </w:p>
    <w:p w14:paraId="7C8FB855">
      <w:pPr>
        <w:spacing w:line="360" w:lineRule="auto"/>
        <w:ind w:firstLine="420"/>
        <w:rPr>
          <w:rFonts w:ascii="仿宋" w:hAnsi="仿宋" w:eastAsia="仿宋" w:cs="仿宋"/>
          <w:b/>
          <w:color w:val="000000"/>
          <w:szCs w:val="21"/>
        </w:rPr>
      </w:pPr>
      <w:r>
        <w:rPr>
          <w:rFonts w:hint="eastAsia" w:ascii="仿宋" w:hAnsi="仿宋" w:eastAsia="仿宋" w:cs="仿宋"/>
          <w:b/>
          <w:bCs/>
          <w:color w:val="000000"/>
          <w:szCs w:val="21"/>
          <w:lang w:val="zh-CN"/>
        </w:rPr>
        <w:t>3.3</w:t>
      </w:r>
      <w:r>
        <w:rPr>
          <w:rFonts w:hint="eastAsia" w:ascii="仿宋" w:hAnsi="仿宋" w:eastAsia="仿宋" w:cs="仿宋"/>
          <w:b/>
          <w:color w:val="000000"/>
          <w:szCs w:val="21"/>
        </w:rPr>
        <w:t>成交标准详见文件第三章。</w:t>
      </w:r>
    </w:p>
    <w:p w14:paraId="04E661E0">
      <w:pPr>
        <w:spacing w:line="360" w:lineRule="auto"/>
        <w:ind w:firstLine="420"/>
        <w:rPr>
          <w:rFonts w:ascii="仿宋" w:hAnsi="仿宋" w:eastAsia="仿宋" w:cs="仿宋"/>
          <w:b/>
          <w:bCs/>
          <w:color w:val="000000"/>
          <w:szCs w:val="21"/>
          <w:lang w:val="zh-CN"/>
        </w:rPr>
      </w:pPr>
      <w:r>
        <w:rPr>
          <w:rFonts w:hint="eastAsia" w:ascii="仿宋" w:hAnsi="仿宋" w:eastAsia="仿宋" w:cs="仿宋"/>
          <w:b/>
          <w:bCs/>
          <w:color w:val="000000"/>
          <w:szCs w:val="21"/>
          <w:lang w:val="zh-CN"/>
        </w:rPr>
        <w:t>4、确定成交供应商</w:t>
      </w:r>
    </w:p>
    <w:p w14:paraId="475CF78F">
      <w:pPr>
        <w:spacing w:line="360" w:lineRule="auto"/>
        <w:ind w:firstLine="420"/>
        <w:rPr>
          <w:rFonts w:ascii="仿宋" w:hAnsi="仿宋" w:eastAsia="仿宋" w:cs="仿宋"/>
          <w:b/>
          <w:bCs/>
          <w:color w:val="000000"/>
          <w:szCs w:val="21"/>
          <w:lang w:val="zh-CN"/>
        </w:rPr>
      </w:pPr>
      <w:r>
        <w:rPr>
          <w:rFonts w:hint="eastAsia" w:ascii="仿宋" w:hAnsi="仿宋" w:eastAsia="仿宋" w:cs="仿宋"/>
          <w:color w:val="000000"/>
          <w:szCs w:val="21"/>
          <w:lang w:val="zh-CN"/>
        </w:rPr>
        <w:t>4.1在综合比较与评价后按照得分高低顺序对供应商进行排列。得分相同的，按报价由低到高顺序排列。得分且报价相同的，按技术指标优劣顺序排列。磋商小组将严格按照采购文件的要求和条件进行比较,根据评审办法直接确定成交供应商或推荐出成交候选供应商。</w:t>
      </w:r>
    </w:p>
    <w:p w14:paraId="6D632628">
      <w:pPr>
        <w:spacing w:line="360" w:lineRule="auto"/>
        <w:ind w:firstLine="420"/>
        <w:rPr>
          <w:rFonts w:ascii="仿宋" w:hAnsi="仿宋" w:eastAsia="仿宋" w:cs="仿宋"/>
          <w:b/>
          <w:bCs/>
          <w:color w:val="000000"/>
          <w:szCs w:val="21"/>
          <w:lang w:val="zh-CN"/>
        </w:rPr>
      </w:pPr>
      <w:r>
        <w:rPr>
          <w:rFonts w:hint="eastAsia" w:ascii="仿宋" w:hAnsi="仿宋" w:eastAsia="仿宋" w:cs="仿宋"/>
          <w:color w:val="000000"/>
          <w:szCs w:val="21"/>
          <w:lang w:val="zh-CN"/>
        </w:rPr>
        <w:t>4.2成交供应商确定后，将在财政部门指定的政府采购信息发布媒体上公告，成交供应商及时到招标代理机构领取《成交通知书》。</w:t>
      </w:r>
    </w:p>
    <w:p w14:paraId="3D5226AA">
      <w:pPr>
        <w:spacing w:line="360" w:lineRule="auto"/>
        <w:ind w:firstLine="420"/>
        <w:rPr>
          <w:rFonts w:ascii="仿宋" w:hAnsi="仿宋" w:eastAsia="仿宋" w:cs="仿宋"/>
          <w:b/>
          <w:bCs/>
          <w:color w:val="000000"/>
          <w:szCs w:val="21"/>
          <w:lang w:val="zh-CN"/>
        </w:rPr>
      </w:pPr>
      <w:r>
        <w:rPr>
          <w:rFonts w:hint="eastAsia" w:ascii="仿宋" w:hAnsi="仿宋" w:eastAsia="仿宋" w:cs="仿宋"/>
          <w:color w:val="000000"/>
          <w:szCs w:val="21"/>
          <w:lang w:val="zh-CN"/>
        </w:rPr>
        <w:t>4.3成交通知书对采购人和成交供应商具有同等法律效力。</w:t>
      </w:r>
    </w:p>
    <w:p w14:paraId="1351BEC0">
      <w:pPr>
        <w:spacing w:line="360" w:lineRule="auto"/>
        <w:ind w:firstLine="420"/>
        <w:rPr>
          <w:rFonts w:ascii="仿宋" w:hAnsi="仿宋" w:eastAsia="仿宋" w:cs="仿宋"/>
          <w:b/>
          <w:bCs/>
          <w:color w:val="000000"/>
          <w:szCs w:val="21"/>
          <w:lang w:val="zh-CN"/>
        </w:rPr>
      </w:pPr>
      <w:r>
        <w:rPr>
          <w:rFonts w:hint="eastAsia" w:ascii="仿宋" w:hAnsi="仿宋" w:eastAsia="仿宋" w:cs="仿宋"/>
          <w:color w:val="000000"/>
          <w:szCs w:val="21"/>
        </w:rPr>
        <w:t>4.4代理机构对未成交的供应商不作未成交原因的解释。</w:t>
      </w:r>
    </w:p>
    <w:p w14:paraId="0981277E">
      <w:pPr>
        <w:spacing w:line="360" w:lineRule="auto"/>
        <w:ind w:firstLine="420"/>
        <w:rPr>
          <w:rFonts w:ascii="仿宋" w:hAnsi="仿宋" w:eastAsia="仿宋" w:cs="仿宋"/>
          <w:b/>
          <w:bCs/>
          <w:color w:val="000000"/>
          <w:szCs w:val="21"/>
          <w:lang w:val="zh-CN"/>
        </w:rPr>
      </w:pPr>
      <w:r>
        <w:rPr>
          <w:rFonts w:hint="eastAsia" w:ascii="仿宋" w:hAnsi="仿宋" w:eastAsia="仿宋" w:cs="仿宋"/>
          <w:color w:val="000000"/>
          <w:szCs w:val="21"/>
        </w:rPr>
        <w:t>4.5所有响应文件都将作为档案保存，不论成交与否，代理机构均不退回。</w:t>
      </w:r>
    </w:p>
    <w:p w14:paraId="32B5548D">
      <w:pPr>
        <w:spacing w:line="360" w:lineRule="auto"/>
        <w:ind w:firstLine="420"/>
        <w:rPr>
          <w:rFonts w:ascii="仿宋" w:hAnsi="仿宋" w:eastAsia="仿宋" w:cs="仿宋"/>
          <w:b/>
          <w:color w:val="000000"/>
          <w:szCs w:val="21"/>
          <w:lang w:val="zh-CN"/>
        </w:rPr>
      </w:pPr>
      <w:r>
        <w:rPr>
          <w:rFonts w:hint="eastAsia" w:ascii="仿宋" w:hAnsi="仿宋" w:eastAsia="仿宋" w:cs="仿宋"/>
          <w:b/>
          <w:color w:val="000000"/>
          <w:szCs w:val="21"/>
          <w:lang w:val="zh-CN"/>
        </w:rPr>
        <w:t>5</w:t>
      </w:r>
      <w:r>
        <w:rPr>
          <w:rFonts w:hint="eastAsia" w:ascii="仿宋" w:hAnsi="仿宋" w:eastAsia="仿宋" w:cs="仿宋"/>
          <w:b/>
          <w:bCs/>
          <w:color w:val="000000"/>
          <w:szCs w:val="21"/>
          <w:lang w:val="zh-CN"/>
        </w:rPr>
        <w:t>、</w:t>
      </w:r>
      <w:r>
        <w:rPr>
          <w:rFonts w:hint="eastAsia" w:ascii="仿宋" w:hAnsi="仿宋" w:eastAsia="仿宋" w:cs="仿宋"/>
          <w:b/>
          <w:color w:val="000000"/>
          <w:szCs w:val="21"/>
        </w:rPr>
        <w:t>编写评审报告</w:t>
      </w:r>
    </w:p>
    <w:p w14:paraId="7FFA8816">
      <w:pPr>
        <w:spacing w:line="360" w:lineRule="auto"/>
        <w:ind w:firstLine="420"/>
        <w:rPr>
          <w:rFonts w:ascii="仿宋" w:hAnsi="仿宋" w:eastAsia="仿宋" w:cs="仿宋"/>
          <w:color w:val="000000"/>
          <w:szCs w:val="21"/>
        </w:rPr>
      </w:pPr>
      <w:r>
        <w:rPr>
          <w:rFonts w:hint="eastAsia" w:ascii="仿宋" w:hAnsi="仿宋" w:eastAsia="仿宋" w:cs="仿宋"/>
          <w:color w:val="000000"/>
          <w:szCs w:val="21"/>
        </w:rPr>
        <w:t>5.1磋商小组根据磋商过程和结果编写评审报告。</w:t>
      </w:r>
    </w:p>
    <w:p w14:paraId="1FDABAA6">
      <w:pPr>
        <w:spacing w:line="360" w:lineRule="auto"/>
        <w:ind w:firstLine="420"/>
        <w:rPr>
          <w:rFonts w:ascii="仿宋" w:hAnsi="仿宋" w:eastAsia="仿宋" w:cs="仿宋"/>
          <w:b/>
          <w:bCs/>
          <w:color w:val="000000"/>
          <w:szCs w:val="21"/>
          <w:lang w:val="zh-CN"/>
        </w:rPr>
      </w:pPr>
      <w:r>
        <w:rPr>
          <w:rFonts w:hint="eastAsia" w:ascii="仿宋" w:hAnsi="仿宋" w:eastAsia="仿宋" w:cs="仿宋"/>
          <w:b/>
          <w:color w:val="000000"/>
          <w:szCs w:val="21"/>
          <w:lang w:val="zh-CN"/>
        </w:rPr>
        <w:t>6、</w:t>
      </w:r>
      <w:r>
        <w:rPr>
          <w:rFonts w:hint="eastAsia" w:ascii="仿宋" w:hAnsi="仿宋" w:eastAsia="仿宋" w:cs="仿宋"/>
          <w:b/>
          <w:bCs/>
          <w:color w:val="000000"/>
          <w:szCs w:val="21"/>
          <w:lang w:val="zh-CN"/>
        </w:rPr>
        <w:t>签订合同</w:t>
      </w:r>
    </w:p>
    <w:p w14:paraId="036BC7F2">
      <w:pPr>
        <w:spacing w:line="360" w:lineRule="auto"/>
        <w:ind w:firstLine="420"/>
        <w:rPr>
          <w:rFonts w:ascii="仿宋" w:hAnsi="仿宋" w:eastAsia="仿宋" w:cs="仿宋"/>
          <w:color w:val="000000"/>
          <w:szCs w:val="21"/>
          <w:lang w:val="zh-CN"/>
        </w:rPr>
      </w:pPr>
      <w:r>
        <w:rPr>
          <w:rFonts w:hint="eastAsia" w:ascii="仿宋" w:hAnsi="仿宋" w:eastAsia="仿宋" w:cs="仿宋"/>
          <w:color w:val="000000"/>
          <w:szCs w:val="21"/>
        </w:rPr>
        <w:t>6</w:t>
      </w:r>
      <w:r>
        <w:rPr>
          <w:rFonts w:hint="eastAsia" w:ascii="仿宋" w:hAnsi="仿宋" w:eastAsia="仿宋" w:cs="仿宋"/>
          <w:color w:val="000000"/>
          <w:szCs w:val="21"/>
          <w:lang w:val="zh-CN"/>
        </w:rPr>
        <w:t>.</w:t>
      </w:r>
      <w:r>
        <w:rPr>
          <w:rFonts w:hint="eastAsia" w:ascii="仿宋" w:hAnsi="仿宋" w:eastAsia="仿宋" w:cs="仿宋"/>
          <w:color w:val="000000"/>
          <w:szCs w:val="21"/>
        </w:rPr>
        <w:t>1成交供应商应当</w:t>
      </w:r>
      <w:r>
        <w:rPr>
          <w:rFonts w:hint="eastAsia" w:ascii="仿宋" w:hAnsi="仿宋" w:eastAsia="仿宋" w:cs="仿宋"/>
          <w:color w:val="000000"/>
          <w:szCs w:val="21"/>
          <w:lang w:val="zh-CN"/>
        </w:rPr>
        <w:t>自成交通知书发出之日起三十日内，</w:t>
      </w:r>
      <w:r>
        <w:rPr>
          <w:rFonts w:hint="eastAsia" w:ascii="仿宋" w:hAnsi="仿宋" w:eastAsia="仿宋" w:cs="仿宋"/>
          <w:color w:val="000000"/>
          <w:szCs w:val="21"/>
        </w:rPr>
        <w:t>与采购人签订政府采购合同，所签订的合同不得对磋商文件和响应文件作实质性修改。</w:t>
      </w:r>
    </w:p>
    <w:p w14:paraId="1B57191F">
      <w:pPr>
        <w:spacing w:line="360" w:lineRule="auto"/>
        <w:ind w:firstLine="420"/>
        <w:rPr>
          <w:rFonts w:ascii="仿宋" w:hAnsi="仿宋" w:eastAsia="仿宋" w:cs="仿宋"/>
          <w:color w:val="000000"/>
          <w:szCs w:val="21"/>
        </w:rPr>
      </w:pPr>
      <w:r>
        <w:rPr>
          <w:rFonts w:hint="eastAsia" w:ascii="仿宋" w:hAnsi="仿宋" w:eastAsia="仿宋" w:cs="仿宋"/>
          <w:color w:val="000000"/>
          <w:szCs w:val="21"/>
        </w:rPr>
        <w:t>6</w:t>
      </w:r>
      <w:r>
        <w:rPr>
          <w:rFonts w:hint="eastAsia" w:ascii="仿宋" w:hAnsi="仿宋" w:eastAsia="仿宋" w:cs="仿宋"/>
          <w:color w:val="000000"/>
          <w:szCs w:val="21"/>
          <w:lang w:val="zh-CN"/>
        </w:rPr>
        <w:t>.2</w:t>
      </w:r>
      <w:r>
        <w:rPr>
          <w:rFonts w:hint="eastAsia" w:ascii="仿宋" w:hAnsi="仿宋" w:eastAsia="仿宋" w:cs="仿宋"/>
          <w:color w:val="000000"/>
          <w:szCs w:val="21"/>
        </w:rPr>
        <w:t>采购人不得向成交供应商提出任何不合理的要求作为签订合同的条件，不得与成交供应商私下订立背离合同实质性内容的协议。</w:t>
      </w:r>
    </w:p>
    <w:p w14:paraId="15867F52">
      <w:pPr>
        <w:spacing w:line="360" w:lineRule="auto"/>
        <w:ind w:firstLine="420"/>
        <w:rPr>
          <w:rFonts w:ascii="仿宋" w:hAnsi="仿宋" w:eastAsia="仿宋" w:cs="仿宋"/>
          <w:color w:val="000000"/>
          <w:szCs w:val="21"/>
        </w:rPr>
      </w:pPr>
      <w:r>
        <w:rPr>
          <w:rFonts w:hint="eastAsia" w:ascii="仿宋" w:hAnsi="仿宋" w:eastAsia="仿宋" w:cs="仿宋"/>
          <w:color w:val="000000"/>
          <w:szCs w:val="21"/>
          <w:lang w:val="zh-CN"/>
        </w:rPr>
        <w:t>6.3</w:t>
      </w:r>
      <w:r>
        <w:rPr>
          <w:rFonts w:hint="eastAsia" w:ascii="仿宋" w:hAnsi="仿宋" w:eastAsia="仿宋" w:cs="仿宋"/>
          <w:color w:val="000000"/>
          <w:szCs w:val="21"/>
        </w:rPr>
        <w:t>除不可抗力等因素外，</w:t>
      </w:r>
      <w:r>
        <w:rPr>
          <w:rFonts w:hint="eastAsia" w:ascii="仿宋" w:hAnsi="仿宋" w:eastAsia="仿宋" w:cs="仿宋"/>
          <w:color w:val="000000"/>
          <w:szCs w:val="21"/>
          <w:lang w:val="zh-CN"/>
        </w:rPr>
        <w:t>成交通知书发出后，采购人改变成交结果，或者成交供应商拒绝签订政府采购合同的，应当承担相应的法律责任。</w:t>
      </w:r>
    </w:p>
    <w:p w14:paraId="2FE06185">
      <w:pPr>
        <w:spacing w:line="360" w:lineRule="auto"/>
        <w:ind w:firstLine="420"/>
        <w:rPr>
          <w:rFonts w:ascii="仿宋" w:hAnsi="仿宋" w:eastAsia="仿宋" w:cs="仿宋"/>
          <w:b/>
          <w:color w:val="000000"/>
          <w:szCs w:val="21"/>
        </w:rPr>
      </w:pPr>
      <w:r>
        <w:rPr>
          <w:rFonts w:hint="eastAsia" w:ascii="仿宋" w:hAnsi="仿宋" w:eastAsia="仿宋" w:cs="仿宋"/>
          <w:b/>
          <w:color w:val="000000"/>
          <w:szCs w:val="21"/>
        </w:rPr>
        <w:t>6.4成交供应商除发生法律规定的不能预见、不能避免并不能克服的客观情况外不得放弃或拒绝签订合同的。放弃或拒绝签订合同的，财政部门视情将其列入不良行为名单，在一至三年内不得参加南京市政府采购活动。</w:t>
      </w:r>
    </w:p>
    <w:p w14:paraId="3E1F1781">
      <w:pPr>
        <w:spacing w:line="360" w:lineRule="auto"/>
        <w:ind w:firstLine="420"/>
        <w:rPr>
          <w:rFonts w:ascii="仿宋" w:hAnsi="仿宋" w:eastAsia="仿宋" w:cs="仿宋"/>
          <w:color w:val="000000"/>
          <w:szCs w:val="21"/>
        </w:rPr>
      </w:pPr>
      <w:r>
        <w:rPr>
          <w:rFonts w:hint="eastAsia" w:ascii="仿宋" w:hAnsi="仿宋" w:eastAsia="仿宋" w:cs="仿宋"/>
          <w:color w:val="000000"/>
          <w:szCs w:val="21"/>
        </w:rPr>
        <w:t>6.5成交供应商拒绝签订政府采购合同的，或因不可抗力或者自身原因不能履行政府采购合同的，采购人可以视情与排位在成交供应商之后第一位的成交候选供应商签订政府采购合同，也可以重新开展采购活动。</w:t>
      </w:r>
    </w:p>
    <w:p w14:paraId="57881F07">
      <w:pPr>
        <w:spacing w:line="360" w:lineRule="auto"/>
        <w:ind w:firstLine="420"/>
        <w:rPr>
          <w:rFonts w:ascii="仿宋" w:hAnsi="仿宋" w:eastAsia="仿宋" w:cs="仿宋"/>
          <w:color w:val="000000"/>
          <w:szCs w:val="21"/>
          <w:lang w:val="zh-CN"/>
        </w:rPr>
      </w:pPr>
      <w:r>
        <w:rPr>
          <w:rFonts w:hint="eastAsia" w:ascii="仿宋" w:hAnsi="仿宋" w:eastAsia="仿宋" w:cs="仿宋"/>
          <w:color w:val="000000"/>
          <w:szCs w:val="21"/>
        </w:rPr>
        <w:t>6.6政府采购合同履行中，采购人需追加与合同标的相同的服务的，在不改变合同其他条款的前提下，可以与供应商协商签订补充合同，但所有补充合同的采购金额不得超过原合同采购金额的百分之十。</w:t>
      </w:r>
    </w:p>
    <w:p w14:paraId="7E5819C1">
      <w:pPr>
        <w:spacing w:line="360" w:lineRule="auto"/>
        <w:ind w:firstLine="420"/>
        <w:rPr>
          <w:rFonts w:ascii="仿宋" w:hAnsi="仿宋" w:eastAsia="仿宋" w:cs="仿宋"/>
          <w:b/>
          <w:color w:val="000000"/>
          <w:szCs w:val="21"/>
        </w:rPr>
      </w:pPr>
      <w:r>
        <w:rPr>
          <w:rFonts w:hint="eastAsia" w:ascii="仿宋" w:hAnsi="仿宋" w:eastAsia="仿宋" w:cs="仿宋"/>
          <w:b/>
          <w:color w:val="000000"/>
          <w:szCs w:val="21"/>
        </w:rPr>
        <w:t>五、询问、质疑、投诉和诚实信用</w:t>
      </w:r>
    </w:p>
    <w:p w14:paraId="4AE0E250">
      <w:pPr>
        <w:spacing w:line="360" w:lineRule="auto"/>
        <w:ind w:firstLine="420"/>
        <w:rPr>
          <w:rFonts w:ascii="仿宋" w:hAnsi="仿宋" w:eastAsia="仿宋" w:cs="仿宋"/>
          <w:b/>
          <w:color w:val="000000"/>
          <w:szCs w:val="21"/>
        </w:rPr>
      </w:pPr>
      <w:r>
        <w:rPr>
          <w:rFonts w:hint="eastAsia" w:ascii="仿宋" w:hAnsi="仿宋" w:eastAsia="仿宋" w:cs="仿宋"/>
          <w:b/>
          <w:color w:val="000000"/>
          <w:szCs w:val="21"/>
        </w:rPr>
        <w:t>1、询问</w:t>
      </w:r>
    </w:p>
    <w:p w14:paraId="1B0C25B6">
      <w:pPr>
        <w:spacing w:line="360" w:lineRule="auto"/>
        <w:ind w:firstLine="420"/>
        <w:rPr>
          <w:rFonts w:ascii="仿宋" w:hAnsi="仿宋" w:eastAsia="仿宋" w:cs="仿宋"/>
          <w:color w:val="000000"/>
          <w:szCs w:val="21"/>
        </w:rPr>
      </w:pPr>
      <w:r>
        <w:rPr>
          <w:rFonts w:hint="eastAsia" w:ascii="仿宋" w:hAnsi="仿宋" w:eastAsia="仿宋" w:cs="仿宋"/>
          <w:color w:val="000000"/>
          <w:szCs w:val="21"/>
        </w:rPr>
        <w:t>1.1供应商对采购活动事项有疑问的，可以向代理机构提出询问，代理机构将在两个工作日内作出答复，但答复的内容不涉及商业秘密。</w:t>
      </w:r>
    </w:p>
    <w:p w14:paraId="4726D75E">
      <w:pPr>
        <w:spacing w:line="360" w:lineRule="auto"/>
        <w:ind w:firstLine="420"/>
        <w:rPr>
          <w:rFonts w:ascii="仿宋" w:hAnsi="仿宋" w:eastAsia="仿宋" w:cs="仿宋"/>
          <w:b/>
          <w:color w:val="000000"/>
          <w:szCs w:val="21"/>
        </w:rPr>
      </w:pPr>
      <w:r>
        <w:rPr>
          <w:rFonts w:hint="eastAsia" w:ascii="仿宋" w:hAnsi="仿宋" w:eastAsia="仿宋" w:cs="仿宋"/>
          <w:b/>
          <w:color w:val="000000"/>
          <w:szCs w:val="21"/>
        </w:rPr>
        <w:t>2、质疑</w:t>
      </w:r>
    </w:p>
    <w:p w14:paraId="76D2D96E">
      <w:pPr>
        <w:spacing w:line="360" w:lineRule="auto"/>
        <w:ind w:firstLine="420"/>
        <w:rPr>
          <w:rFonts w:ascii="仿宋" w:hAnsi="仿宋" w:eastAsia="仿宋" w:cs="仿宋"/>
          <w:color w:val="000000"/>
          <w:szCs w:val="21"/>
        </w:rPr>
      </w:pPr>
      <w:r>
        <w:rPr>
          <w:rFonts w:hint="eastAsia" w:ascii="仿宋" w:hAnsi="仿宋" w:eastAsia="仿宋" w:cs="仿宋"/>
          <w:color w:val="000000"/>
          <w:szCs w:val="21"/>
        </w:rPr>
        <w:t>2.1供应商认为采购文件、采购过程和成交结果使自己的合法权益受到损害的，可以在知道或者应当知道其权益受到损害之日起七个工作日内，将质疑文件原件送达</w:t>
      </w:r>
      <w:r>
        <w:rPr>
          <w:rFonts w:hint="eastAsia" w:ascii="仿宋" w:hAnsi="仿宋" w:eastAsia="仿宋" w:cs="仿宋"/>
          <w:b/>
          <w:color w:val="000000"/>
          <w:szCs w:val="21"/>
        </w:rPr>
        <w:t>江苏中正智汇工程咨询有限公司 。</w:t>
      </w:r>
    </w:p>
    <w:p w14:paraId="515C034A">
      <w:pPr>
        <w:spacing w:line="360" w:lineRule="auto"/>
        <w:ind w:firstLine="420"/>
        <w:rPr>
          <w:rFonts w:ascii="仿宋" w:hAnsi="仿宋" w:eastAsia="仿宋" w:cs="仿宋"/>
          <w:color w:val="000000"/>
          <w:szCs w:val="21"/>
        </w:rPr>
      </w:pPr>
      <w:r>
        <w:rPr>
          <w:rFonts w:hint="eastAsia" w:ascii="仿宋" w:hAnsi="仿宋" w:eastAsia="仿宋" w:cs="仿宋"/>
          <w:color w:val="000000"/>
          <w:szCs w:val="21"/>
        </w:rPr>
        <w:t>2.2质疑供应商的质疑行为应符合财政部94号令相关规定，未参加采购活动的供应商或在采购活动中自身权益未受到损害的供应商所提出的质疑不予受理。</w:t>
      </w:r>
    </w:p>
    <w:p w14:paraId="6CB35581">
      <w:pPr>
        <w:spacing w:line="360" w:lineRule="auto"/>
        <w:ind w:firstLine="420"/>
        <w:rPr>
          <w:rFonts w:ascii="仿宋" w:hAnsi="仿宋" w:eastAsia="仿宋" w:cs="仿宋"/>
          <w:color w:val="000000"/>
          <w:szCs w:val="21"/>
        </w:rPr>
      </w:pPr>
      <w:r>
        <w:rPr>
          <w:rFonts w:hint="eastAsia" w:ascii="仿宋" w:hAnsi="仿宋" w:eastAsia="仿宋" w:cs="仿宋"/>
          <w:color w:val="000000"/>
          <w:szCs w:val="21"/>
        </w:rPr>
        <w:t xml:space="preserve">2.3质疑文件应包括以下主要内容，并按照“谁主张、谁举证”的原则，附上相关证明材料。否则，代理机构不予受理： </w:t>
      </w:r>
    </w:p>
    <w:p w14:paraId="6EE217D5">
      <w:pPr>
        <w:spacing w:line="360" w:lineRule="auto"/>
        <w:ind w:firstLine="420"/>
        <w:rPr>
          <w:rFonts w:ascii="仿宋" w:hAnsi="仿宋" w:eastAsia="仿宋" w:cs="仿宋"/>
          <w:color w:val="000000"/>
          <w:szCs w:val="21"/>
        </w:rPr>
      </w:pPr>
      <w:r>
        <w:rPr>
          <w:rFonts w:hint="eastAsia" w:ascii="仿宋" w:hAnsi="仿宋" w:eastAsia="仿宋" w:cs="仿宋"/>
          <w:color w:val="000000"/>
          <w:szCs w:val="21"/>
        </w:rPr>
        <w:t>（1）质疑项目名称、项目编号、包号、采购公告发布时间、磋商时间；</w:t>
      </w:r>
    </w:p>
    <w:p w14:paraId="2C2DF7BD">
      <w:pPr>
        <w:spacing w:line="360" w:lineRule="auto"/>
        <w:ind w:firstLine="420"/>
        <w:rPr>
          <w:rFonts w:ascii="仿宋" w:hAnsi="仿宋" w:eastAsia="仿宋" w:cs="仿宋"/>
          <w:color w:val="000000"/>
          <w:szCs w:val="21"/>
        </w:rPr>
      </w:pPr>
      <w:r>
        <w:rPr>
          <w:rFonts w:hint="eastAsia" w:ascii="仿宋" w:hAnsi="仿宋" w:eastAsia="仿宋" w:cs="仿宋"/>
          <w:color w:val="000000"/>
          <w:szCs w:val="21"/>
        </w:rPr>
        <w:t>（2）提起质疑的日期、具体的质疑事项及事实根据（具体条款）；</w:t>
      </w:r>
    </w:p>
    <w:p w14:paraId="4F92FD51">
      <w:pPr>
        <w:spacing w:line="360" w:lineRule="auto"/>
        <w:ind w:firstLine="420"/>
        <w:rPr>
          <w:rFonts w:ascii="仿宋" w:hAnsi="仿宋" w:eastAsia="仿宋" w:cs="仿宋"/>
          <w:color w:val="000000"/>
          <w:szCs w:val="21"/>
        </w:rPr>
      </w:pPr>
      <w:r>
        <w:rPr>
          <w:rFonts w:hint="eastAsia" w:ascii="仿宋" w:hAnsi="仿宋" w:eastAsia="仿宋" w:cs="仿宋"/>
          <w:color w:val="000000"/>
          <w:szCs w:val="21"/>
        </w:rPr>
        <w:t>（3）认为自己合法权益受到损害或可能受到损害的相关证据材料。</w:t>
      </w:r>
      <w:r>
        <w:rPr>
          <w:rFonts w:hint="eastAsia" w:ascii="仿宋" w:hAnsi="仿宋" w:eastAsia="仿宋" w:cs="仿宋"/>
          <w:color w:val="000000"/>
          <w:szCs w:val="21"/>
          <w:lang w:val="zh-CN"/>
        </w:rPr>
        <w:t>质疑相关证明材料中如涉及到产品功能或技术指标的，应出具相关制造商的证明文件（友情提示：供应商全部产品线中没有满足技术需求要求的产品才可以对招标产品提出质疑，并提出修改理由和修改建议）；</w:t>
      </w:r>
    </w:p>
    <w:p w14:paraId="76363C77">
      <w:pPr>
        <w:spacing w:line="360" w:lineRule="auto"/>
        <w:ind w:firstLine="420"/>
        <w:rPr>
          <w:rFonts w:ascii="仿宋" w:hAnsi="仿宋" w:eastAsia="仿宋" w:cs="仿宋"/>
          <w:color w:val="000000"/>
          <w:szCs w:val="21"/>
        </w:rPr>
      </w:pPr>
      <w:r>
        <w:rPr>
          <w:rFonts w:hint="eastAsia" w:ascii="仿宋" w:hAnsi="仿宋" w:eastAsia="仿宋" w:cs="仿宋"/>
          <w:color w:val="000000"/>
          <w:szCs w:val="21"/>
        </w:rPr>
        <w:t>（4）质疑供应商名称、地址、邮编、联系人、联系电话（包括座机、手机、传真号码等）；</w:t>
      </w:r>
    </w:p>
    <w:p w14:paraId="26C88C6B">
      <w:pPr>
        <w:spacing w:line="360" w:lineRule="auto"/>
        <w:ind w:firstLine="420"/>
        <w:rPr>
          <w:rFonts w:ascii="仿宋" w:hAnsi="仿宋" w:eastAsia="仿宋" w:cs="仿宋"/>
          <w:color w:val="000000"/>
          <w:szCs w:val="21"/>
        </w:rPr>
      </w:pPr>
      <w:r>
        <w:rPr>
          <w:rFonts w:hint="eastAsia" w:ascii="仿宋" w:hAnsi="仿宋" w:eastAsia="仿宋" w:cs="仿宋"/>
          <w:color w:val="000000"/>
          <w:szCs w:val="21"/>
        </w:rPr>
        <w:t>（5）质疑文件应当署名，质疑人为自然人的，应当由本人签字并附有效身份证明；质疑人为法人或其他组织的，应当由法定代表人签字并加盖单位公章。</w:t>
      </w:r>
    </w:p>
    <w:p w14:paraId="5441223F">
      <w:pPr>
        <w:spacing w:line="360" w:lineRule="auto"/>
        <w:ind w:firstLine="420"/>
        <w:rPr>
          <w:rFonts w:ascii="仿宋" w:hAnsi="仿宋" w:eastAsia="仿宋" w:cs="仿宋"/>
          <w:color w:val="000000"/>
          <w:szCs w:val="21"/>
        </w:rPr>
      </w:pPr>
      <w:r>
        <w:rPr>
          <w:rFonts w:hint="eastAsia" w:ascii="仿宋" w:hAnsi="仿宋" w:eastAsia="仿宋" w:cs="仿宋"/>
          <w:color w:val="000000"/>
          <w:szCs w:val="21"/>
        </w:rPr>
        <w:t>（6）供应商委托代理质疑的，应当提交授权委托书，并载明委托代理的具体权限和事项。</w:t>
      </w:r>
    </w:p>
    <w:p w14:paraId="698E4732">
      <w:pPr>
        <w:spacing w:line="360" w:lineRule="auto"/>
        <w:ind w:firstLine="420"/>
        <w:rPr>
          <w:rFonts w:ascii="仿宋" w:hAnsi="仿宋" w:eastAsia="仿宋" w:cs="仿宋"/>
          <w:color w:val="000000"/>
          <w:szCs w:val="21"/>
        </w:rPr>
      </w:pPr>
      <w:r>
        <w:rPr>
          <w:rFonts w:hint="eastAsia" w:ascii="仿宋" w:hAnsi="仿宋" w:eastAsia="仿宋" w:cs="仿宋"/>
          <w:color w:val="000000"/>
          <w:szCs w:val="21"/>
        </w:rPr>
        <w:t>2.4质疑供应商是指直接参加本项目采购活动的供应商；对采购文件提出质疑的，应自供应商获得采购文件之日起计算；对采购过程提出质疑的，自采购程序环节结束之日起计算；对采购结果提出质疑的，自采购结果公告期限届满之日起计算。</w:t>
      </w:r>
    </w:p>
    <w:p w14:paraId="1D9780C4">
      <w:pPr>
        <w:spacing w:line="360" w:lineRule="auto"/>
        <w:ind w:firstLine="420"/>
        <w:rPr>
          <w:rFonts w:ascii="仿宋" w:hAnsi="仿宋" w:eastAsia="仿宋" w:cs="仿宋"/>
          <w:color w:val="000000"/>
          <w:szCs w:val="21"/>
        </w:rPr>
      </w:pPr>
      <w:r>
        <w:rPr>
          <w:rFonts w:hint="eastAsia" w:ascii="仿宋" w:hAnsi="仿宋" w:eastAsia="仿宋" w:cs="仿宋"/>
          <w:color w:val="000000"/>
          <w:szCs w:val="21"/>
        </w:rPr>
        <w:t>2.5代理机构在收到供应商的书面质疑后将及时组织调查核实，在七个工作日内作出答复，并以书面通知质疑供应商和其他有关供应商，答复的内容不涉及商业秘密。代理机构遵循“谁过错谁负担”的原则，有过错的一方承担调查论证费用。违规质疑或多次质疑不成立的，将被列入不良行为记录。</w:t>
      </w:r>
    </w:p>
    <w:p w14:paraId="6BBCB0E9">
      <w:pPr>
        <w:spacing w:line="360" w:lineRule="auto"/>
        <w:ind w:firstLine="420"/>
        <w:rPr>
          <w:rFonts w:ascii="仿宋" w:hAnsi="仿宋" w:eastAsia="仿宋" w:cs="仿宋"/>
          <w:color w:val="000000"/>
          <w:szCs w:val="21"/>
        </w:rPr>
      </w:pPr>
      <w:r>
        <w:rPr>
          <w:rFonts w:hint="eastAsia" w:ascii="仿宋" w:hAnsi="仿宋" w:eastAsia="仿宋" w:cs="仿宋"/>
          <w:color w:val="000000"/>
          <w:szCs w:val="21"/>
        </w:rPr>
        <w:t>2.6质疑供应商在法定质疑期内应当一次性提出针对同一采购环节的质疑事项。</w:t>
      </w:r>
    </w:p>
    <w:p w14:paraId="61D28FDC">
      <w:pPr>
        <w:spacing w:line="360" w:lineRule="auto"/>
        <w:ind w:firstLine="420"/>
        <w:rPr>
          <w:rFonts w:ascii="仿宋" w:hAnsi="仿宋" w:eastAsia="仿宋" w:cs="仿宋"/>
          <w:b/>
          <w:color w:val="000000"/>
          <w:szCs w:val="21"/>
        </w:rPr>
      </w:pPr>
      <w:r>
        <w:rPr>
          <w:rFonts w:hint="eastAsia" w:ascii="仿宋" w:hAnsi="仿宋" w:eastAsia="仿宋" w:cs="仿宋"/>
          <w:b/>
          <w:color w:val="000000"/>
          <w:szCs w:val="21"/>
        </w:rPr>
        <w:t>3、投诉</w:t>
      </w:r>
    </w:p>
    <w:p w14:paraId="606EE4B6">
      <w:pPr>
        <w:spacing w:line="360" w:lineRule="auto"/>
        <w:ind w:firstLine="420"/>
        <w:rPr>
          <w:rFonts w:ascii="仿宋" w:hAnsi="仿宋" w:eastAsia="仿宋" w:cs="仿宋"/>
          <w:color w:val="000000"/>
          <w:szCs w:val="21"/>
        </w:rPr>
      </w:pPr>
      <w:r>
        <w:rPr>
          <w:rFonts w:hint="eastAsia" w:ascii="仿宋" w:hAnsi="仿宋" w:eastAsia="仿宋" w:cs="仿宋"/>
          <w:color w:val="000000"/>
          <w:szCs w:val="21"/>
        </w:rPr>
        <w:t>3.1质疑供应商对代理机构的答复不满意，或代理机构未在规定的时间内作出答复的，可以在答复期满</w:t>
      </w:r>
      <w:r>
        <w:rPr>
          <w:rFonts w:hint="eastAsia" w:ascii="仿宋" w:hAnsi="仿宋" w:eastAsia="仿宋" w:cs="仿宋"/>
          <w:b/>
          <w:color w:val="000000"/>
          <w:szCs w:val="21"/>
        </w:rPr>
        <w:t>后十五个工作日</w:t>
      </w:r>
      <w:r>
        <w:rPr>
          <w:rFonts w:hint="eastAsia" w:ascii="仿宋" w:hAnsi="仿宋" w:eastAsia="仿宋" w:cs="仿宋"/>
          <w:color w:val="000000"/>
          <w:szCs w:val="21"/>
        </w:rPr>
        <w:t>内向采购项目同级财政部门投诉。</w:t>
      </w:r>
    </w:p>
    <w:p w14:paraId="22427BA4">
      <w:pPr>
        <w:spacing w:line="360" w:lineRule="auto"/>
        <w:ind w:firstLine="420"/>
        <w:rPr>
          <w:rFonts w:ascii="仿宋" w:hAnsi="仿宋" w:eastAsia="仿宋" w:cs="仿宋"/>
          <w:b/>
          <w:color w:val="000000"/>
          <w:szCs w:val="21"/>
        </w:rPr>
      </w:pPr>
      <w:r>
        <w:rPr>
          <w:rFonts w:hint="eastAsia" w:ascii="仿宋" w:hAnsi="仿宋" w:eastAsia="仿宋" w:cs="仿宋"/>
          <w:b/>
          <w:color w:val="000000"/>
          <w:szCs w:val="21"/>
        </w:rPr>
        <w:t>4、诚实信用</w:t>
      </w:r>
    </w:p>
    <w:p w14:paraId="3AF09BFB">
      <w:pPr>
        <w:spacing w:line="360" w:lineRule="auto"/>
        <w:ind w:firstLine="420"/>
        <w:rPr>
          <w:rFonts w:ascii="仿宋" w:hAnsi="仿宋" w:eastAsia="仿宋" w:cs="仿宋"/>
          <w:color w:val="000000"/>
          <w:szCs w:val="21"/>
        </w:rPr>
      </w:pPr>
      <w:r>
        <w:rPr>
          <w:rFonts w:hint="eastAsia" w:ascii="仿宋" w:hAnsi="仿宋" w:eastAsia="仿宋" w:cs="仿宋"/>
          <w:color w:val="000000"/>
          <w:szCs w:val="21"/>
        </w:rPr>
        <w:t>4.1供应商之间不得相互串通报价，不得妨碍其他供应商的公平竞争，不得损害采购人和其他供应商的合法权益。</w:t>
      </w:r>
    </w:p>
    <w:p w14:paraId="01E32BA1">
      <w:pPr>
        <w:spacing w:line="360" w:lineRule="auto"/>
        <w:ind w:firstLine="420"/>
        <w:rPr>
          <w:rFonts w:ascii="仿宋" w:hAnsi="仿宋" w:eastAsia="仿宋" w:cs="仿宋"/>
          <w:color w:val="000000"/>
          <w:szCs w:val="21"/>
        </w:rPr>
      </w:pPr>
      <w:r>
        <w:rPr>
          <w:rFonts w:hint="eastAsia" w:ascii="仿宋" w:hAnsi="仿宋" w:eastAsia="仿宋" w:cs="仿宋"/>
          <w:color w:val="000000"/>
          <w:szCs w:val="21"/>
        </w:rPr>
        <w:t>4.2供应商不得以向代理机构工作人员、磋商小组成员行贿或者采取其他不正当手段谋取成交。经查实供应商有此行为的，政府采购管理部门将供应商列入不良行为记录名单，按照《政府采购法》有关规定处理。</w:t>
      </w:r>
    </w:p>
    <w:p w14:paraId="27CBDFD2">
      <w:pPr>
        <w:spacing w:line="360" w:lineRule="auto"/>
        <w:ind w:firstLine="420"/>
        <w:rPr>
          <w:rFonts w:ascii="仿宋" w:hAnsi="仿宋" w:eastAsia="仿宋" w:cs="仿宋"/>
          <w:color w:val="000000"/>
          <w:szCs w:val="21"/>
        </w:rPr>
      </w:pPr>
      <w:r>
        <w:rPr>
          <w:rFonts w:hint="eastAsia" w:ascii="仿宋" w:hAnsi="仿宋" w:eastAsia="仿宋" w:cs="仿宋"/>
          <w:color w:val="000000"/>
          <w:szCs w:val="21"/>
        </w:rPr>
        <w:t>4.3供应商不得虚假质疑和恶意质疑，并对质疑内容的真实性承担责任。供应商或者其他利害关系人通过捏造事实、伪造证明材料等方式提出异议或投诉，阻碍政府采购活动正常进行的，属于严重不良行为，代理机构将提请财政部门将其列入不良行为记录名单，并依法予以处罚。</w:t>
      </w:r>
    </w:p>
    <w:p w14:paraId="3B208DEB">
      <w:pPr>
        <w:spacing w:line="360" w:lineRule="auto"/>
        <w:ind w:firstLine="420"/>
        <w:rPr>
          <w:rFonts w:ascii="仿宋" w:hAnsi="仿宋" w:eastAsia="仿宋" w:cs="仿宋"/>
          <w:color w:val="000000"/>
          <w:szCs w:val="21"/>
        </w:rPr>
      </w:pPr>
      <w:r>
        <w:rPr>
          <w:rFonts w:hint="eastAsia" w:ascii="仿宋" w:hAnsi="仿宋" w:eastAsia="仿宋" w:cs="仿宋"/>
          <w:color w:val="000000"/>
          <w:szCs w:val="21"/>
        </w:rPr>
        <w:t>4.4供应商不得虚假承诺，否则，按照提供虚假材料谋取成交处理。</w:t>
      </w:r>
    </w:p>
    <w:p w14:paraId="1FAB15DA">
      <w:pPr>
        <w:spacing w:line="360" w:lineRule="auto"/>
        <w:ind w:firstLine="420"/>
        <w:rPr>
          <w:rFonts w:ascii="仿宋" w:hAnsi="仿宋" w:eastAsia="仿宋" w:cs="仿宋"/>
          <w:color w:val="000000"/>
          <w:szCs w:val="21"/>
        </w:rPr>
      </w:pPr>
      <w:r>
        <w:rPr>
          <w:rFonts w:hint="eastAsia" w:ascii="仿宋" w:hAnsi="仿宋" w:eastAsia="仿宋" w:cs="仿宋"/>
          <w:color w:val="000000"/>
          <w:szCs w:val="21"/>
        </w:rPr>
        <w:t>4.5供应商应自觉遵守磋商、评审纪律，扰乱磋商、评审现场秩序的，属于失信行为，根据《江苏省政府采购供应商监督管理暂行办法》，失信行为将被记入供应商诚信档案。</w:t>
      </w:r>
    </w:p>
    <w:p w14:paraId="71D23A59">
      <w:pPr>
        <w:pStyle w:val="199"/>
        <w:rPr>
          <w:rFonts w:ascii="仿宋" w:hAnsi="仿宋" w:eastAsia="仿宋" w:cs="仿宋"/>
          <w:lang w:val="zh-CN"/>
        </w:rPr>
      </w:pPr>
    </w:p>
    <w:p w14:paraId="7C71B988">
      <w:pPr>
        <w:spacing w:line="360" w:lineRule="auto"/>
        <w:jc w:val="center"/>
        <w:outlineLvl w:val="0"/>
        <w:rPr>
          <w:rFonts w:ascii="仿宋" w:hAnsi="仿宋" w:eastAsia="仿宋" w:cs="仿宋"/>
          <w:b/>
          <w:bCs/>
          <w:color w:val="000000"/>
          <w:sz w:val="32"/>
          <w:szCs w:val="32"/>
          <w:lang w:val="zh-CN"/>
        </w:rPr>
      </w:pPr>
      <w:r>
        <w:rPr>
          <w:rFonts w:hint="eastAsia" w:ascii="仿宋" w:hAnsi="仿宋" w:eastAsia="仿宋" w:cs="仿宋"/>
          <w:color w:val="000000"/>
          <w:lang w:val="zh-CN"/>
        </w:rPr>
        <w:br w:type="page" w:clear="all"/>
      </w:r>
      <w:bookmarkStart w:id="43" w:name="_Toc16885"/>
      <w:bookmarkStart w:id="44" w:name="_Toc150538845"/>
      <w:r>
        <w:rPr>
          <w:rFonts w:hint="eastAsia" w:ascii="仿宋" w:hAnsi="仿宋" w:eastAsia="仿宋" w:cs="仿宋"/>
          <w:b/>
          <w:bCs/>
          <w:color w:val="000000"/>
          <w:sz w:val="32"/>
          <w:szCs w:val="32"/>
          <w:lang w:val="zh-CN"/>
        </w:rPr>
        <w:t>第三章 成交标准</w:t>
      </w:r>
      <w:bookmarkEnd w:id="43"/>
    </w:p>
    <w:tbl>
      <w:tblPr>
        <w:tblStyle w:val="34"/>
        <w:tblW w:w="933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68"/>
        <w:gridCol w:w="1165"/>
        <w:gridCol w:w="6697"/>
        <w:gridCol w:w="708"/>
      </w:tblGrid>
      <w:tr w14:paraId="3F3332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768" w:type="dxa"/>
            <w:tcMar>
              <w:top w:w="0" w:type="dxa"/>
              <w:left w:w="108" w:type="dxa"/>
              <w:bottom w:w="0" w:type="dxa"/>
              <w:right w:w="108" w:type="dxa"/>
            </w:tcMar>
            <w:vAlign w:val="center"/>
          </w:tcPr>
          <w:p w14:paraId="65B61BC3">
            <w:pPr>
              <w:widowControl/>
              <w:spacing w:before="100" w:beforeAutospacing="1" w:after="100" w:afterAutospacing="1"/>
              <w:jc w:val="center"/>
              <w:rPr>
                <w:rFonts w:ascii="仿宋" w:hAnsi="仿宋" w:eastAsia="仿宋" w:cs="仿宋"/>
                <w:sz w:val="22"/>
                <w:szCs w:val="22"/>
              </w:rPr>
            </w:pPr>
            <w:r>
              <w:rPr>
                <w:rFonts w:hint="eastAsia" w:ascii="仿宋" w:hAnsi="仿宋" w:eastAsia="仿宋" w:cs="仿宋"/>
                <w:sz w:val="22"/>
                <w:szCs w:val="22"/>
              </w:rPr>
              <w:t>序号</w:t>
            </w:r>
          </w:p>
        </w:tc>
        <w:tc>
          <w:tcPr>
            <w:tcW w:w="1165" w:type="dxa"/>
            <w:tcMar>
              <w:top w:w="0" w:type="dxa"/>
              <w:left w:w="108" w:type="dxa"/>
              <w:bottom w:w="0" w:type="dxa"/>
              <w:right w:w="108" w:type="dxa"/>
            </w:tcMar>
            <w:vAlign w:val="center"/>
          </w:tcPr>
          <w:p w14:paraId="530BA685">
            <w:pPr>
              <w:widowControl/>
              <w:spacing w:before="100" w:beforeAutospacing="1" w:after="100" w:afterAutospacing="1"/>
              <w:jc w:val="center"/>
              <w:rPr>
                <w:rFonts w:ascii="仿宋" w:hAnsi="仿宋" w:eastAsia="仿宋" w:cs="仿宋"/>
                <w:sz w:val="22"/>
                <w:szCs w:val="22"/>
              </w:rPr>
            </w:pPr>
            <w:r>
              <w:rPr>
                <w:rFonts w:hint="eastAsia" w:ascii="仿宋" w:hAnsi="仿宋" w:eastAsia="仿宋" w:cs="仿宋"/>
                <w:sz w:val="22"/>
                <w:szCs w:val="22"/>
              </w:rPr>
              <w:t>评审项</w:t>
            </w:r>
          </w:p>
        </w:tc>
        <w:tc>
          <w:tcPr>
            <w:tcW w:w="6697" w:type="dxa"/>
            <w:tcMar>
              <w:top w:w="0" w:type="dxa"/>
              <w:left w:w="108" w:type="dxa"/>
              <w:bottom w:w="0" w:type="dxa"/>
              <w:right w:w="108" w:type="dxa"/>
            </w:tcMar>
            <w:vAlign w:val="center"/>
          </w:tcPr>
          <w:p w14:paraId="1D0130A2">
            <w:pPr>
              <w:widowControl/>
              <w:spacing w:before="100" w:beforeAutospacing="1" w:after="100" w:afterAutospacing="1"/>
              <w:jc w:val="center"/>
              <w:rPr>
                <w:rFonts w:ascii="仿宋" w:hAnsi="仿宋" w:eastAsia="仿宋" w:cs="仿宋"/>
                <w:sz w:val="22"/>
                <w:szCs w:val="22"/>
              </w:rPr>
            </w:pPr>
            <w:r>
              <w:rPr>
                <w:rFonts w:hint="eastAsia" w:ascii="仿宋" w:hAnsi="仿宋" w:eastAsia="仿宋" w:cs="仿宋"/>
                <w:sz w:val="22"/>
                <w:szCs w:val="22"/>
              </w:rPr>
              <w:t>评分标准</w:t>
            </w:r>
          </w:p>
        </w:tc>
        <w:tc>
          <w:tcPr>
            <w:tcW w:w="708" w:type="dxa"/>
            <w:tcMar>
              <w:top w:w="0" w:type="dxa"/>
              <w:left w:w="108" w:type="dxa"/>
              <w:bottom w:w="0" w:type="dxa"/>
              <w:right w:w="108" w:type="dxa"/>
            </w:tcMar>
            <w:vAlign w:val="center"/>
          </w:tcPr>
          <w:p w14:paraId="2FB9E259">
            <w:pPr>
              <w:widowControl/>
              <w:spacing w:before="100" w:beforeAutospacing="1" w:after="100" w:afterAutospacing="1"/>
              <w:jc w:val="center"/>
              <w:rPr>
                <w:rFonts w:ascii="仿宋" w:hAnsi="仿宋" w:eastAsia="仿宋" w:cs="仿宋"/>
                <w:sz w:val="22"/>
                <w:szCs w:val="22"/>
              </w:rPr>
            </w:pPr>
            <w:r>
              <w:rPr>
                <w:rFonts w:hint="eastAsia" w:ascii="仿宋" w:hAnsi="仿宋" w:eastAsia="仿宋" w:cs="仿宋"/>
                <w:sz w:val="22"/>
                <w:szCs w:val="22"/>
              </w:rPr>
              <w:t>分值</w:t>
            </w:r>
          </w:p>
        </w:tc>
      </w:tr>
      <w:tr w14:paraId="50C528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768" w:type="dxa"/>
            <w:tcMar>
              <w:top w:w="0" w:type="dxa"/>
              <w:left w:w="108" w:type="dxa"/>
              <w:bottom w:w="0" w:type="dxa"/>
              <w:right w:w="108" w:type="dxa"/>
            </w:tcMar>
            <w:vAlign w:val="center"/>
          </w:tcPr>
          <w:p w14:paraId="0955B984">
            <w:pPr>
              <w:widowControl/>
              <w:spacing w:before="100" w:beforeAutospacing="1" w:after="100" w:afterAutospacing="1"/>
              <w:jc w:val="center"/>
              <w:rPr>
                <w:rFonts w:ascii="仿宋" w:hAnsi="仿宋" w:eastAsia="仿宋" w:cs="仿宋"/>
                <w:sz w:val="22"/>
                <w:szCs w:val="22"/>
              </w:rPr>
            </w:pPr>
            <w:r>
              <w:rPr>
                <w:rFonts w:hint="eastAsia" w:ascii="仿宋" w:hAnsi="仿宋" w:eastAsia="仿宋" w:cs="仿宋"/>
                <w:sz w:val="22"/>
                <w:szCs w:val="22"/>
              </w:rPr>
              <w:t>1</w:t>
            </w:r>
          </w:p>
        </w:tc>
        <w:tc>
          <w:tcPr>
            <w:tcW w:w="1165" w:type="dxa"/>
            <w:tcMar>
              <w:top w:w="0" w:type="dxa"/>
              <w:left w:w="108" w:type="dxa"/>
              <w:bottom w:w="0" w:type="dxa"/>
              <w:right w:w="108" w:type="dxa"/>
            </w:tcMar>
            <w:vAlign w:val="center"/>
          </w:tcPr>
          <w:p w14:paraId="7F330FA4">
            <w:pPr>
              <w:widowControl/>
              <w:spacing w:before="100" w:beforeAutospacing="1" w:after="100" w:afterAutospacing="1"/>
              <w:jc w:val="center"/>
              <w:rPr>
                <w:rFonts w:ascii="仿宋" w:hAnsi="仿宋" w:eastAsia="仿宋" w:cs="仿宋"/>
                <w:b/>
                <w:bCs/>
                <w:sz w:val="22"/>
                <w:szCs w:val="22"/>
              </w:rPr>
            </w:pPr>
            <w:r>
              <w:rPr>
                <w:rFonts w:hint="eastAsia" w:ascii="仿宋" w:hAnsi="仿宋" w:eastAsia="仿宋" w:cs="仿宋"/>
                <w:b/>
                <w:bCs/>
                <w:sz w:val="22"/>
                <w:szCs w:val="22"/>
              </w:rPr>
              <w:t>投标报价</w:t>
            </w:r>
          </w:p>
        </w:tc>
        <w:tc>
          <w:tcPr>
            <w:tcW w:w="6697" w:type="dxa"/>
            <w:tcMar>
              <w:top w:w="0" w:type="dxa"/>
              <w:left w:w="108" w:type="dxa"/>
              <w:bottom w:w="0" w:type="dxa"/>
              <w:right w:w="108" w:type="dxa"/>
            </w:tcMar>
            <w:vAlign w:val="center"/>
          </w:tcPr>
          <w:p w14:paraId="4E9CCD29">
            <w:pPr>
              <w:spacing w:line="288" w:lineRule="auto"/>
              <w:rPr>
                <w:rFonts w:ascii="仿宋" w:hAnsi="仿宋" w:eastAsia="仿宋" w:cs="仿宋"/>
                <w:sz w:val="22"/>
                <w:szCs w:val="22"/>
              </w:rPr>
            </w:pPr>
            <w:r>
              <w:rPr>
                <w:rFonts w:hint="eastAsia" w:ascii="仿宋" w:hAnsi="仿宋" w:eastAsia="仿宋" w:cs="仿宋"/>
                <w:sz w:val="22"/>
                <w:szCs w:val="22"/>
              </w:rPr>
              <w:t>采用低价优先法计算，即满足采购文件要求且投标价格最低的投标报价为评标基准价，其价格分为满分。其他投标人的价格分按照下列公式计算（小数点保留两位）：投标报价得分=(评标基准价／投标报价)×10。</w:t>
            </w:r>
          </w:p>
        </w:tc>
        <w:tc>
          <w:tcPr>
            <w:tcW w:w="708" w:type="dxa"/>
            <w:tcMar>
              <w:top w:w="0" w:type="dxa"/>
              <w:left w:w="108" w:type="dxa"/>
              <w:bottom w:w="0" w:type="dxa"/>
              <w:right w:w="108" w:type="dxa"/>
            </w:tcMar>
            <w:vAlign w:val="center"/>
          </w:tcPr>
          <w:p w14:paraId="24C30B2B">
            <w:pPr>
              <w:jc w:val="center"/>
              <w:rPr>
                <w:rFonts w:ascii="仿宋" w:hAnsi="仿宋" w:eastAsia="仿宋" w:cs="仿宋"/>
                <w:sz w:val="22"/>
                <w:szCs w:val="22"/>
              </w:rPr>
            </w:pPr>
            <w:r>
              <w:rPr>
                <w:rFonts w:hint="eastAsia" w:ascii="仿宋" w:hAnsi="仿宋" w:eastAsia="仿宋" w:cs="仿宋"/>
                <w:sz w:val="22"/>
                <w:szCs w:val="22"/>
              </w:rPr>
              <w:t>10</w:t>
            </w:r>
          </w:p>
        </w:tc>
      </w:tr>
      <w:tr w14:paraId="3DE363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90" w:hRule="atLeast"/>
          <w:jc w:val="center"/>
        </w:trPr>
        <w:tc>
          <w:tcPr>
            <w:tcW w:w="768" w:type="dxa"/>
            <w:tcMar>
              <w:top w:w="0" w:type="dxa"/>
              <w:left w:w="108" w:type="dxa"/>
              <w:bottom w:w="0" w:type="dxa"/>
              <w:right w:w="108" w:type="dxa"/>
            </w:tcMar>
            <w:vAlign w:val="center"/>
          </w:tcPr>
          <w:p w14:paraId="6E969D8B">
            <w:pPr>
              <w:widowControl/>
              <w:spacing w:before="100" w:beforeAutospacing="1" w:after="100" w:afterAutospacing="1"/>
              <w:jc w:val="center"/>
              <w:rPr>
                <w:rFonts w:ascii="仿宋" w:hAnsi="仿宋" w:eastAsia="仿宋" w:cs="仿宋"/>
                <w:sz w:val="22"/>
                <w:szCs w:val="22"/>
              </w:rPr>
            </w:pPr>
            <w:r>
              <w:rPr>
                <w:rFonts w:hint="eastAsia" w:ascii="仿宋" w:hAnsi="仿宋" w:eastAsia="仿宋" w:cs="仿宋"/>
                <w:sz w:val="22"/>
                <w:szCs w:val="22"/>
              </w:rPr>
              <w:t>2.1</w:t>
            </w:r>
          </w:p>
        </w:tc>
        <w:tc>
          <w:tcPr>
            <w:tcW w:w="1165" w:type="dxa"/>
            <w:vMerge w:val="restart"/>
            <w:tcMar>
              <w:top w:w="0" w:type="dxa"/>
              <w:left w:w="108" w:type="dxa"/>
              <w:bottom w:w="0" w:type="dxa"/>
              <w:right w:w="108" w:type="dxa"/>
            </w:tcMar>
            <w:vAlign w:val="center"/>
          </w:tcPr>
          <w:p w14:paraId="27D86751">
            <w:pPr>
              <w:widowControl/>
              <w:spacing w:before="100" w:beforeAutospacing="1" w:after="100" w:afterAutospacing="1"/>
              <w:jc w:val="center"/>
              <w:rPr>
                <w:rFonts w:hint="eastAsia" w:ascii="仿宋" w:hAnsi="仿宋" w:eastAsia="仿宋" w:cs="仿宋"/>
                <w:b/>
                <w:bCs/>
                <w:color w:val="FF0000"/>
                <w:sz w:val="22"/>
                <w:szCs w:val="22"/>
                <w:highlight w:val="none"/>
                <w:lang w:eastAsia="zh-CN"/>
              </w:rPr>
            </w:pPr>
            <w:r>
              <w:rPr>
                <w:rFonts w:hint="eastAsia" w:ascii="仿宋" w:hAnsi="仿宋" w:eastAsia="仿宋" w:cs="仿宋"/>
                <w:b/>
                <w:bCs/>
                <w:sz w:val="22"/>
                <w:szCs w:val="22"/>
                <w:highlight w:val="none"/>
              </w:rPr>
              <w:t>企业综合实力</w:t>
            </w:r>
            <w:r>
              <w:rPr>
                <w:rFonts w:hint="eastAsia" w:ascii="仿宋" w:hAnsi="仿宋" w:eastAsia="仿宋" w:cs="仿宋"/>
                <w:b/>
                <w:bCs/>
                <w:sz w:val="22"/>
                <w:szCs w:val="22"/>
                <w:highlight w:val="none"/>
                <w:lang w:eastAsia="zh-CN"/>
              </w:rPr>
              <w:t>（</w:t>
            </w:r>
            <w:r>
              <w:rPr>
                <w:rFonts w:hint="eastAsia" w:ascii="仿宋" w:hAnsi="仿宋" w:eastAsia="仿宋" w:cs="仿宋"/>
                <w:b/>
                <w:bCs/>
                <w:sz w:val="22"/>
                <w:szCs w:val="22"/>
                <w:highlight w:val="none"/>
                <w:lang w:val="en-US" w:eastAsia="zh-CN"/>
              </w:rPr>
              <w:t>23分</w:t>
            </w:r>
            <w:r>
              <w:rPr>
                <w:rFonts w:hint="eastAsia" w:ascii="仿宋" w:hAnsi="仿宋" w:eastAsia="仿宋" w:cs="仿宋"/>
                <w:b/>
                <w:bCs/>
                <w:sz w:val="22"/>
                <w:szCs w:val="22"/>
                <w:highlight w:val="none"/>
                <w:lang w:eastAsia="zh-CN"/>
              </w:rPr>
              <w:t>）</w:t>
            </w:r>
          </w:p>
        </w:tc>
        <w:tc>
          <w:tcPr>
            <w:tcW w:w="6697" w:type="dxa"/>
            <w:tcMar>
              <w:top w:w="0" w:type="dxa"/>
              <w:left w:w="108" w:type="dxa"/>
              <w:bottom w:w="0" w:type="dxa"/>
              <w:right w:w="108" w:type="dxa"/>
            </w:tcMar>
            <w:vAlign w:val="center"/>
          </w:tcPr>
          <w:p w14:paraId="27F04C3F">
            <w:pPr>
              <w:spacing w:line="288" w:lineRule="auto"/>
              <w:rPr>
                <w:rFonts w:ascii="仿宋" w:hAnsi="仿宋" w:eastAsia="仿宋" w:cs="仿宋"/>
                <w:sz w:val="22"/>
                <w:szCs w:val="22"/>
                <w:highlight w:val="none"/>
              </w:rPr>
            </w:pPr>
            <w:r>
              <w:rPr>
                <w:rFonts w:hint="eastAsia" w:ascii="仿宋" w:hAnsi="仿宋" w:eastAsia="仿宋" w:cs="仿宋"/>
                <w:sz w:val="22"/>
                <w:szCs w:val="22"/>
                <w:highlight w:val="none"/>
              </w:rPr>
              <w:t>供应商拥有独立的实验室面积≥2000㎡的，得</w:t>
            </w:r>
            <w:r>
              <w:rPr>
                <w:rFonts w:hint="eastAsia" w:ascii="仿宋" w:hAnsi="仿宋" w:eastAsia="仿宋" w:cs="仿宋"/>
                <w:sz w:val="22"/>
                <w:szCs w:val="22"/>
                <w:highlight w:val="none"/>
                <w:lang w:val="en-US" w:eastAsia="zh-CN"/>
              </w:rPr>
              <w:t>5</w:t>
            </w:r>
            <w:r>
              <w:rPr>
                <w:rFonts w:hint="eastAsia" w:ascii="仿宋" w:hAnsi="仿宋" w:eastAsia="仿宋" w:cs="仿宋"/>
                <w:sz w:val="22"/>
                <w:szCs w:val="22"/>
                <w:highlight w:val="none"/>
              </w:rPr>
              <w:t>分；2000㎡＜实验室面积≤1000㎡，得</w:t>
            </w:r>
            <w:r>
              <w:rPr>
                <w:rFonts w:hint="eastAsia" w:ascii="仿宋" w:hAnsi="仿宋" w:eastAsia="仿宋" w:cs="仿宋"/>
                <w:sz w:val="22"/>
                <w:szCs w:val="22"/>
                <w:highlight w:val="none"/>
                <w:lang w:val="en-US" w:eastAsia="zh-CN"/>
              </w:rPr>
              <w:t>3</w:t>
            </w:r>
            <w:r>
              <w:rPr>
                <w:rFonts w:hint="eastAsia" w:ascii="仿宋" w:hAnsi="仿宋" w:eastAsia="仿宋" w:cs="仿宋"/>
                <w:sz w:val="22"/>
                <w:szCs w:val="22"/>
                <w:highlight w:val="none"/>
              </w:rPr>
              <w:t>分；实验室面积＜1000㎡的，得1分。（提供房屋产权证书或房租租赁合同复印件加盖公章）</w:t>
            </w:r>
          </w:p>
        </w:tc>
        <w:tc>
          <w:tcPr>
            <w:tcW w:w="708" w:type="dxa"/>
            <w:tcMar>
              <w:top w:w="0" w:type="dxa"/>
              <w:left w:w="108" w:type="dxa"/>
              <w:bottom w:w="0" w:type="dxa"/>
              <w:right w:w="108" w:type="dxa"/>
            </w:tcMar>
            <w:vAlign w:val="center"/>
          </w:tcPr>
          <w:p w14:paraId="1C1A9C54">
            <w:pPr>
              <w:spacing w:line="360" w:lineRule="auto"/>
              <w:jc w:val="center"/>
              <w:rPr>
                <w:rFonts w:hint="eastAsia" w:ascii="仿宋" w:hAnsi="仿宋" w:eastAsia="仿宋" w:cs="仿宋"/>
                <w:sz w:val="22"/>
                <w:szCs w:val="22"/>
                <w:highlight w:val="none"/>
                <w:lang w:eastAsia="zh-CN"/>
              </w:rPr>
            </w:pPr>
            <w:r>
              <w:rPr>
                <w:rFonts w:hint="eastAsia" w:ascii="仿宋" w:hAnsi="仿宋" w:eastAsia="仿宋" w:cs="仿宋"/>
                <w:sz w:val="22"/>
                <w:szCs w:val="22"/>
                <w:highlight w:val="none"/>
                <w:lang w:val="en-US" w:eastAsia="zh-CN"/>
              </w:rPr>
              <w:t>5</w:t>
            </w:r>
          </w:p>
        </w:tc>
      </w:tr>
      <w:tr w14:paraId="636375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90" w:hRule="atLeast"/>
          <w:jc w:val="center"/>
        </w:trPr>
        <w:tc>
          <w:tcPr>
            <w:tcW w:w="768" w:type="dxa"/>
            <w:tcMar>
              <w:top w:w="0" w:type="dxa"/>
              <w:left w:w="108" w:type="dxa"/>
              <w:bottom w:w="0" w:type="dxa"/>
              <w:right w:w="108" w:type="dxa"/>
            </w:tcMar>
            <w:vAlign w:val="center"/>
          </w:tcPr>
          <w:p w14:paraId="2320ACCC">
            <w:pPr>
              <w:widowControl/>
              <w:spacing w:before="100" w:beforeAutospacing="1" w:after="100" w:afterAutospacing="1"/>
              <w:jc w:val="center"/>
              <w:rPr>
                <w:rFonts w:ascii="仿宋" w:hAnsi="仿宋" w:eastAsia="仿宋" w:cs="仿宋"/>
                <w:sz w:val="22"/>
                <w:szCs w:val="22"/>
              </w:rPr>
            </w:pPr>
            <w:r>
              <w:rPr>
                <w:rFonts w:hint="eastAsia" w:ascii="仿宋" w:hAnsi="仿宋" w:eastAsia="仿宋" w:cs="仿宋"/>
                <w:sz w:val="22"/>
                <w:szCs w:val="22"/>
              </w:rPr>
              <w:t>2.2</w:t>
            </w:r>
          </w:p>
        </w:tc>
        <w:tc>
          <w:tcPr>
            <w:tcW w:w="1165" w:type="dxa"/>
            <w:vMerge w:val="continue"/>
            <w:tcMar>
              <w:top w:w="0" w:type="dxa"/>
              <w:left w:w="108" w:type="dxa"/>
              <w:bottom w:w="0" w:type="dxa"/>
              <w:right w:w="108" w:type="dxa"/>
            </w:tcMar>
            <w:vAlign w:val="center"/>
          </w:tcPr>
          <w:p w14:paraId="77708B8E">
            <w:pPr>
              <w:widowControl/>
              <w:spacing w:before="100" w:beforeAutospacing="1" w:after="100" w:afterAutospacing="1"/>
              <w:jc w:val="center"/>
              <w:rPr>
                <w:rFonts w:ascii="仿宋" w:hAnsi="仿宋" w:eastAsia="仿宋" w:cs="仿宋"/>
                <w:b/>
                <w:bCs/>
                <w:sz w:val="22"/>
                <w:szCs w:val="22"/>
                <w:highlight w:val="none"/>
              </w:rPr>
            </w:pPr>
          </w:p>
        </w:tc>
        <w:tc>
          <w:tcPr>
            <w:tcW w:w="6697" w:type="dxa"/>
            <w:tcMar>
              <w:top w:w="0" w:type="dxa"/>
              <w:left w:w="108" w:type="dxa"/>
              <w:bottom w:w="0" w:type="dxa"/>
              <w:right w:w="108" w:type="dxa"/>
            </w:tcMar>
            <w:vAlign w:val="center"/>
          </w:tcPr>
          <w:p w14:paraId="04D6CBB9">
            <w:pPr>
              <w:spacing w:line="288" w:lineRule="auto"/>
              <w:rPr>
                <w:rFonts w:ascii="仿宋" w:hAnsi="仿宋" w:eastAsia="仿宋" w:cs="仿宋"/>
                <w:sz w:val="22"/>
                <w:szCs w:val="22"/>
                <w:highlight w:val="none"/>
              </w:rPr>
            </w:pPr>
            <w:r>
              <w:rPr>
                <w:rFonts w:hint="eastAsia" w:ascii="仿宋" w:hAnsi="仿宋" w:eastAsia="仿宋" w:cs="仿宋"/>
                <w:sz w:val="22"/>
                <w:szCs w:val="22"/>
                <w:highlight w:val="none"/>
              </w:rPr>
              <w:t>（</w:t>
            </w:r>
            <w:r>
              <w:rPr>
                <w:rFonts w:hint="eastAsia" w:ascii="仿宋" w:hAnsi="仿宋" w:eastAsia="仿宋" w:cs="仿宋"/>
                <w:sz w:val="22"/>
                <w:szCs w:val="22"/>
                <w:highlight w:val="none"/>
                <w:lang w:val="en-US" w:eastAsia="zh-CN"/>
              </w:rPr>
              <w:t>1</w:t>
            </w:r>
            <w:r>
              <w:rPr>
                <w:rFonts w:hint="eastAsia" w:ascii="仿宋" w:hAnsi="仿宋" w:eastAsia="仿宋" w:cs="仿宋"/>
                <w:sz w:val="22"/>
                <w:szCs w:val="22"/>
                <w:highlight w:val="none"/>
              </w:rPr>
              <w:t>）供应商拟投入人员中具有高级及以上技术职称的得</w:t>
            </w:r>
            <w:r>
              <w:rPr>
                <w:rFonts w:ascii="仿宋" w:hAnsi="仿宋" w:eastAsia="仿宋" w:cs="仿宋"/>
                <w:sz w:val="22"/>
                <w:szCs w:val="22"/>
                <w:highlight w:val="none"/>
              </w:rPr>
              <w:t>2</w:t>
            </w:r>
            <w:r>
              <w:rPr>
                <w:rFonts w:hint="eastAsia" w:ascii="仿宋" w:hAnsi="仿宋" w:eastAsia="仿宋" w:cs="仿宋"/>
                <w:sz w:val="22"/>
                <w:szCs w:val="22"/>
                <w:highlight w:val="none"/>
              </w:rPr>
              <w:t>分/人，具有中级技术职称的得1分/人，满分8分。</w:t>
            </w:r>
          </w:p>
          <w:p w14:paraId="2AD19D0B">
            <w:pPr>
              <w:spacing w:line="288" w:lineRule="auto"/>
              <w:rPr>
                <w:rFonts w:ascii="仿宋" w:hAnsi="仿宋" w:eastAsia="仿宋" w:cs="仿宋"/>
                <w:sz w:val="22"/>
                <w:szCs w:val="22"/>
                <w:highlight w:val="none"/>
              </w:rPr>
            </w:pPr>
            <w:r>
              <w:rPr>
                <w:rFonts w:hint="eastAsia" w:ascii="仿宋" w:hAnsi="仿宋" w:eastAsia="仿宋" w:cs="仿宋"/>
                <w:sz w:val="22"/>
                <w:szCs w:val="22"/>
                <w:highlight w:val="none"/>
              </w:rPr>
              <w:t>（</w:t>
            </w:r>
            <w:r>
              <w:rPr>
                <w:rFonts w:hint="eastAsia" w:ascii="仿宋" w:hAnsi="仿宋" w:eastAsia="仿宋" w:cs="仿宋"/>
                <w:sz w:val="22"/>
                <w:szCs w:val="22"/>
                <w:highlight w:val="none"/>
                <w:lang w:val="en-US" w:eastAsia="zh-CN"/>
              </w:rPr>
              <w:t>2</w:t>
            </w:r>
            <w:r>
              <w:rPr>
                <w:rFonts w:hint="eastAsia" w:ascii="仿宋" w:hAnsi="仿宋" w:eastAsia="仿宋" w:cs="仿宋"/>
                <w:sz w:val="22"/>
                <w:szCs w:val="22"/>
                <w:highlight w:val="none"/>
              </w:rPr>
              <w:t>）供应商具有本项目所需的监测车辆，每提供一辆得</w:t>
            </w:r>
            <w:r>
              <w:rPr>
                <w:rFonts w:ascii="仿宋" w:hAnsi="仿宋" w:eastAsia="仿宋" w:cs="仿宋"/>
                <w:sz w:val="22"/>
                <w:szCs w:val="22"/>
                <w:highlight w:val="none"/>
              </w:rPr>
              <w:t>1</w:t>
            </w:r>
            <w:r>
              <w:rPr>
                <w:rFonts w:hint="eastAsia" w:ascii="仿宋" w:hAnsi="仿宋" w:eastAsia="仿宋" w:cs="仿宋"/>
                <w:sz w:val="22"/>
                <w:szCs w:val="22"/>
                <w:highlight w:val="none"/>
              </w:rPr>
              <w:t>分，满分</w:t>
            </w:r>
            <w:r>
              <w:rPr>
                <w:rFonts w:ascii="仿宋" w:hAnsi="仿宋" w:eastAsia="仿宋" w:cs="仿宋"/>
                <w:sz w:val="22"/>
                <w:szCs w:val="22"/>
                <w:highlight w:val="none"/>
              </w:rPr>
              <w:t>4</w:t>
            </w:r>
            <w:r>
              <w:rPr>
                <w:rFonts w:hint="eastAsia" w:ascii="仿宋" w:hAnsi="仿宋" w:eastAsia="仿宋" w:cs="仿宋"/>
                <w:sz w:val="22"/>
                <w:szCs w:val="22"/>
                <w:highlight w:val="none"/>
              </w:rPr>
              <w:t>分。</w:t>
            </w:r>
          </w:p>
          <w:p w14:paraId="3F87248F">
            <w:pPr>
              <w:spacing w:line="288" w:lineRule="auto"/>
              <w:rPr>
                <w:rFonts w:ascii="仿宋" w:hAnsi="仿宋" w:eastAsia="仿宋" w:cs="仿宋"/>
                <w:sz w:val="22"/>
                <w:szCs w:val="22"/>
                <w:highlight w:val="none"/>
              </w:rPr>
            </w:pPr>
            <w:r>
              <w:rPr>
                <w:rFonts w:hint="eastAsia" w:ascii="仿宋" w:hAnsi="仿宋" w:eastAsia="仿宋" w:cs="仿宋"/>
                <w:sz w:val="22"/>
                <w:szCs w:val="22"/>
                <w:highlight w:val="none"/>
              </w:rPr>
              <w:t>（备注：以上人员需提供开标前近三个月内任意一个月养老保险缴纳证明、上岗合格证、职称证书、自有车辆提供购车发票或者车辆行驶证复印件加盖公章，人员不得重复计分。）</w:t>
            </w:r>
          </w:p>
        </w:tc>
        <w:tc>
          <w:tcPr>
            <w:tcW w:w="708" w:type="dxa"/>
            <w:tcMar>
              <w:top w:w="0" w:type="dxa"/>
              <w:left w:w="108" w:type="dxa"/>
              <w:bottom w:w="0" w:type="dxa"/>
              <w:right w:w="108" w:type="dxa"/>
            </w:tcMar>
            <w:vAlign w:val="center"/>
          </w:tcPr>
          <w:p w14:paraId="4737B362">
            <w:pPr>
              <w:spacing w:line="360" w:lineRule="auto"/>
              <w:jc w:val="center"/>
              <w:rPr>
                <w:rFonts w:ascii="仿宋" w:hAnsi="仿宋" w:eastAsia="仿宋" w:cs="仿宋"/>
                <w:sz w:val="22"/>
                <w:szCs w:val="22"/>
                <w:highlight w:val="yellow"/>
              </w:rPr>
            </w:pPr>
            <w:r>
              <w:rPr>
                <w:rFonts w:hint="eastAsia" w:ascii="仿宋" w:hAnsi="仿宋" w:eastAsia="仿宋" w:cs="仿宋"/>
                <w:sz w:val="22"/>
                <w:szCs w:val="22"/>
                <w:lang w:val="en-US" w:eastAsia="zh-CN"/>
              </w:rPr>
              <w:t>1</w:t>
            </w:r>
            <w:r>
              <w:rPr>
                <w:rFonts w:ascii="仿宋" w:hAnsi="仿宋" w:eastAsia="仿宋" w:cs="仿宋"/>
                <w:sz w:val="22"/>
                <w:szCs w:val="22"/>
              </w:rPr>
              <w:t>2</w:t>
            </w:r>
          </w:p>
        </w:tc>
      </w:tr>
      <w:tr w14:paraId="17D2BA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90" w:hRule="atLeast"/>
          <w:jc w:val="center"/>
        </w:trPr>
        <w:tc>
          <w:tcPr>
            <w:tcW w:w="768" w:type="dxa"/>
            <w:tcMar>
              <w:top w:w="0" w:type="dxa"/>
              <w:left w:w="108" w:type="dxa"/>
              <w:bottom w:w="0" w:type="dxa"/>
              <w:right w:w="108" w:type="dxa"/>
            </w:tcMar>
            <w:vAlign w:val="center"/>
          </w:tcPr>
          <w:p w14:paraId="3F65986B">
            <w:pPr>
              <w:widowControl/>
              <w:spacing w:before="100" w:beforeAutospacing="1" w:after="100" w:afterAutospacing="1"/>
              <w:jc w:val="center"/>
              <w:rPr>
                <w:rFonts w:hint="default" w:ascii="仿宋" w:hAnsi="仿宋" w:eastAsia="仿宋" w:cs="仿宋"/>
                <w:sz w:val="22"/>
                <w:szCs w:val="22"/>
                <w:lang w:val="en-US" w:eastAsia="zh-CN"/>
              </w:rPr>
            </w:pPr>
            <w:r>
              <w:rPr>
                <w:rFonts w:hint="eastAsia" w:ascii="仿宋" w:hAnsi="仿宋" w:eastAsia="仿宋" w:cs="仿宋"/>
                <w:sz w:val="22"/>
                <w:szCs w:val="22"/>
                <w:lang w:val="en-US" w:eastAsia="zh-CN"/>
              </w:rPr>
              <w:t>2.3</w:t>
            </w:r>
          </w:p>
        </w:tc>
        <w:tc>
          <w:tcPr>
            <w:tcW w:w="1165" w:type="dxa"/>
            <w:vMerge w:val="continue"/>
            <w:tcMar>
              <w:top w:w="0" w:type="dxa"/>
              <w:left w:w="108" w:type="dxa"/>
              <w:bottom w:w="0" w:type="dxa"/>
              <w:right w:w="108" w:type="dxa"/>
            </w:tcMar>
            <w:vAlign w:val="center"/>
          </w:tcPr>
          <w:p w14:paraId="3795243A">
            <w:pPr>
              <w:widowControl/>
              <w:spacing w:before="100" w:beforeAutospacing="1" w:after="100" w:afterAutospacing="1"/>
              <w:jc w:val="center"/>
              <w:rPr>
                <w:rFonts w:ascii="仿宋" w:hAnsi="仿宋" w:eastAsia="仿宋" w:cs="仿宋"/>
                <w:b/>
                <w:bCs/>
                <w:sz w:val="22"/>
                <w:szCs w:val="22"/>
                <w:highlight w:val="none"/>
              </w:rPr>
            </w:pPr>
          </w:p>
        </w:tc>
        <w:tc>
          <w:tcPr>
            <w:tcW w:w="6697" w:type="dxa"/>
            <w:tcMar>
              <w:top w:w="0" w:type="dxa"/>
              <w:left w:w="108" w:type="dxa"/>
              <w:bottom w:w="0" w:type="dxa"/>
              <w:right w:w="108" w:type="dxa"/>
            </w:tcMar>
            <w:vAlign w:val="center"/>
          </w:tcPr>
          <w:p w14:paraId="15E1A5F9">
            <w:pPr>
              <w:rPr>
                <w:rFonts w:ascii="仿宋" w:hAnsi="仿宋" w:eastAsia="仿宋" w:cs="仿宋"/>
                <w:sz w:val="22"/>
                <w:szCs w:val="22"/>
                <w:highlight w:val="none"/>
              </w:rPr>
            </w:pPr>
            <w:r>
              <w:rPr>
                <w:rFonts w:hint="eastAsia" w:ascii="仿宋" w:hAnsi="仿宋" w:eastAsia="仿宋" w:cs="仿宋"/>
                <w:sz w:val="22"/>
                <w:szCs w:val="22"/>
                <w:highlight w:val="none"/>
              </w:rPr>
              <w:t>实验室检测项目在满足本项目需求的基础上，方法检出限应满足国家标准检测方法检出限要求。</w:t>
            </w:r>
          </w:p>
          <w:p w14:paraId="0CA90113">
            <w:pPr>
              <w:rPr>
                <w:rFonts w:ascii="仿宋" w:hAnsi="仿宋" w:eastAsia="仿宋" w:cs="仿宋"/>
                <w:sz w:val="22"/>
                <w:szCs w:val="22"/>
                <w:highlight w:val="none"/>
              </w:rPr>
            </w:pPr>
            <w:r>
              <w:rPr>
                <w:rFonts w:hint="eastAsia" w:ascii="仿宋" w:hAnsi="仿宋" w:eastAsia="仿宋" w:cs="仿宋"/>
                <w:sz w:val="22"/>
                <w:szCs w:val="22"/>
                <w:highlight w:val="none"/>
              </w:rPr>
              <w:t>检验能力项≥400项的，得</w:t>
            </w:r>
            <w:r>
              <w:rPr>
                <w:rFonts w:hint="eastAsia" w:ascii="仿宋" w:hAnsi="仿宋" w:eastAsia="仿宋" w:cs="仿宋"/>
                <w:sz w:val="22"/>
                <w:szCs w:val="22"/>
                <w:highlight w:val="none"/>
                <w:lang w:val="en-US" w:eastAsia="zh-CN"/>
              </w:rPr>
              <w:t>6</w:t>
            </w:r>
            <w:r>
              <w:rPr>
                <w:rFonts w:hint="eastAsia" w:ascii="仿宋" w:hAnsi="仿宋" w:eastAsia="仿宋" w:cs="仿宋"/>
                <w:sz w:val="22"/>
                <w:szCs w:val="22"/>
                <w:highlight w:val="none"/>
              </w:rPr>
              <w:t>分；</w:t>
            </w:r>
          </w:p>
          <w:p w14:paraId="4A9AF18C">
            <w:pPr>
              <w:rPr>
                <w:rFonts w:ascii="仿宋" w:hAnsi="仿宋" w:eastAsia="仿宋" w:cs="仿宋"/>
                <w:sz w:val="22"/>
                <w:szCs w:val="22"/>
                <w:highlight w:val="none"/>
              </w:rPr>
            </w:pPr>
            <w:r>
              <w:rPr>
                <w:rFonts w:hint="eastAsia" w:ascii="仿宋" w:hAnsi="仿宋" w:eastAsia="仿宋" w:cs="仿宋"/>
                <w:sz w:val="22"/>
                <w:szCs w:val="22"/>
                <w:highlight w:val="none"/>
              </w:rPr>
              <w:t>400项＞检验能力项≥300项的，得4分；</w:t>
            </w:r>
          </w:p>
          <w:p w14:paraId="353151D1">
            <w:pPr>
              <w:rPr>
                <w:rFonts w:ascii="仿宋" w:hAnsi="仿宋" w:eastAsia="仿宋" w:cs="仿宋"/>
                <w:sz w:val="22"/>
                <w:szCs w:val="22"/>
                <w:highlight w:val="none"/>
              </w:rPr>
            </w:pPr>
            <w:r>
              <w:rPr>
                <w:rFonts w:hint="eastAsia" w:ascii="仿宋" w:hAnsi="仿宋" w:eastAsia="仿宋" w:cs="仿宋"/>
                <w:sz w:val="22"/>
                <w:szCs w:val="22"/>
                <w:highlight w:val="none"/>
              </w:rPr>
              <w:t>300项＞检验能力项≥250项的，得3分；</w:t>
            </w:r>
          </w:p>
          <w:p w14:paraId="401C7D1E">
            <w:pPr>
              <w:rPr>
                <w:rFonts w:ascii="仿宋" w:hAnsi="仿宋" w:eastAsia="仿宋" w:cs="仿宋"/>
                <w:sz w:val="22"/>
                <w:szCs w:val="22"/>
                <w:highlight w:val="none"/>
              </w:rPr>
            </w:pPr>
            <w:r>
              <w:rPr>
                <w:rFonts w:hint="eastAsia" w:ascii="仿宋" w:hAnsi="仿宋" w:eastAsia="仿宋" w:cs="仿宋"/>
                <w:sz w:val="22"/>
                <w:szCs w:val="22"/>
                <w:highlight w:val="none"/>
              </w:rPr>
              <w:t>250项＞检验能力项≥200项的，得2分；</w:t>
            </w:r>
          </w:p>
          <w:p w14:paraId="1FF8B899">
            <w:pPr>
              <w:rPr>
                <w:rFonts w:ascii="仿宋" w:hAnsi="仿宋" w:eastAsia="仿宋" w:cs="仿宋"/>
                <w:sz w:val="22"/>
                <w:szCs w:val="22"/>
                <w:highlight w:val="none"/>
              </w:rPr>
            </w:pPr>
            <w:r>
              <w:rPr>
                <w:rFonts w:hint="eastAsia" w:ascii="仿宋" w:hAnsi="仿宋" w:eastAsia="仿宋" w:cs="仿宋"/>
                <w:sz w:val="22"/>
                <w:szCs w:val="22"/>
                <w:highlight w:val="none"/>
              </w:rPr>
              <w:t>200项＞检验能力项≥150项的，得1分；</w:t>
            </w:r>
          </w:p>
          <w:p w14:paraId="6F9B995D">
            <w:pPr>
              <w:rPr>
                <w:rFonts w:ascii="仿宋" w:hAnsi="仿宋" w:eastAsia="仿宋" w:cs="仿宋"/>
                <w:sz w:val="22"/>
                <w:szCs w:val="22"/>
                <w:highlight w:val="none"/>
              </w:rPr>
            </w:pPr>
            <w:r>
              <w:rPr>
                <w:rFonts w:hint="eastAsia" w:ascii="仿宋" w:hAnsi="仿宋" w:eastAsia="仿宋" w:cs="仿宋"/>
                <w:sz w:val="22"/>
                <w:szCs w:val="22"/>
                <w:highlight w:val="none"/>
              </w:rPr>
              <w:t>能力项＜150项的，不得分（不计拆分项）。</w:t>
            </w:r>
            <w:r>
              <w:rPr>
                <w:rFonts w:hint="eastAsia" w:ascii="仿宋" w:hAnsi="仿宋" w:eastAsia="仿宋" w:cs="仿宋"/>
                <w:sz w:val="22"/>
                <w:szCs w:val="22"/>
                <w:highlight w:val="none"/>
              </w:rPr>
              <w:br w:type="textWrapping"/>
            </w:r>
            <w:r>
              <w:rPr>
                <w:rFonts w:hint="eastAsia" w:ascii="仿宋" w:hAnsi="仿宋" w:eastAsia="仿宋" w:cs="仿宋"/>
                <w:sz w:val="22"/>
                <w:szCs w:val="22"/>
                <w:highlight w:val="none"/>
              </w:rPr>
              <w:t>（需提供有效期内CMA检验检测机构资质认定证书中的附表复印件加盖公章，并标注检验能力项数量）</w:t>
            </w:r>
          </w:p>
        </w:tc>
        <w:tc>
          <w:tcPr>
            <w:tcW w:w="708" w:type="dxa"/>
            <w:tcMar>
              <w:top w:w="0" w:type="dxa"/>
              <w:left w:w="108" w:type="dxa"/>
              <w:bottom w:w="0" w:type="dxa"/>
              <w:right w:w="108" w:type="dxa"/>
            </w:tcMar>
            <w:vAlign w:val="center"/>
          </w:tcPr>
          <w:p w14:paraId="3F576BE3">
            <w:pPr>
              <w:spacing w:line="360" w:lineRule="auto"/>
              <w:jc w:val="center"/>
              <w:rPr>
                <w:rFonts w:hint="eastAsia" w:ascii="仿宋" w:hAnsi="仿宋" w:eastAsia="仿宋" w:cs="仿宋"/>
                <w:sz w:val="22"/>
                <w:szCs w:val="22"/>
                <w:lang w:eastAsia="zh-CN"/>
              </w:rPr>
            </w:pPr>
            <w:r>
              <w:rPr>
                <w:rFonts w:hint="eastAsia" w:ascii="仿宋" w:hAnsi="仿宋" w:eastAsia="仿宋" w:cs="仿宋"/>
                <w:sz w:val="22"/>
                <w:szCs w:val="22"/>
                <w:lang w:val="en-US" w:eastAsia="zh-CN"/>
              </w:rPr>
              <w:t>6</w:t>
            </w:r>
          </w:p>
        </w:tc>
      </w:tr>
      <w:tr w14:paraId="2A7898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003" w:hRule="atLeast"/>
          <w:jc w:val="center"/>
        </w:trPr>
        <w:tc>
          <w:tcPr>
            <w:tcW w:w="768" w:type="dxa"/>
            <w:tcMar>
              <w:top w:w="0" w:type="dxa"/>
              <w:left w:w="108" w:type="dxa"/>
              <w:bottom w:w="0" w:type="dxa"/>
              <w:right w:w="108" w:type="dxa"/>
            </w:tcMar>
            <w:vAlign w:val="center"/>
          </w:tcPr>
          <w:p w14:paraId="30D02044">
            <w:pPr>
              <w:widowControl/>
              <w:spacing w:before="100" w:beforeAutospacing="1" w:after="100" w:afterAutospacing="1"/>
              <w:jc w:val="center"/>
              <w:rPr>
                <w:rFonts w:ascii="仿宋" w:hAnsi="仿宋" w:eastAsia="仿宋" w:cs="仿宋"/>
                <w:sz w:val="22"/>
                <w:szCs w:val="22"/>
                <w:highlight w:val="none"/>
              </w:rPr>
            </w:pPr>
            <w:r>
              <w:rPr>
                <w:rFonts w:hint="eastAsia" w:ascii="仿宋" w:hAnsi="仿宋" w:eastAsia="仿宋" w:cs="仿宋"/>
                <w:sz w:val="22"/>
                <w:szCs w:val="22"/>
                <w:highlight w:val="none"/>
              </w:rPr>
              <w:t>3</w:t>
            </w:r>
          </w:p>
        </w:tc>
        <w:tc>
          <w:tcPr>
            <w:tcW w:w="1165" w:type="dxa"/>
            <w:shd w:val="clear" w:color="auto" w:fill="auto"/>
            <w:tcMar>
              <w:top w:w="0" w:type="dxa"/>
              <w:left w:w="108" w:type="dxa"/>
              <w:bottom w:w="0" w:type="dxa"/>
              <w:right w:w="108" w:type="dxa"/>
            </w:tcMar>
            <w:vAlign w:val="center"/>
          </w:tcPr>
          <w:p w14:paraId="5C0ED6B7">
            <w:pPr>
              <w:widowControl/>
              <w:jc w:val="center"/>
              <w:rPr>
                <w:sz w:val="22"/>
                <w:szCs w:val="21"/>
                <w:highlight w:val="none"/>
              </w:rPr>
            </w:pPr>
            <w:r>
              <w:rPr>
                <w:rFonts w:hint="eastAsia" w:ascii="仿宋" w:hAnsi="仿宋" w:eastAsia="仿宋" w:cs="仿宋"/>
                <w:b/>
                <w:bCs/>
                <w:sz w:val="22"/>
                <w:szCs w:val="22"/>
                <w:highlight w:val="none"/>
              </w:rPr>
              <w:t>业绩</w:t>
            </w:r>
          </w:p>
        </w:tc>
        <w:tc>
          <w:tcPr>
            <w:tcW w:w="6697" w:type="dxa"/>
            <w:shd w:val="clear" w:color="auto" w:fill="auto"/>
            <w:tcMar>
              <w:top w:w="0" w:type="dxa"/>
              <w:left w:w="108" w:type="dxa"/>
              <w:bottom w:w="0" w:type="dxa"/>
              <w:right w:w="108" w:type="dxa"/>
            </w:tcMar>
            <w:vAlign w:val="center"/>
          </w:tcPr>
          <w:p w14:paraId="39E59E15">
            <w:pPr>
              <w:pStyle w:val="218"/>
              <w:spacing w:line="288" w:lineRule="auto"/>
              <w:rPr>
                <w:rFonts w:ascii="仿宋" w:hAnsi="仿宋" w:eastAsia="仿宋" w:cs="仿宋"/>
                <w:sz w:val="22"/>
                <w:szCs w:val="22"/>
                <w:highlight w:val="none"/>
              </w:rPr>
            </w:pPr>
            <w:r>
              <w:rPr>
                <w:rFonts w:hint="eastAsia" w:ascii="仿宋" w:hAnsi="仿宋" w:eastAsia="仿宋" w:cs="仿宋"/>
                <w:sz w:val="22"/>
                <w:szCs w:val="22"/>
                <w:highlight w:val="none"/>
              </w:rPr>
              <w:t>供应商自2022年1</w:t>
            </w:r>
            <w:r>
              <w:rPr>
                <w:rFonts w:hint="eastAsia" w:ascii="仿宋" w:hAnsi="仿宋" w:eastAsia="仿宋" w:cs="仿宋"/>
                <w:sz w:val="22"/>
                <w:szCs w:val="22"/>
                <w:highlight w:val="none"/>
                <w:lang w:val="en-US" w:eastAsia="zh-CN"/>
              </w:rPr>
              <w:t>2</w:t>
            </w:r>
            <w:r>
              <w:rPr>
                <w:rFonts w:hint="eastAsia" w:ascii="仿宋" w:hAnsi="仿宋" w:eastAsia="仿宋" w:cs="仿宋"/>
                <w:sz w:val="22"/>
                <w:szCs w:val="22"/>
                <w:highlight w:val="none"/>
              </w:rPr>
              <w:t>月1日以来（以合同签订时间为准），承接</w:t>
            </w:r>
            <w:r>
              <w:rPr>
                <w:rFonts w:hint="eastAsia" w:ascii="仿宋" w:hAnsi="仿宋" w:eastAsia="仿宋" w:cs="仿宋"/>
                <w:sz w:val="22"/>
                <w:szCs w:val="22"/>
                <w:highlight w:val="none"/>
                <w:lang w:val="en-US" w:eastAsia="zh-CN"/>
              </w:rPr>
              <w:t>过政府部门或环保部门类似</w:t>
            </w:r>
            <w:r>
              <w:rPr>
                <w:rFonts w:hint="eastAsia" w:ascii="仿宋" w:hAnsi="仿宋" w:eastAsia="仿宋" w:cs="仿宋"/>
                <w:sz w:val="22"/>
                <w:szCs w:val="22"/>
                <w:highlight w:val="none"/>
              </w:rPr>
              <w:t>环境监测</w:t>
            </w:r>
            <w:r>
              <w:rPr>
                <w:rFonts w:hint="eastAsia" w:ascii="仿宋" w:hAnsi="仿宋" w:eastAsia="仿宋" w:cs="仿宋"/>
                <w:sz w:val="22"/>
                <w:szCs w:val="22"/>
                <w:highlight w:val="none"/>
                <w:lang w:eastAsia="zh-CN"/>
              </w:rPr>
              <w:t>（</w:t>
            </w:r>
            <w:r>
              <w:rPr>
                <w:rFonts w:hint="eastAsia" w:ascii="仿宋" w:hAnsi="仿宋" w:eastAsia="仿宋" w:cs="仿宋"/>
                <w:sz w:val="22"/>
                <w:szCs w:val="22"/>
                <w:highlight w:val="none"/>
                <w:lang w:val="en-US" w:eastAsia="zh-CN"/>
              </w:rPr>
              <w:t>检测</w:t>
            </w:r>
            <w:r>
              <w:rPr>
                <w:rFonts w:hint="eastAsia" w:ascii="仿宋" w:hAnsi="仿宋" w:eastAsia="仿宋" w:cs="仿宋"/>
                <w:sz w:val="22"/>
                <w:szCs w:val="22"/>
                <w:highlight w:val="none"/>
                <w:lang w:eastAsia="zh-CN"/>
              </w:rPr>
              <w:t>）</w:t>
            </w:r>
            <w:r>
              <w:rPr>
                <w:rFonts w:hint="eastAsia" w:ascii="仿宋" w:hAnsi="仿宋" w:eastAsia="仿宋" w:cs="仿宋"/>
                <w:sz w:val="22"/>
                <w:szCs w:val="22"/>
                <w:highlight w:val="none"/>
              </w:rPr>
              <w:t>项目业绩，每提供一个得</w:t>
            </w:r>
            <w:r>
              <w:rPr>
                <w:rFonts w:hint="eastAsia" w:ascii="仿宋" w:hAnsi="仿宋" w:eastAsia="仿宋" w:cs="仿宋"/>
                <w:sz w:val="22"/>
                <w:szCs w:val="22"/>
                <w:highlight w:val="none"/>
                <w:lang w:val="en-US" w:eastAsia="zh-CN"/>
              </w:rPr>
              <w:t>3</w:t>
            </w:r>
            <w:r>
              <w:rPr>
                <w:rFonts w:hint="eastAsia" w:ascii="仿宋" w:hAnsi="仿宋" w:eastAsia="仿宋" w:cs="仿宋"/>
                <w:sz w:val="22"/>
                <w:szCs w:val="22"/>
                <w:highlight w:val="none"/>
              </w:rPr>
              <w:t>分，满分</w:t>
            </w:r>
            <w:r>
              <w:rPr>
                <w:rFonts w:hint="eastAsia" w:ascii="仿宋" w:hAnsi="仿宋" w:eastAsia="仿宋" w:cs="仿宋"/>
                <w:sz w:val="22"/>
                <w:szCs w:val="22"/>
                <w:highlight w:val="none"/>
                <w:lang w:val="en-US" w:eastAsia="zh-CN"/>
              </w:rPr>
              <w:t>9</w:t>
            </w:r>
            <w:r>
              <w:rPr>
                <w:rFonts w:hint="eastAsia" w:ascii="仿宋" w:hAnsi="仿宋" w:eastAsia="仿宋" w:cs="仿宋"/>
                <w:sz w:val="22"/>
                <w:szCs w:val="22"/>
                <w:highlight w:val="none"/>
              </w:rPr>
              <w:t>分。（提供合同复印件加盖公章）</w:t>
            </w:r>
          </w:p>
        </w:tc>
        <w:tc>
          <w:tcPr>
            <w:tcW w:w="708" w:type="dxa"/>
            <w:shd w:val="clear" w:color="auto" w:fill="auto"/>
            <w:tcMar>
              <w:top w:w="0" w:type="dxa"/>
              <w:left w:w="108" w:type="dxa"/>
              <w:bottom w:w="0" w:type="dxa"/>
              <w:right w:w="108" w:type="dxa"/>
            </w:tcMar>
            <w:vAlign w:val="center"/>
          </w:tcPr>
          <w:p w14:paraId="38EE567C">
            <w:pPr>
              <w:spacing w:line="360" w:lineRule="auto"/>
              <w:jc w:val="center"/>
              <w:rPr>
                <w:rFonts w:hint="default" w:ascii="仿宋" w:hAnsi="仿宋" w:eastAsia="仿宋" w:cs="仿宋"/>
                <w:sz w:val="22"/>
                <w:szCs w:val="22"/>
                <w:highlight w:val="none"/>
                <w:lang w:val="en-US"/>
              </w:rPr>
            </w:pPr>
            <w:r>
              <w:rPr>
                <w:rFonts w:hint="eastAsia" w:ascii="仿宋" w:hAnsi="仿宋" w:eastAsia="仿宋" w:cs="仿宋"/>
                <w:sz w:val="22"/>
                <w:szCs w:val="22"/>
                <w:highlight w:val="none"/>
                <w:lang w:val="en-US" w:eastAsia="zh-CN"/>
              </w:rPr>
              <w:t>9</w:t>
            </w:r>
          </w:p>
        </w:tc>
      </w:tr>
      <w:tr w14:paraId="7264A7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90" w:hRule="atLeast"/>
          <w:jc w:val="center"/>
        </w:trPr>
        <w:tc>
          <w:tcPr>
            <w:tcW w:w="768" w:type="dxa"/>
            <w:vAlign w:val="center"/>
          </w:tcPr>
          <w:p w14:paraId="181B1740">
            <w:pPr>
              <w:widowControl/>
              <w:jc w:val="center"/>
              <w:rPr>
                <w:rFonts w:ascii="仿宋" w:hAnsi="仿宋" w:eastAsia="仿宋" w:cs="仿宋"/>
                <w:sz w:val="22"/>
                <w:szCs w:val="22"/>
                <w:highlight w:val="none"/>
              </w:rPr>
            </w:pPr>
            <w:r>
              <w:rPr>
                <w:rFonts w:ascii="仿宋" w:hAnsi="仿宋" w:eastAsia="仿宋" w:cs="仿宋"/>
                <w:sz w:val="22"/>
                <w:szCs w:val="22"/>
                <w:highlight w:val="none"/>
              </w:rPr>
              <w:t>4</w:t>
            </w:r>
          </w:p>
        </w:tc>
        <w:tc>
          <w:tcPr>
            <w:tcW w:w="1165" w:type="dxa"/>
            <w:vAlign w:val="center"/>
          </w:tcPr>
          <w:p w14:paraId="753AC74E">
            <w:pPr>
              <w:widowControl/>
              <w:jc w:val="center"/>
              <w:rPr>
                <w:rFonts w:hint="default" w:ascii="仿宋" w:hAnsi="仿宋" w:eastAsia="仿宋" w:cs="仿宋"/>
                <w:b/>
                <w:bCs/>
                <w:sz w:val="22"/>
                <w:szCs w:val="22"/>
                <w:highlight w:val="none"/>
                <w:lang w:val="en-US" w:eastAsia="zh-CN"/>
              </w:rPr>
            </w:pPr>
            <w:r>
              <w:rPr>
                <w:rFonts w:hint="eastAsia" w:ascii="仿宋" w:hAnsi="仿宋" w:eastAsia="仿宋" w:cs="仿宋"/>
                <w:b/>
                <w:bCs/>
                <w:sz w:val="22"/>
                <w:szCs w:val="22"/>
                <w:highlight w:val="none"/>
                <w:lang w:val="en-US" w:eastAsia="zh-CN"/>
              </w:rPr>
              <w:t>应急任务响应（8分）</w:t>
            </w:r>
          </w:p>
        </w:tc>
        <w:tc>
          <w:tcPr>
            <w:tcW w:w="6697" w:type="dxa"/>
            <w:tcMar>
              <w:top w:w="0" w:type="dxa"/>
              <w:left w:w="108" w:type="dxa"/>
              <w:bottom w:w="0" w:type="dxa"/>
              <w:right w:w="108" w:type="dxa"/>
            </w:tcMar>
            <w:vAlign w:val="center"/>
          </w:tcPr>
          <w:p w14:paraId="2F8E0582">
            <w:pPr>
              <w:pStyle w:val="218"/>
              <w:numPr>
                <w:ilvl w:val="0"/>
                <w:numId w:val="5"/>
              </w:numPr>
              <w:spacing w:line="288" w:lineRule="auto"/>
              <w:rPr>
                <w:rFonts w:hint="eastAsia" w:ascii="仿宋" w:hAnsi="仿宋" w:eastAsia="仿宋" w:cs="仿宋"/>
                <w:sz w:val="22"/>
                <w:szCs w:val="22"/>
                <w:highlight w:val="none"/>
              </w:rPr>
            </w:pPr>
            <w:r>
              <w:rPr>
                <w:rFonts w:hint="eastAsia" w:ascii="仿宋" w:hAnsi="仿宋" w:eastAsia="仿宋" w:cs="仿宋"/>
                <w:sz w:val="22"/>
                <w:szCs w:val="22"/>
                <w:highlight w:val="none"/>
              </w:rPr>
              <w:t>对于临时性应急采样任务，能保证在半小时内响应并到业主单位协调现场采样的得</w:t>
            </w:r>
            <w:r>
              <w:rPr>
                <w:rFonts w:hint="eastAsia" w:ascii="仿宋" w:hAnsi="仿宋" w:eastAsia="仿宋" w:cs="仿宋"/>
                <w:sz w:val="22"/>
                <w:szCs w:val="22"/>
                <w:highlight w:val="none"/>
                <w:lang w:val="en-US" w:eastAsia="zh-CN"/>
              </w:rPr>
              <w:t>2</w:t>
            </w:r>
            <w:r>
              <w:rPr>
                <w:rFonts w:hint="eastAsia" w:ascii="仿宋" w:hAnsi="仿宋" w:eastAsia="仿宋" w:cs="仿宋"/>
                <w:sz w:val="22"/>
                <w:szCs w:val="22"/>
                <w:highlight w:val="none"/>
              </w:rPr>
              <w:t>分；1小时响应的得</w:t>
            </w:r>
            <w:r>
              <w:rPr>
                <w:rFonts w:hint="eastAsia" w:ascii="仿宋" w:hAnsi="仿宋" w:eastAsia="仿宋" w:cs="仿宋"/>
                <w:sz w:val="22"/>
                <w:szCs w:val="22"/>
                <w:highlight w:val="none"/>
                <w:lang w:val="en-US" w:eastAsia="zh-CN"/>
              </w:rPr>
              <w:t>1</w:t>
            </w:r>
            <w:r>
              <w:rPr>
                <w:rFonts w:hint="eastAsia" w:ascii="仿宋" w:hAnsi="仿宋" w:eastAsia="仿宋" w:cs="仿宋"/>
                <w:sz w:val="22"/>
                <w:szCs w:val="22"/>
                <w:highlight w:val="none"/>
              </w:rPr>
              <w:t>分；超过1小时的不得分。（需提供承诺书原件加盖公章）</w:t>
            </w:r>
          </w:p>
          <w:p w14:paraId="34F237F2">
            <w:pPr>
              <w:pStyle w:val="218"/>
              <w:numPr>
                <w:ilvl w:val="0"/>
                <w:numId w:val="5"/>
              </w:numPr>
              <w:spacing w:line="288" w:lineRule="auto"/>
              <w:rPr>
                <w:rFonts w:hint="eastAsia" w:ascii="仿宋" w:hAnsi="仿宋" w:eastAsia="仿宋" w:cs="仿宋"/>
                <w:sz w:val="22"/>
                <w:szCs w:val="22"/>
                <w:highlight w:val="none"/>
              </w:rPr>
            </w:pPr>
            <w:r>
              <w:rPr>
                <w:rFonts w:hint="eastAsia" w:ascii="仿宋" w:hAnsi="仿宋" w:eastAsia="仿宋" w:cs="仿宋"/>
                <w:sz w:val="22"/>
                <w:szCs w:val="22"/>
                <w:highlight w:val="none"/>
                <w:lang w:val="en-US" w:eastAsia="zh-CN"/>
              </w:rPr>
              <w:t>供应商提供自</w:t>
            </w:r>
            <w:r>
              <w:rPr>
                <w:rFonts w:hint="eastAsia" w:ascii="仿宋" w:hAnsi="仿宋" w:eastAsia="仿宋" w:cs="仿宋"/>
                <w:sz w:val="22"/>
                <w:szCs w:val="22"/>
                <w:highlight w:val="none"/>
              </w:rPr>
              <w:t>2022年1</w:t>
            </w:r>
            <w:r>
              <w:rPr>
                <w:rFonts w:hint="eastAsia" w:ascii="仿宋" w:hAnsi="仿宋" w:eastAsia="仿宋" w:cs="仿宋"/>
                <w:sz w:val="22"/>
                <w:szCs w:val="22"/>
                <w:highlight w:val="none"/>
                <w:lang w:val="en-US" w:eastAsia="zh-CN"/>
              </w:rPr>
              <w:t>2</w:t>
            </w:r>
            <w:r>
              <w:rPr>
                <w:rFonts w:hint="eastAsia" w:ascii="仿宋" w:hAnsi="仿宋" w:eastAsia="仿宋" w:cs="仿宋"/>
                <w:sz w:val="22"/>
                <w:szCs w:val="22"/>
                <w:highlight w:val="none"/>
              </w:rPr>
              <w:t>月1日以来至投标截止时间参加过政府类突发环境事件应急监测的，有1个案例得2分</w:t>
            </w:r>
            <w:r>
              <w:rPr>
                <w:rFonts w:hint="eastAsia" w:ascii="仿宋" w:hAnsi="仿宋" w:eastAsia="仿宋" w:cs="仿宋"/>
                <w:sz w:val="22"/>
                <w:szCs w:val="22"/>
                <w:highlight w:val="none"/>
                <w:lang w:eastAsia="zh-CN"/>
              </w:rPr>
              <w:t>，</w:t>
            </w:r>
            <w:r>
              <w:rPr>
                <w:rFonts w:hint="eastAsia" w:ascii="仿宋" w:hAnsi="仿宋" w:eastAsia="仿宋" w:cs="仿宋"/>
                <w:sz w:val="22"/>
                <w:szCs w:val="22"/>
                <w:highlight w:val="none"/>
                <w:lang w:val="en-US" w:eastAsia="zh-CN"/>
              </w:rPr>
              <w:t>最高得6分。</w:t>
            </w:r>
            <w:r>
              <w:rPr>
                <w:rFonts w:hint="eastAsia" w:ascii="仿宋" w:hAnsi="仿宋" w:eastAsia="仿宋" w:cs="仿宋"/>
                <w:sz w:val="22"/>
                <w:szCs w:val="22"/>
                <w:highlight w:val="none"/>
              </w:rPr>
              <w:t>（</w:t>
            </w:r>
            <w:r>
              <w:rPr>
                <w:rFonts w:hint="eastAsia" w:ascii="仿宋" w:hAnsi="仿宋" w:eastAsia="仿宋" w:cs="仿宋"/>
                <w:sz w:val="22"/>
                <w:szCs w:val="22"/>
                <w:highlight w:val="none"/>
                <w:lang w:val="en-US" w:eastAsia="zh-CN"/>
              </w:rPr>
              <w:t>需提供</w:t>
            </w:r>
            <w:r>
              <w:rPr>
                <w:rFonts w:hint="eastAsia" w:ascii="仿宋" w:hAnsi="仿宋" w:eastAsia="仿宋" w:cs="仿宋"/>
                <w:sz w:val="22"/>
                <w:szCs w:val="22"/>
                <w:highlight w:val="none"/>
              </w:rPr>
              <w:t>经环保部门或政府</w:t>
            </w:r>
            <w:r>
              <w:rPr>
                <w:rFonts w:hint="eastAsia" w:ascii="仿宋" w:hAnsi="仿宋" w:eastAsia="仿宋" w:cs="仿宋"/>
                <w:sz w:val="22"/>
                <w:szCs w:val="22"/>
                <w:highlight w:val="none"/>
                <w:lang w:val="en-US" w:eastAsia="zh-CN"/>
              </w:rPr>
              <w:t>部门</w:t>
            </w:r>
            <w:r>
              <w:rPr>
                <w:rFonts w:hint="eastAsia" w:ascii="仿宋" w:hAnsi="仿宋" w:eastAsia="仿宋" w:cs="仿宋"/>
                <w:sz w:val="22"/>
                <w:szCs w:val="22"/>
                <w:highlight w:val="none"/>
              </w:rPr>
              <w:t>确认的</w:t>
            </w:r>
            <w:r>
              <w:rPr>
                <w:rFonts w:hint="eastAsia" w:ascii="仿宋" w:hAnsi="仿宋" w:eastAsia="仿宋" w:cs="仿宋"/>
                <w:sz w:val="22"/>
                <w:szCs w:val="22"/>
                <w:highlight w:val="none"/>
                <w:lang w:val="en-US" w:eastAsia="zh-CN"/>
              </w:rPr>
              <w:t>相关证明材料</w:t>
            </w:r>
            <w:r>
              <w:rPr>
                <w:rFonts w:hint="eastAsia" w:ascii="仿宋" w:hAnsi="仿宋" w:eastAsia="仿宋" w:cs="仿宋"/>
                <w:sz w:val="22"/>
                <w:szCs w:val="22"/>
                <w:highlight w:val="none"/>
              </w:rPr>
              <w:t>复印件加盖公章）。</w:t>
            </w:r>
          </w:p>
        </w:tc>
        <w:tc>
          <w:tcPr>
            <w:tcW w:w="708" w:type="dxa"/>
            <w:tcMar>
              <w:top w:w="0" w:type="dxa"/>
              <w:left w:w="108" w:type="dxa"/>
              <w:bottom w:w="0" w:type="dxa"/>
              <w:right w:w="108" w:type="dxa"/>
            </w:tcMar>
            <w:vAlign w:val="center"/>
          </w:tcPr>
          <w:p w14:paraId="73EE18DB">
            <w:pPr>
              <w:spacing w:line="360" w:lineRule="auto"/>
              <w:jc w:val="center"/>
              <w:rPr>
                <w:rFonts w:hint="default"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8</w:t>
            </w:r>
          </w:p>
        </w:tc>
      </w:tr>
      <w:tr w14:paraId="217190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90" w:hRule="atLeast"/>
          <w:jc w:val="center"/>
        </w:trPr>
        <w:tc>
          <w:tcPr>
            <w:tcW w:w="768" w:type="dxa"/>
            <w:vAlign w:val="center"/>
          </w:tcPr>
          <w:p w14:paraId="05B8518A">
            <w:pPr>
              <w:widowControl/>
              <w:jc w:val="center"/>
              <w:rPr>
                <w:rFonts w:ascii="仿宋" w:hAnsi="仿宋" w:eastAsia="仿宋" w:cs="仿宋"/>
                <w:sz w:val="22"/>
                <w:szCs w:val="22"/>
              </w:rPr>
            </w:pPr>
            <w:r>
              <w:rPr>
                <w:rFonts w:ascii="仿宋" w:hAnsi="仿宋" w:eastAsia="仿宋" w:cs="仿宋"/>
                <w:sz w:val="22"/>
                <w:szCs w:val="22"/>
              </w:rPr>
              <w:t>5</w:t>
            </w:r>
            <w:r>
              <w:rPr>
                <w:rFonts w:hint="eastAsia" w:ascii="仿宋" w:hAnsi="仿宋" w:eastAsia="仿宋" w:cs="仿宋"/>
                <w:sz w:val="22"/>
                <w:szCs w:val="22"/>
              </w:rPr>
              <w:t>.1</w:t>
            </w:r>
          </w:p>
        </w:tc>
        <w:tc>
          <w:tcPr>
            <w:tcW w:w="1165" w:type="dxa"/>
            <w:vMerge w:val="restart"/>
            <w:vAlign w:val="center"/>
          </w:tcPr>
          <w:p w14:paraId="757DD826">
            <w:pPr>
              <w:widowControl/>
              <w:jc w:val="center"/>
              <w:rPr>
                <w:rFonts w:ascii="仿宋" w:hAnsi="仿宋" w:eastAsia="仿宋" w:cs="仿宋"/>
                <w:sz w:val="22"/>
                <w:szCs w:val="21"/>
              </w:rPr>
            </w:pPr>
            <w:r>
              <w:rPr>
                <w:rFonts w:hint="eastAsia" w:ascii="仿宋" w:hAnsi="仿宋" w:eastAsia="仿宋" w:cs="仿宋"/>
                <w:b/>
                <w:bCs/>
                <w:sz w:val="22"/>
                <w:szCs w:val="22"/>
              </w:rPr>
              <w:t xml:space="preserve">服务方案 </w:t>
            </w:r>
            <w:r>
              <w:rPr>
                <w:rFonts w:hint="eastAsia" w:ascii="仿宋" w:hAnsi="仿宋" w:eastAsia="仿宋" w:cs="仿宋"/>
                <w:b/>
                <w:bCs/>
                <w:sz w:val="22"/>
                <w:szCs w:val="22"/>
                <w:lang w:val="en-US" w:eastAsia="zh-CN"/>
              </w:rPr>
              <w:t>（50分）</w:t>
            </w:r>
          </w:p>
        </w:tc>
        <w:tc>
          <w:tcPr>
            <w:tcW w:w="6697" w:type="dxa"/>
            <w:tcMar>
              <w:top w:w="0" w:type="dxa"/>
              <w:left w:w="108" w:type="dxa"/>
              <w:bottom w:w="0" w:type="dxa"/>
              <w:right w:w="108" w:type="dxa"/>
            </w:tcMar>
            <w:vAlign w:val="center"/>
          </w:tcPr>
          <w:p w14:paraId="5A86A2B9">
            <w:pPr>
              <w:rPr>
                <w:rFonts w:ascii="仿宋" w:hAnsi="仿宋" w:eastAsia="仿宋" w:cs="仿宋"/>
                <w:sz w:val="22"/>
                <w:szCs w:val="22"/>
                <w:highlight w:val="none"/>
              </w:rPr>
            </w:pPr>
            <w:r>
              <w:rPr>
                <w:rFonts w:hint="eastAsia" w:ascii="仿宋" w:hAnsi="仿宋" w:eastAsia="仿宋" w:cs="仿宋"/>
                <w:sz w:val="22"/>
                <w:szCs w:val="22"/>
                <w:highlight w:val="none"/>
              </w:rPr>
              <w:t>1、</w:t>
            </w:r>
            <w:r>
              <w:rPr>
                <w:rFonts w:ascii="仿宋" w:hAnsi="仿宋" w:eastAsia="仿宋" w:cs="仿宋"/>
                <w:sz w:val="22"/>
                <w:szCs w:val="22"/>
                <w:highlight w:val="none"/>
              </w:rPr>
              <w:t>总体实施方案：</w:t>
            </w:r>
          </w:p>
          <w:p w14:paraId="2E197F49">
            <w:pPr>
              <w:spacing w:line="288" w:lineRule="auto"/>
              <w:rPr>
                <w:rFonts w:hint="eastAsia" w:ascii="仿宋" w:hAnsi="仿宋" w:eastAsia="仿宋" w:cs="仿宋"/>
                <w:sz w:val="22"/>
                <w:szCs w:val="22"/>
                <w:highlight w:val="none"/>
              </w:rPr>
            </w:pPr>
            <w:r>
              <w:rPr>
                <w:rFonts w:hint="eastAsia" w:ascii="仿宋" w:hAnsi="仿宋" w:eastAsia="仿宋" w:cs="仿宋"/>
                <w:sz w:val="22"/>
                <w:szCs w:val="22"/>
                <w:highlight w:val="none"/>
              </w:rPr>
              <w:t>评委根据供应商对本项目总体服务方案进行评分：</w:t>
            </w:r>
          </w:p>
          <w:p w14:paraId="35D3473D">
            <w:pPr>
              <w:spacing w:line="288" w:lineRule="auto"/>
              <w:rPr>
                <w:rFonts w:hint="eastAsia" w:ascii="仿宋" w:hAnsi="仿宋" w:eastAsia="仿宋" w:cs="仿宋"/>
                <w:sz w:val="22"/>
                <w:szCs w:val="22"/>
                <w:highlight w:val="none"/>
              </w:rPr>
            </w:pPr>
            <w:r>
              <w:rPr>
                <w:rFonts w:hint="eastAsia" w:ascii="仿宋" w:hAnsi="仿宋" w:eastAsia="仿宋" w:cs="仿宋"/>
                <w:sz w:val="22"/>
                <w:szCs w:val="22"/>
                <w:highlight w:val="none"/>
              </w:rPr>
              <w:t>（1）总体实施方案全面，具有健全的服务体系、组织架构，具有明确的进度控制、风险控制管理、文档管理措施齐全，无明显瑕疵的得1</w:t>
            </w:r>
            <w:r>
              <w:rPr>
                <w:rFonts w:hint="eastAsia" w:ascii="仿宋" w:hAnsi="仿宋" w:eastAsia="仿宋" w:cs="仿宋"/>
                <w:sz w:val="22"/>
                <w:szCs w:val="22"/>
                <w:highlight w:val="none"/>
                <w:lang w:val="en-US" w:eastAsia="zh-CN"/>
              </w:rPr>
              <w:t>5</w:t>
            </w:r>
            <w:r>
              <w:rPr>
                <w:rFonts w:hint="eastAsia" w:ascii="仿宋" w:hAnsi="仿宋" w:eastAsia="仿宋" w:cs="仿宋"/>
                <w:sz w:val="22"/>
                <w:szCs w:val="22"/>
                <w:highlight w:val="none"/>
              </w:rPr>
              <w:t>分；</w:t>
            </w:r>
          </w:p>
          <w:p w14:paraId="1C284E69">
            <w:pPr>
              <w:spacing w:line="288" w:lineRule="auto"/>
              <w:rPr>
                <w:rFonts w:hint="eastAsia" w:ascii="仿宋" w:hAnsi="仿宋" w:eastAsia="仿宋" w:cs="仿宋"/>
                <w:sz w:val="22"/>
                <w:szCs w:val="22"/>
                <w:highlight w:val="none"/>
              </w:rPr>
            </w:pPr>
            <w:r>
              <w:rPr>
                <w:rFonts w:hint="eastAsia" w:ascii="仿宋" w:hAnsi="仿宋" w:eastAsia="仿宋" w:cs="仿宋"/>
                <w:sz w:val="22"/>
                <w:szCs w:val="22"/>
                <w:highlight w:val="none"/>
              </w:rPr>
              <w:t>（2）实施方案内容较具体，服务体系较完善、组织架构齐全，进度控制、风险控制管理、文档管理措施较完备，针对性较强的得</w:t>
            </w:r>
            <w:r>
              <w:rPr>
                <w:rFonts w:hint="eastAsia" w:ascii="仿宋" w:hAnsi="仿宋" w:eastAsia="仿宋" w:cs="仿宋"/>
                <w:sz w:val="22"/>
                <w:szCs w:val="22"/>
                <w:highlight w:val="none"/>
                <w:lang w:val="en-US" w:eastAsia="zh-CN"/>
              </w:rPr>
              <w:t>11</w:t>
            </w:r>
            <w:r>
              <w:rPr>
                <w:rFonts w:hint="eastAsia" w:ascii="仿宋" w:hAnsi="仿宋" w:eastAsia="仿宋" w:cs="仿宋"/>
                <w:sz w:val="22"/>
                <w:szCs w:val="22"/>
                <w:highlight w:val="none"/>
              </w:rPr>
              <w:t>分；</w:t>
            </w:r>
          </w:p>
          <w:p w14:paraId="68B8841B">
            <w:pPr>
              <w:spacing w:line="288" w:lineRule="auto"/>
              <w:rPr>
                <w:rFonts w:hint="eastAsia" w:ascii="仿宋" w:hAnsi="仿宋" w:eastAsia="仿宋" w:cs="仿宋"/>
                <w:sz w:val="22"/>
                <w:szCs w:val="22"/>
                <w:highlight w:val="none"/>
              </w:rPr>
            </w:pPr>
            <w:r>
              <w:rPr>
                <w:rFonts w:hint="eastAsia" w:ascii="仿宋" w:hAnsi="仿宋" w:eastAsia="仿宋" w:cs="仿宋"/>
                <w:sz w:val="22"/>
                <w:szCs w:val="22"/>
                <w:highlight w:val="none"/>
              </w:rPr>
              <w:t>（3）方案基本满足项目实施的要求，方案基本完整，进度控制、风险控制管理、文档管理措施较齐全的得</w:t>
            </w:r>
            <w:r>
              <w:rPr>
                <w:rFonts w:hint="eastAsia" w:ascii="仿宋" w:hAnsi="仿宋" w:eastAsia="仿宋" w:cs="仿宋"/>
                <w:sz w:val="22"/>
                <w:szCs w:val="22"/>
                <w:highlight w:val="none"/>
                <w:lang w:val="en-US" w:eastAsia="zh-CN"/>
              </w:rPr>
              <w:t>7</w:t>
            </w:r>
            <w:r>
              <w:rPr>
                <w:rFonts w:hint="eastAsia" w:ascii="仿宋" w:hAnsi="仿宋" w:eastAsia="仿宋" w:cs="仿宋"/>
                <w:sz w:val="22"/>
                <w:szCs w:val="22"/>
                <w:highlight w:val="none"/>
              </w:rPr>
              <w:t>分；</w:t>
            </w:r>
          </w:p>
          <w:p w14:paraId="6303CA38">
            <w:pPr>
              <w:spacing w:line="288" w:lineRule="auto"/>
              <w:rPr>
                <w:rFonts w:hint="eastAsia" w:ascii="仿宋" w:hAnsi="仿宋" w:eastAsia="仿宋" w:cs="仿宋"/>
                <w:sz w:val="22"/>
                <w:szCs w:val="22"/>
                <w:highlight w:val="none"/>
              </w:rPr>
            </w:pPr>
            <w:r>
              <w:rPr>
                <w:rFonts w:hint="eastAsia" w:ascii="仿宋" w:hAnsi="仿宋" w:eastAsia="仿宋" w:cs="仿宋"/>
                <w:sz w:val="22"/>
                <w:szCs w:val="22"/>
                <w:highlight w:val="none"/>
              </w:rPr>
              <w:t>（4）方案不够全面，准备一般，为本项目的实施要求而制定的措施针对性、可行性一般的得</w:t>
            </w:r>
            <w:r>
              <w:rPr>
                <w:rFonts w:hint="eastAsia" w:ascii="仿宋" w:hAnsi="仿宋" w:eastAsia="仿宋" w:cs="仿宋"/>
                <w:sz w:val="22"/>
                <w:szCs w:val="22"/>
                <w:highlight w:val="none"/>
                <w:lang w:val="en-US" w:eastAsia="zh-CN"/>
              </w:rPr>
              <w:t>3</w:t>
            </w:r>
            <w:r>
              <w:rPr>
                <w:rFonts w:hint="eastAsia" w:ascii="仿宋" w:hAnsi="仿宋" w:eastAsia="仿宋" w:cs="仿宋"/>
                <w:sz w:val="22"/>
                <w:szCs w:val="22"/>
                <w:highlight w:val="none"/>
              </w:rPr>
              <w:t>分；</w:t>
            </w:r>
          </w:p>
          <w:p w14:paraId="7CD8C83E">
            <w:pPr>
              <w:spacing w:line="288" w:lineRule="auto"/>
              <w:rPr>
                <w:rFonts w:ascii="仿宋" w:hAnsi="仿宋" w:eastAsia="仿宋" w:cs="仿宋"/>
                <w:sz w:val="22"/>
                <w:szCs w:val="22"/>
                <w:highlight w:val="none"/>
              </w:rPr>
            </w:pPr>
            <w:r>
              <w:rPr>
                <w:rFonts w:hint="eastAsia" w:ascii="仿宋" w:hAnsi="仿宋" w:eastAsia="仿宋" w:cs="仿宋"/>
                <w:sz w:val="22"/>
                <w:szCs w:val="22"/>
                <w:highlight w:val="none"/>
              </w:rPr>
              <w:t>未提供方案的不得分。</w:t>
            </w:r>
          </w:p>
        </w:tc>
        <w:tc>
          <w:tcPr>
            <w:tcW w:w="708" w:type="dxa"/>
            <w:tcMar>
              <w:top w:w="0" w:type="dxa"/>
              <w:left w:w="108" w:type="dxa"/>
              <w:bottom w:w="0" w:type="dxa"/>
              <w:right w:w="108" w:type="dxa"/>
            </w:tcMar>
            <w:vAlign w:val="center"/>
          </w:tcPr>
          <w:p w14:paraId="4D0F1EF1">
            <w:pPr>
              <w:spacing w:line="360" w:lineRule="auto"/>
              <w:jc w:val="center"/>
              <w:rPr>
                <w:rFonts w:hint="default"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15</w:t>
            </w:r>
          </w:p>
        </w:tc>
      </w:tr>
      <w:tr w14:paraId="70EF17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90" w:hRule="atLeast"/>
          <w:jc w:val="center"/>
        </w:trPr>
        <w:tc>
          <w:tcPr>
            <w:tcW w:w="768" w:type="dxa"/>
            <w:vAlign w:val="center"/>
          </w:tcPr>
          <w:p w14:paraId="5632A7A5">
            <w:pPr>
              <w:widowControl/>
              <w:jc w:val="center"/>
              <w:rPr>
                <w:rFonts w:ascii="仿宋" w:hAnsi="仿宋" w:eastAsia="仿宋" w:cs="仿宋"/>
                <w:sz w:val="22"/>
                <w:szCs w:val="22"/>
              </w:rPr>
            </w:pPr>
            <w:r>
              <w:rPr>
                <w:rFonts w:ascii="仿宋" w:hAnsi="仿宋" w:eastAsia="仿宋" w:cs="仿宋"/>
                <w:sz w:val="22"/>
                <w:szCs w:val="22"/>
              </w:rPr>
              <w:t>5</w:t>
            </w:r>
            <w:r>
              <w:rPr>
                <w:rFonts w:hint="eastAsia" w:ascii="仿宋" w:hAnsi="仿宋" w:eastAsia="仿宋" w:cs="仿宋"/>
                <w:sz w:val="22"/>
                <w:szCs w:val="22"/>
              </w:rPr>
              <w:t>.2</w:t>
            </w:r>
          </w:p>
        </w:tc>
        <w:tc>
          <w:tcPr>
            <w:tcW w:w="1165" w:type="dxa"/>
            <w:vMerge w:val="continue"/>
            <w:vAlign w:val="center"/>
          </w:tcPr>
          <w:p w14:paraId="5C018073">
            <w:pPr>
              <w:widowControl/>
              <w:jc w:val="center"/>
              <w:rPr>
                <w:rFonts w:ascii="仿宋" w:hAnsi="仿宋" w:eastAsia="仿宋" w:cs="仿宋"/>
                <w:b/>
                <w:bCs/>
                <w:sz w:val="22"/>
                <w:szCs w:val="22"/>
                <w:highlight w:val="yellow"/>
              </w:rPr>
            </w:pPr>
          </w:p>
        </w:tc>
        <w:tc>
          <w:tcPr>
            <w:tcW w:w="6697" w:type="dxa"/>
            <w:tcMar>
              <w:top w:w="0" w:type="dxa"/>
              <w:left w:w="108" w:type="dxa"/>
              <w:bottom w:w="0" w:type="dxa"/>
              <w:right w:w="108" w:type="dxa"/>
            </w:tcMar>
            <w:vAlign w:val="center"/>
          </w:tcPr>
          <w:p w14:paraId="10742BEC">
            <w:pPr>
              <w:spacing w:line="288" w:lineRule="auto"/>
              <w:rPr>
                <w:rFonts w:hint="eastAsia" w:ascii="仿宋" w:hAnsi="仿宋" w:eastAsia="仿宋" w:cs="仿宋"/>
                <w:sz w:val="22"/>
                <w:szCs w:val="22"/>
                <w:highlight w:val="none"/>
              </w:rPr>
            </w:pPr>
            <w:r>
              <w:rPr>
                <w:rFonts w:hint="eastAsia" w:ascii="仿宋" w:hAnsi="仿宋" w:eastAsia="仿宋" w:cs="仿宋"/>
                <w:sz w:val="22"/>
                <w:szCs w:val="22"/>
                <w:highlight w:val="none"/>
                <w:lang w:val="en-US" w:eastAsia="zh-CN"/>
              </w:rPr>
              <w:t>2.</w:t>
            </w:r>
            <w:r>
              <w:rPr>
                <w:rFonts w:hint="eastAsia" w:ascii="仿宋" w:hAnsi="仿宋" w:eastAsia="仿宋" w:cs="仿宋"/>
                <w:sz w:val="22"/>
                <w:szCs w:val="22"/>
                <w:highlight w:val="none"/>
              </w:rPr>
              <w:t>检测质量管控方案：</w:t>
            </w:r>
          </w:p>
          <w:p w14:paraId="27FAC470">
            <w:pPr>
              <w:spacing w:line="288" w:lineRule="auto"/>
              <w:rPr>
                <w:rFonts w:hint="eastAsia" w:ascii="仿宋" w:hAnsi="仿宋" w:eastAsia="仿宋" w:cs="仿宋"/>
                <w:sz w:val="22"/>
                <w:szCs w:val="22"/>
                <w:highlight w:val="none"/>
              </w:rPr>
            </w:pPr>
            <w:r>
              <w:rPr>
                <w:rFonts w:hint="eastAsia" w:ascii="仿宋" w:hAnsi="仿宋" w:eastAsia="仿宋" w:cs="仿宋"/>
                <w:sz w:val="22"/>
                <w:szCs w:val="22"/>
                <w:highlight w:val="none"/>
              </w:rPr>
              <w:t>评审专家根据供应商提供的检测质量管控方案进行评分：</w:t>
            </w:r>
          </w:p>
          <w:p w14:paraId="568D7758">
            <w:pPr>
              <w:spacing w:line="288" w:lineRule="auto"/>
              <w:rPr>
                <w:rFonts w:hint="eastAsia" w:ascii="仿宋" w:hAnsi="仿宋" w:eastAsia="仿宋" w:cs="仿宋"/>
                <w:sz w:val="22"/>
                <w:szCs w:val="22"/>
                <w:highlight w:val="none"/>
              </w:rPr>
            </w:pPr>
            <w:r>
              <w:rPr>
                <w:rFonts w:hint="eastAsia" w:ascii="仿宋" w:hAnsi="仿宋" w:eastAsia="仿宋" w:cs="仿宋"/>
                <w:sz w:val="22"/>
                <w:szCs w:val="22"/>
                <w:highlight w:val="none"/>
              </w:rPr>
              <w:t>（1）检测质量管理体系保障措施合理完善，方案内容详实、操作性强，质量管控制度清晰明确，符合相关标准和规范要求，技术力量及人员配备专业、充足，设备配备齐全并充足，能够明确保证预期成果，无明显瑕疵的得1</w:t>
            </w:r>
            <w:r>
              <w:rPr>
                <w:rFonts w:hint="eastAsia" w:ascii="仿宋" w:hAnsi="仿宋" w:eastAsia="仿宋" w:cs="仿宋"/>
                <w:sz w:val="22"/>
                <w:szCs w:val="22"/>
                <w:highlight w:val="none"/>
                <w:lang w:val="en-US" w:eastAsia="zh-CN"/>
              </w:rPr>
              <w:t>5</w:t>
            </w:r>
            <w:r>
              <w:rPr>
                <w:rFonts w:hint="eastAsia" w:ascii="仿宋" w:hAnsi="仿宋" w:eastAsia="仿宋" w:cs="仿宋"/>
                <w:sz w:val="22"/>
                <w:szCs w:val="22"/>
                <w:highlight w:val="none"/>
              </w:rPr>
              <w:t>分；</w:t>
            </w:r>
          </w:p>
          <w:p w14:paraId="19FFD3E8">
            <w:pPr>
              <w:spacing w:line="288" w:lineRule="auto"/>
              <w:rPr>
                <w:rFonts w:hint="eastAsia" w:ascii="仿宋" w:hAnsi="仿宋" w:eastAsia="仿宋" w:cs="仿宋"/>
                <w:sz w:val="22"/>
                <w:szCs w:val="22"/>
                <w:highlight w:val="none"/>
              </w:rPr>
            </w:pPr>
            <w:r>
              <w:rPr>
                <w:rFonts w:hint="eastAsia" w:ascii="仿宋" w:hAnsi="仿宋" w:eastAsia="仿宋" w:cs="仿宋"/>
                <w:sz w:val="22"/>
                <w:szCs w:val="22"/>
                <w:highlight w:val="none"/>
              </w:rPr>
              <w:t>（2）质量控制和保障措施得当、操作性较强，设备较齐全，质量管控制度流程较清晰，针对性较好的得</w:t>
            </w:r>
            <w:r>
              <w:rPr>
                <w:rFonts w:hint="eastAsia" w:ascii="仿宋" w:hAnsi="仿宋" w:eastAsia="仿宋" w:cs="仿宋"/>
                <w:sz w:val="22"/>
                <w:szCs w:val="22"/>
                <w:highlight w:val="none"/>
                <w:lang w:val="en-US" w:eastAsia="zh-CN"/>
              </w:rPr>
              <w:t>11</w:t>
            </w:r>
            <w:r>
              <w:rPr>
                <w:rFonts w:hint="eastAsia" w:ascii="仿宋" w:hAnsi="仿宋" w:eastAsia="仿宋" w:cs="仿宋"/>
                <w:sz w:val="22"/>
                <w:szCs w:val="22"/>
                <w:highlight w:val="none"/>
              </w:rPr>
              <w:t>分；</w:t>
            </w:r>
          </w:p>
          <w:p w14:paraId="62E78946">
            <w:pPr>
              <w:spacing w:line="288" w:lineRule="auto"/>
              <w:rPr>
                <w:rFonts w:hint="eastAsia" w:ascii="仿宋" w:hAnsi="仿宋" w:eastAsia="仿宋" w:cs="仿宋"/>
                <w:sz w:val="22"/>
                <w:szCs w:val="22"/>
                <w:highlight w:val="none"/>
              </w:rPr>
            </w:pPr>
            <w:r>
              <w:rPr>
                <w:rFonts w:hint="eastAsia" w:ascii="仿宋" w:hAnsi="仿宋" w:eastAsia="仿宋" w:cs="仿宋"/>
                <w:sz w:val="22"/>
                <w:szCs w:val="22"/>
                <w:highlight w:val="none"/>
              </w:rPr>
              <w:t>（3）质量控制和保障基本完善，设备基本满足检测需求，方案针对性一般的得</w:t>
            </w:r>
            <w:r>
              <w:rPr>
                <w:rFonts w:hint="eastAsia" w:ascii="仿宋" w:hAnsi="仿宋" w:eastAsia="仿宋" w:cs="仿宋"/>
                <w:sz w:val="22"/>
                <w:szCs w:val="22"/>
                <w:highlight w:val="none"/>
                <w:lang w:val="en-US" w:eastAsia="zh-CN"/>
              </w:rPr>
              <w:t>7</w:t>
            </w:r>
            <w:r>
              <w:rPr>
                <w:rFonts w:hint="eastAsia" w:ascii="仿宋" w:hAnsi="仿宋" w:eastAsia="仿宋" w:cs="仿宋"/>
                <w:sz w:val="22"/>
                <w:szCs w:val="22"/>
                <w:highlight w:val="none"/>
              </w:rPr>
              <w:t>分；</w:t>
            </w:r>
          </w:p>
          <w:p w14:paraId="385B3EED">
            <w:pPr>
              <w:spacing w:line="288" w:lineRule="auto"/>
              <w:rPr>
                <w:rFonts w:hint="eastAsia" w:ascii="仿宋" w:hAnsi="仿宋" w:eastAsia="仿宋" w:cs="仿宋"/>
                <w:sz w:val="22"/>
                <w:szCs w:val="22"/>
                <w:highlight w:val="none"/>
              </w:rPr>
            </w:pPr>
            <w:r>
              <w:rPr>
                <w:rFonts w:hint="eastAsia" w:ascii="仿宋" w:hAnsi="仿宋" w:eastAsia="仿宋" w:cs="仿宋"/>
                <w:sz w:val="22"/>
                <w:szCs w:val="22"/>
                <w:highlight w:val="none"/>
              </w:rPr>
              <w:t>（4）措施不全面，操作性不强，管控流程不全面得</w:t>
            </w:r>
            <w:r>
              <w:rPr>
                <w:rFonts w:hint="eastAsia" w:ascii="仿宋" w:hAnsi="仿宋" w:eastAsia="仿宋" w:cs="仿宋"/>
                <w:sz w:val="22"/>
                <w:szCs w:val="22"/>
                <w:highlight w:val="none"/>
                <w:lang w:val="en-US" w:eastAsia="zh-CN"/>
              </w:rPr>
              <w:t>3</w:t>
            </w:r>
            <w:r>
              <w:rPr>
                <w:rFonts w:hint="eastAsia" w:ascii="仿宋" w:hAnsi="仿宋" w:eastAsia="仿宋" w:cs="仿宋"/>
                <w:sz w:val="22"/>
                <w:szCs w:val="22"/>
                <w:highlight w:val="none"/>
              </w:rPr>
              <w:t>分；</w:t>
            </w:r>
          </w:p>
          <w:p w14:paraId="11983245">
            <w:pPr>
              <w:spacing w:line="288" w:lineRule="auto"/>
              <w:rPr>
                <w:rFonts w:ascii="仿宋" w:hAnsi="仿宋" w:eastAsia="仿宋" w:cs="仿宋"/>
                <w:sz w:val="22"/>
                <w:szCs w:val="22"/>
                <w:highlight w:val="none"/>
              </w:rPr>
            </w:pPr>
            <w:r>
              <w:rPr>
                <w:rFonts w:hint="eastAsia" w:ascii="仿宋" w:hAnsi="仿宋" w:eastAsia="仿宋" w:cs="仿宋"/>
                <w:sz w:val="22"/>
                <w:szCs w:val="22"/>
                <w:highlight w:val="none"/>
              </w:rPr>
              <w:t>未提供方案的不得分</w:t>
            </w:r>
          </w:p>
        </w:tc>
        <w:tc>
          <w:tcPr>
            <w:tcW w:w="708" w:type="dxa"/>
            <w:tcMar>
              <w:top w:w="0" w:type="dxa"/>
              <w:left w:w="108" w:type="dxa"/>
              <w:bottom w:w="0" w:type="dxa"/>
              <w:right w:w="108" w:type="dxa"/>
            </w:tcMar>
            <w:vAlign w:val="center"/>
          </w:tcPr>
          <w:p w14:paraId="3F4212B0">
            <w:pPr>
              <w:spacing w:line="360" w:lineRule="auto"/>
              <w:jc w:val="center"/>
              <w:rPr>
                <w:rFonts w:hint="default"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15</w:t>
            </w:r>
          </w:p>
        </w:tc>
      </w:tr>
      <w:tr w14:paraId="40B15C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90" w:hRule="atLeast"/>
          <w:jc w:val="center"/>
        </w:trPr>
        <w:tc>
          <w:tcPr>
            <w:tcW w:w="768" w:type="dxa"/>
            <w:vAlign w:val="center"/>
          </w:tcPr>
          <w:p w14:paraId="77D27D66">
            <w:pPr>
              <w:widowControl/>
              <w:jc w:val="center"/>
              <w:rPr>
                <w:rFonts w:ascii="仿宋" w:hAnsi="仿宋" w:eastAsia="仿宋" w:cs="仿宋"/>
                <w:sz w:val="22"/>
                <w:szCs w:val="22"/>
              </w:rPr>
            </w:pPr>
            <w:r>
              <w:rPr>
                <w:rFonts w:ascii="仿宋" w:hAnsi="仿宋" w:eastAsia="仿宋" w:cs="仿宋"/>
                <w:sz w:val="22"/>
                <w:szCs w:val="22"/>
              </w:rPr>
              <w:t>5</w:t>
            </w:r>
            <w:r>
              <w:rPr>
                <w:rFonts w:hint="eastAsia" w:ascii="仿宋" w:hAnsi="仿宋" w:eastAsia="仿宋" w:cs="仿宋"/>
                <w:sz w:val="22"/>
                <w:szCs w:val="22"/>
              </w:rPr>
              <w:t>.3</w:t>
            </w:r>
          </w:p>
        </w:tc>
        <w:tc>
          <w:tcPr>
            <w:tcW w:w="1165" w:type="dxa"/>
            <w:vMerge w:val="continue"/>
            <w:vAlign w:val="center"/>
          </w:tcPr>
          <w:p w14:paraId="6A241AC0">
            <w:pPr>
              <w:widowControl/>
              <w:jc w:val="center"/>
              <w:rPr>
                <w:rFonts w:ascii="仿宋" w:hAnsi="仿宋" w:eastAsia="仿宋" w:cs="仿宋"/>
                <w:b/>
                <w:bCs/>
                <w:sz w:val="22"/>
                <w:szCs w:val="22"/>
                <w:highlight w:val="yellow"/>
              </w:rPr>
            </w:pPr>
          </w:p>
        </w:tc>
        <w:tc>
          <w:tcPr>
            <w:tcW w:w="6697" w:type="dxa"/>
            <w:tcMar>
              <w:top w:w="0" w:type="dxa"/>
              <w:left w:w="108" w:type="dxa"/>
              <w:bottom w:w="0" w:type="dxa"/>
              <w:right w:w="108" w:type="dxa"/>
            </w:tcMar>
            <w:vAlign w:val="center"/>
          </w:tcPr>
          <w:p w14:paraId="0806B991">
            <w:pPr>
              <w:numPr>
                <w:ilvl w:val="0"/>
                <w:numId w:val="6"/>
              </w:numPr>
              <w:spacing w:line="288" w:lineRule="auto"/>
              <w:rPr>
                <w:rFonts w:hint="eastAsia" w:ascii="仿宋" w:hAnsi="仿宋" w:eastAsia="仿宋" w:cs="仿宋"/>
                <w:sz w:val="22"/>
                <w:szCs w:val="22"/>
                <w:highlight w:val="none"/>
              </w:rPr>
            </w:pPr>
            <w:r>
              <w:rPr>
                <w:rFonts w:hint="eastAsia" w:ascii="仿宋" w:hAnsi="仿宋" w:eastAsia="仿宋" w:cs="仿宋"/>
                <w:sz w:val="22"/>
                <w:szCs w:val="22"/>
                <w:highlight w:val="none"/>
              </w:rPr>
              <w:t>突发事件应急处理预案：</w:t>
            </w:r>
          </w:p>
          <w:p w14:paraId="4ECACAFF">
            <w:pPr>
              <w:spacing w:line="288" w:lineRule="auto"/>
              <w:rPr>
                <w:rFonts w:hint="eastAsia"/>
                <w:sz w:val="22"/>
                <w:szCs w:val="21"/>
              </w:rPr>
            </w:pPr>
            <w:r>
              <w:rPr>
                <w:rFonts w:hint="eastAsia" w:ascii="仿宋" w:hAnsi="仿宋" w:eastAsia="仿宋" w:cs="仿宋"/>
                <w:sz w:val="22"/>
                <w:szCs w:val="22"/>
                <w:highlight w:val="none"/>
              </w:rPr>
              <w:t>评审专家根据供应商提供的突发事件应急处理预案进行评分：</w:t>
            </w:r>
          </w:p>
          <w:p w14:paraId="3B8E7276">
            <w:pPr>
              <w:numPr>
                <w:ilvl w:val="0"/>
                <w:numId w:val="0"/>
              </w:numPr>
              <w:spacing w:line="288" w:lineRule="auto"/>
              <w:rPr>
                <w:rFonts w:hint="eastAsia" w:ascii="仿宋" w:hAnsi="仿宋" w:eastAsia="仿宋" w:cs="仿宋"/>
                <w:sz w:val="22"/>
                <w:szCs w:val="22"/>
                <w:highlight w:val="none"/>
              </w:rPr>
            </w:pPr>
            <w:r>
              <w:rPr>
                <w:rFonts w:hint="eastAsia" w:ascii="仿宋" w:hAnsi="仿宋" w:eastAsia="仿宋" w:cs="仿宋"/>
                <w:sz w:val="22"/>
                <w:szCs w:val="22"/>
                <w:highlight w:val="none"/>
              </w:rPr>
              <w:t>（1）应急预案考虑周全，处理响应及时，预防措施实际可操作性强，对本项目针对性强的得10分；</w:t>
            </w:r>
          </w:p>
          <w:p w14:paraId="3C6CF49B">
            <w:pPr>
              <w:numPr>
                <w:ilvl w:val="0"/>
                <w:numId w:val="0"/>
              </w:numPr>
              <w:spacing w:line="288" w:lineRule="auto"/>
              <w:rPr>
                <w:rFonts w:hint="eastAsia" w:ascii="仿宋" w:hAnsi="仿宋" w:eastAsia="仿宋" w:cs="仿宋"/>
                <w:sz w:val="22"/>
                <w:szCs w:val="22"/>
                <w:highlight w:val="none"/>
              </w:rPr>
            </w:pPr>
            <w:r>
              <w:rPr>
                <w:rFonts w:hint="eastAsia" w:ascii="仿宋" w:hAnsi="仿宋" w:eastAsia="仿宋" w:cs="仿宋"/>
                <w:sz w:val="22"/>
                <w:szCs w:val="22"/>
                <w:highlight w:val="none"/>
              </w:rPr>
              <w:t>（2）应急预案比较完备，处理响应较及时，预防措施实际可操作性较好，对本项目针对性较强的得</w:t>
            </w:r>
            <w:r>
              <w:rPr>
                <w:rFonts w:hint="eastAsia" w:ascii="仿宋" w:hAnsi="仿宋" w:eastAsia="仿宋" w:cs="仿宋"/>
                <w:sz w:val="22"/>
                <w:szCs w:val="22"/>
                <w:highlight w:val="none"/>
                <w:lang w:val="en-US" w:eastAsia="zh-CN"/>
              </w:rPr>
              <w:t>7</w:t>
            </w:r>
            <w:r>
              <w:rPr>
                <w:rFonts w:hint="eastAsia" w:ascii="仿宋" w:hAnsi="仿宋" w:eastAsia="仿宋" w:cs="仿宋"/>
                <w:sz w:val="22"/>
                <w:szCs w:val="22"/>
                <w:highlight w:val="none"/>
              </w:rPr>
              <w:t>分；</w:t>
            </w:r>
          </w:p>
          <w:p w14:paraId="125E5731">
            <w:pPr>
              <w:numPr>
                <w:ilvl w:val="0"/>
                <w:numId w:val="0"/>
              </w:numPr>
              <w:spacing w:line="288" w:lineRule="auto"/>
              <w:rPr>
                <w:rFonts w:hint="eastAsia" w:ascii="仿宋" w:hAnsi="仿宋" w:eastAsia="仿宋" w:cs="仿宋"/>
                <w:sz w:val="22"/>
                <w:szCs w:val="22"/>
                <w:highlight w:val="none"/>
              </w:rPr>
            </w:pPr>
            <w:r>
              <w:rPr>
                <w:rFonts w:hint="eastAsia" w:ascii="仿宋" w:hAnsi="仿宋" w:eastAsia="仿宋" w:cs="仿宋"/>
                <w:sz w:val="22"/>
                <w:szCs w:val="22"/>
                <w:highlight w:val="none"/>
              </w:rPr>
              <w:t>（3）应急预案基本符合采购需求，响应基本及时，预防措施操作性及针对性一般的得</w:t>
            </w:r>
            <w:r>
              <w:rPr>
                <w:rFonts w:hint="eastAsia" w:ascii="仿宋" w:hAnsi="仿宋" w:eastAsia="仿宋" w:cs="仿宋"/>
                <w:sz w:val="22"/>
                <w:szCs w:val="22"/>
                <w:highlight w:val="none"/>
                <w:lang w:val="en-US" w:eastAsia="zh-CN"/>
              </w:rPr>
              <w:t>4</w:t>
            </w:r>
            <w:r>
              <w:rPr>
                <w:rFonts w:hint="eastAsia" w:ascii="仿宋" w:hAnsi="仿宋" w:eastAsia="仿宋" w:cs="仿宋"/>
                <w:sz w:val="22"/>
                <w:szCs w:val="22"/>
                <w:highlight w:val="none"/>
              </w:rPr>
              <w:t>分；</w:t>
            </w:r>
          </w:p>
          <w:p w14:paraId="6BBC7A40">
            <w:pPr>
              <w:numPr>
                <w:ilvl w:val="0"/>
                <w:numId w:val="0"/>
              </w:numPr>
              <w:spacing w:line="288" w:lineRule="auto"/>
              <w:rPr>
                <w:rFonts w:hint="eastAsia" w:ascii="仿宋" w:hAnsi="仿宋" w:eastAsia="仿宋" w:cs="仿宋"/>
                <w:sz w:val="22"/>
                <w:szCs w:val="22"/>
                <w:highlight w:val="none"/>
              </w:rPr>
            </w:pPr>
            <w:r>
              <w:rPr>
                <w:rFonts w:hint="eastAsia" w:ascii="仿宋" w:hAnsi="仿宋" w:eastAsia="仿宋" w:cs="仿宋"/>
                <w:sz w:val="22"/>
                <w:szCs w:val="22"/>
                <w:highlight w:val="none"/>
              </w:rPr>
              <w:t>（4）应急预案基本完备，处理响应有待改进，预防措施实际可操作性有待改进，对本项目针对性略有缺陷的得</w:t>
            </w:r>
            <w:r>
              <w:rPr>
                <w:rFonts w:hint="eastAsia" w:ascii="仿宋" w:hAnsi="仿宋" w:eastAsia="仿宋" w:cs="仿宋"/>
                <w:sz w:val="22"/>
                <w:szCs w:val="22"/>
                <w:highlight w:val="none"/>
                <w:lang w:val="en-US" w:eastAsia="zh-CN"/>
              </w:rPr>
              <w:t>1</w:t>
            </w:r>
            <w:r>
              <w:rPr>
                <w:rFonts w:hint="eastAsia" w:ascii="仿宋" w:hAnsi="仿宋" w:eastAsia="仿宋" w:cs="仿宋"/>
                <w:sz w:val="22"/>
                <w:szCs w:val="22"/>
                <w:highlight w:val="none"/>
              </w:rPr>
              <w:t>分；</w:t>
            </w:r>
          </w:p>
          <w:p w14:paraId="7F270E4E">
            <w:pPr>
              <w:numPr>
                <w:ilvl w:val="0"/>
                <w:numId w:val="0"/>
              </w:numPr>
              <w:spacing w:line="288" w:lineRule="auto"/>
              <w:rPr>
                <w:rFonts w:ascii="仿宋" w:hAnsi="仿宋" w:eastAsia="仿宋" w:cs="仿宋"/>
                <w:sz w:val="22"/>
                <w:szCs w:val="22"/>
                <w:highlight w:val="none"/>
              </w:rPr>
            </w:pPr>
            <w:r>
              <w:rPr>
                <w:rFonts w:hint="eastAsia" w:ascii="仿宋" w:hAnsi="仿宋" w:eastAsia="仿宋" w:cs="仿宋"/>
                <w:sz w:val="22"/>
                <w:szCs w:val="22"/>
                <w:highlight w:val="none"/>
              </w:rPr>
              <w:t>未提供方案的不得分。</w:t>
            </w:r>
          </w:p>
        </w:tc>
        <w:tc>
          <w:tcPr>
            <w:tcW w:w="708" w:type="dxa"/>
            <w:tcMar>
              <w:top w:w="0" w:type="dxa"/>
              <w:left w:w="108" w:type="dxa"/>
              <w:bottom w:w="0" w:type="dxa"/>
              <w:right w:w="108" w:type="dxa"/>
            </w:tcMar>
            <w:vAlign w:val="center"/>
          </w:tcPr>
          <w:p w14:paraId="6E0CBE89">
            <w:pPr>
              <w:spacing w:line="360" w:lineRule="auto"/>
              <w:jc w:val="center"/>
              <w:rPr>
                <w:rFonts w:hint="default"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10</w:t>
            </w:r>
          </w:p>
        </w:tc>
      </w:tr>
      <w:tr w14:paraId="7232F8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90" w:hRule="atLeast"/>
          <w:jc w:val="center"/>
        </w:trPr>
        <w:tc>
          <w:tcPr>
            <w:tcW w:w="768" w:type="dxa"/>
            <w:vAlign w:val="center"/>
          </w:tcPr>
          <w:p w14:paraId="35AC3BC1">
            <w:pPr>
              <w:widowControl/>
              <w:jc w:val="center"/>
              <w:rPr>
                <w:rFonts w:hint="default" w:ascii="仿宋" w:hAnsi="仿宋" w:eastAsia="仿宋" w:cs="仿宋"/>
                <w:sz w:val="22"/>
                <w:szCs w:val="22"/>
                <w:lang w:val="en-US" w:eastAsia="zh-CN"/>
              </w:rPr>
            </w:pPr>
            <w:r>
              <w:rPr>
                <w:rFonts w:hint="eastAsia" w:ascii="仿宋" w:hAnsi="仿宋" w:eastAsia="仿宋" w:cs="仿宋"/>
                <w:sz w:val="22"/>
                <w:szCs w:val="22"/>
                <w:lang w:val="en-US" w:eastAsia="zh-CN"/>
              </w:rPr>
              <w:t>5.4</w:t>
            </w:r>
          </w:p>
        </w:tc>
        <w:tc>
          <w:tcPr>
            <w:tcW w:w="1165" w:type="dxa"/>
            <w:vMerge w:val="continue"/>
            <w:vAlign w:val="center"/>
          </w:tcPr>
          <w:p w14:paraId="580C4B15">
            <w:pPr>
              <w:widowControl/>
              <w:jc w:val="center"/>
              <w:rPr>
                <w:rFonts w:ascii="仿宋" w:hAnsi="仿宋" w:eastAsia="仿宋" w:cs="仿宋"/>
                <w:b/>
                <w:bCs/>
                <w:sz w:val="22"/>
                <w:szCs w:val="22"/>
                <w:highlight w:val="yellow"/>
              </w:rPr>
            </w:pPr>
          </w:p>
        </w:tc>
        <w:tc>
          <w:tcPr>
            <w:tcW w:w="6697" w:type="dxa"/>
            <w:tcMar>
              <w:top w:w="0" w:type="dxa"/>
              <w:left w:w="108" w:type="dxa"/>
              <w:bottom w:w="0" w:type="dxa"/>
              <w:right w:w="108" w:type="dxa"/>
            </w:tcMar>
            <w:vAlign w:val="center"/>
          </w:tcPr>
          <w:p w14:paraId="6D8A05BE">
            <w:pPr>
              <w:numPr>
                <w:ilvl w:val="0"/>
                <w:numId w:val="6"/>
              </w:numPr>
              <w:spacing w:line="288" w:lineRule="auto"/>
              <w:ind w:left="0" w:leftChars="0" w:firstLine="0" w:firstLineChars="0"/>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供应商的检测、监测记录档案资料管理方案：</w:t>
            </w:r>
          </w:p>
          <w:p w14:paraId="597506A2">
            <w:pPr>
              <w:spacing w:line="288" w:lineRule="auto"/>
              <w:rPr>
                <w:rFonts w:hint="eastAsia"/>
                <w:sz w:val="22"/>
                <w:szCs w:val="21"/>
                <w:lang w:val="en-US" w:eastAsia="zh-CN"/>
              </w:rPr>
            </w:pPr>
            <w:r>
              <w:rPr>
                <w:rFonts w:hint="eastAsia" w:ascii="仿宋" w:hAnsi="仿宋" w:eastAsia="仿宋" w:cs="仿宋"/>
                <w:sz w:val="22"/>
                <w:szCs w:val="22"/>
                <w:highlight w:val="none"/>
              </w:rPr>
              <w:t>评审专家根据供应商提供的</w:t>
            </w:r>
            <w:r>
              <w:rPr>
                <w:rFonts w:hint="eastAsia" w:ascii="仿宋" w:hAnsi="仿宋" w:eastAsia="仿宋" w:cs="仿宋"/>
                <w:sz w:val="22"/>
                <w:szCs w:val="22"/>
                <w:highlight w:val="none"/>
                <w:lang w:val="en-US" w:eastAsia="zh-CN"/>
              </w:rPr>
              <w:t>检测、监测记录档案资料管理方案</w:t>
            </w:r>
            <w:r>
              <w:rPr>
                <w:rFonts w:hint="eastAsia" w:ascii="仿宋" w:hAnsi="仿宋" w:eastAsia="仿宋" w:cs="仿宋"/>
                <w:sz w:val="22"/>
                <w:szCs w:val="22"/>
                <w:highlight w:val="none"/>
              </w:rPr>
              <w:t>进行评分：</w:t>
            </w:r>
          </w:p>
          <w:p w14:paraId="08838705">
            <w:pPr>
              <w:spacing w:line="288" w:lineRule="auto"/>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（1）有完备的项目档案资料管理制度，建立、收集、保存等流程健全、规范，有完善的档案移交步骤；探测、数据文件编制、成图和编图等工序科学、规范，得10分；</w:t>
            </w:r>
          </w:p>
          <w:p w14:paraId="73C107AB">
            <w:pPr>
              <w:spacing w:line="288" w:lineRule="auto"/>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（2）有项目档案资料管理制度，建立、收集、保存等流程较健全、较规范，有完善的档案移交步骤；探测、数据文件编制、成图和编图等工序较科学、较规范，得7分；</w:t>
            </w:r>
          </w:p>
          <w:p w14:paraId="27E03411">
            <w:pPr>
              <w:spacing w:line="288" w:lineRule="auto"/>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（3）项目档案资料管理制度一般，有建立、收集、保存等流程，有档案移交步骤；有探测、数据文件编制、成图和编图等工序，得4分；</w:t>
            </w:r>
          </w:p>
          <w:p w14:paraId="33265FC2">
            <w:pPr>
              <w:pStyle w:val="16"/>
              <w:rPr>
                <w:rFonts w:hint="default"/>
                <w:sz w:val="21"/>
                <w:szCs w:val="21"/>
                <w:lang w:val="en-US" w:eastAsia="zh-CN"/>
              </w:rPr>
            </w:pPr>
            <w:r>
              <w:rPr>
                <w:rFonts w:hint="eastAsia" w:ascii="仿宋" w:hAnsi="仿宋" w:eastAsia="仿宋" w:cs="仿宋"/>
                <w:sz w:val="21"/>
                <w:szCs w:val="22"/>
                <w:highlight w:val="none"/>
                <w:lang w:val="en-US" w:eastAsia="zh-CN"/>
              </w:rPr>
              <w:t>（4）项目档案资料管理制度较差，缺少探测、数据文件编制、成图和编图等工序的，得1分；</w:t>
            </w:r>
          </w:p>
          <w:p w14:paraId="2E803B9E">
            <w:pPr>
              <w:spacing w:line="288" w:lineRule="auto"/>
              <w:rPr>
                <w:rFonts w:ascii="仿宋" w:hAnsi="仿宋" w:eastAsia="仿宋" w:cs="仿宋"/>
                <w:sz w:val="22"/>
                <w:szCs w:val="22"/>
                <w:highlight w:val="none"/>
              </w:rPr>
            </w:pPr>
            <w:r>
              <w:rPr>
                <w:rFonts w:hint="eastAsia" w:ascii="仿宋" w:hAnsi="仿宋" w:eastAsia="仿宋" w:cs="仿宋"/>
                <w:sz w:val="22"/>
                <w:szCs w:val="22"/>
                <w:highlight w:val="none"/>
                <w:lang w:val="en-US" w:eastAsia="zh-CN"/>
              </w:rPr>
              <w:t>不提供不得分。</w:t>
            </w:r>
          </w:p>
        </w:tc>
        <w:tc>
          <w:tcPr>
            <w:tcW w:w="708" w:type="dxa"/>
            <w:tcMar>
              <w:top w:w="0" w:type="dxa"/>
              <w:left w:w="108" w:type="dxa"/>
              <w:bottom w:w="0" w:type="dxa"/>
              <w:right w:w="108" w:type="dxa"/>
            </w:tcMar>
            <w:vAlign w:val="center"/>
          </w:tcPr>
          <w:p w14:paraId="4118DD26">
            <w:pPr>
              <w:spacing w:line="360" w:lineRule="auto"/>
              <w:jc w:val="center"/>
              <w:rPr>
                <w:rFonts w:hint="default"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10</w:t>
            </w:r>
          </w:p>
        </w:tc>
      </w:tr>
      <w:tr w14:paraId="2C0CC9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90" w:hRule="atLeast"/>
          <w:jc w:val="center"/>
        </w:trPr>
        <w:tc>
          <w:tcPr>
            <w:tcW w:w="8630" w:type="dxa"/>
            <w:gridSpan w:val="3"/>
            <w:vAlign w:val="center"/>
          </w:tcPr>
          <w:p w14:paraId="7F78E8B9">
            <w:pPr>
              <w:spacing w:line="360" w:lineRule="auto"/>
              <w:jc w:val="center"/>
              <w:rPr>
                <w:rFonts w:ascii="仿宋" w:hAnsi="仿宋" w:eastAsia="仿宋" w:cs="仿宋"/>
                <w:sz w:val="22"/>
                <w:szCs w:val="22"/>
              </w:rPr>
            </w:pPr>
            <w:r>
              <w:rPr>
                <w:rFonts w:hint="eastAsia" w:ascii="仿宋" w:hAnsi="仿宋" w:eastAsia="仿宋" w:cs="仿宋"/>
                <w:sz w:val="22"/>
                <w:szCs w:val="22"/>
              </w:rPr>
              <w:t>合计</w:t>
            </w:r>
          </w:p>
        </w:tc>
        <w:tc>
          <w:tcPr>
            <w:tcW w:w="708" w:type="dxa"/>
            <w:tcMar>
              <w:top w:w="0" w:type="dxa"/>
              <w:left w:w="108" w:type="dxa"/>
              <w:bottom w:w="0" w:type="dxa"/>
              <w:right w:w="108" w:type="dxa"/>
            </w:tcMar>
            <w:vAlign w:val="center"/>
          </w:tcPr>
          <w:p w14:paraId="60613D35">
            <w:pPr>
              <w:spacing w:line="360" w:lineRule="auto"/>
              <w:jc w:val="center"/>
              <w:rPr>
                <w:rFonts w:ascii="仿宋" w:hAnsi="仿宋" w:eastAsia="仿宋" w:cs="仿宋"/>
                <w:sz w:val="22"/>
                <w:szCs w:val="22"/>
              </w:rPr>
            </w:pPr>
            <w:r>
              <w:rPr>
                <w:rFonts w:hint="eastAsia" w:ascii="仿宋" w:hAnsi="仿宋" w:eastAsia="仿宋" w:cs="仿宋"/>
                <w:sz w:val="22"/>
                <w:szCs w:val="22"/>
              </w:rPr>
              <w:t>100</w:t>
            </w:r>
          </w:p>
        </w:tc>
      </w:tr>
    </w:tbl>
    <w:p w14:paraId="50B90298">
      <w:pPr>
        <w:spacing w:line="360" w:lineRule="auto"/>
        <w:rPr>
          <w:rFonts w:ascii="仿宋" w:hAnsi="仿宋" w:eastAsia="仿宋" w:cs="仿宋"/>
          <w:b/>
          <w:color w:val="000000"/>
          <w:szCs w:val="21"/>
        </w:rPr>
      </w:pPr>
      <w:r>
        <w:rPr>
          <w:rFonts w:hint="eastAsia" w:ascii="仿宋" w:hAnsi="仿宋" w:eastAsia="仿宋" w:cs="仿宋"/>
          <w:b/>
          <w:color w:val="000000"/>
          <w:szCs w:val="21"/>
        </w:rPr>
        <w:t>备注：评分细则说明：</w:t>
      </w:r>
    </w:p>
    <w:p w14:paraId="35F8DFFA">
      <w:pPr>
        <w:spacing w:line="360" w:lineRule="auto"/>
        <w:ind w:firstLine="420"/>
        <w:rPr>
          <w:rFonts w:ascii="仿宋" w:hAnsi="仿宋" w:eastAsia="仿宋" w:cs="仿宋"/>
          <w:color w:val="000000"/>
          <w:szCs w:val="21"/>
        </w:rPr>
      </w:pPr>
      <w:r>
        <w:rPr>
          <w:rFonts w:hint="eastAsia" w:ascii="仿宋" w:hAnsi="仿宋" w:eastAsia="仿宋" w:cs="仿宋"/>
          <w:color w:val="000000"/>
          <w:szCs w:val="21"/>
        </w:rPr>
        <w:t>1、磋商小组根据上述成交标准，客观分由磋商小组统一打分；方案由磋商小组成员各自进行打分，方案取磋商小组的均值为最终方案得分，最后根据各供应商的总分汇总进行排名，推荐三名成交候选人。</w:t>
      </w:r>
    </w:p>
    <w:p w14:paraId="022D4387">
      <w:pPr>
        <w:spacing w:line="360" w:lineRule="auto"/>
        <w:ind w:firstLine="420"/>
        <w:rPr>
          <w:rFonts w:ascii="仿宋" w:hAnsi="仿宋" w:eastAsia="仿宋" w:cs="仿宋"/>
          <w:color w:val="000000"/>
          <w:szCs w:val="21"/>
        </w:rPr>
      </w:pPr>
      <w:r>
        <w:rPr>
          <w:rFonts w:hint="eastAsia" w:ascii="仿宋" w:hAnsi="仿宋" w:eastAsia="仿宋" w:cs="仿宋"/>
          <w:color w:val="000000"/>
          <w:szCs w:val="21"/>
        </w:rPr>
        <w:t>2、总分最高的供应商为第一成交候选人，当出现并列最高综合得分时，以报价低的优先；投标报价也相等的，按技术指标优劣顺序排列，如果技术指标得分也相等，由采购人确定。</w:t>
      </w:r>
    </w:p>
    <w:p w14:paraId="30FFC93F">
      <w:pPr>
        <w:spacing w:line="360" w:lineRule="auto"/>
        <w:ind w:firstLine="420"/>
        <w:rPr>
          <w:rFonts w:ascii="仿宋" w:hAnsi="仿宋" w:eastAsia="仿宋" w:cs="仿宋"/>
          <w:color w:val="000000"/>
          <w:szCs w:val="21"/>
        </w:rPr>
      </w:pPr>
      <w:r>
        <w:rPr>
          <w:rFonts w:hint="eastAsia" w:ascii="仿宋" w:hAnsi="仿宋" w:eastAsia="仿宋" w:cs="仿宋"/>
          <w:color w:val="000000"/>
          <w:szCs w:val="21"/>
        </w:rPr>
        <w:t>3、供应商提供的业绩证明材料必须真实可靠，采购人将对业绩的真实性及相关采购项目的实施情况进行调查，如发现供应商弄虚作假，则取消其次投标资格，并向主管部门汇报。</w:t>
      </w:r>
    </w:p>
    <w:p w14:paraId="4B3C6250">
      <w:pPr>
        <w:spacing w:line="360" w:lineRule="auto"/>
        <w:ind w:firstLine="420"/>
        <w:rPr>
          <w:rFonts w:ascii="仿宋" w:hAnsi="仿宋" w:eastAsia="仿宋" w:cs="仿宋"/>
          <w:b/>
          <w:color w:val="000000"/>
          <w:szCs w:val="21"/>
        </w:rPr>
      </w:pPr>
      <w:r>
        <w:rPr>
          <w:rFonts w:hint="eastAsia" w:ascii="仿宋" w:hAnsi="仿宋" w:eastAsia="仿宋" w:cs="仿宋"/>
          <w:b/>
          <w:color w:val="000000"/>
          <w:szCs w:val="21"/>
        </w:rPr>
        <w:t>4、小微企业的价格扣除:</w:t>
      </w:r>
    </w:p>
    <w:p w14:paraId="35F20102">
      <w:pPr>
        <w:spacing w:line="360" w:lineRule="auto"/>
        <w:ind w:firstLine="420"/>
        <w:rPr>
          <w:rFonts w:ascii="仿宋" w:hAnsi="仿宋" w:eastAsia="仿宋" w:cs="仿宋"/>
          <w:b/>
          <w:color w:val="000000"/>
          <w:szCs w:val="21"/>
        </w:rPr>
      </w:pPr>
      <w:r>
        <w:rPr>
          <w:rFonts w:hint="eastAsia" w:ascii="仿宋" w:hAnsi="仿宋" w:eastAsia="仿宋" w:cs="仿宋"/>
          <w:b/>
          <w:color w:val="000000"/>
          <w:szCs w:val="21"/>
        </w:rPr>
        <w:t>4.1．对小微企业提供的最终服务报价给予10%价格扣除，用扣除后的价格参与评审。</w:t>
      </w:r>
    </w:p>
    <w:p w14:paraId="3E1467F8">
      <w:pPr>
        <w:spacing w:line="360" w:lineRule="auto"/>
        <w:ind w:firstLine="420"/>
        <w:rPr>
          <w:rFonts w:ascii="仿宋" w:hAnsi="仿宋" w:eastAsia="仿宋" w:cs="仿宋"/>
          <w:color w:val="000000"/>
          <w:szCs w:val="21"/>
        </w:rPr>
      </w:pPr>
      <w:r>
        <w:rPr>
          <w:rFonts w:hint="eastAsia" w:ascii="仿宋" w:hAnsi="仿宋" w:eastAsia="仿宋" w:cs="仿宋"/>
          <w:color w:val="000000"/>
          <w:szCs w:val="21"/>
        </w:rPr>
        <w:t>4.2. 大中型企业和其他自然人、法人或者其他组织与小型、微型企业（监狱企业、残疾人福利单位）组成联合体共同参加磋商，如果联合协议中约定，小型、微型企业（监狱企业、残疾人福利单位）的协议合同金额占到联合体协议合同总金额30%以上的，给予联合体4%的价格扣除。联合体各方均为中小型、微型企业（监狱企业、残疾人福利单位）的，联合体视同为小型、微型企业享受10%价格扣除，用扣除后的价格参与评审。</w:t>
      </w:r>
    </w:p>
    <w:p w14:paraId="5EF74CAD">
      <w:pPr>
        <w:spacing w:line="360" w:lineRule="auto"/>
        <w:ind w:firstLine="420"/>
        <w:rPr>
          <w:rFonts w:ascii="仿宋" w:hAnsi="仿宋" w:eastAsia="仿宋" w:cs="仿宋"/>
          <w:color w:val="000000"/>
          <w:szCs w:val="21"/>
        </w:rPr>
      </w:pPr>
      <w:r>
        <w:rPr>
          <w:rFonts w:hint="eastAsia" w:ascii="仿宋" w:hAnsi="仿宋" w:eastAsia="仿宋" w:cs="仿宋"/>
          <w:color w:val="000000"/>
          <w:szCs w:val="21"/>
        </w:rPr>
        <w:t>4.3. 小企业（含小型、微型企业）应当同时符合以下条件：</w:t>
      </w:r>
    </w:p>
    <w:p w14:paraId="0D0952D8">
      <w:pPr>
        <w:spacing w:line="360" w:lineRule="auto"/>
        <w:ind w:firstLine="420"/>
        <w:rPr>
          <w:rFonts w:ascii="仿宋" w:hAnsi="仿宋" w:eastAsia="仿宋" w:cs="仿宋"/>
          <w:color w:val="000000"/>
          <w:szCs w:val="21"/>
        </w:rPr>
      </w:pPr>
      <w:r>
        <w:rPr>
          <w:rFonts w:hint="eastAsia" w:ascii="仿宋" w:hAnsi="仿宋" w:eastAsia="仿宋" w:cs="仿宋"/>
          <w:color w:val="000000"/>
          <w:szCs w:val="21"/>
        </w:rPr>
        <w:t>（1）供应商为小企业，且符合中小企业划分标准；</w:t>
      </w:r>
    </w:p>
    <w:p w14:paraId="4EEC251B">
      <w:pPr>
        <w:spacing w:line="360" w:lineRule="auto"/>
        <w:ind w:firstLine="420"/>
        <w:rPr>
          <w:rFonts w:ascii="仿宋" w:hAnsi="仿宋" w:eastAsia="仿宋" w:cs="仿宋"/>
          <w:color w:val="000000"/>
          <w:szCs w:val="21"/>
        </w:rPr>
      </w:pPr>
      <w:r>
        <w:rPr>
          <w:rFonts w:hint="eastAsia" w:ascii="仿宋" w:hAnsi="仿宋" w:eastAsia="仿宋" w:cs="仿宋"/>
          <w:color w:val="000000"/>
          <w:szCs w:val="21"/>
        </w:rPr>
        <w:t>（2）提供本企业制造的货物、承担的工程或者服务，或者提供其他小企业制造的货物。如果提供的货物为大中型企业注册商标的货物，视同大中型企业。</w:t>
      </w:r>
    </w:p>
    <w:p w14:paraId="1A4BB92B">
      <w:pPr>
        <w:spacing w:line="360" w:lineRule="auto"/>
        <w:ind w:firstLine="420"/>
        <w:rPr>
          <w:rFonts w:ascii="仿宋" w:hAnsi="仿宋" w:eastAsia="仿宋" w:cs="仿宋"/>
          <w:b/>
          <w:color w:val="000000"/>
          <w:szCs w:val="21"/>
        </w:rPr>
      </w:pPr>
      <w:r>
        <w:rPr>
          <w:rFonts w:hint="eastAsia" w:ascii="仿宋" w:hAnsi="仿宋" w:eastAsia="仿宋" w:cs="仿宋"/>
          <w:b/>
          <w:color w:val="000000"/>
          <w:szCs w:val="21"/>
        </w:rPr>
        <w:t>5、监狱和戒毒企业的价格扣除</w:t>
      </w:r>
    </w:p>
    <w:p w14:paraId="56DDAC48">
      <w:pPr>
        <w:spacing w:line="360" w:lineRule="auto"/>
        <w:ind w:firstLine="420"/>
        <w:rPr>
          <w:rFonts w:ascii="仿宋" w:hAnsi="仿宋" w:eastAsia="仿宋" w:cs="仿宋"/>
          <w:color w:val="000000"/>
          <w:szCs w:val="21"/>
        </w:rPr>
      </w:pPr>
      <w:r>
        <w:rPr>
          <w:rFonts w:hint="eastAsia" w:ascii="仿宋" w:hAnsi="仿宋" w:eastAsia="仿宋" w:cs="仿宋"/>
          <w:color w:val="000000"/>
          <w:szCs w:val="21"/>
        </w:rPr>
        <w:t>5.1.对监狱和戒毒企业（简称监狱企业）视同小型、微型企业提供的最终服务报价给予10%的价格扣除，用扣除后的价格参与评审。</w:t>
      </w:r>
    </w:p>
    <w:p w14:paraId="73377678">
      <w:pPr>
        <w:spacing w:line="360" w:lineRule="auto"/>
        <w:ind w:firstLine="420"/>
        <w:rPr>
          <w:rFonts w:ascii="仿宋" w:hAnsi="仿宋" w:eastAsia="仿宋" w:cs="仿宋"/>
          <w:color w:val="000000"/>
          <w:szCs w:val="21"/>
        </w:rPr>
      </w:pPr>
      <w:r>
        <w:rPr>
          <w:rFonts w:hint="eastAsia" w:ascii="仿宋" w:hAnsi="仿宋" w:eastAsia="仿宋" w:cs="仿宋"/>
          <w:color w:val="000000"/>
          <w:szCs w:val="21"/>
        </w:rPr>
        <w:t>5.2.监狱企业需提供由省级以上监狱管理局、戒毒管理局（含新疆生产建设兵团）出具的属于监狱企业的证明文件。</w:t>
      </w:r>
    </w:p>
    <w:p w14:paraId="6CCCB479">
      <w:pPr>
        <w:spacing w:line="360" w:lineRule="auto"/>
        <w:ind w:firstLine="420"/>
        <w:rPr>
          <w:rFonts w:ascii="仿宋" w:hAnsi="仿宋" w:eastAsia="仿宋" w:cs="仿宋"/>
          <w:color w:val="000000"/>
          <w:szCs w:val="21"/>
        </w:rPr>
      </w:pPr>
      <w:r>
        <w:rPr>
          <w:rFonts w:hint="eastAsia" w:ascii="仿宋" w:hAnsi="仿宋" w:eastAsia="仿宋" w:cs="仿宋"/>
          <w:color w:val="000000"/>
          <w:szCs w:val="21"/>
        </w:rPr>
        <w:t>5.3.监狱企业标准请参照《关于政府采购支持监狱企业发展有关问题的通知》（财库[2014]68号）。</w:t>
      </w:r>
    </w:p>
    <w:p w14:paraId="4D97C3A1">
      <w:pPr>
        <w:spacing w:line="360" w:lineRule="auto"/>
        <w:ind w:firstLine="420"/>
        <w:rPr>
          <w:rFonts w:ascii="仿宋" w:hAnsi="仿宋" w:eastAsia="仿宋" w:cs="仿宋"/>
          <w:b/>
          <w:color w:val="000000"/>
          <w:szCs w:val="21"/>
        </w:rPr>
      </w:pPr>
      <w:r>
        <w:rPr>
          <w:rFonts w:hint="eastAsia" w:ascii="仿宋" w:hAnsi="仿宋" w:eastAsia="仿宋" w:cs="仿宋"/>
          <w:b/>
          <w:color w:val="000000"/>
          <w:szCs w:val="21"/>
        </w:rPr>
        <w:t>6、残疾人福利性单位的价格扣除</w:t>
      </w:r>
    </w:p>
    <w:p w14:paraId="0A2F7240">
      <w:pPr>
        <w:spacing w:line="360" w:lineRule="auto"/>
        <w:ind w:firstLine="420"/>
        <w:rPr>
          <w:rFonts w:ascii="仿宋" w:hAnsi="仿宋" w:eastAsia="仿宋" w:cs="仿宋"/>
          <w:color w:val="000000"/>
          <w:szCs w:val="21"/>
        </w:rPr>
      </w:pPr>
      <w:r>
        <w:rPr>
          <w:rFonts w:hint="eastAsia" w:ascii="仿宋" w:hAnsi="仿宋" w:eastAsia="仿宋" w:cs="仿宋"/>
          <w:color w:val="000000"/>
          <w:szCs w:val="21"/>
        </w:rPr>
        <w:t>6.1.对残疾人福利性单位视同小型、微型企业提供的最终服务报价给予10%的价格扣除，用扣除后的价格参与评审。</w:t>
      </w:r>
    </w:p>
    <w:p w14:paraId="08CD0F50">
      <w:pPr>
        <w:spacing w:line="360" w:lineRule="auto"/>
        <w:ind w:firstLine="420"/>
        <w:rPr>
          <w:rFonts w:ascii="仿宋" w:hAnsi="仿宋" w:eastAsia="仿宋" w:cs="仿宋"/>
          <w:color w:val="000000"/>
          <w:szCs w:val="21"/>
        </w:rPr>
      </w:pPr>
      <w:r>
        <w:rPr>
          <w:rFonts w:hint="eastAsia" w:ascii="仿宋" w:hAnsi="仿宋" w:eastAsia="仿宋" w:cs="仿宋"/>
          <w:color w:val="000000"/>
          <w:szCs w:val="21"/>
        </w:rPr>
        <w:t>6.2.残疾人福利单位需按照采购文件的要求提供《残疾人福利性单位声明函》。</w:t>
      </w:r>
    </w:p>
    <w:p w14:paraId="1F0FCE11">
      <w:pPr>
        <w:spacing w:line="360" w:lineRule="auto"/>
        <w:ind w:firstLine="420"/>
        <w:rPr>
          <w:rFonts w:ascii="仿宋" w:hAnsi="仿宋" w:eastAsia="仿宋" w:cs="仿宋"/>
          <w:color w:val="000000"/>
          <w:szCs w:val="21"/>
        </w:rPr>
      </w:pPr>
      <w:r>
        <w:rPr>
          <w:rFonts w:hint="eastAsia" w:ascii="仿宋" w:hAnsi="仿宋" w:eastAsia="仿宋" w:cs="仿宋"/>
          <w:color w:val="000000"/>
          <w:szCs w:val="21"/>
        </w:rPr>
        <w:t>6.3.残疾人福利单位标准请参照《关于促进残疾人就业政府采购政策的通知》（财库〔2017〕141号）。</w:t>
      </w:r>
    </w:p>
    <w:p w14:paraId="32530A4C">
      <w:pPr>
        <w:spacing w:line="360" w:lineRule="auto"/>
        <w:ind w:firstLine="420"/>
        <w:rPr>
          <w:rFonts w:ascii="仿宋" w:hAnsi="仿宋" w:eastAsia="仿宋" w:cs="仿宋"/>
          <w:b/>
          <w:color w:val="000000"/>
          <w:szCs w:val="21"/>
        </w:rPr>
      </w:pPr>
      <w:r>
        <w:rPr>
          <w:rFonts w:hint="eastAsia" w:ascii="仿宋" w:hAnsi="仿宋" w:eastAsia="仿宋" w:cs="仿宋"/>
          <w:b/>
          <w:color w:val="000000"/>
          <w:szCs w:val="21"/>
        </w:rPr>
        <w:t>7、监狱企业、残疾人福利单位属于小型、微型企业的，不重复享受政策。</w:t>
      </w:r>
    </w:p>
    <w:p w14:paraId="750C6B97">
      <w:pPr>
        <w:spacing w:line="360" w:lineRule="auto"/>
        <w:ind w:firstLine="420"/>
        <w:rPr>
          <w:rFonts w:ascii="仿宋" w:hAnsi="仿宋" w:eastAsia="仿宋" w:cs="仿宋"/>
          <w:b/>
          <w:color w:val="000000"/>
          <w:szCs w:val="21"/>
        </w:rPr>
      </w:pPr>
      <w:r>
        <w:rPr>
          <w:rFonts w:hint="eastAsia" w:ascii="仿宋" w:hAnsi="仿宋" w:eastAsia="仿宋" w:cs="仿宋"/>
          <w:b/>
          <w:color w:val="000000"/>
          <w:szCs w:val="21"/>
        </w:rPr>
        <w:t>8、对国家认定的节能产品和环保产品分别给予投标价的 5%价格扣除，用扣除后的价格参与评审（特别说明：节能、环保产品 必须纳入“中国政府采购网http://www.ccgp.gov.cn”等官方网站“节能、环保产品查询系统”，且以提供的证书复印件为准 ）。</w:t>
      </w:r>
    </w:p>
    <w:p w14:paraId="43224CB6">
      <w:pPr>
        <w:spacing w:line="360" w:lineRule="auto"/>
        <w:ind w:firstLine="420"/>
        <w:rPr>
          <w:rFonts w:ascii="仿宋" w:hAnsi="仿宋" w:eastAsia="仿宋" w:cs="仿宋"/>
          <w:color w:val="000000"/>
          <w:szCs w:val="21"/>
        </w:rPr>
      </w:pPr>
      <w:r>
        <w:rPr>
          <w:rFonts w:hint="eastAsia" w:ascii="仿宋" w:hAnsi="仿宋" w:eastAsia="仿宋" w:cs="仿宋"/>
          <w:color w:val="000000"/>
          <w:szCs w:val="21"/>
        </w:rPr>
        <w:t>9、所有认证、证明和合同业绩均以有效的证明文件复印件加盖公章为依据，原件备查。供应商提供虚假资料，一经查实作无效投标处理。</w:t>
      </w:r>
    </w:p>
    <w:p w14:paraId="4BD563D4">
      <w:pPr>
        <w:spacing w:line="360" w:lineRule="auto"/>
        <w:ind w:firstLine="420"/>
        <w:rPr>
          <w:rFonts w:ascii="仿宋" w:hAnsi="仿宋" w:eastAsia="仿宋" w:cs="仿宋"/>
          <w:color w:val="000000"/>
          <w:szCs w:val="21"/>
        </w:rPr>
      </w:pPr>
      <w:r>
        <w:rPr>
          <w:rFonts w:hint="eastAsia" w:ascii="仿宋" w:hAnsi="仿宋" w:eastAsia="仿宋" w:cs="仿宋"/>
          <w:color w:val="000000"/>
          <w:szCs w:val="21"/>
        </w:rPr>
        <w:t>10、磋商委员会不保证有效报价最低的供应商成交。</w:t>
      </w:r>
    </w:p>
    <w:p w14:paraId="507A1EEC">
      <w:pPr>
        <w:spacing w:line="360" w:lineRule="auto"/>
        <w:ind w:firstLine="420"/>
        <w:rPr>
          <w:rFonts w:ascii="仿宋" w:hAnsi="仿宋" w:eastAsia="仿宋" w:cs="仿宋"/>
          <w:color w:val="000000"/>
          <w:szCs w:val="21"/>
        </w:rPr>
      </w:pPr>
      <w:r>
        <w:rPr>
          <w:rFonts w:hint="eastAsia" w:ascii="仿宋" w:hAnsi="仿宋" w:eastAsia="仿宋" w:cs="仿宋"/>
          <w:b/>
          <w:color w:val="000000"/>
          <w:szCs w:val="21"/>
        </w:rPr>
        <w:t>11、若供应商未在响应性文件中声明贵司是否是小微企业或</w:t>
      </w:r>
      <w:r>
        <w:rPr>
          <w:rFonts w:hint="eastAsia" w:ascii="仿宋" w:hAnsi="仿宋" w:eastAsia="仿宋" w:cs="仿宋"/>
          <w:b/>
          <w:color w:val="000000"/>
          <w:szCs w:val="21"/>
          <w:lang w:val="zh-CN"/>
        </w:rPr>
        <w:t>残疾人福利性单位或监狱企业</w:t>
      </w:r>
      <w:r>
        <w:rPr>
          <w:rFonts w:hint="eastAsia" w:ascii="仿宋" w:hAnsi="仿宋" w:eastAsia="仿宋" w:cs="仿宋"/>
          <w:b/>
          <w:color w:val="000000"/>
          <w:szCs w:val="21"/>
        </w:rPr>
        <w:t>，一律不按扣除后的价格参与评审，其后果由供应商自行负责，与采购人、招标代理单位、评标委员无关。</w:t>
      </w:r>
    </w:p>
    <w:p w14:paraId="694F7B9C">
      <w:pPr>
        <w:spacing w:line="360" w:lineRule="auto"/>
        <w:jc w:val="center"/>
        <w:outlineLvl w:val="0"/>
        <w:rPr>
          <w:rFonts w:ascii="仿宋" w:hAnsi="仿宋" w:eastAsia="仿宋" w:cs="仿宋"/>
          <w:b/>
          <w:bCs/>
          <w:color w:val="000000"/>
          <w:sz w:val="28"/>
          <w:szCs w:val="28"/>
          <w:lang w:val="zh-CN"/>
        </w:rPr>
      </w:pPr>
      <w:r>
        <w:rPr>
          <w:rFonts w:hint="eastAsia" w:ascii="仿宋" w:hAnsi="仿宋" w:eastAsia="仿宋" w:cs="仿宋"/>
          <w:color w:val="000000"/>
          <w:sz w:val="28"/>
          <w:szCs w:val="28"/>
          <w:lang w:val="zh-CN"/>
        </w:rPr>
        <w:br w:type="page" w:clear="all"/>
      </w:r>
      <w:bookmarkEnd w:id="44"/>
      <w:bookmarkStart w:id="45" w:name="_Toc16251"/>
      <w:r>
        <w:rPr>
          <w:rFonts w:hint="eastAsia" w:ascii="仿宋" w:hAnsi="仿宋" w:eastAsia="仿宋" w:cs="仿宋"/>
          <w:b/>
          <w:bCs/>
          <w:color w:val="000000"/>
          <w:sz w:val="28"/>
          <w:szCs w:val="28"/>
          <w:lang w:val="zh-CN"/>
        </w:rPr>
        <w:t>第四章 采购项目需求</w:t>
      </w:r>
      <w:bookmarkEnd w:id="45"/>
    </w:p>
    <w:p w14:paraId="022891EE">
      <w:pPr>
        <w:widowControl/>
        <w:spacing w:line="360" w:lineRule="auto"/>
        <w:rPr>
          <w:rFonts w:ascii="仿宋" w:hAnsi="仿宋" w:eastAsia="仿宋" w:cs="仿宋"/>
          <w:b/>
          <w:bCs/>
          <w:color w:val="000000"/>
          <w:sz w:val="24"/>
          <w:szCs w:val="24"/>
        </w:rPr>
      </w:pPr>
      <w:r>
        <w:rPr>
          <w:rFonts w:hint="eastAsia" w:ascii="仿宋" w:hAnsi="仿宋" w:eastAsia="仿宋" w:cs="仿宋"/>
          <w:b/>
          <w:bCs/>
          <w:color w:val="000000"/>
          <w:sz w:val="24"/>
          <w:szCs w:val="24"/>
        </w:rPr>
        <w:t>一、项目概况</w:t>
      </w:r>
    </w:p>
    <w:p w14:paraId="799AED66">
      <w:pPr>
        <w:widowControl/>
        <w:spacing w:line="360" w:lineRule="auto"/>
        <w:ind w:firstLine="420"/>
        <w:rPr>
          <w:rFonts w:ascii="仿宋" w:hAnsi="仿宋" w:eastAsia="仿宋" w:cs="仿宋"/>
          <w:color w:val="000000"/>
          <w:sz w:val="24"/>
          <w:szCs w:val="24"/>
        </w:rPr>
      </w:pPr>
      <w:r>
        <w:rPr>
          <w:rFonts w:hint="eastAsia" w:ascii="仿宋" w:hAnsi="仿宋" w:eastAsia="仿宋" w:cs="仿宋"/>
          <w:color w:val="000000"/>
          <w:sz w:val="24"/>
          <w:szCs w:val="24"/>
        </w:rPr>
        <w:t>1.项目名称：顶山街道环境检测服务项目</w:t>
      </w:r>
    </w:p>
    <w:p w14:paraId="293CAC8E">
      <w:pPr>
        <w:pStyle w:val="199"/>
        <w:spacing w:line="360" w:lineRule="auto"/>
        <w:ind w:firstLine="420"/>
        <w:rPr>
          <w:rFonts w:ascii="仿宋" w:hAnsi="仿宋" w:eastAsia="仿宋" w:cs="仿宋"/>
        </w:rPr>
      </w:pPr>
      <w:r>
        <w:rPr>
          <w:rFonts w:hint="eastAsia" w:ascii="仿宋" w:hAnsi="仿宋" w:eastAsia="仿宋" w:cs="仿宋"/>
        </w:rPr>
        <w:t>2.项目服务范围：根据顶山街道环境监测任务单，按照相关监测技术规范要求，开展环境监测。（水质监测、噪声监测、大气监测及土壤监测</w:t>
      </w:r>
      <w:r>
        <w:rPr>
          <w:rFonts w:hint="eastAsia" w:ascii="仿宋" w:hAnsi="仿宋" w:eastAsia="仿宋" w:cs="仿宋"/>
          <w:lang w:val="en-US" w:eastAsia="zh-CN"/>
        </w:rPr>
        <w:t>等</w:t>
      </w:r>
      <w:r>
        <w:rPr>
          <w:rFonts w:hint="eastAsia" w:ascii="仿宋" w:hAnsi="仿宋" w:eastAsia="仿宋" w:cs="仿宋"/>
        </w:rPr>
        <w:t>）。</w:t>
      </w:r>
    </w:p>
    <w:p w14:paraId="22838A53">
      <w:pPr>
        <w:spacing w:line="360" w:lineRule="auto"/>
        <w:rPr>
          <w:rFonts w:ascii="仿宋" w:hAnsi="仿宋" w:eastAsia="仿宋" w:cs="仿宋"/>
          <w:b/>
          <w:bCs/>
          <w:color w:val="000000"/>
          <w:sz w:val="24"/>
          <w:szCs w:val="24"/>
        </w:rPr>
      </w:pPr>
      <w:r>
        <w:rPr>
          <w:rFonts w:hint="eastAsia" w:ascii="仿宋" w:hAnsi="仿宋" w:eastAsia="仿宋" w:cs="仿宋"/>
          <w:b/>
          <w:bCs/>
          <w:color w:val="000000"/>
          <w:sz w:val="24"/>
          <w:szCs w:val="24"/>
        </w:rPr>
        <w:t>二、服务内容</w:t>
      </w:r>
    </w:p>
    <w:p w14:paraId="4ED57F54">
      <w:pPr>
        <w:widowControl/>
        <w:spacing w:line="360" w:lineRule="auto"/>
        <w:ind w:firstLine="420"/>
        <w:rPr>
          <w:rFonts w:ascii="仿宋" w:hAnsi="仿宋" w:eastAsia="仿宋" w:cs="仿宋"/>
          <w:color w:val="000000"/>
          <w:sz w:val="24"/>
          <w:szCs w:val="24"/>
        </w:rPr>
      </w:pPr>
      <w:r>
        <w:rPr>
          <w:rFonts w:hint="eastAsia" w:ascii="仿宋" w:hAnsi="仿宋" w:eastAsia="仿宋" w:cs="仿宋"/>
          <w:color w:val="000000"/>
          <w:sz w:val="24"/>
          <w:szCs w:val="24"/>
        </w:rPr>
        <w:t>1.水质监测：</w:t>
      </w:r>
      <w:r>
        <w:rPr>
          <w:rFonts w:hint="eastAsia" w:ascii="仿宋" w:hAnsi="仿宋" w:eastAsia="仿宋" w:cs="仿宋"/>
          <w:sz w:val="24"/>
          <w:szCs w:val="24"/>
        </w:rPr>
        <w:t>水温、pH、电导率、透明度、悬浮物、氨氮、化学需氧量、溶解氧、石油类、动植物油类、总磷、总氮、氟化物、挥发酚、色度、五日生化需氧量、</w:t>
      </w:r>
      <w:r>
        <w:rPr>
          <w:rFonts w:hint="eastAsia" w:ascii="仿宋" w:hAnsi="仿宋" w:eastAsia="仿宋" w:cs="仿宋"/>
          <w:color w:val="000000"/>
          <w:sz w:val="24"/>
          <w:szCs w:val="24"/>
        </w:rPr>
        <w:t xml:space="preserve">氧化还原电位；                                     </w:t>
      </w:r>
    </w:p>
    <w:p w14:paraId="57035408">
      <w:pPr>
        <w:widowControl/>
        <w:spacing w:line="360" w:lineRule="auto"/>
        <w:ind w:firstLine="420"/>
        <w:rPr>
          <w:rFonts w:ascii="仿宋" w:hAnsi="仿宋" w:eastAsia="仿宋" w:cs="仿宋"/>
          <w:color w:val="000000"/>
          <w:sz w:val="24"/>
          <w:szCs w:val="24"/>
        </w:rPr>
      </w:pPr>
      <w:r>
        <w:rPr>
          <w:rFonts w:hint="eastAsia" w:ascii="仿宋" w:hAnsi="仿宋" w:eastAsia="仿宋" w:cs="仿宋"/>
          <w:color w:val="000000"/>
          <w:sz w:val="24"/>
          <w:szCs w:val="24"/>
        </w:rPr>
        <w:t>2.噪声监测：</w:t>
      </w:r>
      <w:r>
        <w:rPr>
          <w:rFonts w:hint="eastAsia" w:ascii="仿宋" w:hAnsi="仿宋" w:eastAsia="仿宋" w:cs="仿宋"/>
          <w:sz w:val="24"/>
          <w:szCs w:val="24"/>
        </w:rPr>
        <w:t>区域环境噪声、工业企业厂界环境噪声、建筑施工场界噪声、社会生活环境噪声、交通噪声、铁路边界噪声；</w:t>
      </w:r>
      <w:r>
        <w:rPr>
          <w:rFonts w:hint="eastAsia" w:ascii="仿宋" w:hAnsi="仿宋" w:eastAsia="仿宋" w:cs="仿宋"/>
          <w:color w:val="000000"/>
          <w:sz w:val="24"/>
          <w:szCs w:val="24"/>
        </w:rPr>
        <w:t xml:space="preserve">          </w:t>
      </w:r>
    </w:p>
    <w:p w14:paraId="60AE92BD">
      <w:pPr>
        <w:widowControl/>
        <w:spacing w:line="360" w:lineRule="auto"/>
        <w:ind w:firstLine="420"/>
        <w:rPr>
          <w:rFonts w:ascii="仿宋" w:hAnsi="仿宋" w:eastAsia="仿宋" w:cs="仿宋"/>
          <w:color w:val="000000"/>
          <w:sz w:val="24"/>
          <w:szCs w:val="24"/>
        </w:rPr>
      </w:pPr>
      <w:r>
        <w:rPr>
          <w:rFonts w:hint="eastAsia" w:ascii="仿宋" w:hAnsi="仿宋" w:eastAsia="仿宋" w:cs="仿宋"/>
          <w:color w:val="000000"/>
          <w:sz w:val="24"/>
          <w:szCs w:val="24"/>
        </w:rPr>
        <w:t>3.大气监测：</w:t>
      </w:r>
      <w:r>
        <w:rPr>
          <w:rFonts w:hint="eastAsia" w:ascii="仿宋" w:hAnsi="仿宋" w:eastAsia="仿宋" w:cs="仿宋"/>
          <w:sz w:val="24"/>
          <w:szCs w:val="24"/>
        </w:rPr>
        <w:t>餐饮业油烟、烟尘、二氧化硫、氮氧化物、甲醛、氯化氢、臭气浓度、氨、硫化氢、一氧化碳、林格曼黑度、VOCs；</w:t>
      </w:r>
      <w:r>
        <w:rPr>
          <w:rFonts w:hint="eastAsia" w:ascii="仿宋" w:hAnsi="仿宋" w:eastAsia="仿宋" w:cs="仿宋"/>
          <w:color w:val="000000"/>
          <w:sz w:val="24"/>
          <w:szCs w:val="24"/>
        </w:rPr>
        <w:t xml:space="preserve">                                                   </w:t>
      </w:r>
    </w:p>
    <w:p w14:paraId="1A859AB7">
      <w:pPr>
        <w:widowControl/>
        <w:spacing w:line="360" w:lineRule="auto"/>
        <w:ind w:firstLine="420"/>
        <w:rPr>
          <w:rFonts w:ascii="仿宋" w:hAnsi="仿宋" w:eastAsia="仿宋" w:cs="仿宋"/>
          <w:color w:val="000000"/>
          <w:sz w:val="24"/>
          <w:szCs w:val="24"/>
        </w:rPr>
      </w:pPr>
      <w:r>
        <w:rPr>
          <w:rFonts w:hint="eastAsia" w:ascii="仿宋" w:hAnsi="仿宋" w:eastAsia="仿宋" w:cs="仿宋"/>
          <w:color w:val="000000"/>
          <w:sz w:val="24"/>
          <w:szCs w:val="24"/>
        </w:rPr>
        <w:t>4.土壤监测：</w:t>
      </w:r>
      <w:r>
        <w:rPr>
          <w:rFonts w:hint="eastAsia" w:ascii="仿宋" w:hAnsi="仿宋" w:eastAsia="仿宋" w:cs="仿宋"/>
          <w:sz w:val="24"/>
          <w:szCs w:val="24"/>
        </w:rPr>
        <w:t>pH、含水量、土壤容重、氟化物、土壤中挥发性有机物的测定、多环芳烃。</w:t>
      </w:r>
      <w:r>
        <w:rPr>
          <w:rFonts w:hint="eastAsia" w:ascii="仿宋" w:hAnsi="仿宋" w:eastAsia="仿宋" w:cs="仿宋"/>
          <w:color w:val="000000"/>
          <w:sz w:val="24"/>
          <w:szCs w:val="24"/>
        </w:rPr>
        <w:t xml:space="preserve">                                         </w:t>
      </w:r>
    </w:p>
    <w:p w14:paraId="24B2AB00">
      <w:pPr>
        <w:widowControl/>
        <w:spacing w:line="360" w:lineRule="auto"/>
        <w:ind w:firstLine="420"/>
        <w:rPr>
          <w:rFonts w:ascii="仿宋" w:hAnsi="仿宋" w:eastAsia="仿宋" w:cs="仿宋"/>
          <w:color w:val="000000"/>
          <w:sz w:val="24"/>
          <w:szCs w:val="24"/>
        </w:rPr>
      </w:pPr>
      <w:r>
        <w:rPr>
          <w:rFonts w:hint="eastAsia" w:ascii="仿宋" w:hAnsi="仿宋" w:eastAsia="仿宋" w:cs="仿宋"/>
          <w:color w:val="000000"/>
          <w:sz w:val="24"/>
          <w:szCs w:val="24"/>
        </w:rPr>
        <w:t>备注：以上监测因子，是监测项目的一部分，具体实际工作中，需要监测的因子，以顶山街道要求为准。</w:t>
      </w:r>
    </w:p>
    <w:p w14:paraId="7C609A58">
      <w:pPr>
        <w:widowControl/>
        <w:spacing w:line="360" w:lineRule="auto"/>
        <w:rPr>
          <w:rFonts w:ascii="仿宋" w:hAnsi="仿宋" w:eastAsia="仿宋" w:cs="仿宋"/>
          <w:b/>
          <w:bCs/>
          <w:color w:val="000000"/>
          <w:sz w:val="24"/>
          <w:szCs w:val="24"/>
        </w:rPr>
      </w:pPr>
      <w:r>
        <w:rPr>
          <w:rFonts w:hint="eastAsia" w:ascii="仿宋" w:hAnsi="仿宋" w:eastAsia="仿宋" w:cs="仿宋"/>
          <w:b/>
          <w:bCs/>
          <w:color w:val="000000"/>
          <w:sz w:val="24"/>
          <w:szCs w:val="24"/>
        </w:rPr>
        <w:t>三、采购标的需实现的功能及标准、规范</w:t>
      </w:r>
    </w:p>
    <w:p w14:paraId="1451D264">
      <w:pPr>
        <w:spacing w:line="360" w:lineRule="auto"/>
        <w:ind w:firstLine="420"/>
        <w:rPr>
          <w:rFonts w:ascii="仿宋" w:hAnsi="仿宋" w:eastAsia="仿宋" w:cs="仿宋"/>
          <w:b/>
          <w:color w:val="000000"/>
          <w:sz w:val="24"/>
          <w:szCs w:val="24"/>
        </w:rPr>
      </w:pPr>
      <w:r>
        <w:rPr>
          <w:rFonts w:hint="eastAsia" w:ascii="仿宋" w:hAnsi="仿宋" w:eastAsia="仿宋" w:cs="仿宋"/>
          <w:bCs/>
          <w:color w:val="000000"/>
          <w:sz w:val="24"/>
          <w:szCs w:val="24"/>
        </w:rPr>
        <w:t>国家标准、行业标准、地方标准或者其他标准、规范。</w:t>
      </w:r>
    </w:p>
    <w:p w14:paraId="5E9F09A3">
      <w:pPr>
        <w:widowControl/>
        <w:spacing w:line="360" w:lineRule="auto"/>
        <w:rPr>
          <w:rFonts w:ascii="仿宋" w:hAnsi="仿宋" w:eastAsia="仿宋" w:cs="仿宋"/>
          <w:b/>
          <w:bCs/>
          <w:color w:val="000000"/>
          <w:sz w:val="24"/>
          <w:szCs w:val="24"/>
        </w:rPr>
      </w:pPr>
      <w:r>
        <w:rPr>
          <w:rFonts w:hint="eastAsia" w:ascii="仿宋" w:hAnsi="仿宋" w:eastAsia="仿宋" w:cs="仿宋"/>
          <w:b/>
          <w:bCs/>
          <w:color w:val="000000"/>
          <w:sz w:val="24"/>
          <w:szCs w:val="24"/>
        </w:rPr>
        <w:t xml:space="preserve">四、报价要求 </w:t>
      </w:r>
    </w:p>
    <w:tbl>
      <w:tblPr>
        <w:tblStyle w:val="34"/>
        <w:tblW w:w="9840" w:type="dxa"/>
        <w:tblInd w:w="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82"/>
        <w:gridCol w:w="1527"/>
        <w:gridCol w:w="1007"/>
        <w:gridCol w:w="1009"/>
        <w:gridCol w:w="1011"/>
        <w:gridCol w:w="910"/>
        <w:gridCol w:w="1893"/>
        <w:gridCol w:w="1008"/>
        <w:gridCol w:w="693"/>
      </w:tblGrid>
      <w:tr w14:paraId="15AE5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9840" w:type="dxa"/>
            <w:gridSpan w:val="9"/>
            <w:shd w:val="clear" w:color="auto" w:fill="auto"/>
            <w:noWrap/>
            <w:vAlign w:val="center"/>
          </w:tcPr>
          <w:p w14:paraId="5FEAE750">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 xml:space="preserve"> 环境监测收费标准（参考苏价费[2006]397 号）</w:t>
            </w:r>
          </w:p>
        </w:tc>
      </w:tr>
      <w:tr w14:paraId="32534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83" w:hRule="atLeast"/>
        </w:trPr>
        <w:tc>
          <w:tcPr>
            <w:tcW w:w="782" w:type="dxa"/>
            <w:vMerge w:val="restart"/>
            <w:shd w:val="clear" w:color="auto" w:fill="auto"/>
            <w:noWrap/>
            <w:vAlign w:val="center"/>
          </w:tcPr>
          <w:p w14:paraId="54F321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527" w:type="dxa"/>
            <w:vMerge w:val="restart"/>
            <w:shd w:val="clear" w:color="auto" w:fill="auto"/>
            <w:noWrap/>
            <w:vAlign w:val="center"/>
          </w:tcPr>
          <w:p w14:paraId="3B7B0B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监测因子</w:t>
            </w:r>
          </w:p>
        </w:tc>
        <w:tc>
          <w:tcPr>
            <w:tcW w:w="2016" w:type="dxa"/>
            <w:gridSpan w:val="2"/>
            <w:shd w:val="clear" w:color="auto" w:fill="auto"/>
            <w:noWrap/>
            <w:vAlign w:val="center"/>
          </w:tcPr>
          <w:p w14:paraId="5CBEA0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采样</w:t>
            </w:r>
          </w:p>
        </w:tc>
        <w:tc>
          <w:tcPr>
            <w:tcW w:w="1921" w:type="dxa"/>
            <w:gridSpan w:val="2"/>
            <w:shd w:val="clear" w:color="auto" w:fill="auto"/>
            <w:noWrap/>
            <w:vAlign w:val="center"/>
          </w:tcPr>
          <w:p w14:paraId="437BC7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前处理</w:t>
            </w:r>
          </w:p>
        </w:tc>
        <w:tc>
          <w:tcPr>
            <w:tcW w:w="2901" w:type="dxa"/>
            <w:gridSpan w:val="2"/>
            <w:shd w:val="clear" w:color="auto" w:fill="auto"/>
            <w:noWrap/>
            <w:vAlign w:val="center"/>
          </w:tcPr>
          <w:p w14:paraId="3CDB0F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分析</w:t>
            </w:r>
          </w:p>
        </w:tc>
        <w:tc>
          <w:tcPr>
            <w:tcW w:w="693" w:type="dxa"/>
            <w:vMerge w:val="restart"/>
            <w:shd w:val="clear" w:color="auto" w:fill="auto"/>
            <w:noWrap/>
            <w:vAlign w:val="center"/>
          </w:tcPr>
          <w:p w14:paraId="28F190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r>
              <w:rPr>
                <w:rFonts w:hint="eastAsia" w:ascii="宋体" w:hAnsi="宋体" w:cs="宋体"/>
                <w:i w:val="0"/>
                <w:iCs w:val="0"/>
                <w:color w:val="000000"/>
                <w:kern w:val="0"/>
                <w:sz w:val="20"/>
                <w:szCs w:val="20"/>
                <w:u w:val="none"/>
                <w:lang w:val="en-US" w:eastAsia="zh-CN" w:bidi="ar"/>
              </w:rPr>
              <w:t>（最高限价单价）</w:t>
            </w:r>
          </w:p>
        </w:tc>
      </w:tr>
      <w:tr w14:paraId="1CFB9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782" w:type="dxa"/>
            <w:vMerge w:val="continue"/>
            <w:shd w:val="clear" w:color="auto" w:fill="auto"/>
            <w:noWrap/>
            <w:vAlign w:val="center"/>
          </w:tcPr>
          <w:p w14:paraId="29C6BB06">
            <w:pPr>
              <w:jc w:val="center"/>
              <w:rPr>
                <w:rFonts w:hint="eastAsia" w:ascii="宋体" w:hAnsi="宋体" w:eastAsia="宋体" w:cs="宋体"/>
                <w:i w:val="0"/>
                <w:iCs w:val="0"/>
                <w:color w:val="000000"/>
                <w:sz w:val="20"/>
                <w:szCs w:val="20"/>
                <w:u w:val="none"/>
              </w:rPr>
            </w:pPr>
          </w:p>
        </w:tc>
        <w:tc>
          <w:tcPr>
            <w:tcW w:w="1527" w:type="dxa"/>
            <w:vMerge w:val="continue"/>
            <w:shd w:val="clear" w:color="auto" w:fill="auto"/>
            <w:noWrap/>
            <w:vAlign w:val="center"/>
          </w:tcPr>
          <w:p w14:paraId="0715714A">
            <w:pPr>
              <w:jc w:val="center"/>
              <w:rPr>
                <w:rFonts w:hint="eastAsia" w:ascii="宋体" w:hAnsi="宋体" w:eastAsia="宋体" w:cs="宋体"/>
                <w:i w:val="0"/>
                <w:iCs w:val="0"/>
                <w:color w:val="000000"/>
                <w:sz w:val="20"/>
                <w:szCs w:val="20"/>
                <w:u w:val="none"/>
              </w:rPr>
            </w:pPr>
          </w:p>
        </w:tc>
        <w:tc>
          <w:tcPr>
            <w:tcW w:w="1007" w:type="dxa"/>
            <w:shd w:val="clear" w:color="auto" w:fill="auto"/>
            <w:noWrap/>
            <w:vAlign w:val="center"/>
          </w:tcPr>
          <w:p w14:paraId="743236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采样方法</w:t>
            </w:r>
          </w:p>
        </w:tc>
        <w:tc>
          <w:tcPr>
            <w:tcW w:w="1009" w:type="dxa"/>
            <w:shd w:val="clear" w:color="auto" w:fill="auto"/>
            <w:noWrap/>
            <w:vAlign w:val="center"/>
          </w:tcPr>
          <w:p w14:paraId="7B1756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收费标准</w:t>
            </w:r>
          </w:p>
        </w:tc>
        <w:tc>
          <w:tcPr>
            <w:tcW w:w="1011" w:type="dxa"/>
            <w:shd w:val="clear" w:color="auto" w:fill="auto"/>
            <w:noWrap/>
            <w:vAlign w:val="center"/>
          </w:tcPr>
          <w:p w14:paraId="5BD338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前处理方法</w:t>
            </w:r>
          </w:p>
        </w:tc>
        <w:tc>
          <w:tcPr>
            <w:tcW w:w="910" w:type="dxa"/>
            <w:shd w:val="clear" w:color="auto" w:fill="auto"/>
            <w:noWrap/>
            <w:vAlign w:val="center"/>
          </w:tcPr>
          <w:p w14:paraId="5E2E48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收费标准</w:t>
            </w:r>
          </w:p>
        </w:tc>
        <w:tc>
          <w:tcPr>
            <w:tcW w:w="1893" w:type="dxa"/>
            <w:shd w:val="clear" w:color="auto" w:fill="auto"/>
            <w:noWrap/>
            <w:vAlign w:val="center"/>
          </w:tcPr>
          <w:p w14:paraId="0D6ABD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分析方法</w:t>
            </w:r>
          </w:p>
        </w:tc>
        <w:tc>
          <w:tcPr>
            <w:tcW w:w="1008" w:type="dxa"/>
            <w:shd w:val="clear" w:color="auto" w:fill="auto"/>
            <w:noWrap/>
            <w:vAlign w:val="center"/>
          </w:tcPr>
          <w:p w14:paraId="3CC507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收费标准</w:t>
            </w:r>
          </w:p>
        </w:tc>
        <w:tc>
          <w:tcPr>
            <w:tcW w:w="693" w:type="dxa"/>
            <w:vMerge w:val="continue"/>
            <w:shd w:val="clear" w:color="auto" w:fill="auto"/>
            <w:noWrap/>
            <w:vAlign w:val="center"/>
          </w:tcPr>
          <w:p w14:paraId="058146E5">
            <w:pPr>
              <w:jc w:val="center"/>
              <w:rPr>
                <w:rFonts w:hint="eastAsia" w:ascii="宋体" w:hAnsi="宋体" w:eastAsia="宋体" w:cs="宋体"/>
                <w:i w:val="0"/>
                <w:iCs w:val="0"/>
                <w:color w:val="000000"/>
                <w:sz w:val="20"/>
                <w:szCs w:val="20"/>
                <w:u w:val="none"/>
              </w:rPr>
            </w:pPr>
          </w:p>
        </w:tc>
      </w:tr>
      <w:tr w14:paraId="280BC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trPr>
        <w:tc>
          <w:tcPr>
            <w:tcW w:w="9840" w:type="dxa"/>
            <w:gridSpan w:val="9"/>
            <w:shd w:val="clear" w:color="auto" w:fill="auto"/>
            <w:vAlign w:val="center"/>
          </w:tcPr>
          <w:p w14:paraId="562E3D0C">
            <w:pPr>
              <w:keepNext w:val="0"/>
              <w:keepLines w:val="0"/>
              <w:widowControl/>
              <w:suppressLineNumbers w:val="0"/>
              <w:jc w:val="center"/>
              <w:textAlignment w:val="center"/>
              <w:rPr>
                <w:rFonts w:ascii="等线" w:hAnsi="等线" w:eastAsia="等线" w:cs="等线"/>
                <w:b/>
                <w:bCs/>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一、水质</w:t>
            </w:r>
          </w:p>
        </w:tc>
      </w:tr>
      <w:tr w14:paraId="1B6CE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34" w:hRule="atLeast"/>
        </w:trPr>
        <w:tc>
          <w:tcPr>
            <w:tcW w:w="782" w:type="dxa"/>
            <w:shd w:val="clear" w:color="auto" w:fill="auto"/>
            <w:vAlign w:val="center"/>
          </w:tcPr>
          <w:p w14:paraId="21DF60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527" w:type="dxa"/>
            <w:shd w:val="clear" w:color="auto" w:fill="auto"/>
            <w:vAlign w:val="center"/>
          </w:tcPr>
          <w:p w14:paraId="1A336D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pH值</w:t>
            </w:r>
          </w:p>
        </w:tc>
        <w:tc>
          <w:tcPr>
            <w:tcW w:w="1007" w:type="dxa"/>
            <w:shd w:val="clear" w:color="auto" w:fill="auto"/>
            <w:vAlign w:val="center"/>
          </w:tcPr>
          <w:p w14:paraId="565D43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地表水瞬时样</w:t>
            </w:r>
          </w:p>
        </w:tc>
        <w:tc>
          <w:tcPr>
            <w:tcW w:w="1009" w:type="dxa"/>
            <w:shd w:val="clear" w:color="auto" w:fill="auto"/>
            <w:vAlign w:val="center"/>
          </w:tcPr>
          <w:p w14:paraId="7204D8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11" w:type="dxa"/>
            <w:shd w:val="clear" w:color="auto" w:fill="auto"/>
            <w:vAlign w:val="center"/>
          </w:tcPr>
          <w:p w14:paraId="015FDE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10" w:type="dxa"/>
            <w:shd w:val="clear" w:color="auto" w:fill="auto"/>
            <w:vAlign w:val="center"/>
          </w:tcPr>
          <w:p w14:paraId="189A8B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893" w:type="dxa"/>
            <w:shd w:val="clear" w:color="auto" w:fill="auto"/>
            <w:vAlign w:val="center"/>
          </w:tcPr>
          <w:p w14:paraId="5430FE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pH计（水质 pH 值的测定 电极法 HJ 1147-2020）</w:t>
            </w:r>
          </w:p>
        </w:tc>
        <w:tc>
          <w:tcPr>
            <w:tcW w:w="1008" w:type="dxa"/>
            <w:shd w:val="clear" w:color="auto" w:fill="auto"/>
            <w:vAlign w:val="center"/>
          </w:tcPr>
          <w:p w14:paraId="71C2A5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693" w:type="dxa"/>
            <w:shd w:val="clear" w:color="auto" w:fill="auto"/>
            <w:noWrap/>
            <w:vAlign w:val="center"/>
          </w:tcPr>
          <w:p w14:paraId="57E10351">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25</w:t>
            </w:r>
          </w:p>
        </w:tc>
      </w:tr>
      <w:tr w14:paraId="6D6A5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84" w:hRule="atLeast"/>
        </w:trPr>
        <w:tc>
          <w:tcPr>
            <w:tcW w:w="782" w:type="dxa"/>
            <w:shd w:val="clear" w:color="auto" w:fill="auto"/>
            <w:vAlign w:val="center"/>
          </w:tcPr>
          <w:p w14:paraId="578D2C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527" w:type="dxa"/>
            <w:shd w:val="clear" w:color="auto" w:fill="auto"/>
            <w:vAlign w:val="center"/>
          </w:tcPr>
          <w:p w14:paraId="572EE4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水温</w:t>
            </w:r>
          </w:p>
        </w:tc>
        <w:tc>
          <w:tcPr>
            <w:tcW w:w="1007" w:type="dxa"/>
            <w:shd w:val="clear" w:color="auto" w:fill="auto"/>
            <w:vAlign w:val="center"/>
          </w:tcPr>
          <w:p w14:paraId="217033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地表水瞬时样</w:t>
            </w:r>
          </w:p>
        </w:tc>
        <w:tc>
          <w:tcPr>
            <w:tcW w:w="1009" w:type="dxa"/>
            <w:shd w:val="clear" w:color="auto" w:fill="auto"/>
            <w:vAlign w:val="center"/>
          </w:tcPr>
          <w:p w14:paraId="1C869C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11" w:type="dxa"/>
            <w:shd w:val="clear" w:color="auto" w:fill="auto"/>
            <w:vAlign w:val="center"/>
          </w:tcPr>
          <w:p w14:paraId="3D304D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10" w:type="dxa"/>
            <w:shd w:val="clear" w:color="auto" w:fill="auto"/>
            <w:vAlign w:val="center"/>
          </w:tcPr>
          <w:p w14:paraId="2F49EA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893" w:type="dxa"/>
            <w:shd w:val="clear" w:color="auto" w:fill="auto"/>
            <w:vAlign w:val="center"/>
          </w:tcPr>
          <w:p w14:paraId="36AF51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水质 水温的测定 温度计或颠倒温度计测定法 GB/T 13195-1991 只用：温度计法</w:t>
            </w:r>
          </w:p>
        </w:tc>
        <w:tc>
          <w:tcPr>
            <w:tcW w:w="1008" w:type="dxa"/>
            <w:shd w:val="clear" w:color="auto" w:fill="auto"/>
            <w:vAlign w:val="center"/>
          </w:tcPr>
          <w:p w14:paraId="6D6766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693" w:type="dxa"/>
            <w:shd w:val="clear" w:color="auto" w:fill="auto"/>
            <w:noWrap/>
            <w:vAlign w:val="center"/>
          </w:tcPr>
          <w:p w14:paraId="386CDCF4">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15</w:t>
            </w:r>
          </w:p>
        </w:tc>
      </w:tr>
      <w:tr w14:paraId="0F7E4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09" w:hRule="atLeast"/>
        </w:trPr>
        <w:tc>
          <w:tcPr>
            <w:tcW w:w="782" w:type="dxa"/>
            <w:shd w:val="clear" w:color="auto" w:fill="auto"/>
            <w:vAlign w:val="center"/>
          </w:tcPr>
          <w:p w14:paraId="6E5A24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527" w:type="dxa"/>
            <w:shd w:val="clear" w:color="auto" w:fill="auto"/>
            <w:vAlign w:val="center"/>
          </w:tcPr>
          <w:p w14:paraId="606BDB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电导率</w:t>
            </w:r>
          </w:p>
        </w:tc>
        <w:tc>
          <w:tcPr>
            <w:tcW w:w="1007" w:type="dxa"/>
            <w:shd w:val="clear" w:color="auto" w:fill="auto"/>
            <w:vAlign w:val="center"/>
          </w:tcPr>
          <w:p w14:paraId="0EC90B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地表水瞬时样</w:t>
            </w:r>
          </w:p>
        </w:tc>
        <w:tc>
          <w:tcPr>
            <w:tcW w:w="1009" w:type="dxa"/>
            <w:shd w:val="clear" w:color="auto" w:fill="auto"/>
            <w:vAlign w:val="center"/>
          </w:tcPr>
          <w:p w14:paraId="35B409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11" w:type="dxa"/>
            <w:shd w:val="clear" w:color="auto" w:fill="auto"/>
            <w:vAlign w:val="center"/>
          </w:tcPr>
          <w:p w14:paraId="71C0B0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10" w:type="dxa"/>
            <w:shd w:val="clear" w:color="auto" w:fill="auto"/>
            <w:vAlign w:val="center"/>
          </w:tcPr>
          <w:p w14:paraId="654BF7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893" w:type="dxa"/>
            <w:shd w:val="clear" w:color="auto" w:fill="auto"/>
            <w:vAlign w:val="center"/>
          </w:tcPr>
          <w:p w14:paraId="609595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便携式电导率仪法《水和废水监测分析方法》( 第四版) 国家环境保护总局(2002年) 3.1.9（1）</w:t>
            </w:r>
          </w:p>
        </w:tc>
        <w:tc>
          <w:tcPr>
            <w:tcW w:w="1008" w:type="dxa"/>
            <w:shd w:val="clear" w:color="auto" w:fill="auto"/>
            <w:vAlign w:val="center"/>
          </w:tcPr>
          <w:p w14:paraId="52698B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693" w:type="dxa"/>
            <w:shd w:val="clear" w:color="auto" w:fill="auto"/>
            <w:noWrap/>
            <w:vAlign w:val="center"/>
          </w:tcPr>
          <w:p w14:paraId="53F27657">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25</w:t>
            </w:r>
          </w:p>
        </w:tc>
      </w:tr>
      <w:tr w14:paraId="71B1A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782" w:type="dxa"/>
            <w:shd w:val="clear" w:color="auto" w:fill="auto"/>
            <w:vAlign w:val="center"/>
          </w:tcPr>
          <w:p w14:paraId="6C141E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527" w:type="dxa"/>
            <w:shd w:val="clear" w:color="auto" w:fill="auto"/>
            <w:vAlign w:val="center"/>
          </w:tcPr>
          <w:p w14:paraId="78C158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色度</w:t>
            </w:r>
          </w:p>
        </w:tc>
        <w:tc>
          <w:tcPr>
            <w:tcW w:w="1007" w:type="dxa"/>
            <w:shd w:val="clear" w:color="auto" w:fill="auto"/>
            <w:vAlign w:val="center"/>
          </w:tcPr>
          <w:p w14:paraId="6B1F14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地表水瞬时样</w:t>
            </w:r>
          </w:p>
        </w:tc>
        <w:tc>
          <w:tcPr>
            <w:tcW w:w="1009" w:type="dxa"/>
            <w:shd w:val="clear" w:color="auto" w:fill="auto"/>
            <w:vAlign w:val="center"/>
          </w:tcPr>
          <w:p w14:paraId="402B5B97">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10</w:t>
            </w:r>
          </w:p>
        </w:tc>
        <w:tc>
          <w:tcPr>
            <w:tcW w:w="1011" w:type="dxa"/>
            <w:shd w:val="clear" w:color="auto" w:fill="auto"/>
            <w:vAlign w:val="center"/>
          </w:tcPr>
          <w:p w14:paraId="0C0CD6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10" w:type="dxa"/>
            <w:shd w:val="clear" w:color="auto" w:fill="auto"/>
            <w:vAlign w:val="center"/>
          </w:tcPr>
          <w:p w14:paraId="6C9BD4FC">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0</w:t>
            </w:r>
          </w:p>
        </w:tc>
        <w:tc>
          <w:tcPr>
            <w:tcW w:w="1893" w:type="dxa"/>
            <w:shd w:val="clear" w:color="auto" w:fill="auto"/>
            <w:vAlign w:val="center"/>
          </w:tcPr>
          <w:p w14:paraId="655619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798"/>
                <w:lang w:val="en-US" w:eastAsia="zh-CN" w:bidi="ar"/>
              </w:rPr>
              <w:t>水质 色度的测定 稀释倍数法</w:t>
            </w:r>
            <w:r>
              <w:rPr>
                <w:rStyle w:val="799"/>
                <w:rFonts w:eastAsia="宋体"/>
                <w:lang w:val="en-US" w:eastAsia="zh-CN" w:bidi="ar"/>
              </w:rPr>
              <w:t xml:space="preserve"> HJ 1182-2021</w:t>
            </w:r>
          </w:p>
        </w:tc>
        <w:tc>
          <w:tcPr>
            <w:tcW w:w="1008" w:type="dxa"/>
            <w:shd w:val="clear" w:color="auto" w:fill="auto"/>
            <w:vAlign w:val="center"/>
          </w:tcPr>
          <w:p w14:paraId="79A18574">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15</w:t>
            </w:r>
          </w:p>
        </w:tc>
        <w:tc>
          <w:tcPr>
            <w:tcW w:w="693" w:type="dxa"/>
            <w:shd w:val="clear" w:color="auto" w:fill="auto"/>
            <w:noWrap/>
            <w:vAlign w:val="center"/>
          </w:tcPr>
          <w:p w14:paraId="52FDCA8F">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25</w:t>
            </w:r>
          </w:p>
        </w:tc>
      </w:tr>
      <w:tr w14:paraId="3DC8D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34" w:hRule="atLeast"/>
        </w:trPr>
        <w:tc>
          <w:tcPr>
            <w:tcW w:w="782" w:type="dxa"/>
            <w:shd w:val="clear" w:color="auto" w:fill="auto"/>
            <w:vAlign w:val="center"/>
          </w:tcPr>
          <w:p w14:paraId="650BF7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527" w:type="dxa"/>
            <w:shd w:val="clear" w:color="auto" w:fill="auto"/>
            <w:vAlign w:val="center"/>
          </w:tcPr>
          <w:p w14:paraId="722FFA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悬浮物</w:t>
            </w:r>
          </w:p>
        </w:tc>
        <w:tc>
          <w:tcPr>
            <w:tcW w:w="1007" w:type="dxa"/>
            <w:shd w:val="clear" w:color="auto" w:fill="auto"/>
            <w:vAlign w:val="center"/>
          </w:tcPr>
          <w:p w14:paraId="4CEB78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地表水瞬时样</w:t>
            </w:r>
          </w:p>
        </w:tc>
        <w:tc>
          <w:tcPr>
            <w:tcW w:w="1009" w:type="dxa"/>
            <w:shd w:val="clear" w:color="auto" w:fill="auto"/>
            <w:vAlign w:val="center"/>
          </w:tcPr>
          <w:p w14:paraId="012099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11" w:type="dxa"/>
            <w:shd w:val="clear" w:color="auto" w:fill="auto"/>
            <w:vAlign w:val="center"/>
          </w:tcPr>
          <w:p w14:paraId="1F9805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抽滤</w:t>
            </w:r>
          </w:p>
        </w:tc>
        <w:tc>
          <w:tcPr>
            <w:tcW w:w="910" w:type="dxa"/>
            <w:shd w:val="clear" w:color="auto" w:fill="auto"/>
            <w:vAlign w:val="center"/>
          </w:tcPr>
          <w:p w14:paraId="7C68BE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893" w:type="dxa"/>
            <w:shd w:val="clear" w:color="auto" w:fill="auto"/>
            <w:vAlign w:val="center"/>
          </w:tcPr>
          <w:p w14:paraId="4C3478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水质 悬浮物的测定 重量法GB/T 11901-1989</w:t>
            </w:r>
          </w:p>
        </w:tc>
        <w:tc>
          <w:tcPr>
            <w:tcW w:w="1008" w:type="dxa"/>
            <w:shd w:val="clear" w:color="auto" w:fill="auto"/>
            <w:vAlign w:val="center"/>
          </w:tcPr>
          <w:p w14:paraId="27BC58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693" w:type="dxa"/>
            <w:shd w:val="clear" w:color="auto" w:fill="auto"/>
            <w:noWrap/>
            <w:vAlign w:val="center"/>
          </w:tcPr>
          <w:p w14:paraId="46B2DD18">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90</w:t>
            </w:r>
          </w:p>
        </w:tc>
      </w:tr>
      <w:tr w14:paraId="0A904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782" w:type="dxa"/>
            <w:shd w:val="clear" w:color="auto" w:fill="auto"/>
            <w:vAlign w:val="center"/>
          </w:tcPr>
          <w:p w14:paraId="26C5F4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527" w:type="dxa"/>
            <w:shd w:val="clear" w:color="auto" w:fill="auto"/>
            <w:vAlign w:val="center"/>
          </w:tcPr>
          <w:p w14:paraId="531F3A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五日生化需氧量</w:t>
            </w:r>
          </w:p>
        </w:tc>
        <w:tc>
          <w:tcPr>
            <w:tcW w:w="1007" w:type="dxa"/>
            <w:shd w:val="clear" w:color="auto" w:fill="auto"/>
            <w:vAlign w:val="center"/>
          </w:tcPr>
          <w:p w14:paraId="4CECD5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地表水瞬时样</w:t>
            </w:r>
          </w:p>
        </w:tc>
        <w:tc>
          <w:tcPr>
            <w:tcW w:w="1009" w:type="dxa"/>
            <w:shd w:val="clear" w:color="auto" w:fill="auto"/>
            <w:vAlign w:val="center"/>
          </w:tcPr>
          <w:p w14:paraId="3696FF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11" w:type="dxa"/>
            <w:shd w:val="clear" w:color="auto" w:fill="auto"/>
            <w:vAlign w:val="center"/>
          </w:tcPr>
          <w:p w14:paraId="6CCC87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培养五日</w:t>
            </w:r>
          </w:p>
        </w:tc>
        <w:tc>
          <w:tcPr>
            <w:tcW w:w="910" w:type="dxa"/>
            <w:shd w:val="clear" w:color="auto" w:fill="auto"/>
            <w:vAlign w:val="center"/>
          </w:tcPr>
          <w:p w14:paraId="4940A4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893" w:type="dxa"/>
            <w:shd w:val="clear" w:color="auto" w:fill="auto"/>
            <w:vAlign w:val="center"/>
          </w:tcPr>
          <w:p w14:paraId="628370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水质 五日生化需氧量（BOD5）的测定 稀释与接种法  HJ 505-2009</w:t>
            </w:r>
          </w:p>
        </w:tc>
        <w:tc>
          <w:tcPr>
            <w:tcW w:w="1008" w:type="dxa"/>
            <w:shd w:val="clear" w:color="auto" w:fill="auto"/>
            <w:vAlign w:val="center"/>
          </w:tcPr>
          <w:p w14:paraId="55C53D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693" w:type="dxa"/>
            <w:shd w:val="clear" w:color="auto" w:fill="auto"/>
            <w:noWrap/>
            <w:vAlign w:val="center"/>
          </w:tcPr>
          <w:p w14:paraId="3CC34BF0">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130</w:t>
            </w:r>
          </w:p>
        </w:tc>
      </w:tr>
      <w:tr w14:paraId="1F81E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34" w:hRule="atLeast"/>
        </w:trPr>
        <w:tc>
          <w:tcPr>
            <w:tcW w:w="782" w:type="dxa"/>
            <w:shd w:val="clear" w:color="auto" w:fill="auto"/>
            <w:vAlign w:val="center"/>
          </w:tcPr>
          <w:p w14:paraId="57A200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527" w:type="dxa"/>
            <w:shd w:val="clear" w:color="auto" w:fill="auto"/>
            <w:vAlign w:val="center"/>
          </w:tcPr>
          <w:p w14:paraId="032DED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化学需氧量</w:t>
            </w:r>
          </w:p>
        </w:tc>
        <w:tc>
          <w:tcPr>
            <w:tcW w:w="1007" w:type="dxa"/>
            <w:shd w:val="clear" w:color="auto" w:fill="auto"/>
            <w:vAlign w:val="center"/>
          </w:tcPr>
          <w:p w14:paraId="6E0CBA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地表水瞬时样</w:t>
            </w:r>
          </w:p>
        </w:tc>
        <w:tc>
          <w:tcPr>
            <w:tcW w:w="1009" w:type="dxa"/>
            <w:shd w:val="clear" w:color="auto" w:fill="auto"/>
            <w:vAlign w:val="center"/>
          </w:tcPr>
          <w:p w14:paraId="5D54CA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11" w:type="dxa"/>
            <w:shd w:val="clear" w:color="auto" w:fill="auto"/>
            <w:vAlign w:val="center"/>
          </w:tcPr>
          <w:p w14:paraId="5591CE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干扰掩蔽，消解</w:t>
            </w:r>
          </w:p>
        </w:tc>
        <w:tc>
          <w:tcPr>
            <w:tcW w:w="910" w:type="dxa"/>
            <w:shd w:val="clear" w:color="auto" w:fill="auto"/>
            <w:vAlign w:val="center"/>
          </w:tcPr>
          <w:p w14:paraId="347DF2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893" w:type="dxa"/>
            <w:shd w:val="clear" w:color="auto" w:fill="auto"/>
            <w:vAlign w:val="center"/>
          </w:tcPr>
          <w:p w14:paraId="4FDCBF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水质 化学需氧量的测定 重铬酸盐法  HJ 828-2017</w:t>
            </w:r>
          </w:p>
        </w:tc>
        <w:tc>
          <w:tcPr>
            <w:tcW w:w="1008" w:type="dxa"/>
            <w:shd w:val="clear" w:color="auto" w:fill="auto"/>
            <w:vAlign w:val="center"/>
          </w:tcPr>
          <w:p w14:paraId="40538B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693" w:type="dxa"/>
            <w:shd w:val="clear" w:color="auto" w:fill="auto"/>
            <w:noWrap/>
            <w:vAlign w:val="center"/>
          </w:tcPr>
          <w:p w14:paraId="6C3C6C40">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90</w:t>
            </w:r>
          </w:p>
        </w:tc>
      </w:tr>
      <w:tr w14:paraId="637BF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09" w:hRule="atLeast"/>
        </w:trPr>
        <w:tc>
          <w:tcPr>
            <w:tcW w:w="782" w:type="dxa"/>
            <w:shd w:val="clear" w:color="auto" w:fill="auto"/>
            <w:vAlign w:val="center"/>
          </w:tcPr>
          <w:p w14:paraId="0FBB6C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527" w:type="dxa"/>
            <w:shd w:val="clear" w:color="auto" w:fill="auto"/>
            <w:vAlign w:val="center"/>
          </w:tcPr>
          <w:p w14:paraId="565CEB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总氮</w:t>
            </w:r>
          </w:p>
        </w:tc>
        <w:tc>
          <w:tcPr>
            <w:tcW w:w="1007" w:type="dxa"/>
            <w:shd w:val="clear" w:color="auto" w:fill="auto"/>
            <w:vAlign w:val="center"/>
          </w:tcPr>
          <w:p w14:paraId="6140CD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地表水瞬时样</w:t>
            </w:r>
          </w:p>
        </w:tc>
        <w:tc>
          <w:tcPr>
            <w:tcW w:w="1009" w:type="dxa"/>
            <w:shd w:val="clear" w:color="auto" w:fill="auto"/>
            <w:vAlign w:val="center"/>
          </w:tcPr>
          <w:p w14:paraId="187823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11" w:type="dxa"/>
            <w:shd w:val="clear" w:color="auto" w:fill="auto"/>
            <w:vAlign w:val="center"/>
          </w:tcPr>
          <w:p w14:paraId="30905B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消解</w:t>
            </w:r>
          </w:p>
        </w:tc>
        <w:tc>
          <w:tcPr>
            <w:tcW w:w="910" w:type="dxa"/>
            <w:shd w:val="clear" w:color="auto" w:fill="auto"/>
            <w:vAlign w:val="center"/>
          </w:tcPr>
          <w:p w14:paraId="6D187B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893" w:type="dxa"/>
            <w:shd w:val="clear" w:color="auto" w:fill="auto"/>
            <w:vAlign w:val="center"/>
          </w:tcPr>
          <w:p w14:paraId="006FF1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水质 总氮的测定 碱性过硫酸钾消解紫外分光光度法 HJ 636-2012</w:t>
            </w:r>
          </w:p>
        </w:tc>
        <w:tc>
          <w:tcPr>
            <w:tcW w:w="1008" w:type="dxa"/>
            <w:shd w:val="clear" w:color="auto" w:fill="auto"/>
            <w:vAlign w:val="center"/>
          </w:tcPr>
          <w:p w14:paraId="6077A0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693" w:type="dxa"/>
            <w:shd w:val="clear" w:color="auto" w:fill="auto"/>
            <w:noWrap/>
            <w:vAlign w:val="center"/>
          </w:tcPr>
          <w:p w14:paraId="45611B88">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120</w:t>
            </w:r>
          </w:p>
        </w:tc>
      </w:tr>
      <w:tr w14:paraId="5B2F1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34" w:hRule="atLeast"/>
        </w:trPr>
        <w:tc>
          <w:tcPr>
            <w:tcW w:w="782" w:type="dxa"/>
            <w:shd w:val="clear" w:color="auto" w:fill="auto"/>
            <w:vAlign w:val="center"/>
          </w:tcPr>
          <w:p w14:paraId="254C61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527" w:type="dxa"/>
            <w:shd w:val="clear" w:color="auto" w:fill="auto"/>
            <w:vAlign w:val="center"/>
          </w:tcPr>
          <w:p w14:paraId="683E4E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氨氮</w:t>
            </w:r>
          </w:p>
        </w:tc>
        <w:tc>
          <w:tcPr>
            <w:tcW w:w="1007" w:type="dxa"/>
            <w:shd w:val="clear" w:color="auto" w:fill="auto"/>
            <w:vAlign w:val="center"/>
          </w:tcPr>
          <w:p w14:paraId="785C4B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地表水瞬时样</w:t>
            </w:r>
          </w:p>
        </w:tc>
        <w:tc>
          <w:tcPr>
            <w:tcW w:w="1009" w:type="dxa"/>
            <w:shd w:val="clear" w:color="auto" w:fill="auto"/>
            <w:vAlign w:val="center"/>
          </w:tcPr>
          <w:p w14:paraId="67B2BC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11" w:type="dxa"/>
            <w:shd w:val="clear" w:color="auto" w:fill="auto"/>
            <w:vAlign w:val="center"/>
          </w:tcPr>
          <w:p w14:paraId="05C782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干扰掩蔽、蒸馏</w:t>
            </w:r>
          </w:p>
        </w:tc>
        <w:tc>
          <w:tcPr>
            <w:tcW w:w="910" w:type="dxa"/>
            <w:shd w:val="clear" w:color="auto" w:fill="auto"/>
            <w:vAlign w:val="center"/>
          </w:tcPr>
          <w:p w14:paraId="7402AD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893" w:type="dxa"/>
            <w:shd w:val="clear" w:color="auto" w:fill="auto"/>
            <w:vAlign w:val="center"/>
          </w:tcPr>
          <w:p w14:paraId="47F3E6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水质 氨氮的测定 纳氏试剂分光光度法 HJ 535-2009</w:t>
            </w:r>
          </w:p>
        </w:tc>
        <w:tc>
          <w:tcPr>
            <w:tcW w:w="1008" w:type="dxa"/>
            <w:shd w:val="clear" w:color="auto" w:fill="auto"/>
            <w:vAlign w:val="center"/>
          </w:tcPr>
          <w:p w14:paraId="5B47C9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693" w:type="dxa"/>
            <w:shd w:val="clear" w:color="auto" w:fill="auto"/>
            <w:noWrap/>
            <w:vAlign w:val="center"/>
          </w:tcPr>
          <w:p w14:paraId="2CA34479">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100</w:t>
            </w:r>
          </w:p>
        </w:tc>
      </w:tr>
      <w:tr w14:paraId="7AEA5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34" w:hRule="atLeast"/>
        </w:trPr>
        <w:tc>
          <w:tcPr>
            <w:tcW w:w="782" w:type="dxa"/>
            <w:shd w:val="clear" w:color="auto" w:fill="auto"/>
            <w:vAlign w:val="center"/>
          </w:tcPr>
          <w:p w14:paraId="269111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527" w:type="dxa"/>
            <w:shd w:val="clear" w:color="auto" w:fill="auto"/>
            <w:vAlign w:val="center"/>
          </w:tcPr>
          <w:p w14:paraId="66D8E7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总磷</w:t>
            </w:r>
          </w:p>
        </w:tc>
        <w:tc>
          <w:tcPr>
            <w:tcW w:w="1007" w:type="dxa"/>
            <w:shd w:val="clear" w:color="auto" w:fill="auto"/>
            <w:vAlign w:val="center"/>
          </w:tcPr>
          <w:p w14:paraId="32717C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地表水瞬时样</w:t>
            </w:r>
          </w:p>
        </w:tc>
        <w:tc>
          <w:tcPr>
            <w:tcW w:w="1009" w:type="dxa"/>
            <w:shd w:val="clear" w:color="auto" w:fill="auto"/>
            <w:vAlign w:val="center"/>
          </w:tcPr>
          <w:p w14:paraId="35D2B2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11" w:type="dxa"/>
            <w:shd w:val="clear" w:color="auto" w:fill="auto"/>
            <w:vAlign w:val="center"/>
          </w:tcPr>
          <w:p w14:paraId="3CB409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消解</w:t>
            </w:r>
          </w:p>
        </w:tc>
        <w:tc>
          <w:tcPr>
            <w:tcW w:w="910" w:type="dxa"/>
            <w:shd w:val="clear" w:color="auto" w:fill="auto"/>
            <w:vAlign w:val="center"/>
          </w:tcPr>
          <w:p w14:paraId="3BD2C1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893" w:type="dxa"/>
            <w:shd w:val="clear" w:color="auto" w:fill="auto"/>
            <w:vAlign w:val="center"/>
          </w:tcPr>
          <w:p w14:paraId="13A0A7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水质 总磷的测定 钼酸铵分光光度法 GB/T 11893-1989</w:t>
            </w:r>
          </w:p>
        </w:tc>
        <w:tc>
          <w:tcPr>
            <w:tcW w:w="1008" w:type="dxa"/>
            <w:shd w:val="clear" w:color="auto" w:fill="auto"/>
            <w:vAlign w:val="center"/>
          </w:tcPr>
          <w:p w14:paraId="437192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693" w:type="dxa"/>
            <w:shd w:val="clear" w:color="auto" w:fill="auto"/>
            <w:noWrap/>
            <w:vAlign w:val="center"/>
          </w:tcPr>
          <w:p w14:paraId="65637602">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100</w:t>
            </w:r>
          </w:p>
        </w:tc>
      </w:tr>
      <w:tr w14:paraId="67B1F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782" w:type="dxa"/>
            <w:shd w:val="clear" w:color="auto" w:fill="auto"/>
            <w:vAlign w:val="center"/>
          </w:tcPr>
          <w:p w14:paraId="4A363F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527" w:type="dxa"/>
            <w:shd w:val="clear" w:color="auto" w:fill="auto"/>
            <w:vAlign w:val="center"/>
          </w:tcPr>
          <w:p w14:paraId="055CD6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动植物油类、石油类</w:t>
            </w:r>
          </w:p>
        </w:tc>
        <w:tc>
          <w:tcPr>
            <w:tcW w:w="1007" w:type="dxa"/>
            <w:shd w:val="clear" w:color="auto" w:fill="auto"/>
            <w:vAlign w:val="center"/>
          </w:tcPr>
          <w:p w14:paraId="23419D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地表水瞬时样</w:t>
            </w:r>
          </w:p>
        </w:tc>
        <w:tc>
          <w:tcPr>
            <w:tcW w:w="1009" w:type="dxa"/>
            <w:shd w:val="clear" w:color="auto" w:fill="auto"/>
            <w:vAlign w:val="center"/>
          </w:tcPr>
          <w:p w14:paraId="7D135218">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10</w:t>
            </w:r>
          </w:p>
        </w:tc>
        <w:tc>
          <w:tcPr>
            <w:tcW w:w="1011" w:type="dxa"/>
            <w:shd w:val="clear" w:color="auto" w:fill="auto"/>
            <w:vAlign w:val="center"/>
          </w:tcPr>
          <w:p w14:paraId="58DD4E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萃取、振荡、吸附、过滤</w:t>
            </w:r>
          </w:p>
        </w:tc>
        <w:tc>
          <w:tcPr>
            <w:tcW w:w="910" w:type="dxa"/>
            <w:shd w:val="clear" w:color="auto" w:fill="auto"/>
            <w:vAlign w:val="center"/>
          </w:tcPr>
          <w:p w14:paraId="2C04B824">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20</w:t>
            </w:r>
          </w:p>
        </w:tc>
        <w:tc>
          <w:tcPr>
            <w:tcW w:w="1893" w:type="dxa"/>
            <w:shd w:val="clear" w:color="auto" w:fill="auto"/>
            <w:vAlign w:val="center"/>
          </w:tcPr>
          <w:p w14:paraId="41132F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798"/>
                <w:lang w:val="en-US" w:eastAsia="zh-CN" w:bidi="ar"/>
              </w:rPr>
              <w:t>水质 石油类和动植物油类的测定 红外分光光度法</w:t>
            </w:r>
            <w:r>
              <w:rPr>
                <w:rStyle w:val="799"/>
                <w:rFonts w:eastAsia="宋体"/>
                <w:lang w:val="en-US" w:eastAsia="zh-CN" w:bidi="ar"/>
              </w:rPr>
              <w:t xml:space="preserve"> HJ 637-2018</w:t>
            </w:r>
          </w:p>
        </w:tc>
        <w:tc>
          <w:tcPr>
            <w:tcW w:w="1008" w:type="dxa"/>
            <w:shd w:val="clear" w:color="auto" w:fill="auto"/>
            <w:vAlign w:val="center"/>
          </w:tcPr>
          <w:p w14:paraId="71A3D8E5">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80</w:t>
            </w:r>
          </w:p>
        </w:tc>
        <w:tc>
          <w:tcPr>
            <w:tcW w:w="693" w:type="dxa"/>
            <w:shd w:val="clear" w:color="auto" w:fill="auto"/>
            <w:noWrap/>
            <w:vAlign w:val="center"/>
          </w:tcPr>
          <w:p w14:paraId="6DAECFFD">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110</w:t>
            </w:r>
          </w:p>
        </w:tc>
      </w:tr>
      <w:tr w14:paraId="77037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71" w:hRule="atLeast"/>
        </w:trPr>
        <w:tc>
          <w:tcPr>
            <w:tcW w:w="782" w:type="dxa"/>
            <w:shd w:val="clear" w:color="auto" w:fill="auto"/>
            <w:vAlign w:val="center"/>
          </w:tcPr>
          <w:p w14:paraId="1E0F70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527" w:type="dxa"/>
            <w:shd w:val="clear" w:color="auto" w:fill="auto"/>
            <w:vAlign w:val="center"/>
          </w:tcPr>
          <w:p w14:paraId="09B47A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氟化物</w:t>
            </w:r>
          </w:p>
        </w:tc>
        <w:tc>
          <w:tcPr>
            <w:tcW w:w="1007" w:type="dxa"/>
            <w:shd w:val="clear" w:color="auto" w:fill="auto"/>
            <w:vAlign w:val="center"/>
          </w:tcPr>
          <w:p w14:paraId="18E0C5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地表水瞬时样</w:t>
            </w:r>
          </w:p>
        </w:tc>
        <w:tc>
          <w:tcPr>
            <w:tcW w:w="1009" w:type="dxa"/>
            <w:shd w:val="clear" w:color="auto" w:fill="auto"/>
            <w:vAlign w:val="center"/>
          </w:tcPr>
          <w:p w14:paraId="4455390B">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10</w:t>
            </w:r>
          </w:p>
        </w:tc>
        <w:tc>
          <w:tcPr>
            <w:tcW w:w="1011" w:type="dxa"/>
            <w:shd w:val="clear" w:color="auto" w:fill="auto"/>
            <w:vAlign w:val="center"/>
          </w:tcPr>
          <w:p w14:paraId="48D112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过滤</w:t>
            </w:r>
          </w:p>
        </w:tc>
        <w:tc>
          <w:tcPr>
            <w:tcW w:w="910" w:type="dxa"/>
            <w:shd w:val="clear" w:color="auto" w:fill="auto"/>
            <w:vAlign w:val="center"/>
          </w:tcPr>
          <w:p w14:paraId="1A3FBEE0">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20</w:t>
            </w:r>
          </w:p>
        </w:tc>
        <w:tc>
          <w:tcPr>
            <w:tcW w:w="1893" w:type="dxa"/>
            <w:shd w:val="clear" w:color="auto" w:fill="auto"/>
            <w:vAlign w:val="center"/>
          </w:tcPr>
          <w:p w14:paraId="7DCC28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798"/>
                <w:lang w:val="en-US" w:eastAsia="zh-CN" w:bidi="ar"/>
              </w:rPr>
              <w:t>水质 无机阴离子（</w:t>
            </w:r>
            <w:r>
              <w:rPr>
                <w:rStyle w:val="799"/>
                <w:rFonts w:eastAsia="宋体"/>
                <w:lang w:val="en-US" w:eastAsia="zh-CN" w:bidi="ar"/>
              </w:rPr>
              <w:t>F-</w:t>
            </w:r>
            <w:r>
              <w:rPr>
                <w:rStyle w:val="798"/>
                <w:lang w:val="en-US" w:eastAsia="zh-CN" w:bidi="ar"/>
              </w:rPr>
              <w:t>、</w:t>
            </w:r>
            <w:r>
              <w:rPr>
                <w:rStyle w:val="799"/>
                <w:rFonts w:eastAsia="宋体"/>
                <w:lang w:val="en-US" w:eastAsia="zh-CN" w:bidi="ar"/>
              </w:rPr>
              <w:t>Cl-</w:t>
            </w:r>
            <w:r>
              <w:rPr>
                <w:rStyle w:val="798"/>
                <w:lang w:val="en-US" w:eastAsia="zh-CN" w:bidi="ar"/>
              </w:rPr>
              <w:t>、</w:t>
            </w:r>
            <w:r>
              <w:rPr>
                <w:rStyle w:val="799"/>
                <w:rFonts w:eastAsia="宋体"/>
                <w:lang w:val="en-US" w:eastAsia="zh-CN" w:bidi="ar"/>
              </w:rPr>
              <w:t>NO2-</w:t>
            </w:r>
            <w:r>
              <w:rPr>
                <w:rStyle w:val="798"/>
                <w:lang w:val="en-US" w:eastAsia="zh-CN" w:bidi="ar"/>
              </w:rPr>
              <w:t>、</w:t>
            </w:r>
            <w:r>
              <w:rPr>
                <w:rStyle w:val="799"/>
                <w:rFonts w:eastAsia="宋体"/>
                <w:lang w:val="en-US" w:eastAsia="zh-CN" w:bidi="ar"/>
              </w:rPr>
              <w:t>Br-</w:t>
            </w:r>
            <w:r>
              <w:rPr>
                <w:rStyle w:val="798"/>
                <w:lang w:val="en-US" w:eastAsia="zh-CN" w:bidi="ar"/>
              </w:rPr>
              <w:t>、</w:t>
            </w:r>
            <w:r>
              <w:rPr>
                <w:rStyle w:val="799"/>
                <w:rFonts w:eastAsia="宋体"/>
                <w:lang w:val="en-US" w:eastAsia="zh-CN" w:bidi="ar"/>
              </w:rPr>
              <w:t>NO3-</w:t>
            </w:r>
            <w:r>
              <w:rPr>
                <w:rStyle w:val="798"/>
                <w:lang w:val="en-US" w:eastAsia="zh-CN" w:bidi="ar"/>
              </w:rPr>
              <w:t>、</w:t>
            </w:r>
            <w:r>
              <w:rPr>
                <w:rStyle w:val="799"/>
                <w:rFonts w:eastAsia="宋体"/>
                <w:lang w:val="en-US" w:eastAsia="zh-CN" w:bidi="ar"/>
              </w:rPr>
              <w:t>PO43-</w:t>
            </w:r>
            <w:r>
              <w:rPr>
                <w:rStyle w:val="798"/>
                <w:lang w:val="en-US" w:eastAsia="zh-CN" w:bidi="ar"/>
              </w:rPr>
              <w:t>、</w:t>
            </w:r>
            <w:r>
              <w:rPr>
                <w:rStyle w:val="799"/>
                <w:rFonts w:eastAsia="宋体"/>
                <w:lang w:val="en-US" w:eastAsia="zh-CN" w:bidi="ar"/>
              </w:rPr>
              <w:t>SO32-</w:t>
            </w:r>
            <w:r>
              <w:rPr>
                <w:rStyle w:val="798"/>
                <w:lang w:val="en-US" w:eastAsia="zh-CN" w:bidi="ar"/>
              </w:rPr>
              <w:t>、</w:t>
            </w:r>
            <w:r>
              <w:rPr>
                <w:rStyle w:val="799"/>
                <w:rFonts w:eastAsia="宋体"/>
                <w:lang w:val="en-US" w:eastAsia="zh-CN" w:bidi="ar"/>
              </w:rPr>
              <w:t>SO42-</w:t>
            </w:r>
            <w:r>
              <w:rPr>
                <w:rStyle w:val="798"/>
                <w:lang w:val="en-US" w:eastAsia="zh-CN" w:bidi="ar"/>
              </w:rPr>
              <w:t>）的测定 离子色谱法</w:t>
            </w:r>
            <w:r>
              <w:rPr>
                <w:rStyle w:val="799"/>
                <w:rFonts w:eastAsia="宋体"/>
                <w:lang w:val="en-US" w:eastAsia="zh-CN" w:bidi="ar"/>
              </w:rPr>
              <w:t xml:space="preserve"> HJ 84-2016</w:t>
            </w:r>
          </w:p>
        </w:tc>
        <w:tc>
          <w:tcPr>
            <w:tcW w:w="1008" w:type="dxa"/>
            <w:shd w:val="clear" w:color="auto" w:fill="auto"/>
            <w:vAlign w:val="center"/>
          </w:tcPr>
          <w:p w14:paraId="6B7BEF65">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80</w:t>
            </w:r>
          </w:p>
        </w:tc>
        <w:tc>
          <w:tcPr>
            <w:tcW w:w="693" w:type="dxa"/>
            <w:shd w:val="clear" w:color="auto" w:fill="auto"/>
            <w:noWrap/>
            <w:vAlign w:val="center"/>
          </w:tcPr>
          <w:p w14:paraId="74E75099">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110</w:t>
            </w:r>
          </w:p>
        </w:tc>
      </w:tr>
      <w:tr w14:paraId="2DE72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09" w:hRule="atLeast"/>
        </w:trPr>
        <w:tc>
          <w:tcPr>
            <w:tcW w:w="782" w:type="dxa"/>
            <w:shd w:val="clear" w:color="auto" w:fill="auto"/>
            <w:vAlign w:val="center"/>
          </w:tcPr>
          <w:p w14:paraId="5EFD8A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527" w:type="dxa"/>
            <w:shd w:val="clear" w:color="auto" w:fill="auto"/>
            <w:vAlign w:val="center"/>
          </w:tcPr>
          <w:p w14:paraId="265383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挥发酚</w:t>
            </w:r>
          </w:p>
        </w:tc>
        <w:tc>
          <w:tcPr>
            <w:tcW w:w="1007" w:type="dxa"/>
            <w:shd w:val="clear" w:color="auto" w:fill="auto"/>
            <w:vAlign w:val="center"/>
          </w:tcPr>
          <w:p w14:paraId="58A50D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地表水瞬时样</w:t>
            </w:r>
          </w:p>
        </w:tc>
        <w:tc>
          <w:tcPr>
            <w:tcW w:w="1009" w:type="dxa"/>
            <w:shd w:val="clear" w:color="auto" w:fill="auto"/>
            <w:vAlign w:val="center"/>
          </w:tcPr>
          <w:p w14:paraId="08565FBF">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10</w:t>
            </w:r>
          </w:p>
        </w:tc>
        <w:tc>
          <w:tcPr>
            <w:tcW w:w="1011" w:type="dxa"/>
            <w:shd w:val="clear" w:color="auto" w:fill="auto"/>
            <w:vAlign w:val="center"/>
          </w:tcPr>
          <w:p w14:paraId="341DED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蒸馏、萃取</w:t>
            </w:r>
          </w:p>
        </w:tc>
        <w:tc>
          <w:tcPr>
            <w:tcW w:w="910" w:type="dxa"/>
            <w:shd w:val="clear" w:color="auto" w:fill="auto"/>
            <w:vAlign w:val="center"/>
          </w:tcPr>
          <w:p w14:paraId="398BF48F">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20</w:t>
            </w:r>
          </w:p>
        </w:tc>
        <w:tc>
          <w:tcPr>
            <w:tcW w:w="1893" w:type="dxa"/>
            <w:shd w:val="clear" w:color="auto" w:fill="auto"/>
            <w:vAlign w:val="center"/>
          </w:tcPr>
          <w:p w14:paraId="1A6626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水质 挥发酚的测定 4-氨基安替比林分光光度法HJ 503-2009</w:t>
            </w:r>
          </w:p>
        </w:tc>
        <w:tc>
          <w:tcPr>
            <w:tcW w:w="1008" w:type="dxa"/>
            <w:shd w:val="clear" w:color="auto" w:fill="auto"/>
            <w:vAlign w:val="center"/>
          </w:tcPr>
          <w:p w14:paraId="1A98BC99">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60</w:t>
            </w:r>
          </w:p>
        </w:tc>
        <w:tc>
          <w:tcPr>
            <w:tcW w:w="693" w:type="dxa"/>
            <w:shd w:val="clear" w:color="auto" w:fill="auto"/>
            <w:noWrap/>
            <w:vAlign w:val="center"/>
          </w:tcPr>
          <w:p w14:paraId="31698C6F">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90</w:t>
            </w:r>
          </w:p>
        </w:tc>
      </w:tr>
      <w:tr w14:paraId="50BD9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782" w:type="dxa"/>
            <w:shd w:val="clear" w:color="auto" w:fill="auto"/>
            <w:vAlign w:val="center"/>
          </w:tcPr>
          <w:p w14:paraId="578382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527" w:type="dxa"/>
            <w:shd w:val="clear" w:color="auto" w:fill="auto"/>
            <w:vAlign w:val="center"/>
          </w:tcPr>
          <w:p w14:paraId="63E4B9DD">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透明度</w:t>
            </w:r>
          </w:p>
        </w:tc>
        <w:tc>
          <w:tcPr>
            <w:tcW w:w="1007" w:type="dxa"/>
            <w:shd w:val="clear" w:color="auto" w:fill="auto"/>
            <w:vAlign w:val="center"/>
          </w:tcPr>
          <w:p w14:paraId="253D87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地表水瞬时样</w:t>
            </w:r>
          </w:p>
        </w:tc>
        <w:tc>
          <w:tcPr>
            <w:tcW w:w="1009" w:type="dxa"/>
            <w:shd w:val="clear" w:color="auto" w:fill="auto"/>
            <w:vAlign w:val="center"/>
          </w:tcPr>
          <w:p w14:paraId="637F0818">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10</w:t>
            </w:r>
          </w:p>
        </w:tc>
        <w:tc>
          <w:tcPr>
            <w:tcW w:w="1011" w:type="dxa"/>
            <w:shd w:val="clear" w:color="auto" w:fill="auto"/>
            <w:vAlign w:val="center"/>
          </w:tcPr>
          <w:p w14:paraId="5A19FE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10" w:type="dxa"/>
            <w:shd w:val="clear" w:color="auto" w:fill="auto"/>
            <w:vAlign w:val="center"/>
          </w:tcPr>
          <w:p w14:paraId="64DBEAD3">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0</w:t>
            </w:r>
          </w:p>
        </w:tc>
        <w:tc>
          <w:tcPr>
            <w:tcW w:w="1893" w:type="dxa"/>
            <w:shd w:val="clear" w:color="auto" w:fill="auto"/>
            <w:vAlign w:val="center"/>
          </w:tcPr>
          <w:p w14:paraId="49FDF3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《水和废水监测分析方法》（第四版增补版）</w:t>
            </w:r>
          </w:p>
        </w:tc>
        <w:tc>
          <w:tcPr>
            <w:tcW w:w="1008" w:type="dxa"/>
            <w:shd w:val="clear" w:color="auto" w:fill="auto"/>
            <w:vAlign w:val="center"/>
          </w:tcPr>
          <w:p w14:paraId="2D555258">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3</w:t>
            </w:r>
          </w:p>
        </w:tc>
        <w:tc>
          <w:tcPr>
            <w:tcW w:w="693" w:type="dxa"/>
            <w:shd w:val="clear" w:color="auto" w:fill="auto"/>
            <w:noWrap/>
            <w:vAlign w:val="center"/>
          </w:tcPr>
          <w:p w14:paraId="4C784210">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13</w:t>
            </w:r>
          </w:p>
        </w:tc>
      </w:tr>
      <w:tr w14:paraId="699D8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782" w:type="dxa"/>
            <w:shd w:val="clear" w:color="auto" w:fill="auto"/>
            <w:vAlign w:val="center"/>
          </w:tcPr>
          <w:p w14:paraId="730CA2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527" w:type="dxa"/>
            <w:shd w:val="clear" w:color="auto" w:fill="auto"/>
            <w:vAlign w:val="center"/>
          </w:tcPr>
          <w:p w14:paraId="44CDB43E">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溶解氧</w:t>
            </w:r>
          </w:p>
        </w:tc>
        <w:tc>
          <w:tcPr>
            <w:tcW w:w="1007" w:type="dxa"/>
            <w:shd w:val="clear" w:color="auto" w:fill="auto"/>
            <w:vAlign w:val="center"/>
          </w:tcPr>
          <w:p w14:paraId="30FEC1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地表水瞬时样</w:t>
            </w:r>
          </w:p>
        </w:tc>
        <w:tc>
          <w:tcPr>
            <w:tcW w:w="1009" w:type="dxa"/>
            <w:shd w:val="clear" w:color="auto" w:fill="auto"/>
            <w:vAlign w:val="center"/>
          </w:tcPr>
          <w:p w14:paraId="0B1DA59F">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10</w:t>
            </w:r>
          </w:p>
        </w:tc>
        <w:tc>
          <w:tcPr>
            <w:tcW w:w="1011" w:type="dxa"/>
            <w:shd w:val="clear" w:color="auto" w:fill="auto"/>
            <w:vAlign w:val="center"/>
          </w:tcPr>
          <w:p w14:paraId="65AF3B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10" w:type="dxa"/>
            <w:shd w:val="clear" w:color="auto" w:fill="auto"/>
            <w:vAlign w:val="center"/>
          </w:tcPr>
          <w:p w14:paraId="2541C602">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0</w:t>
            </w:r>
          </w:p>
        </w:tc>
        <w:tc>
          <w:tcPr>
            <w:tcW w:w="1893" w:type="dxa"/>
            <w:shd w:val="clear" w:color="auto" w:fill="auto"/>
            <w:vAlign w:val="center"/>
          </w:tcPr>
          <w:p w14:paraId="634A80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水质 溶解氧的测定 电化学探头法HJ 506-2009</w:t>
            </w:r>
          </w:p>
        </w:tc>
        <w:tc>
          <w:tcPr>
            <w:tcW w:w="1008" w:type="dxa"/>
            <w:shd w:val="clear" w:color="auto" w:fill="auto"/>
            <w:vAlign w:val="center"/>
          </w:tcPr>
          <w:p w14:paraId="66B0D3A8">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15</w:t>
            </w:r>
          </w:p>
        </w:tc>
        <w:tc>
          <w:tcPr>
            <w:tcW w:w="693" w:type="dxa"/>
            <w:shd w:val="clear" w:color="auto" w:fill="auto"/>
            <w:noWrap/>
            <w:vAlign w:val="center"/>
          </w:tcPr>
          <w:p w14:paraId="3ECEC261">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25</w:t>
            </w:r>
          </w:p>
        </w:tc>
      </w:tr>
      <w:tr w14:paraId="4EBCE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86" w:hRule="atLeast"/>
        </w:trPr>
        <w:tc>
          <w:tcPr>
            <w:tcW w:w="782" w:type="dxa"/>
            <w:shd w:val="clear" w:color="auto" w:fill="auto"/>
            <w:vAlign w:val="center"/>
          </w:tcPr>
          <w:p w14:paraId="326843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527" w:type="dxa"/>
            <w:shd w:val="clear" w:color="auto" w:fill="auto"/>
            <w:vAlign w:val="center"/>
          </w:tcPr>
          <w:p w14:paraId="449B4449">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氧化还原电位</w:t>
            </w:r>
          </w:p>
        </w:tc>
        <w:tc>
          <w:tcPr>
            <w:tcW w:w="1007" w:type="dxa"/>
            <w:shd w:val="clear" w:color="auto" w:fill="auto"/>
            <w:vAlign w:val="center"/>
          </w:tcPr>
          <w:p w14:paraId="697FAA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地表水瞬时样</w:t>
            </w:r>
          </w:p>
        </w:tc>
        <w:tc>
          <w:tcPr>
            <w:tcW w:w="1009" w:type="dxa"/>
            <w:shd w:val="clear" w:color="auto" w:fill="auto"/>
            <w:vAlign w:val="center"/>
          </w:tcPr>
          <w:p w14:paraId="368D890B">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10</w:t>
            </w:r>
          </w:p>
        </w:tc>
        <w:tc>
          <w:tcPr>
            <w:tcW w:w="1011" w:type="dxa"/>
            <w:shd w:val="clear" w:color="auto" w:fill="auto"/>
            <w:vAlign w:val="center"/>
          </w:tcPr>
          <w:p w14:paraId="315BE8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10" w:type="dxa"/>
            <w:shd w:val="clear" w:color="auto" w:fill="auto"/>
            <w:vAlign w:val="center"/>
          </w:tcPr>
          <w:p w14:paraId="65C964E2">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0</w:t>
            </w:r>
          </w:p>
        </w:tc>
        <w:tc>
          <w:tcPr>
            <w:tcW w:w="1893" w:type="dxa"/>
            <w:shd w:val="clear" w:color="auto" w:fill="auto"/>
            <w:vAlign w:val="center"/>
          </w:tcPr>
          <w:p w14:paraId="73CE6A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《水和废水监测分析方法》（第四版增补版）</w:t>
            </w:r>
          </w:p>
        </w:tc>
        <w:tc>
          <w:tcPr>
            <w:tcW w:w="1008" w:type="dxa"/>
            <w:shd w:val="clear" w:color="auto" w:fill="auto"/>
            <w:vAlign w:val="center"/>
          </w:tcPr>
          <w:p w14:paraId="4E32AC9C">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15</w:t>
            </w:r>
          </w:p>
        </w:tc>
        <w:tc>
          <w:tcPr>
            <w:tcW w:w="693" w:type="dxa"/>
            <w:shd w:val="clear" w:color="auto" w:fill="auto"/>
            <w:noWrap/>
            <w:vAlign w:val="center"/>
          </w:tcPr>
          <w:p w14:paraId="31701E8B">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25</w:t>
            </w:r>
          </w:p>
        </w:tc>
      </w:tr>
      <w:tr w14:paraId="5BE4D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782" w:type="dxa"/>
            <w:shd w:val="clear" w:color="auto" w:fill="auto"/>
            <w:vAlign w:val="center"/>
          </w:tcPr>
          <w:p w14:paraId="2843861A">
            <w:pPr>
              <w:jc w:val="center"/>
              <w:rPr>
                <w:rFonts w:hint="eastAsia" w:ascii="宋体" w:hAnsi="宋体" w:eastAsia="宋体" w:cs="宋体"/>
                <w:i w:val="0"/>
                <w:iCs w:val="0"/>
                <w:color w:val="000000"/>
                <w:sz w:val="20"/>
                <w:szCs w:val="20"/>
                <w:u w:val="none"/>
              </w:rPr>
            </w:pPr>
          </w:p>
        </w:tc>
        <w:tc>
          <w:tcPr>
            <w:tcW w:w="1527" w:type="dxa"/>
            <w:shd w:val="clear" w:color="auto" w:fill="auto"/>
            <w:vAlign w:val="center"/>
          </w:tcPr>
          <w:p w14:paraId="418D02A5">
            <w:pPr>
              <w:jc w:val="center"/>
              <w:rPr>
                <w:rFonts w:hint="eastAsia" w:ascii="宋体" w:hAnsi="宋体" w:eastAsia="宋体" w:cs="宋体"/>
                <w:i w:val="0"/>
                <w:iCs w:val="0"/>
                <w:color w:val="000000"/>
                <w:sz w:val="20"/>
                <w:szCs w:val="20"/>
                <w:u w:val="none"/>
              </w:rPr>
            </w:pPr>
          </w:p>
        </w:tc>
        <w:tc>
          <w:tcPr>
            <w:tcW w:w="1007" w:type="dxa"/>
            <w:shd w:val="clear" w:color="auto" w:fill="auto"/>
            <w:vAlign w:val="center"/>
          </w:tcPr>
          <w:p w14:paraId="4F4C7261">
            <w:pPr>
              <w:jc w:val="center"/>
              <w:rPr>
                <w:rFonts w:hint="eastAsia" w:ascii="宋体" w:hAnsi="宋体" w:eastAsia="宋体" w:cs="宋体"/>
                <w:i w:val="0"/>
                <w:iCs w:val="0"/>
                <w:color w:val="000000"/>
                <w:sz w:val="20"/>
                <w:szCs w:val="20"/>
                <w:u w:val="none"/>
              </w:rPr>
            </w:pPr>
          </w:p>
        </w:tc>
        <w:tc>
          <w:tcPr>
            <w:tcW w:w="1009" w:type="dxa"/>
            <w:shd w:val="clear" w:color="auto" w:fill="auto"/>
            <w:vAlign w:val="center"/>
          </w:tcPr>
          <w:p w14:paraId="36689F2A">
            <w:pPr>
              <w:jc w:val="center"/>
              <w:rPr>
                <w:rFonts w:hint="default" w:ascii="Times New Roman" w:hAnsi="Times New Roman" w:eastAsia="等线" w:cs="Times New Roman"/>
                <w:i w:val="0"/>
                <w:iCs w:val="0"/>
                <w:color w:val="000000"/>
                <w:sz w:val="20"/>
                <w:szCs w:val="20"/>
                <w:u w:val="none"/>
              </w:rPr>
            </w:pPr>
          </w:p>
        </w:tc>
        <w:tc>
          <w:tcPr>
            <w:tcW w:w="1011" w:type="dxa"/>
            <w:shd w:val="clear" w:color="auto" w:fill="auto"/>
            <w:vAlign w:val="center"/>
          </w:tcPr>
          <w:p w14:paraId="5FC86AED">
            <w:pPr>
              <w:jc w:val="center"/>
              <w:rPr>
                <w:rFonts w:hint="eastAsia" w:ascii="宋体" w:hAnsi="宋体" w:eastAsia="宋体" w:cs="宋体"/>
                <w:i w:val="0"/>
                <w:iCs w:val="0"/>
                <w:color w:val="000000"/>
                <w:sz w:val="20"/>
                <w:szCs w:val="20"/>
                <w:u w:val="none"/>
              </w:rPr>
            </w:pPr>
          </w:p>
        </w:tc>
        <w:tc>
          <w:tcPr>
            <w:tcW w:w="910" w:type="dxa"/>
            <w:shd w:val="clear" w:color="auto" w:fill="auto"/>
            <w:vAlign w:val="center"/>
          </w:tcPr>
          <w:p w14:paraId="408766CE">
            <w:pPr>
              <w:jc w:val="center"/>
              <w:rPr>
                <w:rFonts w:hint="default" w:ascii="Times New Roman" w:hAnsi="Times New Roman" w:eastAsia="等线" w:cs="Times New Roman"/>
                <w:i w:val="0"/>
                <w:iCs w:val="0"/>
                <w:color w:val="000000"/>
                <w:sz w:val="20"/>
                <w:szCs w:val="20"/>
                <w:u w:val="none"/>
              </w:rPr>
            </w:pPr>
          </w:p>
        </w:tc>
        <w:tc>
          <w:tcPr>
            <w:tcW w:w="1893" w:type="dxa"/>
            <w:shd w:val="clear" w:color="auto" w:fill="auto"/>
            <w:vAlign w:val="center"/>
          </w:tcPr>
          <w:p w14:paraId="7E7DEF70">
            <w:pPr>
              <w:jc w:val="center"/>
              <w:rPr>
                <w:rFonts w:hint="eastAsia" w:ascii="宋体" w:hAnsi="宋体" w:eastAsia="宋体" w:cs="宋体"/>
                <w:i w:val="0"/>
                <w:iCs w:val="0"/>
                <w:color w:val="000000"/>
                <w:sz w:val="22"/>
                <w:szCs w:val="22"/>
                <w:u w:val="none"/>
              </w:rPr>
            </w:pPr>
          </w:p>
        </w:tc>
        <w:tc>
          <w:tcPr>
            <w:tcW w:w="1008" w:type="dxa"/>
            <w:shd w:val="clear" w:color="auto" w:fill="auto"/>
            <w:vAlign w:val="center"/>
          </w:tcPr>
          <w:p w14:paraId="1FF26F0C">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小计</w:t>
            </w:r>
          </w:p>
        </w:tc>
        <w:tc>
          <w:tcPr>
            <w:tcW w:w="693" w:type="dxa"/>
            <w:shd w:val="clear" w:color="auto" w:fill="auto"/>
            <w:noWrap/>
            <w:vAlign w:val="center"/>
          </w:tcPr>
          <w:p w14:paraId="725EAF37">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1093</w:t>
            </w:r>
          </w:p>
        </w:tc>
      </w:tr>
      <w:tr w14:paraId="2E360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trPr>
        <w:tc>
          <w:tcPr>
            <w:tcW w:w="9840" w:type="dxa"/>
            <w:gridSpan w:val="9"/>
            <w:shd w:val="clear" w:color="auto" w:fill="auto"/>
            <w:noWrap/>
            <w:vAlign w:val="bottom"/>
          </w:tcPr>
          <w:p w14:paraId="0ED968E5">
            <w:pPr>
              <w:keepNext w:val="0"/>
              <w:keepLines w:val="0"/>
              <w:widowControl/>
              <w:suppressLineNumbers w:val="0"/>
              <w:jc w:val="center"/>
              <w:textAlignment w:val="bottom"/>
              <w:rPr>
                <w:rFonts w:hint="eastAsia" w:ascii="等线" w:hAnsi="等线" w:eastAsia="等线" w:cs="等线"/>
                <w:b/>
                <w:bCs/>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二、环境空气与废气</w:t>
            </w:r>
          </w:p>
        </w:tc>
      </w:tr>
      <w:tr w14:paraId="28A8E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782" w:type="dxa"/>
            <w:shd w:val="clear" w:color="auto" w:fill="auto"/>
            <w:noWrap/>
            <w:vAlign w:val="center"/>
          </w:tcPr>
          <w:p w14:paraId="422212FB">
            <w:pPr>
              <w:keepNext w:val="0"/>
              <w:keepLines w:val="0"/>
              <w:widowControl/>
              <w:suppressLineNumbers w:val="0"/>
              <w:jc w:val="center"/>
              <w:textAlignment w:val="center"/>
              <w:rPr>
                <w:rFonts w:hint="eastAsia" w:ascii="等线" w:hAnsi="等线" w:eastAsia="等线" w:cs="等线"/>
                <w:b/>
                <w:bCs/>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有组织废气</w:t>
            </w:r>
          </w:p>
        </w:tc>
        <w:tc>
          <w:tcPr>
            <w:tcW w:w="1527" w:type="dxa"/>
            <w:shd w:val="clear" w:color="auto" w:fill="auto"/>
            <w:noWrap/>
            <w:vAlign w:val="center"/>
          </w:tcPr>
          <w:p w14:paraId="47CB40D9">
            <w:pPr>
              <w:jc w:val="center"/>
              <w:rPr>
                <w:rFonts w:hint="eastAsia" w:ascii="等线" w:hAnsi="等线" w:eastAsia="等线" w:cs="等线"/>
                <w:b/>
                <w:bCs/>
                <w:i w:val="0"/>
                <w:iCs w:val="0"/>
                <w:color w:val="000000"/>
                <w:sz w:val="22"/>
                <w:szCs w:val="22"/>
                <w:u w:val="none"/>
              </w:rPr>
            </w:pPr>
          </w:p>
        </w:tc>
        <w:tc>
          <w:tcPr>
            <w:tcW w:w="1007" w:type="dxa"/>
            <w:shd w:val="clear" w:color="auto" w:fill="auto"/>
            <w:noWrap/>
            <w:vAlign w:val="center"/>
          </w:tcPr>
          <w:p w14:paraId="6EB4A7DB">
            <w:pPr>
              <w:jc w:val="center"/>
              <w:rPr>
                <w:rFonts w:hint="eastAsia" w:ascii="等线" w:hAnsi="等线" w:eastAsia="等线" w:cs="等线"/>
                <w:b/>
                <w:bCs/>
                <w:i w:val="0"/>
                <w:iCs w:val="0"/>
                <w:color w:val="000000"/>
                <w:sz w:val="22"/>
                <w:szCs w:val="22"/>
                <w:u w:val="none"/>
              </w:rPr>
            </w:pPr>
          </w:p>
        </w:tc>
        <w:tc>
          <w:tcPr>
            <w:tcW w:w="1009" w:type="dxa"/>
            <w:shd w:val="clear" w:color="auto" w:fill="auto"/>
            <w:noWrap/>
            <w:vAlign w:val="center"/>
          </w:tcPr>
          <w:p w14:paraId="6256F155">
            <w:pPr>
              <w:jc w:val="center"/>
              <w:rPr>
                <w:rFonts w:hint="eastAsia" w:ascii="等线" w:hAnsi="等线" w:eastAsia="等线" w:cs="等线"/>
                <w:b/>
                <w:bCs/>
                <w:i w:val="0"/>
                <w:iCs w:val="0"/>
                <w:color w:val="000000"/>
                <w:sz w:val="22"/>
                <w:szCs w:val="22"/>
                <w:u w:val="none"/>
              </w:rPr>
            </w:pPr>
          </w:p>
        </w:tc>
        <w:tc>
          <w:tcPr>
            <w:tcW w:w="1011" w:type="dxa"/>
            <w:shd w:val="clear" w:color="auto" w:fill="auto"/>
            <w:noWrap/>
            <w:vAlign w:val="center"/>
          </w:tcPr>
          <w:p w14:paraId="73D81C18">
            <w:pPr>
              <w:jc w:val="center"/>
              <w:rPr>
                <w:rFonts w:hint="eastAsia" w:ascii="等线" w:hAnsi="等线" w:eastAsia="等线" w:cs="等线"/>
                <w:b/>
                <w:bCs/>
                <w:i w:val="0"/>
                <w:iCs w:val="0"/>
                <w:color w:val="000000"/>
                <w:sz w:val="22"/>
                <w:szCs w:val="22"/>
                <w:u w:val="none"/>
              </w:rPr>
            </w:pPr>
          </w:p>
        </w:tc>
        <w:tc>
          <w:tcPr>
            <w:tcW w:w="910" w:type="dxa"/>
            <w:shd w:val="clear" w:color="auto" w:fill="auto"/>
            <w:noWrap/>
            <w:vAlign w:val="center"/>
          </w:tcPr>
          <w:p w14:paraId="12A2DFC7">
            <w:pPr>
              <w:jc w:val="center"/>
              <w:rPr>
                <w:rFonts w:hint="eastAsia" w:ascii="等线" w:hAnsi="等线" w:eastAsia="等线" w:cs="等线"/>
                <w:b/>
                <w:bCs/>
                <w:i w:val="0"/>
                <w:iCs w:val="0"/>
                <w:color w:val="000000"/>
                <w:sz w:val="22"/>
                <w:szCs w:val="22"/>
                <w:u w:val="none"/>
              </w:rPr>
            </w:pPr>
          </w:p>
        </w:tc>
        <w:tc>
          <w:tcPr>
            <w:tcW w:w="1893" w:type="dxa"/>
            <w:shd w:val="clear" w:color="auto" w:fill="auto"/>
            <w:noWrap/>
            <w:vAlign w:val="center"/>
          </w:tcPr>
          <w:p w14:paraId="583784A6">
            <w:pPr>
              <w:jc w:val="center"/>
              <w:rPr>
                <w:rFonts w:hint="eastAsia" w:ascii="等线" w:hAnsi="等线" w:eastAsia="等线" w:cs="等线"/>
                <w:b/>
                <w:bCs/>
                <w:i w:val="0"/>
                <w:iCs w:val="0"/>
                <w:color w:val="000000"/>
                <w:sz w:val="22"/>
                <w:szCs w:val="22"/>
                <w:u w:val="none"/>
              </w:rPr>
            </w:pPr>
          </w:p>
        </w:tc>
        <w:tc>
          <w:tcPr>
            <w:tcW w:w="1008" w:type="dxa"/>
            <w:shd w:val="clear" w:color="auto" w:fill="auto"/>
            <w:noWrap/>
            <w:vAlign w:val="center"/>
          </w:tcPr>
          <w:p w14:paraId="16B38C2A">
            <w:pPr>
              <w:jc w:val="center"/>
              <w:rPr>
                <w:rFonts w:hint="eastAsia" w:ascii="等线" w:hAnsi="等线" w:eastAsia="等线" w:cs="等线"/>
                <w:b/>
                <w:bCs/>
                <w:i w:val="0"/>
                <w:iCs w:val="0"/>
                <w:color w:val="000000"/>
                <w:sz w:val="22"/>
                <w:szCs w:val="22"/>
                <w:u w:val="none"/>
              </w:rPr>
            </w:pPr>
          </w:p>
        </w:tc>
        <w:tc>
          <w:tcPr>
            <w:tcW w:w="693" w:type="dxa"/>
            <w:shd w:val="clear" w:color="auto" w:fill="auto"/>
            <w:noWrap/>
            <w:vAlign w:val="center"/>
          </w:tcPr>
          <w:p w14:paraId="32825EAF">
            <w:pPr>
              <w:jc w:val="center"/>
              <w:rPr>
                <w:rFonts w:hint="default" w:ascii="Times New Roman" w:hAnsi="Times New Roman" w:eastAsia="等线" w:cs="Times New Roman"/>
                <w:i w:val="0"/>
                <w:iCs w:val="0"/>
                <w:color w:val="000000"/>
                <w:sz w:val="20"/>
                <w:szCs w:val="20"/>
                <w:u w:val="none"/>
              </w:rPr>
            </w:pPr>
          </w:p>
        </w:tc>
      </w:tr>
      <w:tr w14:paraId="12E04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09" w:hRule="atLeast"/>
        </w:trPr>
        <w:tc>
          <w:tcPr>
            <w:tcW w:w="782" w:type="dxa"/>
            <w:shd w:val="clear" w:color="auto" w:fill="auto"/>
            <w:vAlign w:val="center"/>
          </w:tcPr>
          <w:p w14:paraId="3F6367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527" w:type="dxa"/>
            <w:shd w:val="clear" w:color="auto" w:fill="auto"/>
            <w:vAlign w:val="center"/>
          </w:tcPr>
          <w:p w14:paraId="3AE4ED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氮氧化物</w:t>
            </w:r>
          </w:p>
        </w:tc>
        <w:tc>
          <w:tcPr>
            <w:tcW w:w="1007" w:type="dxa"/>
            <w:shd w:val="clear" w:color="auto" w:fill="auto"/>
            <w:vAlign w:val="center"/>
          </w:tcPr>
          <w:p w14:paraId="3221A4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798"/>
                <w:lang w:val="en-US" w:eastAsia="zh-CN" w:bidi="ar"/>
              </w:rPr>
              <w:t>烟道烟气采样测试-NO</w:t>
            </w:r>
            <w:r>
              <w:rPr>
                <w:rStyle w:val="800"/>
                <w:lang w:val="en-US" w:eastAsia="zh-CN" w:bidi="ar"/>
              </w:rPr>
              <w:t>X</w:t>
            </w:r>
            <w:r>
              <w:rPr>
                <w:rStyle w:val="798"/>
                <w:lang w:val="en-US" w:eastAsia="zh-CN" w:bidi="ar"/>
              </w:rPr>
              <w:t>仪器法</w:t>
            </w:r>
          </w:p>
        </w:tc>
        <w:tc>
          <w:tcPr>
            <w:tcW w:w="1009" w:type="dxa"/>
            <w:shd w:val="clear" w:color="auto" w:fill="auto"/>
            <w:vAlign w:val="center"/>
          </w:tcPr>
          <w:p w14:paraId="5D13C3A5">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70</w:t>
            </w:r>
          </w:p>
        </w:tc>
        <w:tc>
          <w:tcPr>
            <w:tcW w:w="1011" w:type="dxa"/>
            <w:shd w:val="clear" w:color="auto" w:fill="auto"/>
            <w:vAlign w:val="center"/>
          </w:tcPr>
          <w:p w14:paraId="3111CDD6">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w:t>
            </w:r>
          </w:p>
        </w:tc>
        <w:tc>
          <w:tcPr>
            <w:tcW w:w="910" w:type="dxa"/>
            <w:shd w:val="clear" w:color="auto" w:fill="auto"/>
            <w:vAlign w:val="center"/>
          </w:tcPr>
          <w:p w14:paraId="5731629A">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0</w:t>
            </w:r>
          </w:p>
        </w:tc>
        <w:tc>
          <w:tcPr>
            <w:tcW w:w="1893" w:type="dxa"/>
            <w:shd w:val="clear" w:color="auto" w:fill="auto"/>
            <w:vAlign w:val="center"/>
          </w:tcPr>
          <w:p w14:paraId="3334F3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798"/>
                <w:lang w:val="en-US" w:eastAsia="zh-CN" w:bidi="ar"/>
              </w:rPr>
              <w:t>固定污染源废气 氮氧化物的测定 定电位电解法</w:t>
            </w:r>
            <w:r>
              <w:rPr>
                <w:rStyle w:val="799"/>
                <w:rFonts w:eastAsia="宋体"/>
                <w:lang w:val="en-US" w:eastAsia="zh-CN" w:bidi="ar"/>
              </w:rPr>
              <w:t>HJ 693-2014</w:t>
            </w:r>
          </w:p>
        </w:tc>
        <w:tc>
          <w:tcPr>
            <w:tcW w:w="1008" w:type="dxa"/>
            <w:shd w:val="clear" w:color="auto" w:fill="auto"/>
            <w:vAlign w:val="center"/>
          </w:tcPr>
          <w:p w14:paraId="3D0EF886">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0</w:t>
            </w:r>
          </w:p>
        </w:tc>
        <w:tc>
          <w:tcPr>
            <w:tcW w:w="693" w:type="dxa"/>
            <w:shd w:val="clear" w:color="auto" w:fill="auto"/>
            <w:noWrap/>
            <w:vAlign w:val="center"/>
          </w:tcPr>
          <w:p w14:paraId="1A47BC2F">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70</w:t>
            </w:r>
          </w:p>
        </w:tc>
      </w:tr>
      <w:tr w14:paraId="66110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84" w:hRule="atLeast"/>
        </w:trPr>
        <w:tc>
          <w:tcPr>
            <w:tcW w:w="782" w:type="dxa"/>
            <w:shd w:val="clear" w:color="auto" w:fill="auto"/>
            <w:vAlign w:val="center"/>
          </w:tcPr>
          <w:p w14:paraId="14F6F5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527" w:type="dxa"/>
            <w:shd w:val="clear" w:color="auto" w:fill="auto"/>
            <w:vAlign w:val="center"/>
          </w:tcPr>
          <w:p w14:paraId="726D22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二氧化硫</w:t>
            </w:r>
          </w:p>
        </w:tc>
        <w:tc>
          <w:tcPr>
            <w:tcW w:w="1007" w:type="dxa"/>
            <w:shd w:val="clear" w:color="auto" w:fill="auto"/>
            <w:vAlign w:val="center"/>
          </w:tcPr>
          <w:p w14:paraId="00C85B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798"/>
                <w:lang w:val="en-US" w:eastAsia="zh-CN" w:bidi="ar"/>
              </w:rPr>
              <w:t>烟道烟气采样测试-NSO</w:t>
            </w:r>
            <w:r>
              <w:rPr>
                <w:rStyle w:val="800"/>
                <w:lang w:val="en-US" w:eastAsia="zh-CN" w:bidi="ar"/>
              </w:rPr>
              <w:t>2</w:t>
            </w:r>
            <w:r>
              <w:rPr>
                <w:rStyle w:val="798"/>
                <w:lang w:val="en-US" w:eastAsia="zh-CN" w:bidi="ar"/>
              </w:rPr>
              <w:t>仪器法</w:t>
            </w:r>
          </w:p>
        </w:tc>
        <w:tc>
          <w:tcPr>
            <w:tcW w:w="1009" w:type="dxa"/>
            <w:shd w:val="clear" w:color="auto" w:fill="auto"/>
            <w:vAlign w:val="center"/>
          </w:tcPr>
          <w:p w14:paraId="75CD5045">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70</w:t>
            </w:r>
          </w:p>
        </w:tc>
        <w:tc>
          <w:tcPr>
            <w:tcW w:w="1011" w:type="dxa"/>
            <w:shd w:val="clear" w:color="auto" w:fill="auto"/>
            <w:vAlign w:val="center"/>
          </w:tcPr>
          <w:p w14:paraId="34D85E0D">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w:t>
            </w:r>
          </w:p>
        </w:tc>
        <w:tc>
          <w:tcPr>
            <w:tcW w:w="910" w:type="dxa"/>
            <w:shd w:val="clear" w:color="auto" w:fill="auto"/>
            <w:vAlign w:val="center"/>
          </w:tcPr>
          <w:p w14:paraId="0C05C35C">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0</w:t>
            </w:r>
          </w:p>
        </w:tc>
        <w:tc>
          <w:tcPr>
            <w:tcW w:w="1893" w:type="dxa"/>
            <w:shd w:val="clear" w:color="auto" w:fill="auto"/>
            <w:vAlign w:val="center"/>
          </w:tcPr>
          <w:p w14:paraId="0AF942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798"/>
                <w:lang w:val="en-US" w:eastAsia="zh-CN" w:bidi="ar"/>
              </w:rPr>
              <w:t>固定污染源排气中二氧化硫的测定 定电位电解法</w:t>
            </w:r>
            <w:r>
              <w:rPr>
                <w:rStyle w:val="799"/>
                <w:rFonts w:eastAsia="宋体"/>
                <w:lang w:val="en-US" w:eastAsia="zh-CN" w:bidi="ar"/>
              </w:rPr>
              <w:t xml:space="preserve"> HJ/T 57-2017</w:t>
            </w:r>
          </w:p>
        </w:tc>
        <w:tc>
          <w:tcPr>
            <w:tcW w:w="1008" w:type="dxa"/>
            <w:shd w:val="clear" w:color="auto" w:fill="auto"/>
            <w:vAlign w:val="center"/>
          </w:tcPr>
          <w:p w14:paraId="75962269">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0</w:t>
            </w:r>
          </w:p>
        </w:tc>
        <w:tc>
          <w:tcPr>
            <w:tcW w:w="693" w:type="dxa"/>
            <w:shd w:val="clear" w:color="auto" w:fill="auto"/>
            <w:noWrap/>
            <w:vAlign w:val="center"/>
          </w:tcPr>
          <w:p w14:paraId="4028F4D9">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70</w:t>
            </w:r>
          </w:p>
        </w:tc>
      </w:tr>
      <w:tr w14:paraId="66F06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782" w:type="dxa"/>
            <w:shd w:val="clear" w:color="auto" w:fill="auto"/>
            <w:vAlign w:val="center"/>
          </w:tcPr>
          <w:p w14:paraId="0E2016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527" w:type="dxa"/>
            <w:shd w:val="clear" w:color="auto" w:fill="auto"/>
            <w:vAlign w:val="center"/>
          </w:tcPr>
          <w:p w14:paraId="6EEF64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低浓度颗粒物</w:t>
            </w:r>
          </w:p>
        </w:tc>
        <w:tc>
          <w:tcPr>
            <w:tcW w:w="1007" w:type="dxa"/>
            <w:shd w:val="clear" w:color="auto" w:fill="auto"/>
            <w:vAlign w:val="center"/>
          </w:tcPr>
          <w:p w14:paraId="469830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生产废气测试-等速采样</w:t>
            </w:r>
          </w:p>
        </w:tc>
        <w:tc>
          <w:tcPr>
            <w:tcW w:w="1009" w:type="dxa"/>
            <w:shd w:val="clear" w:color="auto" w:fill="auto"/>
            <w:vAlign w:val="center"/>
          </w:tcPr>
          <w:p w14:paraId="783F5ADF">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500</w:t>
            </w:r>
          </w:p>
        </w:tc>
        <w:tc>
          <w:tcPr>
            <w:tcW w:w="1011" w:type="dxa"/>
            <w:shd w:val="clear" w:color="auto" w:fill="auto"/>
            <w:vAlign w:val="center"/>
          </w:tcPr>
          <w:p w14:paraId="5AAFF4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24h恒温恒湿</w:t>
            </w:r>
          </w:p>
        </w:tc>
        <w:tc>
          <w:tcPr>
            <w:tcW w:w="910" w:type="dxa"/>
            <w:shd w:val="clear" w:color="auto" w:fill="auto"/>
            <w:vAlign w:val="center"/>
          </w:tcPr>
          <w:p w14:paraId="6389B7ED">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30</w:t>
            </w:r>
          </w:p>
        </w:tc>
        <w:tc>
          <w:tcPr>
            <w:tcW w:w="1893" w:type="dxa"/>
            <w:shd w:val="clear" w:color="auto" w:fill="auto"/>
            <w:vAlign w:val="center"/>
          </w:tcPr>
          <w:p w14:paraId="14C06C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798"/>
                <w:lang w:val="en-US" w:eastAsia="zh-CN" w:bidi="ar"/>
              </w:rPr>
              <w:t>固定污染源废气 低浓度颗粒物的测定 重量法</w:t>
            </w:r>
            <w:r>
              <w:rPr>
                <w:rStyle w:val="799"/>
                <w:rFonts w:eastAsia="宋体"/>
                <w:lang w:val="en-US" w:eastAsia="zh-CN" w:bidi="ar"/>
              </w:rPr>
              <w:t xml:space="preserve">  HJ 836-2017</w:t>
            </w:r>
          </w:p>
        </w:tc>
        <w:tc>
          <w:tcPr>
            <w:tcW w:w="1008" w:type="dxa"/>
            <w:shd w:val="clear" w:color="auto" w:fill="auto"/>
            <w:vAlign w:val="center"/>
          </w:tcPr>
          <w:p w14:paraId="7A9BBA2C">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60</w:t>
            </w:r>
          </w:p>
        </w:tc>
        <w:tc>
          <w:tcPr>
            <w:tcW w:w="693" w:type="dxa"/>
            <w:shd w:val="clear" w:color="auto" w:fill="auto"/>
            <w:noWrap/>
            <w:vAlign w:val="center"/>
          </w:tcPr>
          <w:p w14:paraId="6A2AC3D4">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590</w:t>
            </w:r>
          </w:p>
        </w:tc>
      </w:tr>
      <w:tr w14:paraId="071E3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782" w:type="dxa"/>
            <w:shd w:val="clear" w:color="auto" w:fill="auto"/>
            <w:vAlign w:val="center"/>
          </w:tcPr>
          <w:p w14:paraId="53D13C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527" w:type="dxa"/>
            <w:shd w:val="clear" w:color="auto" w:fill="auto"/>
            <w:vAlign w:val="center"/>
          </w:tcPr>
          <w:p w14:paraId="443E2F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臭气浓度</w:t>
            </w:r>
          </w:p>
        </w:tc>
        <w:tc>
          <w:tcPr>
            <w:tcW w:w="1007" w:type="dxa"/>
            <w:shd w:val="clear" w:color="auto" w:fill="auto"/>
            <w:vAlign w:val="center"/>
          </w:tcPr>
          <w:p w14:paraId="63F93E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生产废气测试-不等速采样</w:t>
            </w:r>
          </w:p>
        </w:tc>
        <w:tc>
          <w:tcPr>
            <w:tcW w:w="1009" w:type="dxa"/>
            <w:shd w:val="clear" w:color="auto" w:fill="auto"/>
            <w:vAlign w:val="center"/>
          </w:tcPr>
          <w:p w14:paraId="3E44B386">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100</w:t>
            </w:r>
          </w:p>
        </w:tc>
        <w:tc>
          <w:tcPr>
            <w:tcW w:w="1011" w:type="dxa"/>
            <w:shd w:val="clear" w:color="auto" w:fill="auto"/>
            <w:vAlign w:val="center"/>
          </w:tcPr>
          <w:p w14:paraId="4F408061">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w:t>
            </w:r>
          </w:p>
        </w:tc>
        <w:tc>
          <w:tcPr>
            <w:tcW w:w="910" w:type="dxa"/>
            <w:shd w:val="clear" w:color="auto" w:fill="auto"/>
            <w:vAlign w:val="center"/>
          </w:tcPr>
          <w:p w14:paraId="34BB4D9C">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0</w:t>
            </w:r>
          </w:p>
        </w:tc>
        <w:tc>
          <w:tcPr>
            <w:tcW w:w="1893" w:type="dxa"/>
            <w:shd w:val="clear" w:color="auto" w:fill="auto"/>
            <w:vAlign w:val="center"/>
          </w:tcPr>
          <w:p w14:paraId="3915D4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798"/>
                <w:lang w:val="en-US" w:eastAsia="zh-CN" w:bidi="ar"/>
              </w:rPr>
              <w:t>空气质量 恶臭的测定 三点比较式臭袋法</w:t>
            </w:r>
            <w:r>
              <w:rPr>
                <w:rStyle w:val="799"/>
                <w:rFonts w:eastAsia="宋体"/>
                <w:lang w:val="en-US" w:eastAsia="zh-CN" w:bidi="ar"/>
              </w:rPr>
              <w:t>GB/T 14675-1993</w:t>
            </w:r>
          </w:p>
        </w:tc>
        <w:tc>
          <w:tcPr>
            <w:tcW w:w="1008" w:type="dxa"/>
            <w:shd w:val="clear" w:color="auto" w:fill="auto"/>
            <w:vAlign w:val="center"/>
          </w:tcPr>
          <w:p w14:paraId="031B2534">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500</w:t>
            </w:r>
          </w:p>
        </w:tc>
        <w:tc>
          <w:tcPr>
            <w:tcW w:w="693" w:type="dxa"/>
            <w:shd w:val="clear" w:color="auto" w:fill="auto"/>
            <w:noWrap/>
            <w:vAlign w:val="center"/>
          </w:tcPr>
          <w:p w14:paraId="15C51ED5">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600</w:t>
            </w:r>
          </w:p>
        </w:tc>
      </w:tr>
      <w:tr w14:paraId="4DC62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782" w:type="dxa"/>
            <w:shd w:val="clear" w:color="auto" w:fill="auto"/>
            <w:vAlign w:val="center"/>
          </w:tcPr>
          <w:p w14:paraId="5047D0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527" w:type="dxa"/>
            <w:shd w:val="clear" w:color="auto" w:fill="auto"/>
            <w:vAlign w:val="center"/>
          </w:tcPr>
          <w:p w14:paraId="11BA6D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氨</w:t>
            </w:r>
          </w:p>
        </w:tc>
        <w:tc>
          <w:tcPr>
            <w:tcW w:w="1007" w:type="dxa"/>
            <w:shd w:val="clear" w:color="auto" w:fill="auto"/>
            <w:vAlign w:val="center"/>
          </w:tcPr>
          <w:p w14:paraId="003022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生产废气测试-不等速采样</w:t>
            </w:r>
          </w:p>
        </w:tc>
        <w:tc>
          <w:tcPr>
            <w:tcW w:w="1009" w:type="dxa"/>
            <w:shd w:val="clear" w:color="auto" w:fill="auto"/>
            <w:vAlign w:val="center"/>
          </w:tcPr>
          <w:p w14:paraId="5F845061">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100</w:t>
            </w:r>
          </w:p>
        </w:tc>
        <w:tc>
          <w:tcPr>
            <w:tcW w:w="1011" w:type="dxa"/>
            <w:shd w:val="clear" w:color="auto" w:fill="auto"/>
            <w:vAlign w:val="center"/>
          </w:tcPr>
          <w:p w14:paraId="29236B9A">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w:t>
            </w:r>
          </w:p>
        </w:tc>
        <w:tc>
          <w:tcPr>
            <w:tcW w:w="910" w:type="dxa"/>
            <w:shd w:val="clear" w:color="auto" w:fill="auto"/>
            <w:vAlign w:val="center"/>
          </w:tcPr>
          <w:p w14:paraId="637A83F4">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0</w:t>
            </w:r>
          </w:p>
        </w:tc>
        <w:tc>
          <w:tcPr>
            <w:tcW w:w="1893" w:type="dxa"/>
            <w:shd w:val="clear" w:color="auto" w:fill="auto"/>
            <w:vAlign w:val="center"/>
          </w:tcPr>
          <w:p w14:paraId="41E018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798"/>
                <w:lang w:val="en-US" w:eastAsia="zh-CN" w:bidi="ar"/>
              </w:rPr>
              <w:t>环境空气和废气 氨的测定 纳氏试剂分光光度法</w:t>
            </w:r>
            <w:r>
              <w:rPr>
                <w:rStyle w:val="799"/>
                <w:rFonts w:eastAsia="宋体"/>
                <w:lang w:val="en-US" w:eastAsia="zh-CN" w:bidi="ar"/>
              </w:rPr>
              <w:t xml:space="preserve"> HJ 533-2009</w:t>
            </w:r>
          </w:p>
        </w:tc>
        <w:tc>
          <w:tcPr>
            <w:tcW w:w="1008" w:type="dxa"/>
            <w:shd w:val="clear" w:color="auto" w:fill="auto"/>
            <w:vAlign w:val="center"/>
          </w:tcPr>
          <w:p w14:paraId="5F059483">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60</w:t>
            </w:r>
          </w:p>
        </w:tc>
        <w:tc>
          <w:tcPr>
            <w:tcW w:w="693" w:type="dxa"/>
            <w:shd w:val="clear" w:color="auto" w:fill="auto"/>
            <w:noWrap/>
            <w:vAlign w:val="center"/>
          </w:tcPr>
          <w:p w14:paraId="6F7829E8">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160</w:t>
            </w:r>
          </w:p>
        </w:tc>
      </w:tr>
      <w:tr w14:paraId="01796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782" w:type="dxa"/>
            <w:shd w:val="clear" w:color="auto" w:fill="auto"/>
            <w:vAlign w:val="center"/>
          </w:tcPr>
          <w:p w14:paraId="1AC4D7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527" w:type="dxa"/>
            <w:shd w:val="clear" w:color="auto" w:fill="auto"/>
            <w:vAlign w:val="center"/>
          </w:tcPr>
          <w:p w14:paraId="277B5F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氯化氢</w:t>
            </w:r>
          </w:p>
        </w:tc>
        <w:tc>
          <w:tcPr>
            <w:tcW w:w="1007" w:type="dxa"/>
            <w:shd w:val="clear" w:color="auto" w:fill="auto"/>
            <w:vAlign w:val="center"/>
          </w:tcPr>
          <w:p w14:paraId="23725A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生产废气测试-不等速采样</w:t>
            </w:r>
          </w:p>
        </w:tc>
        <w:tc>
          <w:tcPr>
            <w:tcW w:w="1009" w:type="dxa"/>
            <w:shd w:val="clear" w:color="auto" w:fill="auto"/>
            <w:vAlign w:val="center"/>
          </w:tcPr>
          <w:p w14:paraId="3145FDF6">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100</w:t>
            </w:r>
          </w:p>
        </w:tc>
        <w:tc>
          <w:tcPr>
            <w:tcW w:w="1011" w:type="dxa"/>
            <w:shd w:val="clear" w:color="auto" w:fill="auto"/>
            <w:vAlign w:val="center"/>
          </w:tcPr>
          <w:p w14:paraId="79164CAD">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w:t>
            </w:r>
          </w:p>
        </w:tc>
        <w:tc>
          <w:tcPr>
            <w:tcW w:w="910" w:type="dxa"/>
            <w:shd w:val="clear" w:color="auto" w:fill="auto"/>
            <w:vAlign w:val="center"/>
          </w:tcPr>
          <w:p w14:paraId="24F2F2D0">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0</w:t>
            </w:r>
          </w:p>
        </w:tc>
        <w:tc>
          <w:tcPr>
            <w:tcW w:w="1893" w:type="dxa"/>
            <w:shd w:val="clear" w:color="auto" w:fill="auto"/>
            <w:vAlign w:val="center"/>
          </w:tcPr>
          <w:p w14:paraId="6DC35C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798"/>
                <w:lang w:val="en-US" w:eastAsia="zh-CN" w:bidi="ar"/>
              </w:rPr>
              <w:t>固定污染物排气中氯化氢的测定 硫氰酸汞分光光度法</w:t>
            </w:r>
            <w:r>
              <w:rPr>
                <w:rStyle w:val="799"/>
                <w:rFonts w:eastAsia="宋体"/>
                <w:lang w:val="en-US" w:eastAsia="zh-CN" w:bidi="ar"/>
              </w:rPr>
              <w:t xml:space="preserve">  HJ/T 27-1999</w:t>
            </w:r>
          </w:p>
        </w:tc>
        <w:tc>
          <w:tcPr>
            <w:tcW w:w="1008" w:type="dxa"/>
            <w:shd w:val="clear" w:color="auto" w:fill="auto"/>
            <w:vAlign w:val="center"/>
          </w:tcPr>
          <w:p w14:paraId="04661415">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60</w:t>
            </w:r>
          </w:p>
        </w:tc>
        <w:tc>
          <w:tcPr>
            <w:tcW w:w="693" w:type="dxa"/>
            <w:shd w:val="clear" w:color="auto" w:fill="auto"/>
            <w:noWrap/>
            <w:vAlign w:val="center"/>
          </w:tcPr>
          <w:p w14:paraId="4A71150A">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160</w:t>
            </w:r>
          </w:p>
        </w:tc>
      </w:tr>
      <w:tr w14:paraId="34FB4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09" w:hRule="atLeast"/>
        </w:trPr>
        <w:tc>
          <w:tcPr>
            <w:tcW w:w="782" w:type="dxa"/>
            <w:shd w:val="clear" w:color="auto" w:fill="auto"/>
            <w:vAlign w:val="center"/>
          </w:tcPr>
          <w:p w14:paraId="525540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527" w:type="dxa"/>
            <w:shd w:val="clear" w:color="auto" w:fill="auto"/>
            <w:vAlign w:val="center"/>
          </w:tcPr>
          <w:p w14:paraId="12530E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甲醛</w:t>
            </w:r>
          </w:p>
        </w:tc>
        <w:tc>
          <w:tcPr>
            <w:tcW w:w="1007" w:type="dxa"/>
            <w:shd w:val="clear" w:color="auto" w:fill="auto"/>
            <w:vAlign w:val="center"/>
          </w:tcPr>
          <w:p w14:paraId="7A755E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生产废气测试-不等速采样</w:t>
            </w:r>
          </w:p>
        </w:tc>
        <w:tc>
          <w:tcPr>
            <w:tcW w:w="1009" w:type="dxa"/>
            <w:shd w:val="clear" w:color="auto" w:fill="auto"/>
            <w:vAlign w:val="center"/>
          </w:tcPr>
          <w:p w14:paraId="6FC44754">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100</w:t>
            </w:r>
          </w:p>
        </w:tc>
        <w:tc>
          <w:tcPr>
            <w:tcW w:w="1011" w:type="dxa"/>
            <w:shd w:val="clear" w:color="auto" w:fill="auto"/>
            <w:vAlign w:val="center"/>
          </w:tcPr>
          <w:p w14:paraId="72F7A8CF">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w:t>
            </w:r>
          </w:p>
        </w:tc>
        <w:tc>
          <w:tcPr>
            <w:tcW w:w="910" w:type="dxa"/>
            <w:shd w:val="clear" w:color="auto" w:fill="auto"/>
            <w:vAlign w:val="center"/>
          </w:tcPr>
          <w:p w14:paraId="52490859">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0</w:t>
            </w:r>
          </w:p>
        </w:tc>
        <w:tc>
          <w:tcPr>
            <w:tcW w:w="1893" w:type="dxa"/>
            <w:shd w:val="clear" w:color="auto" w:fill="auto"/>
            <w:vAlign w:val="center"/>
          </w:tcPr>
          <w:p w14:paraId="63266D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798"/>
                <w:lang w:val="en-US" w:eastAsia="zh-CN" w:bidi="ar"/>
              </w:rPr>
              <w:t>空气质量 甲醛的测定 乙酰丙酮分光光度法</w:t>
            </w:r>
            <w:r>
              <w:rPr>
                <w:rStyle w:val="799"/>
                <w:rFonts w:eastAsia="宋体"/>
                <w:lang w:val="en-US" w:eastAsia="zh-CN" w:bidi="ar"/>
              </w:rPr>
              <w:t xml:space="preserve"> GB/T 15516-1995</w:t>
            </w:r>
          </w:p>
        </w:tc>
        <w:tc>
          <w:tcPr>
            <w:tcW w:w="1008" w:type="dxa"/>
            <w:shd w:val="clear" w:color="auto" w:fill="auto"/>
            <w:vAlign w:val="center"/>
          </w:tcPr>
          <w:p w14:paraId="53AA0272">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60</w:t>
            </w:r>
          </w:p>
        </w:tc>
        <w:tc>
          <w:tcPr>
            <w:tcW w:w="693" w:type="dxa"/>
            <w:shd w:val="clear" w:color="auto" w:fill="auto"/>
            <w:noWrap/>
            <w:vAlign w:val="center"/>
          </w:tcPr>
          <w:p w14:paraId="16715360">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160</w:t>
            </w:r>
          </w:p>
        </w:tc>
      </w:tr>
      <w:tr w14:paraId="66BA0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84" w:hRule="atLeast"/>
        </w:trPr>
        <w:tc>
          <w:tcPr>
            <w:tcW w:w="782" w:type="dxa"/>
            <w:shd w:val="clear" w:color="auto" w:fill="auto"/>
            <w:vAlign w:val="center"/>
          </w:tcPr>
          <w:p w14:paraId="7827BC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527" w:type="dxa"/>
            <w:shd w:val="clear" w:color="auto" w:fill="auto"/>
            <w:vAlign w:val="center"/>
          </w:tcPr>
          <w:p w14:paraId="5EECBC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挥发性有机物</w:t>
            </w:r>
          </w:p>
        </w:tc>
        <w:tc>
          <w:tcPr>
            <w:tcW w:w="1007" w:type="dxa"/>
            <w:shd w:val="clear" w:color="auto" w:fill="auto"/>
            <w:vAlign w:val="center"/>
          </w:tcPr>
          <w:p w14:paraId="2C5E74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生产废气测试-不等速采样</w:t>
            </w:r>
          </w:p>
        </w:tc>
        <w:tc>
          <w:tcPr>
            <w:tcW w:w="1009" w:type="dxa"/>
            <w:shd w:val="clear" w:color="auto" w:fill="auto"/>
            <w:vAlign w:val="center"/>
          </w:tcPr>
          <w:p w14:paraId="652E0FDC">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100</w:t>
            </w:r>
          </w:p>
        </w:tc>
        <w:tc>
          <w:tcPr>
            <w:tcW w:w="1011" w:type="dxa"/>
            <w:shd w:val="clear" w:color="auto" w:fill="auto"/>
            <w:vAlign w:val="center"/>
          </w:tcPr>
          <w:p w14:paraId="156F1C50">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w:t>
            </w:r>
          </w:p>
        </w:tc>
        <w:tc>
          <w:tcPr>
            <w:tcW w:w="910" w:type="dxa"/>
            <w:shd w:val="clear" w:color="auto" w:fill="auto"/>
            <w:vAlign w:val="center"/>
          </w:tcPr>
          <w:p w14:paraId="27831E12">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0</w:t>
            </w:r>
          </w:p>
        </w:tc>
        <w:tc>
          <w:tcPr>
            <w:tcW w:w="1893" w:type="dxa"/>
            <w:shd w:val="clear" w:color="auto" w:fill="auto"/>
            <w:vAlign w:val="center"/>
          </w:tcPr>
          <w:p w14:paraId="10CA08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798"/>
                <w:lang w:val="en-US" w:eastAsia="zh-CN" w:bidi="ar"/>
              </w:rPr>
              <w:t>固定污染源废气 挥发性有机物的测定 固相吸附</w:t>
            </w:r>
            <w:r>
              <w:rPr>
                <w:rStyle w:val="799"/>
                <w:rFonts w:eastAsia="宋体"/>
                <w:lang w:val="en-US" w:eastAsia="zh-CN" w:bidi="ar"/>
              </w:rPr>
              <w:t>-</w:t>
            </w:r>
            <w:r>
              <w:rPr>
                <w:rStyle w:val="798"/>
                <w:lang w:val="en-US" w:eastAsia="zh-CN" w:bidi="ar"/>
              </w:rPr>
              <w:t>热脱附</w:t>
            </w:r>
            <w:r>
              <w:rPr>
                <w:rStyle w:val="799"/>
                <w:rFonts w:eastAsia="宋体"/>
                <w:lang w:val="en-US" w:eastAsia="zh-CN" w:bidi="ar"/>
              </w:rPr>
              <w:t>/</w:t>
            </w:r>
            <w:r>
              <w:rPr>
                <w:rStyle w:val="798"/>
                <w:lang w:val="en-US" w:eastAsia="zh-CN" w:bidi="ar"/>
              </w:rPr>
              <w:t>气相色谱</w:t>
            </w:r>
            <w:r>
              <w:rPr>
                <w:rStyle w:val="799"/>
                <w:rFonts w:eastAsia="宋体"/>
                <w:lang w:val="en-US" w:eastAsia="zh-CN" w:bidi="ar"/>
              </w:rPr>
              <w:t>-</w:t>
            </w:r>
            <w:r>
              <w:rPr>
                <w:rStyle w:val="798"/>
                <w:lang w:val="en-US" w:eastAsia="zh-CN" w:bidi="ar"/>
              </w:rPr>
              <w:t>质谱法</w:t>
            </w:r>
            <w:r>
              <w:rPr>
                <w:rStyle w:val="799"/>
                <w:rFonts w:eastAsia="宋体"/>
                <w:lang w:val="en-US" w:eastAsia="zh-CN" w:bidi="ar"/>
              </w:rPr>
              <w:t>HJ 734-2014</w:t>
            </w:r>
          </w:p>
        </w:tc>
        <w:tc>
          <w:tcPr>
            <w:tcW w:w="1008" w:type="dxa"/>
            <w:shd w:val="clear" w:color="auto" w:fill="auto"/>
            <w:vAlign w:val="center"/>
          </w:tcPr>
          <w:p w14:paraId="36CDA950">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1000</w:t>
            </w:r>
          </w:p>
        </w:tc>
        <w:tc>
          <w:tcPr>
            <w:tcW w:w="693" w:type="dxa"/>
            <w:shd w:val="clear" w:color="auto" w:fill="auto"/>
            <w:noWrap/>
            <w:vAlign w:val="center"/>
          </w:tcPr>
          <w:p w14:paraId="6688A299">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1100</w:t>
            </w:r>
          </w:p>
        </w:tc>
      </w:tr>
      <w:tr w14:paraId="30D11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60" w:hRule="atLeast"/>
        </w:trPr>
        <w:tc>
          <w:tcPr>
            <w:tcW w:w="782" w:type="dxa"/>
            <w:shd w:val="clear" w:color="auto" w:fill="auto"/>
            <w:vAlign w:val="center"/>
          </w:tcPr>
          <w:p w14:paraId="454A14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527" w:type="dxa"/>
            <w:shd w:val="clear" w:color="auto" w:fill="auto"/>
            <w:vAlign w:val="center"/>
          </w:tcPr>
          <w:p w14:paraId="6A4AE3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硫化氢</w:t>
            </w:r>
          </w:p>
        </w:tc>
        <w:tc>
          <w:tcPr>
            <w:tcW w:w="1007" w:type="dxa"/>
            <w:shd w:val="clear" w:color="auto" w:fill="auto"/>
            <w:vAlign w:val="center"/>
          </w:tcPr>
          <w:p w14:paraId="551D3B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生产废气测试-不等速采样</w:t>
            </w:r>
          </w:p>
        </w:tc>
        <w:tc>
          <w:tcPr>
            <w:tcW w:w="1009" w:type="dxa"/>
            <w:shd w:val="clear" w:color="auto" w:fill="auto"/>
            <w:vAlign w:val="center"/>
          </w:tcPr>
          <w:p w14:paraId="5702E9C5">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100</w:t>
            </w:r>
          </w:p>
        </w:tc>
        <w:tc>
          <w:tcPr>
            <w:tcW w:w="1011" w:type="dxa"/>
            <w:shd w:val="clear" w:color="auto" w:fill="auto"/>
            <w:vAlign w:val="center"/>
          </w:tcPr>
          <w:p w14:paraId="115C2BF8">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w:t>
            </w:r>
          </w:p>
        </w:tc>
        <w:tc>
          <w:tcPr>
            <w:tcW w:w="910" w:type="dxa"/>
            <w:shd w:val="clear" w:color="auto" w:fill="auto"/>
            <w:vAlign w:val="center"/>
          </w:tcPr>
          <w:p w14:paraId="4A367230">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0</w:t>
            </w:r>
          </w:p>
        </w:tc>
        <w:tc>
          <w:tcPr>
            <w:tcW w:w="1893" w:type="dxa"/>
            <w:shd w:val="clear" w:color="auto" w:fill="auto"/>
            <w:vAlign w:val="center"/>
          </w:tcPr>
          <w:p w14:paraId="341D6E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798"/>
                <w:lang w:val="en-US" w:eastAsia="zh-CN" w:bidi="ar"/>
              </w:rPr>
              <w:t>亚甲基蓝分光光度法 《空气与废气监测分析方法》（第四版增补版 国家环境保护总局</w:t>
            </w:r>
            <w:r>
              <w:rPr>
                <w:rStyle w:val="799"/>
                <w:rFonts w:eastAsia="宋体"/>
                <w:lang w:val="en-US" w:eastAsia="zh-CN" w:bidi="ar"/>
              </w:rPr>
              <w:t xml:space="preserve"> 2003</w:t>
            </w:r>
            <w:r>
              <w:rPr>
                <w:rStyle w:val="798"/>
                <w:lang w:val="en-US" w:eastAsia="zh-CN" w:bidi="ar"/>
              </w:rPr>
              <w:t>年）</w:t>
            </w:r>
            <w:r>
              <w:rPr>
                <w:rStyle w:val="799"/>
                <w:rFonts w:eastAsia="宋体"/>
                <w:lang w:val="en-US" w:eastAsia="zh-CN" w:bidi="ar"/>
              </w:rPr>
              <w:t>3.1.11.2</w:t>
            </w:r>
          </w:p>
        </w:tc>
        <w:tc>
          <w:tcPr>
            <w:tcW w:w="1008" w:type="dxa"/>
            <w:shd w:val="clear" w:color="auto" w:fill="auto"/>
            <w:vAlign w:val="center"/>
          </w:tcPr>
          <w:p w14:paraId="1AB2AA2F">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60</w:t>
            </w:r>
          </w:p>
        </w:tc>
        <w:tc>
          <w:tcPr>
            <w:tcW w:w="693" w:type="dxa"/>
            <w:shd w:val="clear" w:color="auto" w:fill="auto"/>
            <w:noWrap/>
            <w:vAlign w:val="center"/>
          </w:tcPr>
          <w:p w14:paraId="21F26559">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160</w:t>
            </w:r>
          </w:p>
        </w:tc>
      </w:tr>
      <w:tr w14:paraId="1990F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09" w:hRule="atLeast"/>
        </w:trPr>
        <w:tc>
          <w:tcPr>
            <w:tcW w:w="782" w:type="dxa"/>
            <w:shd w:val="clear" w:color="auto" w:fill="auto"/>
            <w:vAlign w:val="center"/>
          </w:tcPr>
          <w:p w14:paraId="19AFD4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527" w:type="dxa"/>
            <w:shd w:val="clear" w:color="auto" w:fill="auto"/>
            <w:vAlign w:val="center"/>
          </w:tcPr>
          <w:p w14:paraId="5DBE29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油烟</w:t>
            </w:r>
          </w:p>
        </w:tc>
        <w:tc>
          <w:tcPr>
            <w:tcW w:w="1007" w:type="dxa"/>
            <w:shd w:val="clear" w:color="auto" w:fill="auto"/>
            <w:vAlign w:val="center"/>
          </w:tcPr>
          <w:p w14:paraId="63A380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生产废气测试-等速采样</w:t>
            </w:r>
          </w:p>
        </w:tc>
        <w:tc>
          <w:tcPr>
            <w:tcW w:w="1009" w:type="dxa"/>
            <w:shd w:val="clear" w:color="auto" w:fill="auto"/>
            <w:vAlign w:val="center"/>
          </w:tcPr>
          <w:p w14:paraId="3288D515">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400</w:t>
            </w:r>
          </w:p>
        </w:tc>
        <w:tc>
          <w:tcPr>
            <w:tcW w:w="1011" w:type="dxa"/>
            <w:shd w:val="clear" w:color="auto" w:fill="auto"/>
            <w:vAlign w:val="center"/>
          </w:tcPr>
          <w:p w14:paraId="0529F4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超声萃取</w:t>
            </w:r>
          </w:p>
        </w:tc>
        <w:tc>
          <w:tcPr>
            <w:tcW w:w="910" w:type="dxa"/>
            <w:shd w:val="clear" w:color="auto" w:fill="auto"/>
            <w:vAlign w:val="center"/>
          </w:tcPr>
          <w:p w14:paraId="2FC9FEEC">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20</w:t>
            </w:r>
          </w:p>
        </w:tc>
        <w:tc>
          <w:tcPr>
            <w:tcW w:w="1893" w:type="dxa"/>
            <w:shd w:val="clear" w:color="auto" w:fill="auto"/>
            <w:vAlign w:val="center"/>
          </w:tcPr>
          <w:p w14:paraId="137B31D7">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Style w:val="801"/>
                <w:lang w:val="en-US" w:eastAsia="zh-CN" w:bidi="ar"/>
              </w:rPr>
              <w:t>固定污染源废气 油烟和油雾的测定 红外分光光度法</w:t>
            </w:r>
            <w:r>
              <w:rPr>
                <w:rStyle w:val="799"/>
                <w:rFonts w:eastAsia="宋体"/>
                <w:lang w:val="en-US" w:eastAsia="zh-CN" w:bidi="ar"/>
              </w:rPr>
              <w:t xml:space="preserve">  HJ 1077-2019</w:t>
            </w:r>
          </w:p>
        </w:tc>
        <w:tc>
          <w:tcPr>
            <w:tcW w:w="1008" w:type="dxa"/>
            <w:shd w:val="clear" w:color="auto" w:fill="auto"/>
            <w:vAlign w:val="center"/>
          </w:tcPr>
          <w:p w14:paraId="688A9CA5">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80</w:t>
            </w:r>
          </w:p>
        </w:tc>
        <w:tc>
          <w:tcPr>
            <w:tcW w:w="693" w:type="dxa"/>
            <w:shd w:val="clear" w:color="auto" w:fill="auto"/>
            <w:noWrap/>
            <w:vAlign w:val="center"/>
          </w:tcPr>
          <w:p w14:paraId="02C3E567">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500</w:t>
            </w:r>
          </w:p>
        </w:tc>
      </w:tr>
      <w:tr w14:paraId="3A95C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09" w:hRule="atLeast"/>
        </w:trPr>
        <w:tc>
          <w:tcPr>
            <w:tcW w:w="782" w:type="dxa"/>
            <w:shd w:val="clear" w:color="auto" w:fill="auto"/>
            <w:vAlign w:val="center"/>
          </w:tcPr>
          <w:p w14:paraId="3FD76B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527" w:type="dxa"/>
            <w:shd w:val="clear" w:color="auto" w:fill="auto"/>
            <w:vAlign w:val="center"/>
          </w:tcPr>
          <w:p w14:paraId="2B934A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一氧化碳</w:t>
            </w:r>
          </w:p>
        </w:tc>
        <w:tc>
          <w:tcPr>
            <w:tcW w:w="1007" w:type="dxa"/>
            <w:shd w:val="clear" w:color="auto" w:fill="auto"/>
            <w:vAlign w:val="center"/>
          </w:tcPr>
          <w:p w14:paraId="113F9F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烟道烟气采样测试-NCO仪器法</w:t>
            </w:r>
          </w:p>
        </w:tc>
        <w:tc>
          <w:tcPr>
            <w:tcW w:w="1009" w:type="dxa"/>
            <w:shd w:val="clear" w:color="auto" w:fill="auto"/>
            <w:vAlign w:val="center"/>
          </w:tcPr>
          <w:p w14:paraId="47E4729F">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70</w:t>
            </w:r>
          </w:p>
        </w:tc>
        <w:tc>
          <w:tcPr>
            <w:tcW w:w="1011" w:type="dxa"/>
            <w:shd w:val="clear" w:color="auto" w:fill="auto"/>
            <w:vAlign w:val="center"/>
          </w:tcPr>
          <w:p w14:paraId="7AC57996">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w:t>
            </w:r>
          </w:p>
        </w:tc>
        <w:tc>
          <w:tcPr>
            <w:tcW w:w="910" w:type="dxa"/>
            <w:shd w:val="clear" w:color="auto" w:fill="auto"/>
            <w:vAlign w:val="center"/>
          </w:tcPr>
          <w:p w14:paraId="6FC220A6">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0</w:t>
            </w:r>
          </w:p>
        </w:tc>
        <w:tc>
          <w:tcPr>
            <w:tcW w:w="1893" w:type="dxa"/>
            <w:shd w:val="clear" w:color="auto" w:fill="auto"/>
            <w:vAlign w:val="center"/>
          </w:tcPr>
          <w:p w14:paraId="2E33EC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798"/>
                <w:lang w:val="en-US" w:eastAsia="zh-CN" w:bidi="ar"/>
              </w:rPr>
              <w:t>固定污染源废气 一氧化碳的测定定电位电解法</w:t>
            </w:r>
            <w:r>
              <w:rPr>
                <w:rStyle w:val="799"/>
                <w:rFonts w:eastAsia="宋体"/>
                <w:lang w:val="en-US" w:eastAsia="zh-CN" w:bidi="ar"/>
              </w:rPr>
              <w:t>HJ 973-2018</w:t>
            </w:r>
          </w:p>
        </w:tc>
        <w:tc>
          <w:tcPr>
            <w:tcW w:w="1008" w:type="dxa"/>
            <w:shd w:val="clear" w:color="auto" w:fill="auto"/>
            <w:vAlign w:val="center"/>
          </w:tcPr>
          <w:p w14:paraId="52B0EA1C">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0</w:t>
            </w:r>
          </w:p>
        </w:tc>
        <w:tc>
          <w:tcPr>
            <w:tcW w:w="693" w:type="dxa"/>
            <w:shd w:val="clear" w:color="auto" w:fill="auto"/>
            <w:noWrap/>
            <w:vAlign w:val="center"/>
          </w:tcPr>
          <w:p w14:paraId="121205B0">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70</w:t>
            </w:r>
          </w:p>
        </w:tc>
      </w:tr>
      <w:tr w14:paraId="7B675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09" w:hRule="atLeast"/>
        </w:trPr>
        <w:tc>
          <w:tcPr>
            <w:tcW w:w="782" w:type="dxa"/>
            <w:shd w:val="clear" w:color="auto" w:fill="auto"/>
            <w:vAlign w:val="center"/>
          </w:tcPr>
          <w:p w14:paraId="4DB638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527" w:type="dxa"/>
            <w:shd w:val="clear" w:color="auto" w:fill="auto"/>
            <w:vAlign w:val="center"/>
          </w:tcPr>
          <w:p w14:paraId="4974A9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烟气黑度（林格曼黑度）</w:t>
            </w:r>
          </w:p>
        </w:tc>
        <w:tc>
          <w:tcPr>
            <w:tcW w:w="1007" w:type="dxa"/>
            <w:shd w:val="clear" w:color="auto" w:fill="auto"/>
            <w:vAlign w:val="center"/>
          </w:tcPr>
          <w:p w14:paraId="48D9D4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目视法（一组数据）</w:t>
            </w:r>
          </w:p>
        </w:tc>
        <w:tc>
          <w:tcPr>
            <w:tcW w:w="1009" w:type="dxa"/>
            <w:shd w:val="clear" w:color="auto" w:fill="auto"/>
            <w:vAlign w:val="center"/>
          </w:tcPr>
          <w:p w14:paraId="4A6661D8">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20</w:t>
            </w:r>
          </w:p>
        </w:tc>
        <w:tc>
          <w:tcPr>
            <w:tcW w:w="1011" w:type="dxa"/>
            <w:shd w:val="clear" w:color="auto" w:fill="auto"/>
            <w:vAlign w:val="center"/>
          </w:tcPr>
          <w:p w14:paraId="00A43F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10" w:type="dxa"/>
            <w:shd w:val="clear" w:color="auto" w:fill="auto"/>
            <w:vAlign w:val="center"/>
          </w:tcPr>
          <w:p w14:paraId="6C517DD2">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0</w:t>
            </w:r>
          </w:p>
        </w:tc>
        <w:tc>
          <w:tcPr>
            <w:tcW w:w="1893" w:type="dxa"/>
            <w:shd w:val="clear" w:color="auto" w:fill="auto"/>
            <w:vAlign w:val="center"/>
          </w:tcPr>
          <w:p w14:paraId="1CDC2D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798"/>
                <w:lang w:val="en-US" w:eastAsia="zh-CN" w:bidi="ar"/>
              </w:rPr>
              <w:t>固定污染源排放烟气黑度的测定 林格曼烟气黑度图法HJ/T 398-2007</w:t>
            </w:r>
          </w:p>
        </w:tc>
        <w:tc>
          <w:tcPr>
            <w:tcW w:w="1008" w:type="dxa"/>
            <w:shd w:val="clear" w:color="auto" w:fill="auto"/>
            <w:vAlign w:val="center"/>
          </w:tcPr>
          <w:p w14:paraId="65FA0AD4">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0</w:t>
            </w:r>
          </w:p>
        </w:tc>
        <w:tc>
          <w:tcPr>
            <w:tcW w:w="693" w:type="dxa"/>
            <w:shd w:val="clear" w:color="auto" w:fill="auto"/>
            <w:noWrap/>
            <w:vAlign w:val="center"/>
          </w:tcPr>
          <w:p w14:paraId="2F621A3E">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20</w:t>
            </w:r>
          </w:p>
        </w:tc>
      </w:tr>
      <w:tr w14:paraId="47E04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12" w:hRule="atLeast"/>
        </w:trPr>
        <w:tc>
          <w:tcPr>
            <w:tcW w:w="782" w:type="dxa"/>
            <w:shd w:val="clear" w:color="auto" w:fill="auto"/>
            <w:noWrap/>
            <w:vAlign w:val="center"/>
          </w:tcPr>
          <w:p w14:paraId="1A34324E">
            <w:pPr>
              <w:keepNext w:val="0"/>
              <w:keepLines w:val="0"/>
              <w:widowControl/>
              <w:suppressLineNumbers w:val="0"/>
              <w:jc w:val="center"/>
              <w:textAlignment w:val="center"/>
              <w:rPr>
                <w:rFonts w:hint="eastAsia" w:ascii="等线" w:hAnsi="等线" w:eastAsia="等线" w:cs="等线"/>
                <w:b/>
                <w:bCs/>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无组织废气</w:t>
            </w:r>
          </w:p>
        </w:tc>
        <w:tc>
          <w:tcPr>
            <w:tcW w:w="1527" w:type="dxa"/>
            <w:shd w:val="clear" w:color="auto" w:fill="auto"/>
            <w:noWrap/>
            <w:vAlign w:val="center"/>
          </w:tcPr>
          <w:p w14:paraId="37AA2897">
            <w:pPr>
              <w:jc w:val="center"/>
              <w:rPr>
                <w:rFonts w:hint="eastAsia" w:ascii="等线" w:hAnsi="等线" w:eastAsia="等线" w:cs="等线"/>
                <w:b/>
                <w:bCs/>
                <w:i w:val="0"/>
                <w:iCs w:val="0"/>
                <w:color w:val="000000"/>
                <w:sz w:val="22"/>
                <w:szCs w:val="22"/>
                <w:u w:val="none"/>
              </w:rPr>
            </w:pPr>
          </w:p>
        </w:tc>
        <w:tc>
          <w:tcPr>
            <w:tcW w:w="1007" w:type="dxa"/>
            <w:shd w:val="clear" w:color="auto" w:fill="auto"/>
            <w:noWrap/>
            <w:vAlign w:val="center"/>
          </w:tcPr>
          <w:p w14:paraId="6D2A883F">
            <w:pPr>
              <w:jc w:val="center"/>
              <w:rPr>
                <w:rFonts w:hint="eastAsia" w:ascii="等线" w:hAnsi="等线" w:eastAsia="等线" w:cs="等线"/>
                <w:b/>
                <w:bCs/>
                <w:i w:val="0"/>
                <w:iCs w:val="0"/>
                <w:color w:val="000000"/>
                <w:sz w:val="22"/>
                <w:szCs w:val="22"/>
                <w:u w:val="none"/>
              </w:rPr>
            </w:pPr>
          </w:p>
        </w:tc>
        <w:tc>
          <w:tcPr>
            <w:tcW w:w="1009" w:type="dxa"/>
            <w:shd w:val="clear" w:color="auto" w:fill="auto"/>
            <w:noWrap/>
            <w:vAlign w:val="center"/>
          </w:tcPr>
          <w:p w14:paraId="4A1A502B">
            <w:pPr>
              <w:jc w:val="center"/>
              <w:rPr>
                <w:rFonts w:hint="eastAsia" w:ascii="等线" w:hAnsi="等线" w:eastAsia="等线" w:cs="等线"/>
                <w:b/>
                <w:bCs/>
                <w:i w:val="0"/>
                <w:iCs w:val="0"/>
                <w:color w:val="000000"/>
                <w:sz w:val="22"/>
                <w:szCs w:val="22"/>
                <w:u w:val="none"/>
              </w:rPr>
            </w:pPr>
          </w:p>
        </w:tc>
        <w:tc>
          <w:tcPr>
            <w:tcW w:w="1011" w:type="dxa"/>
            <w:shd w:val="clear" w:color="auto" w:fill="auto"/>
            <w:noWrap/>
            <w:vAlign w:val="center"/>
          </w:tcPr>
          <w:p w14:paraId="08147F21">
            <w:pPr>
              <w:jc w:val="center"/>
              <w:rPr>
                <w:rFonts w:hint="eastAsia" w:ascii="等线" w:hAnsi="等线" w:eastAsia="等线" w:cs="等线"/>
                <w:b/>
                <w:bCs/>
                <w:i w:val="0"/>
                <w:iCs w:val="0"/>
                <w:color w:val="000000"/>
                <w:sz w:val="22"/>
                <w:szCs w:val="22"/>
                <w:u w:val="none"/>
              </w:rPr>
            </w:pPr>
          </w:p>
        </w:tc>
        <w:tc>
          <w:tcPr>
            <w:tcW w:w="910" w:type="dxa"/>
            <w:shd w:val="clear" w:color="auto" w:fill="auto"/>
            <w:noWrap/>
            <w:vAlign w:val="center"/>
          </w:tcPr>
          <w:p w14:paraId="143BFDEC">
            <w:pPr>
              <w:jc w:val="center"/>
              <w:rPr>
                <w:rFonts w:hint="eastAsia" w:ascii="等线" w:hAnsi="等线" w:eastAsia="等线" w:cs="等线"/>
                <w:b/>
                <w:bCs/>
                <w:i w:val="0"/>
                <w:iCs w:val="0"/>
                <w:color w:val="000000"/>
                <w:sz w:val="22"/>
                <w:szCs w:val="22"/>
                <w:u w:val="none"/>
              </w:rPr>
            </w:pPr>
          </w:p>
        </w:tc>
        <w:tc>
          <w:tcPr>
            <w:tcW w:w="1893" w:type="dxa"/>
            <w:shd w:val="clear" w:color="auto" w:fill="auto"/>
            <w:noWrap/>
            <w:vAlign w:val="center"/>
          </w:tcPr>
          <w:p w14:paraId="15E4E3AB">
            <w:pPr>
              <w:jc w:val="center"/>
              <w:rPr>
                <w:rFonts w:hint="eastAsia" w:ascii="等线" w:hAnsi="等线" w:eastAsia="等线" w:cs="等线"/>
                <w:b/>
                <w:bCs/>
                <w:i w:val="0"/>
                <w:iCs w:val="0"/>
                <w:color w:val="000000"/>
                <w:sz w:val="22"/>
                <w:szCs w:val="22"/>
                <w:u w:val="none"/>
              </w:rPr>
            </w:pPr>
          </w:p>
        </w:tc>
        <w:tc>
          <w:tcPr>
            <w:tcW w:w="1008" w:type="dxa"/>
            <w:shd w:val="clear" w:color="auto" w:fill="auto"/>
            <w:noWrap/>
            <w:vAlign w:val="center"/>
          </w:tcPr>
          <w:p w14:paraId="3E833C10">
            <w:pPr>
              <w:jc w:val="center"/>
              <w:rPr>
                <w:rFonts w:hint="eastAsia" w:ascii="等线" w:hAnsi="等线" w:eastAsia="等线" w:cs="等线"/>
                <w:b/>
                <w:bCs/>
                <w:i w:val="0"/>
                <w:iCs w:val="0"/>
                <w:color w:val="000000"/>
                <w:sz w:val="22"/>
                <w:szCs w:val="22"/>
                <w:u w:val="none"/>
              </w:rPr>
            </w:pPr>
          </w:p>
        </w:tc>
        <w:tc>
          <w:tcPr>
            <w:tcW w:w="693" w:type="dxa"/>
            <w:shd w:val="clear" w:color="auto" w:fill="auto"/>
            <w:noWrap/>
            <w:vAlign w:val="center"/>
          </w:tcPr>
          <w:p w14:paraId="3084EC91">
            <w:pPr>
              <w:jc w:val="center"/>
              <w:rPr>
                <w:rFonts w:hint="default" w:ascii="Times New Roman" w:hAnsi="Times New Roman" w:eastAsia="等线" w:cs="Times New Roman"/>
                <w:i w:val="0"/>
                <w:iCs w:val="0"/>
                <w:color w:val="000000"/>
                <w:sz w:val="20"/>
                <w:szCs w:val="20"/>
                <w:u w:val="none"/>
              </w:rPr>
            </w:pPr>
          </w:p>
        </w:tc>
      </w:tr>
      <w:tr w14:paraId="573AB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9" w:hRule="atLeast"/>
        </w:trPr>
        <w:tc>
          <w:tcPr>
            <w:tcW w:w="782" w:type="dxa"/>
            <w:shd w:val="clear" w:color="auto" w:fill="auto"/>
            <w:vAlign w:val="center"/>
          </w:tcPr>
          <w:p w14:paraId="0F2406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527" w:type="dxa"/>
            <w:shd w:val="clear" w:color="auto" w:fill="auto"/>
            <w:vAlign w:val="center"/>
          </w:tcPr>
          <w:p w14:paraId="1476AD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臭气浓度</w:t>
            </w:r>
          </w:p>
        </w:tc>
        <w:tc>
          <w:tcPr>
            <w:tcW w:w="1007" w:type="dxa"/>
            <w:shd w:val="clear" w:color="auto" w:fill="auto"/>
            <w:vAlign w:val="center"/>
          </w:tcPr>
          <w:p w14:paraId="4F6B24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大气采样-大气采样器</w:t>
            </w:r>
          </w:p>
        </w:tc>
        <w:tc>
          <w:tcPr>
            <w:tcW w:w="1009" w:type="dxa"/>
            <w:shd w:val="clear" w:color="auto" w:fill="auto"/>
            <w:vAlign w:val="center"/>
          </w:tcPr>
          <w:p w14:paraId="74A3375F">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35</w:t>
            </w:r>
          </w:p>
        </w:tc>
        <w:tc>
          <w:tcPr>
            <w:tcW w:w="1011" w:type="dxa"/>
            <w:shd w:val="clear" w:color="auto" w:fill="auto"/>
            <w:vAlign w:val="center"/>
          </w:tcPr>
          <w:p w14:paraId="0A6AE0F2">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w:t>
            </w:r>
          </w:p>
        </w:tc>
        <w:tc>
          <w:tcPr>
            <w:tcW w:w="910" w:type="dxa"/>
            <w:shd w:val="clear" w:color="auto" w:fill="auto"/>
            <w:vAlign w:val="center"/>
          </w:tcPr>
          <w:p w14:paraId="154B1445">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0</w:t>
            </w:r>
          </w:p>
        </w:tc>
        <w:tc>
          <w:tcPr>
            <w:tcW w:w="1893" w:type="dxa"/>
            <w:shd w:val="clear" w:color="auto" w:fill="auto"/>
            <w:vAlign w:val="center"/>
          </w:tcPr>
          <w:p w14:paraId="4A8EA7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798"/>
                <w:lang w:val="en-US" w:eastAsia="zh-CN" w:bidi="ar"/>
              </w:rPr>
              <w:t>空气质量 恶臭的测定 三点比较式臭袋法</w:t>
            </w:r>
            <w:r>
              <w:rPr>
                <w:rStyle w:val="799"/>
                <w:rFonts w:eastAsia="宋体"/>
                <w:lang w:val="en-US" w:eastAsia="zh-CN" w:bidi="ar"/>
              </w:rPr>
              <w:t>GB/T 14675-1993</w:t>
            </w:r>
          </w:p>
        </w:tc>
        <w:tc>
          <w:tcPr>
            <w:tcW w:w="1008" w:type="dxa"/>
            <w:shd w:val="clear" w:color="auto" w:fill="auto"/>
            <w:vAlign w:val="center"/>
          </w:tcPr>
          <w:p w14:paraId="06710CDF">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500</w:t>
            </w:r>
          </w:p>
        </w:tc>
        <w:tc>
          <w:tcPr>
            <w:tcW w:w="693" w:type="dxa"/>
            <w:shd w:val="clear" w:color="auto" w:fill="auto"/>
            <w:noWrap/>
            <w:vAlign w:val="center"/>
          </w:tcPr>
          <w:p w14:paraId="6E975EE6">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535</w:t>
            </w:r>
          </w:p>
        </w:tc>
      </w:tr>
      <w:tr w14:paraId="3C3B2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09" w:hRule="atLeast"/>
        </w:trPr>
        <w:tc>
          <w:tcPr>
            <w:tcW w:w="782" w:type="dxa"/>
            <w:shd w:val="clear" w:color="auto" w:fill="auto"/>
            <w:vAlign w:val="center"/>
          </w:tcPr>
          <w:p w14:paraId="77A976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527" w:type="dxa"/>
            <w:shd w:val="clear" w:color="auto" w:fill="auto"/>
            <w:vAlign w:val="center"/>
          </w:tcPr>
          <w:p w14:paraId="0908E2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氨</w:t>
            </w:r>
          </w:p>
        </w:tc>
        <w:tc>
          <w:tcPr>
            <w:tcW w:w="1007" w:type="dxa"/>
            <w:shd w:val="clear" w:color="auto" w:fill="auto"/>
            <w:vAlign w:val="center"/>
          </w:tcPr>
          <w:p w14:paraId="6E81B1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大气采样-大气采样器</w:t>
            </w:r>
          </w:p>
        </w:tc>
        <w:tc>
          <w:tcPr>
            <w:tcW w:w="1009" w:type="dxa"/>
            <w:shd w:val="clear" w:color="auto" w:fill="auto"/>
            <w:vAlign w:val="center"/>
          </w:tcPr>
          <w:p w14:paraId="3D56C755">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35</w:t>
            </w:r>
          </w:p>
        </w:tc>
        <w:tc>
          <w:tcPr>
            <w:tcW w:w="1011" w:type="dxa"/>
            <w:shd w:val="clear" w:color="auto" w:fill="auto"/>
            <w:vAlign w:val="center"/>
          </w:tcPr>
          <w:p w14:paraId="3134971D">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w:t>
            </w:r>
          </w:p>
        </w:tc>
        <w:tc>
          <w:tcPr>
            <w:tcW w:w="910" w:type="dxa"/>
            <w:shd w:val="clear" w:color="auto" w:fill="auto"/>
            <w:vAlign w:val="center"/>
          </w:tcPr>
          <w:p w14:paraId="0779D2FC">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0</w:t>
            </w:r>
          </w:p>
        </w:tc>
        <w:tc>
          <w:tcPr>
            <w:tcW w:w="1893" w:type="dxa"/>
            <w:shd w:val="clear" w:color="auto" w:fill="auto"/>
            <w:vAlign w:val="center"/>
          </w:tcPr>
          <w:p w14:paraId="50784B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环境空气和废气 氨的测定 纳氏试剂分光光度法HJ 533-2009</w:t>
            </w:r>
          </w:p>
        </w:tc>
        <w:tc>
          <w:tcPr>
            <w:tcW w:w="1008" w:type="dxa"/>
            <w:shd w:val="clear" w:color="auto" w:fill="auto"/>
            <w:vAlign w:val="center"/>
          </w:tcPr>
          <w:p w14:paraId="337AB843">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60</w:t>
            </w:r>
          </w:p>
        </w:tc>
        <w:tc>
          <w:tcPr>
            <w:tcW w:w="693" w:type="dxa"/>
            <w:shd w:val="clear" w:color="auto" w:fill="auto"/>
            <w:noWrap/>
            <w:vAlign w:val="center"/>
          </w:tcPr>
          <w:p w14:paraId="13E5D0DE">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95</w:t>
            </w:r>
          </w:p>
        </w:tc>
      </w:tr>
      <w:tr w14:paraId="65C1E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5" w:hRule="atLeast"/>
        </w:trPr>
        <w:tc>
          <w:tcPr>
            <w:tcW w:w="782" w:type="dxa"/>
            <w:shd w:val="clear" w:color="auto" w:fill="auto"/>
            <w:vAlign w:val="center"/>
          </w:tcPr>
          <w:p w14:paraId="00867B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527" w:type="dxa"/>
            <w:shd w:val="clear" w:color="auto" w:fill="auto"/>
            <w:vAlign w:val="center"/>
          </w:tcPr>
          <w:p w14:paraId="2A5A78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总悬浮颗粒物</w:t>
            </w:r>
          </w:p>
        </w:tc>
        <w:tc>
          <w:tcPr>
            <w:tcW w:w="1007" w:type="dxa"/>
            <w:shd w:val="clear" w:color="auto" w:fill="auto"/>
            <w:vAlign w:val="center"/>
          </w:tcPr>
          <w:p w14:paraId="3EBB49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大气采样-大气采样器（需采样1小时-75元）</w:t>
            </w:r>
          </w:p>
        </w:tc>
        <w:tc>
          <w:tcPr>
            <w:tcW w:w="1009" w:type="dxa"/>
            <w:shd w:val="clear" w:color="auto" w:fill="auto"/>
            <w:vAlign w:val="center"/>
          </w:tcPr>
          <w:p w14:paraId="41CD88F4">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75</w:t>
            </w:r>
          </w:p>
        </w:tc>
        <w:tc>
          <w:tcPr>
            <w:tcW w:w="1011" w:type="dxa"/>
            <w:shd w:val="clear" w:color="auto" w:fill="auto"/>
            <w:vAlign w:val="center"/>
          </w:tcPr>
          <w:p w14:paraId="3FAC4428">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w:t>
            </w:r>
          </w:p>
        </w:tc>
        <w:tc>
          <w:tcPr>
            <w:tcW w:w="910" w:type="dxa"/>
            <w:shd w:val="clear" w:color="auto" w:fill="auto"/>
            <w:vAlign w:val="center"/>
          </w:tcPr>
          <w:p w14:paraId="34531E58">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0</w:t>
            </w:r>
          </w:p>
        </w:tc>
        <w:tc>
          <w:tcPr>
            <w:tcW w:w="1893" w:type="dxa"/>
            <w:shd w:val="clear" w:color="auto" w:fill="auto"/>
            <w:vAlign w:val="center"/>
          </w:tcPr>
          <w:p w14:paraId="227624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798"/>
                <w:lang w:val="en-US" w:eastAsia="zh-CN" w:bidi="ar"/>
              </w:rPr>
              <w:t>环境空气 总悬浮颗粒物的测定 重量法</w:t>
            </w:r>
            <w:r>
              <w:rPr>
                <w:rStyle w:val="799"/>
                <w:rFonts w:eastAsia="宋体"/>
                <w:lang w:val="en-US" w:eastAsia="zh-CN" w:bidi="ar"/>
              </w:rPr>
              <w:t>GB/T 15432-1995</w:t>
            </w:r>
            <w:r>
              <w:rPr>
                <w:rStyle w:val="798"/>
                <w:lang w:val="en-US" w:eastAsia="zh-CN" w:bidi="ar"/>
              </w:rPr>
              <w:t>及修改单</w:t>
            </w:r>
          </w:p>
        </w:tc>
        <w:tc>
          <w:tcPr>
            <w:tcW w:w="1008" w:type="dxa"/>
            <w:shd w:val="clear" w:color="auto" w:fill="auto"/>
            <w:vAlign w:val="center"/>
          </w:tcPr>
          <w:p w14:paraId="459268C7">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60</w:t>
            </w:r>
          </w:p>
        </w:tc>
        <w:tc>
          <w:tcPr>
            <w:tcW w:w="693" w:type="dxa"/>
            <w:shd w:val="clear" w:color="auto" w:fill="auto"/>
            <w:noWrap/>
            <w:vAlign w:val="center"/>
          </w:tcPr>
          <w:p w14:paraId="75AFB63C">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135</w:t>
            </w:r>
          </w:p>
        </w:tc>
      </w:tr>
      <w:tr w14:paraId="250B4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9" w:hRule="atLeast"/>
        </w:trPr>
        <w:tc>
          <w:tcPr>
            <w:tcW w:w="782" w:type="dxa"/>
            <w:shd w:val="clear" w:color="auto" w:fill="auto"/>
            <w:vAlign w:val="center"/>
          </w:tcPr>
          <w:p w14:paraId="517DEE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527" w:type="dxa"/>
            <w:shd w:val="clear" w:color="auto" w:fill="auto"/>
            <w:vAlign w:val="center"/>
          </w:tcPr>
          <w:p w14:paraId="5226B9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氯化氢</w:t>
            </w:r>
          </w:p>
        </w:tc>
        <w:tc>
          <w:tcPr>
            <w:tcW w:w="1007" w:type="dxa"/>
            <w:shd w:val="clear" w:color="auto" w:fill="auto"/>
            <w:vAlign w:val="center"/>
          </w:tcPr>
          <w:p w14:paraId="7B3187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大气采样-大气采样器</w:t>
            </w:r>
          </w:p>
        </w:tc>
        <w:tc>
          <w:tcPr>
            <w:tcW w:w="1009" w:type="dxa"/>
            <w:shd w:val="clear" w:color="auto" w:fill="auto"/>
            <w:vAlign w:val="center"/>
          </w:tcPr>
          <w:p w14:paraId="58F37DCE">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35</w:t>
            </w:r>
          </w:p>
        </w:tc>
        <w:tc>
          <w:tcPr>
            <w:tcW w:w="1011" w:type="dxa"/>
            <w:shd w:val="clear" w:color="auto" w:fill="auto"/>
            <w:vAlign w:val="center"/>
          </w:tcPr>
          <w:p w14:paraId="6797E184">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w:t>
            </w:r>
          </w:p>
        </w:tc>
        <w:tc>
          <w:tcPr>
            <w:tcW w:w="910" w:type="dxa"/>
            <w:shd w:val="clear" w:color="auto" w:fill="auto"/>
            <w:vAlign w:val="center"/>
          </w:tcPr>
          <w:p w14:paraId="35DA42B4">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0</w:t>
            </w:r>
          </w:p>
        </w:tc>
        <w:tc>
          <w:tcPr>
            <w:tcW w:w="1893" w:type="dxa"/>
            <w:shd w:val="clear" w:color="auto" w:fill="auto"/>
            <w:vAlign w:val="center"/>
          </w:tcPr>
          <w:p w14:paraId="171130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798"/>
                <w:lang w:val="en-US" w:eastAsia="zh-CN" w:bidi="ar"/>
              </w:rPr>
              <w:t>环境空气和废气 氯化氢的测定 离子色谱法</w:t>
            </w:r>
            <w:r>
              <w:rPr>
                <w:rStyle w:val="799"/>
                <w:rFonts w:eastAsia="宋体"/>
                <w:lang w:val="en-US" w:eastAsia="zh-CN" w:bidi="ar"/>
              </w:rPr>
              <w:t xml:space="preserve"> HJ 549-2016</w:t>
            </w:r>
          </w:p>
        </w:tc>
        <w:tc>
          <w:tcPr>
            <w:tcW w:w="1008" w:type="dxa"/>
            <w:shd w:val="clear" w:color="auto" w:fill="auto"/>
            <w:vAlign w:val="center"/>
          </w:tcPr>
          <w:p w14:paraId="3AFC2E4E">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80</w:t>
            </w:r>
          </w:p>
        </w:tc>
        <w:tc>
          <w:tcPr>
            <w:tcW w:w="693" w:type="dxa"/>
            <w:shd w:val="clear" w:color="auto" w:fill="auto"/>
            <w:noWrap/>
            <w:vAlign w:val="center"/>
          </w:tcPr>
          <w:p w14:paraId="2D5B0C5A">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115</w:t>
            </w:r>
          </w:p>
        </w:tc>
      </w:tr>
      <w:tr w14:paraId="27ED4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60" w:hRule="atLeast"/>
        </w:trPr>
        <w:tc>
          <w:tcPr>
            <w:tcW w:w="782" w:type="dxa"/>
            <w:shd w:val="clear" w:color="auto" w:fill="auto"/>
            <w:vAlign w:val="center"/>
          </w:tcPr>
          <w:p w14:paraId="162DAD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527" w:type="dxa"/>
            <w:shd w:val="clear" w:color="auto" w:fill="auto"/>
            <w:vAlign w:val="center"/>
          </w:tcPr>
          <w:p w14:paraId="1CFC0B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氮氧化物</w:t>
            </w:r>
          </w:p>
        </w:tc>
        <w:tc>
          <w:tcPr>
            <w:tcW w:w="1007" w:type="dxa"/>
            <w:shd w:val="clear" w:color="auto" w:fill="auto"/>
            <w:vAlign w:val="center"/>
          </w:tcPr>
          <w:p w14:paraId="1C1D0D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大气采样-大气采样器</w:t>
            </w:r>
          </w:p>
        </w:tc>
        <w:tc>
          <w:tcPr>
            <w:tcW w:w="1009" w:type="dxa"/>
            <w:shd w:val="clear" w:color="auto" w:fill="auto"/>
            <w:vAlign w:val="center"/>
          </w:tcPr>
          <w:p w14:paraId="0A0D382D">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35</w:t>
            </w:r>
          </w:p>
        </w:tc>
        <w:tc>
          <w:tcPr>
            <w:tcW w:w="1011" w:type="dxa"/>
            <w:shd w:val="clear" w:color="auto" w:fill="auto"/>
            <w:vAlign w:val="center"/>
          </w:tcPr>
          <w:p w14:paraId="1242198E">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w:t>
            </w:r>
          </w:p>
        </w:tc>
        <w:tc>
          <w:tcPr>
            <w:tcW w:w="910" w:type="dxa"/>
            <w:shd w:val="clear" w:color="auto" w:fill="auto"/>
            <w:vAlign w:val="center"/>
          </w:tcPr>
          <w:p w14:paraId="31F3449A">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0</w:t>
            </w:r>
          </w:p>
        </w:tc>
        <w:tc>
          <w:tcPr>
            <w:tcW w:w="1893" w:type="dxa"/>
            <w:shd w:val="clear" w:color="auto" w:fill="auto"/>
            <w:vAlign w:val="center"/>
          </w:tcPr>
          <w:p w14:paraId="7E262D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798"/>
                <w:lang w:val="en-US" w:eastAsia="zh-CN" w:bidi="ar"/>
              </w:rPr>
              <w:t>环境空气 氮氧化物（一氧化氮和二氧化氮）的测定 盐酸萘乙二胺分光光度法</w:t>
            </w:r>
            <w:r>
              <w:rPr>
                <w:rStyle w:val="799"/>
                <w:rFonts w:eastAsia="宋体"/>
                <w:lang w:val="en-US" w:eastAsia="zh-CN" w:bidi="ar"/>
              </w:rPr>
              <w:t xml:space="preserve">   HJ 479-2009</w:t>
            </w:r>
            <w:r>
              <w:rPr>
                <w:rStyle w:val="798"/>
                <w:lang w:val="en-US" w:eastAsia="zh-CN" w:bidi="ar"/>
              </w:rPr>
              <w:t>及修改单</w:t>
            </w:r>
          </w:p>
        </w:tc>
        <w:tc>
          <w:tcPr>
            <w:tcW w:w="1008" w:type="dxa"/>
            <w:shd w:val="clear" w:color="auto" w:fill="auto"/>
            <w:vAlign w:val="center"/>
          </w:tcPr>
          <w:p w14:paraId="746300AD">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60</w:t>
            </w:r>
          </w:p>
        </w:tc>
        <w:tc>
          <w:tcPr>
            <w:tcW w:w="693" w:type="dxa"/>
            <w:shd w:val="clear" w:color="auto" w:fill="auto"/>
            <w:noWrap/>
            <w:vAlign w:val="center"/>
          </w:tcPr>
          <w:p w14:paraId="26517C85">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95</w:t>
            </w:r>
          </w:p>
        </w:tc>
      </w:tr>
      <w:tr w14:paraId="5BCA3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35" w:hRule="atLeast"/>
        </w:trPr>
        <w:tc>
          <w:tcPr>
            <w:tcW w:w="782" w:type="dxa"/>
            <w:shd w:val="clear" w:color="auto" w:fill="auto"/>
            <w:vAlign w:val="center"/>
          </w:tcPr>
          <w:p w14:paraId="742C0D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527" w:type="dxa"/>
            <w:shd w:val="clear" w:color="auto" w:fill="auto"/>
            <w:vAlign w:val="center"/>
          </w:tcPr>
          <w:p w14:paraId="0C9E0C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挥发性有机物</w:t>
            </w:r>
          </w:p>
        </w:tc>
        <w:tc>
          <w:tcPr>
            <w:tcW w:w="1007" w:type="dxa"/>
            <w:shd w:val="clear" w:color="auto" w:fill="auto"/>
            <w:vAlign w:val="center"/>
          </w:tcPr>
          <w:p w14:paraId="0C5495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大气采样-大气采样器（空气自动监测器-100元）</w:t>
            </w:r>
          </w:p>
        </w:tc>
        <w:tc>
          <w:tcPr>
            <w:tcW w:w="1009" w:type="dxa"/>
            <w:shd w:val="clear" w:color="auto" w:fill="auto"/>
            <w:vAlign w:val="center"/>
          </w:tcPr>
          <w:p w14:paraId="294CF75C">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100</w:t>
            </w:r>
          </w:p>
        </w:tc>
        <w:tc>
          <w:tcPr>
            <w:tcW w:w="1011" w:type="dxa"/>
            <w:shd w:val="clear" w:color="auto" w:fill="auto"/>
            <w:vAlign w:val="center"/>
          </w:tcPr>
          <w:p w14:paraId="4DDB56EA">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w:t>
            </w:r>
          </w:p>
        </w:tc>
        <w:tc>
          <w:tcPr>
            <w:tcW w:w="910" w:type="dxa"/>
            <w:shd w:val="clear" w:color="auto" w:fill="auto"/>
            <w:vAlign w:val="center"/>
          </w:tcPr>
          <w:p w14:paraId="16762E62">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0</w:t>
            </w:r>
          </w:p>
        </w:tc>
        <w:tc>
          <w:tcPr>
            <w:tcW w:w="1893" w:type="dxa"/>
            <w:shd w:val="clear" w:color="auto" w:fill="auto"/>
            <w:vAlign w:val="center"/>
          </w:tcPr>
          <w:p w14:paraId="3C90F9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环境空气 挥发性有机物的测定 吸附管采样-热脱附/气相色谱-质谱法 HJ 644-2013</w:t>
            </w:r>
          </w:p>
        </w:tc>
        <w:tc>
          <w:tcPr>
            <w:tcW w:w="1008" w:type="dxa"/>
            <w:shd w:val="clear" w:color="auto" w:fill="auto"/>
            <w:vAlign w:val="center"/>
          </w:tcPr>
          <w:p w14:paraId="6DFB7E9A">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1000</w:t>
            </w:r>
          </w:p>
        </w:tc>
        <w:tc>
          <w:tcPr>
            <w:tcW w:w="693" w:type="dxa"/>
            <w:shd w:val="clear" w:color="auto" w:fill="auto"/>
            <w:noWrap/>
            <w:vAlign w:val="center"/>
          </w:tcPr>
          <w:p w14:paraId="3100FBB6">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1100</w:t>
            </w:r>
          </w:p>
        </w:tc>
      </w:tr>
      <w:tr w14:paraId="44CFF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84" w:hRule="atLeast"/>
        </w:trPr>
        <w:tc>
          <w:tcPr>
            <w:tcW w:w="782" w:type="dxa"/>
            <w:shd w:val="clear" w:color="auto" w:fill="auto"/>
            <w:vAlign w:val="center"/>
          </w:tcPr>
          <w:p w14:paraId="2DB795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527" w:type="dxa"/>
            <w:shd w:val="clear" w:color="auto" w:fill="auto"/>
            <w:vAlign w:val="center"/>
          </w:tcPr>
          <w:p w14:paraId="334F32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二氧化硫</w:t>
            </w:r>
          </w:p>
        </w:tc>
        <w:tc>
          <w:tcPr>
            <w:tcW w:w="1007" w:type="dxa"/>
            <w:shd w:val="clear" w:color="auto" w:fill="auto"/>
            <w:vAlign w:val="center"/>
          </w:tcPr>
          <w:p w14:paraId="0EBFB9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大气采样-大气采样器</w:t>
            </w:r>
          </w:p>
        </w:tc>
        <w:tc>
          <w:tcPr>
            <w:tcW w:w="1009" w:type="dxa"/>
            <w:shd w:val="clear" w:color="auto" w:fill="auto"/>
            <w:vAlign w:val="center"/>
          </w:tcPr>
          <w:p w14:paraId="545E9AE4">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35</w:t>
            </w:r>
          </w:p>
        </w:tc>
        <w:tc>
          <w:tcPr>
            <w:tcW w:w="1011" w:type="dxa"/>
            <w:shd w:val="clear" w:color="auto" w:fill="auto"/>
            <w:vAlign w:val="center"/>
          </w:tcPr>
          <w:p w14:paraId="1DAAA80C">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w:t>
            </w:r>
          </w:p>
        </w:tc>
        <w:tc>
          <w:tcPr>
            <w:tcW w:w="910" w:type="dxa"/>
            <w:shd w:val="clear" w:color="auto" w:fill="auto"/>
            <w:vAlign w:val="center"/>
          </w:tcPr>
          <w:p w14:paraId="5756F44D">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0</w:t>
            </w:r>
          </w:p>
        </w:tc>
        <w:tc>
          <w:tcPr>
            <w:tcW w:w="1893" w:type="dxa"/>
            <w:shd w:val="clear" w:color="auto" w:fill="auto"/>
            <w:vAlign w:val="center"/>
          </w:tcPr>
          <w:p w14:paraId="649215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环境空气 二氧化硫的测定 甲醛吸收-副玫瑰苯胺分光光度法HJ 482-2009及修改单</w:t>
            </w:r>
          </w:p>
        </w:tc>
        <w:tc>
          <w:tcPr>
            <w:tcW w:w="1008" w:type="dxa"/>
            <w:shd w:val="clear" w:color="auto" w:fill="auto"/>
            <w:vAlign w:val="center"/>
          </w:tcPr>
          <w:p w14:paraId="797D4D9C">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60</w:t>
            </w:r>
          </w:p>
        </w:tc>
        <w:tc>
          <w:tcPr>
            <w:tcW w:w="693" w:type="dxa"/>
            <w:shd w:val="clear" w:color="auto" w:fill="auto"/>
            <w:noWrap/>
            <w:vAlign w:val="center"/>
          </w:tcPr>
          <w:p w14:paraId="567F5E39">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95</w:t>
            </w:r>
          </w:p>
        </w:tc>
      </w:tr>
      <w:tr w14:paraId="07927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60" w:hRule="atLeast"/>
        </w:trPr>
        <w:tc>
          <w:tcPr>
            <w:tcW w:w="782" w:type="dxa"/>
            <w:shd w:val="clear" w:color="auto" w:fill="auto"/>
            <w:vAlign w:val="center"/>
          </w:tcPr>
          <w:p w14:paraId="4B876F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527" w:type="dxa"/>
            <w:shd w:val="clear" w:color="auto" w:fill="auto"/>
            <w:vAlign w:val="center"/>
          </w:tcPr>
          <w:p w14:paraId="3A9476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硫化氢</w:t>
            </w:r>
          </w:p>
        </w:tc>
        <w:tc>
          <w:tcPr>
            <w:tcW w:w="1007" w:type="dxa"/>
            <w:shd w:val="clear" w:color="auto" w:fill="auto"/>
            <w:vAlign w:val="center"/>
          </w:tcPr>
          <w:p w14:paraId="30B1A9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大气采样-大气采样器</w:t>
            </w:r>
          </w:p>
        </w:tc>
        <w:tc>
          <w:tcPr>
            <w:tcW w:w="1009" w:type="dxa"/>
            <w:shd w:val="clear" w:color="auto" w:fill="auto"/>
            <w:vAlign w:val="center"/>
          </w:tcPr>
          <w:p w14:paraId="0A299D14">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35</w:t>
            </w:r>
          </w:p>
        </w:tc>
        <w:tc>
          <w:tcPr>
            <w:tcW w:w="1011" w:type="dxa"/>
            <w:shd w:val="clear" w:color="auto" w:fill="auto"/>
            <w:vAlign w:val="center"/>
          </w:tcPr>
          <w:p w14:paraId="51A3B062">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w:t>
            </w:r>
          </w:p>
        </w:tc>
        <w:tc>
          <w:tcPr>
            <w:tcW w:w="910" w:type="dxa"/>
            <w:shd w:val="clear" w:color="auto" w:fill="auto"/>
            <w:vAlign w:val="center"/>
          </w:tcPr>
          <w:p w14:paraId="3494A78A">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0</w:t>
            </w:r>
          </w:p>
        </w:tc>
        <w:tc>
          <w:tcPr>
            <w:tcW w:w="1893" w:type="dxa"/>
            <w:shd w:val="clear" w:color="auto" w:fill="auto"/>
            <w:vAlign w:val="center"/>
          </w:tcPr>
          <w:p w14:paraId="75960D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798"/>
                <w:lang w:val="en-US" w:eastAsia="zh-CN" w:bidi="ar"/>
              </w:rPr>
              <w:t>亚甲基蓝分光光度法 《空气与废气监测分析方法》（第四版增补版 国家环境保护总局</w:t>
            </w:r>
            <w:r>
              <w:rPr>
                <w:rStyle w:val="799"/>
                <w:rFonts w:eastAsia="宋体"/>
                <w:lang w:val="en-US" w:eastAsia="zh-CN" w:bidi="ar"/>
              </w:rPr>
              <w:t xml:space="preserve"> 2003</w:t>
            </w:r>
            <w:r>
              <w:rPr>
                <w:rStyle w:val="798"/>
                <w:lang w:val="en-US" w:eastAsia="zh-CN" w:bidi="ar"/>
              </w:rPr>
              <w:t>年）</w:t>
            </w:r>
            <w:r>
              <w:rPr>
                <w:rStyle w:val="799"/>
                <w:rFonts w:eastAsia="宋体"/>
                <w:lang w:val="en-US" w:eastAsia="zh-CN" w:bidi="ar"/>
              </w:rPr>
              <w:t>3.1.11.2</w:t>
            </w:r>
          </w:p>
        </w:tc>
        <w:tc>
          <w:tcPr>
            <w:tcW w:w="1008" w:type="dxa"/>
            <w:shd w:val="clear" w:color="auto" w:fill="auto"/>
            <w:vAlign w:val="center"/>
          </w:tcPr>
          <w:p w14:paraId="5B9989F0">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60</w:t>
            </w:r>
          </w:p>
        </w:tc>
        <w:tc>
          <w:tcPr>
            <w:tcW w:w="693" w:type="dxa"/>
            <w:shd w:val="clear" w:color="auto" w:fill="auto"/>
            <w:noWrap/>
            <w:vAlign w:val="center"/>
          </w:tcPr>
          <w:p w14:paraId="73A522B2">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95</w:t>
            </w:r>
          </w:p>
        </w:tc>
      </w:tr>
      <w:tr w14:paraId="436CB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9" w:hRule="atLeast"/>
        </w:trPr>
        <w:tc>
          <w:tcPr>
            <w:tcW w:w="782" w:type="dxa"/>
            <w:shd w:val="clear" w:color="auto" w:fill="auto"/>
            <w:vAlign w:val="center"/>
          </w:tcPr>
          <w:p w14:paraId="141E1E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527" w:type="dxa"/>
            <w:shd w:val="clear" w:color="auto" w:fill="auto"/>
            <w:vAlign w:val="center"/>
          </w:tcPr>
          <w:p w14:paraId="51D273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甲醛</w:t>
            </w:r>
          </w:p>
        </w:tc>
        <w:tc>
          <w:tcPr>
            <w:tcW w:w="1007" w:type="dxa"/>
            <w:shd w:val="clear" w:color="auto" w:fill="auto"/>
            <w:vAlign w:val="center"/>
          </w:tcPr>
          <w:p w14:paraId="58E764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大气采样-大气采样器</w:t>
            </w:r>
          </w:p>
        </w:tc>
        <w:tc>
          <w:tcPr>
            <w:tcW w:w="1009" w:type="dxa"/>
            <w:shd w:val="clear" w:color="auto" w:fill="auto"/>
            <w:vAlign w:val="center"/>
          </w:tcPr>
          <w:p w14:paraId="28343B47">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35</w:t>
            </w:r>
          </w:p>
        </w:tc>
        <w:tc>
          <w:tcPr>
            <w:tcW w:w="1011" w:type="dxa"/>
            <w:shd w:val="clear" w:color="auto" w:fill="auto"/>
            <w:vAlign w:val="center"/>
          </w:tcPr>
          <w:p w14:paraId="1F1ACAB7">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w:t>
            </w:r>
          </w:p>
        </w:tc>
        <w:tc>
          <w:tcPr>
            <w:tcW w:w="910" w:type="dxa"/>
            <w:shd w:val="clear" w:color="auto" w:fill="auto"/>
            <w:vAlign w:val="center"/>
          </w:tcPr>
          <w:p w14:paraId="2EBE3F0E">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0</w:t>
            </w:r>
          </w:p>
        </w:tc>
        <w:tc>
          <w:tcPr>
            <w:tcW w:w="1893" w:type="dxa"/>
            <w:shd w:val="clear" w:color="auto" w:fill="auto"/>
            <w:vAlign w:val="center"/>
          </w:tcPr>
          <w:p w14:paraId="5D68BF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798"/>
                <w:lang w:val="en-US" w:eastAsia="zh-CN" w:bidi="ar"/>
              </w:rPr>
              <w:t>空气质量 甲醛的测定 乙酰丙酮分光光度法</w:t>
            </w:r>
            <w:r>
              <w:rPr>
                <w:rStyle w:val="799"/>
                <w:rFonts w:eastAsia="宋体"/>
                <w:lang w:val="en-US" w:eastAsia="zh-CN" w:bidi="ar"/>
              </w:rPr>
              <w:t xml:space="preserve"> GB/T 15516-1995</w:t>
            </w:r>
          </w:p>
        </w:tc>
        <w:tc>
          <w:tcPr>
            <w:tcW w:w="1008" w:type="dxa"/>
            <w:shd w:val="clear" w:color="auto" w:fill="auto"/>
            <w:vAlign w:val="center"/>
          </w:tcPr>
          <w:p w14:paraId="0F044BA8">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60</w:t>
            </w:r>
          </w:p>
        </w:tc>
        <w:tc>
          <w:tcPr>
            <w:tcW w:w="693" w:type="dxa"/>
            <w:shd w:val="clear" w:color="auto" w:fill="auto"/>
            <w:noWrap/>
            <w:vAlign w:val="center"/>
          </w:tcPr>
          <w:p w14:paraId="1317C61F">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95</w:t>
            </w:r>
          </w:p>
        </w:tc>
      </w:tr>
      <w:tr w14:paraId="7F6EE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9" w:hRule="atLeast"/>
        </w:trPr>
        <w:tc>
          <w:tcPr>
            <w:tcW w:w="782" w:type="dxa"/>
            <w:shd w:val="clear" w:color="auto" w:fill="auto"/>
            <w:vAlign w:val="center"/>
          </w:tcPr>
          <w:p w14:paraId="769FB8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527" w:type="dxa"/>
            <w:shd w:val="clear" w:color="auto" w:fill="auto"/>
            <w:vAlign w:val="center"/>
          </w:tcPr>
          <w:p w14:paraId="4EC224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一氧化碳</w:t>
            </w:r>
          </w:p>
        </w:tc>
        <w:tc>
          <w:tcPr>
            <w:tcW w:w="1007" w:type="dxa"/>
            <w:shd w:val="clear" w:color="auto" w:fill="auto"/>
            <w:vAlign w:val="center"/>
          </w:tcPr>
          <w:p w14:paraId="548DB0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大气采样-大气采样器</w:t>
            </w:r>
          </w:p>
        </w:tc>
        <w:tc>
          <w:tcPr>
            <w:tcW w:w="1009" w:type="dxa"/>
            <w:shd w:val="clear" w:color="auto" w:fill="auto"/>
            <w:vAlign w:val="center"/>
          </w:tcPr>
          <w:p w14:paraId="1FEB780A">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35</w:t>
            </w:r>
          </w:p>
        </w:tc>
        <w:tc>
          <w:tcPr>
            <w:tcW w:w="1011" w:type="dxa"/>
            <w:shd w:val="clear" w:color="auto" w:fill="auto"/>
            <w:vAlign w:val="center"/>
          </w:tcPr>
          <w:p w14:paraId="3DDED897">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w:t>
            </w:r>
          </w:p>
        </w:tc>
        <w:tc>
          <w:tcPr>
            <w:tcW w:w="910" w:type="dxa"/>
            <w:shd w:val="clear" w:color="auto" w:fill="auto"/>
            <w:vAlign w:val="center"/>
          </w:tcPr>
          <w:p w14:paraId="0B3D3D83">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0</w:t>
            </w:r>
          </w:p>
        </w:tc>
        <w:tc>
          <w:tcPr>
            <w:tcW w:w="1893" w:type="dxa"/>
            <w:shd w:val="clear" w:color="auto" w:fill="auto"/>
            <w:vAlign w:val="center"/>
          </w:tcPr>
          <w:p w14:paraId="7C5EEB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798"/>
                <w:lang w:val="en-US" w:eastAsia="zh-CN" w:bidi="ar"/>
              </w:rPr>
              <w:t>空气质量 一氧化碳的测定 非分散红外法</w:t>
            </w:r>
            <w:r>
              <w:rPr>
                <w:rStyle w:val="799"/>
                <w:rFonts w:eastAsia="宋体"/>
                <w:lang w:val="en-US" w:eastAsia="zh-CN" w:bidi="ar"/>
              </w:rPr>
              <w:t xml:space="preserve">   GB/T 9801-1988</w:t>
            </w:r>
          </w:p>
        </w:tc>
        <w:tc>
          <w:tcPr>
            <w:tcW w:w="1008" w:type="dxa"/>
            <w:shd w:val="clear" w:color="auto" w:fill="auto"/>
            <w:vAlign w:val="center"/>
          </w:tcPr>
          <w:p w14:paraId="0F995A01">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0</w:t>
            </w:r>
          </w:p>
        </w:tc>
        <w:tc>
          <w:tcPr>
            <w:tcW w:w="693" w:type="dxa"/>
            <w:shd w:val="clear" w:color="auto" w:fill="auto"/>
            <w:noWrap/>
            <w:vAlign w:val="center"/>
          </w:tcPr>
          <w:p w14:paraId="26F1F4C1">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35</w:t>
            </w:r>
          </w:p>
        </w:tc>
      </w:tr>
      <w:tr w14:paraId="4CCC7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83" w:hRule="atLeast"/>
        </w:trPr>
        <w:tc>
          <w:tcPr>
            <w:tcW w:w="782" w:type="dxa"/>
            <w:shd w:val="clear" w:color="auto" w:fill="auto"/>
            <w:vAlign w:val="center"/>
          </w:tcPr>
          <w:p w14:paraId="4AC42765">
            <w:pPr>
              <w:jc w:val="center"/>
              <w:rPr>
                <w:rFonts w:hint="eastAsia" w:ascii="宋体" w:hAnsi="宋体" w:eastAsia="宋体" w:cs="宋体"/>
                <w:i w:val="0"/>
                <w:iCs w:val="0"/>
                <w:color w:val="000000"/>
                <w:sz w:val="20"/>
                <w:szCs w:val="20"/>
                <w:u w:val="none"/>
              </w:rPr>
            </w:pPr>
          </w:p>
        </w:tc>
        <w:tc>
          <w:tcPr>
            <w:tcW w:w="1527" w:type="dxa"/>
            <w:shd w:val="clear" w:color="auto" w:fill="auto"/>
            <w:vAlign w:val="center"/>
          </w:tcPr>
          <w:p w14:paraId="79254CF2">
            <w:pPr>
              <w:jc w:val="center"/>
              <w:rPr>
                <w:rFonts w:hint="eastAsia" w:ascii="宋体" w:hAnsi="宋体" w:eastAsia="宋体" w:cs="宋体"/>
                <w:i w:val="0"/>
                <w:iCs w:val="0"/>
                <w:color w:val="000000"/>
                <w:sz w:val="20"/>
                <w:szCs w:val="20"/>
                <w:u w:val="none"/>
              </w:rPr>
            </w:pPr>
          </w:p>
        </w:tc>
        <w:tc>
          <w:tcPr>
            <w:tcW w:w="1007" w:type="dxa"/>
            <w:shd w:val="clear" w:color="auto" w:fill="auto"/>
            <w:vAlign w:val="center"/>
          </w:tcPr>
          <w:p w14:paraId="0E1EA459">
            <w:pPr>
              <w:jc w:val="center"/>
              <w:rPr>
                <w:rFonts w:hint="eastAsia" w:ascii="宋体" w:hAnsi="宋体" w:eastAsia="宋体" w:cs="宋体"/>
                <w:i w:val="0"/>
                <w:iCs w:val="0"/>
                <w:color w:val="000000"/>
                <w:sz w:val="20"/>
                <w:szCs w:val="20"/>
                <w:u w:val="none"/>
              </w:rPr>
            </w:pPr>
          </w:p>
        </w:tc>
        <w:tc>
          <w:tcPr>
            <w:tcW w:w="1009" w:type="dxa"/>
            <w:shd w:val="clear" w:color="auto" w:fill="auto"/>
            <w:vAlign w:val="center"/>
          </w:tcPr>
          <w:p w14:paraId="0F304B00">
            <w:pPr>
              <w:jc w:val="center"/>
              <w:rPr>
                <w:rFonts w:hint="default" w:ascii="Times New Roman" w:hAnsi="Times New Roman" w:eastAsia="等线" w:cs="Times New Roman"/>
                <w:i w:val="0"/>
                <w:iCs w:val="0"/>
                <w:color w:val="000000"/>
                <w:sz w:val="20"/>
                <w:szCs w:val="20"/>
                <w:u w:val="none"/>
              </w:rPr>
            </w:pPr>
          </w:p>
        </w:tc>
        <w:tc>
          <w:tcPr>
            <w:tcW w:w="1011" w:type="dxa"/>
            <w:shd w:val="clear" w:color="auto" w:fill="auto"/>
            <w:vAlign w:val="center"/>
          </w:tcPr>
          <w:p w14:paraId="2DBA260C">
            <w:pPr>
              <w:jc w:val="center"/>
              <w:rPr>
                <w:rFonts w:hint="default" w:ascii="Times New Roman" w:hAnsi="Times New Roman" w:eastAsia="等线" w:cs="Times New Roman"/>
                <w:i w:val="0"/>
                <w:iCs w:val="0"/>
                <w:color w:val="000000"/>
                <w:sz w:val="20"/>
                <w:szCs w:val="20"/>
                <w:u w:val="none"/>
              </w:rPr>
            </w:pPr>
          </w:p>
        </w:tc>
        <w:tc>
          <w:tcPr>
            <w:tcW w:w="910" w:type="dxa"/>
            <w:shd w:val="clear" w:color="auto" w:fill="auto"/>
            <w:vAlign w:val="center"/>
          </w:tcPr>
          <w:p w14:paraId="73BF11A2">
            <w:pPr>
              <w:jc w:val="center"/>
              <w:rPr>
                <w:rFonts w:hint="default" w:ascii="Times New Roman" w:hAnsi="Times New Roman" w:eastAsia="等线" w:cs="Times New Roman"/>
                <w:i w:val="0"/>
                <w:iCs w:val="0"/>
                <w:color w:val="000000"/>
                <w:sz w:val="20"/>
                <w:szCs w:val="20"/>
                <w:u w:val="none"/>
              </w:rPr>
            </w:pPr>
          </w:p>
        </w:tc>
        <w:tc>
          <w:tcPr>
            <w:tcW w:w="1893" w:type="dxa"/>
            <w:shd w:val="clear" w:color="auto" w:fill="auto"/>
            <w:vAlign w:val="center"/>
          </w:tcPr>
          <w:p w14:paraId="220F23FB">
            <w:pPr>
              <w:jc w:val="center"/>
              <w:rPr>
                <w:rFonts w:hint="eastAsia" w:ascii="宋体" w:hAnsi="宋体" w:eastAsia="宋体" w:cs="宋体"/>
                <w:i w:val="0"/>
                <w:iCs w:val="0"/>
                <w:color w:val="000000"/>
                <w:sz w:val="20"/>
                <w:szCs w:val="20"/>
                <w:u w:val="none"/>
              </w:rPr>
            </w:pPr>
          </w:p>
        </w:tc>
        <w:tc>
          <w:tcPr>
            <w:tcW w:w="1008" w:type="dxa"/>
            <w:shd w:val="clear" w:color="auto" w:fill="auto"/>
            <w:vAlign w:val="center"/>
          </w:tcPr>
          <w:p w14:paraId="3D1D82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小计</w:t>
            </w:r>
          </w:p>
        </w:tc>
        <w:tc>
          <w:tcPr>
            <w:tcW w:w="693" w:type="dxa"/>
            <w:shd w:val="clear" w:color="auto" w:fill="auto"/>
            <w:noWrap/>
            <w:vAlign w:val="center"/>
          </w:tcPr>
          <w:p w14:paraId="5B4514DA">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6055</w:t>
            </w:r>
          </w:p>
        </w:tc>
      </w:tr>
      <w:tr w14:paraId="3F8E8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8" w:hRule="atLeast"/>
        </w:trPr>
        <w:tc>
          <w:tcPr>
            <w:tcW w:w="9840" w:type="dxa"/>
            <w:gridSpan w:val="9"/>
            <w:shd w:val="clear" w:color="auto" w:fill="auto"/>
            <w:vAlign w:val="center"/>
          </w:tcPr>
          <w:p w14:paraId="5CCC2186">
            <w:pPr>
              <w:keepNext w:val="0"/>
              <w:keepLines w:val="0"/>
              <w:widowControl/>
              <w:suppressLineNumbers w:val="0"/>
              <w:jc w:val="center"/>
              <w:textAlignment w:val="center"/>
              <w:rPr>
                <w:rFonts w:hint="eastAsia" w:ascii="等线" w:hAnsi="等线" w:eastAsia="等线" w:cs="等线"/>
                <w:b/>
                <w:bCs/>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三、噪声</w:t>
            </w:r>
          </w:p>
        </w:tc>
      </w:tr>
      <w:tr w14:paraId="487D6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84" w:hRule="atLeast"/>
        </w:trPr>
        <w:tc>
          <w:tcPr>
            <w:tcW w:w="782" w:type="dxa"/>
            <w:shd w:val="clear" w:color="auto" w:fill="auto"/>
            <w:vAlign w:val="center"/>
          </w:tcPr>
          <w:p w14:paraId="1E8745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527" w:type="dxa"/>
            <w:shd w:val="clear" w:color="auto" w:fill="auto"/>
            <w:vAlign w:val="center"/>
          </w:tcPr>
          <w:p w14:paraId="5C5ECA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厂界噪声（夜）</w:t>
            </w:r>
          </w:p>
        </w:tc>
        <w:tc>
          <w:tcPr>
            <w:tcW w:w="1007" w:type="dxa"/>
            <w:shd w:val="clear" w:color="auto" w:fill="auto"/>
            <w:vAlign w:val="center"/>
          </w:tcPr>
          <w:p w14:paraId="6A2943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798"/>
                <w:lang w:val="en-US" w:eastAsia="zh-CN" w:bidi="ar"/>
              </w:rPr>
              <w:t>厂界噪声</w:t>
            </w:r>
            <w:r>
              <w:rPr>
                <w:rStyle w:val="799"/>
                <w:rFonts w:eastAsia="宋体"/>
                <w:lang w:val="en-US" w:eastAsia="zh-CN" w:bidi="ar"/>
              </w:rPr>
              <w:t>-</w:t>
            </w:r>
            <w:r>
              <w:rPr>
                <w:rStyle w:val="798"/>
                <w:lang w:val="en-US" w:eastAsia="zh-CN" w:bidi="ar"/>
              </w:rPr>
              <w:t>仪器法（夜间加收</w:t>
            </w:r>
            <w:r>
              <w:rPr>
                <w:rStyle w:val="799"/>
                <w:rFonts w:eastAsia="宋体"/>
                <w:lang w:val="en-US" w:eastAsia="zh-CN" w:bidi="ar"/>
              </w:rPr>
              <w:t>20%</w:t>
            </w:r>
            <w:r>
              <w:rPr>
                <w:rStyle w:val="798"/>
                <w:lang w:val="en-US" w:eastAsia="zh-CN" w:bidi="ar"/>
              </w:rPr>
              <w:t>）</w:t>
            </w:r>
          </w:p>
        </w:tc>
        <w:tc>
          <w:tcPr>
            <w:tcW w:w="1009" w:type="dxa"/>
            <w:shd w:val="clear" w:color="auto" w:fill="auto"/>
            <w:vAlign w:val="center"/>
          </w:tcPr>
          <w:p w14:paraId="73D31FEC">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84</w:t>
            </w:r>
          </w:p>
        </w:tc>
        <w:tc>
          <w:tcPr>
            <w:tcW w:w="1011" w:type="dxa"/>
            <w:shd w:val="clear" w:color="auto" w:fill="auto"/>
            <w:vAlign w:val="center"/>
          </w:tcPr>
          <w:p w14:paraId="7820D3D0">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w:t>
            </w:r>
          </w:p>
        </w:tc>
        <w:tc>
          <w:tcPr>
            <w:tcW w:w="910" w:type="dxa"/>
            <w:shd w:val="clear" w:color="auto" w:fill="auto"/>
            <w:vAlign w:val="center"/>
          </w:tcPr>
          <w:p w14:paraId="5717A526">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0</w:t>
            </w:r>
          </w:p>
        </w:tc>
        <w:tc>
          <w:tcPr>
            <w:tcW w:w="1893" w:type="dxa"/>
            <w:shd w:val="clear" w:color="auto" w:fill="auto"/>
            <w:vAlign w:val="center"/>
          </w:tcPr>
          <w:p w14:paraId="254FBE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798"/>
                <w:lang w:val="en-US" w:eastAsia="zh-CN" w:bidi="ar"/>
              </w:rPr>
              <w:t>工业企业厂界环境噪声排放标准</w:t>
            </w:r>
            <w:r>
              <w:rPr>
                <w:rStyle w:val="799"/>
                <w:rFonts w:eastAsia="宋体"/>
                <w:lang w:val="en-US" w:eastAsia="zh-CN" w:bidi="ar"/>
              </w:rPr>
              <w:t xml:space="preserve"> GB 12348-2008</w:t>
            </w:r>
          </w:p>
        </w:tc>
        <w:tc>
          <w:tcPr>
            <w:tcW w:w="1008" w:type="dxa"/>
            <w:shd w:val="clear" w:color="auto" w:fill="auto"/>
            <w:vAlign w:val="center"/>
          </w:tcPr>
          <w:p w14:paraId="231937BB">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0</w:t>
            </w:r>
          </w:p>
        </w:tc>
        <w:tc>
          <w:tcPr>
            <w:tcW w:w="693" w:type="dxa"/>
            <w:shd w:val="clear" w:color="auto" w:fill="auto"/>
            <w:noWrap/>
            <w:vAlign w:val="center"/>
          </w:tcPr>
          <w:p w14:paraId="4763712E">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84</w:t>
            </w:r>
          </w:p>
        </w:tc>
      </w:tr>
      <w:tr w14:paraId="02B8F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782" w:type="dxa"/>
            <w:shd w:val="clear" w:color="auto" w:fill="auto"/>
            <w:vAlign w:val="center"/>
          </w:tcPr>
          <w:p w14:paraId="298EF1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527" w:type="dxa"/>
            <w:shd w:val="clear" w:color="auto" w:fill="auto"/>
            <w:vAlign w:val="center"/>
          </w:tcPr>
          <w:p w14:paraId="3C8C47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厂界噪声</w:t>
            </w:r>
          </w:p>
        </w:tc>
        <w:tc>
          <w:tcPr>
            <w:tcW w:w="1007" w:type="dxa"/>
            <w:shd w:val="clear" w:color="auto" w:fill="auto"/>
            <w:vAlign w:val="center"/>
          </w:tcPr>
          <w:p w14:paraId="5180AF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798"/>
                <w:lang w:val="en-US" w:eastAsia="zh-CN" w:bidi="ar"/>
              </w:rPr>
              <w:t>厂界噪声</w:t>
            </w:r>
            <w:r>
              <w:rPr>
                <w:rStyle w:val="799"/>
                <w:rFonts w:eastAsia="宋体"/>
                <w:lang w:val="en-US" w:eastAsia="zh-CN" w:bidi="ar"/>
              </w:rPr>
              <w:t>-</w:t>
            </w:r>
            <w:r>
              <w:rPr>
                <w:rStyle w:val="798"/>
                <w:lang w:val="en-US" w:eastAsia="zh-CN" w:bidi="ar"/>
              </w:rPr>
              <w:t>仪器法</w:t>
            </w:r>
          </w:p>
        </w:tc>
        <w:tc>
          <w:tcPr>
            <w:tcW w:w="1009" w:type="dxa"/>
            <w:shd w:val="clear" w:color="auto" w:fill="auto"/>
            <w:vAlign w:val="center"/>
          </w:tcPr>
          <w:p w14:paraId="7F5AEFE1">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70</w:t>
            </w:r>
          </w:p>
        </w:tc>
        <w:tc>
          <w:tcPr>
            <w:tcW w:w="1011" w:type="dxa"/>
            <w:shd w:val="clear" w:color="auto" w:fill="auto"/>
            <w:vAlign w:val="center"/>
          </w:tcPr>
          <w:p w14:paraId="69C9FD16">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w:t>
            </w:r>
          </w:p>
        </w:tc>
        <w:tc>
          <w:tcPr>
            <w:tcW w:w="910" w:type="dxa"/>
            <w:shd w:val="clear" w:color="auto" w:fill="auto"/>
            <w:vAlign w:val="center"/>
          </w:tcPr>
          <w:p w14:paraId="678FC69C">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0</w:t>
            </w:r>
          </w:p>
        </w:tc>
        <w:tc>
          <w:tcPr>
            <w:tcW w:w="1893" w:type="dxa"/>
            <w:shd w:val="clear" w:color="auto" w:fill="auto"/>
            <w:vAlign w:val="center"/>
          </w:tcPr>
          <w:p w14:paraId="3A818A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798"/>
                <w:lang w:val="en-US" w:eastAsia="zh-CN" w:bidi="ar"/>
              </w:rPr>
              <w:t>工业企业厂界环境噪声排放标准</w:t>
            </w:r>
            <w:r>
              <w:rPr>
                <w:rStyle w:val="799"/>
                <w:rFonts w:eastAsia="宋体"/>
                <w:lang w:val="en-US" w:eastAsia="zh-CN" w:bidi="ar"/>
              </w:rPr>
              <w:t xml:space="preserve"> GB 12348-2008</w:t>
            </w:r>
          </w:p>
        </w:tc>
        <w:tc>
          <w:tcPr>
            <w:tcW w:w="1008" w:type="dxa"/>
            <w:shd w:val="clear" w:color="auto" w:fill="auto"/>
            <w:vAlign w:val="center"/>
          </w:tcPr>
          <w:p w14:paraId="4A28E604">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0</w:t>
            </w:r>
          </w:p>
        </w:tc>
        <w:tc>
          <w:tcPr>
            <w:tcW w:w="693" w:type="dxa"/>
            <w:shd w:val="clear" w:color="auto" w:fill="auto"/>
            <w:noWrap/>
            <w:vAlign w:val="center"/>
          </w:tcPr>
          <w:p w14:paraId="4BC93CCF">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70</w:t>
            </w:r>
          </w:p>
        </w:tc>
      </w:tr>
      <w:tr w14:paraId="1D507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60" w:hRule="atLeast"/>
        </w:trPr>
        <w:tc>
          <w:tcPr>
            <w:tcW w:w="782" w:type="dxa"/>
            <w:shd w:val="clear" w:color="auto" w:fill="auto"/>
            <w:vAlign w:val="center"/>
          </w:tcPr>
          <w:p w14:paraId="598C6B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527" w:type="dxa"/>
            <w:shd w:val="clear" w:color="auto" w:fill="auto"/>
            <w:vAlign w:val="center"/>
          </w:tcPr>
          <w:p w14:paraId="64117D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社会生活噪声（夜）</w:t>
            </w:r>
          </w:p>
        </w:tc>
        <w:tc>
          <w:tcPr>
            <w:tcW w:w="1007" w:type="dxa"/>
            <w:shd w:val="clear" w:color="auto" w:fill="auto"/>
            <w:vAlign w:val="center"/>
          </w:tcPr>
          <w:p w14:paraId="41F3EC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798"/>
                <w:lang w:val="en-US" w:eastAsia="zh-CN" w:bidi="ar"/>
              </w:rPr>
              <w:t>区域环境噪声</w:t>
            </w:r>
            <w:r>
              <w:rPr>
                <w:rStyle w:val="799"/>
                <w:rFonts w:eastAsia="宋体"/>
                <w:lang w:val="en-US" w:eastAsia="zh-CN" w:bidi="ar"/>
              </w:rPr>
              <w:t>-</w:t>
            </w:r>
            <w:r>
              <w:rPr>
                <w:rStyle w:val="798"/>
                <w:lang w:val="en-US" w:eastAsia="zh-CN" w:bidi="ar"/>
              </w:rPr>
              <w:t>仪器法（夜间加收20%）</w:t>
            </w:r>
          </w:p>
        </w:tc>
        <w:tc>
          <w:tcPr>
            <w:tcW w:w="1009" w:type="dxa"/>
            <w:shd w:val="clear" w:color="auto" w:fill="auto"/>
            <w:vAlign w:val="center"/>
          </w:tcPr>
          <w:p w14:paraId="6D4CEF2C">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132</w:t>
            </w:r>
          </w:p>
        </w:tc>
        <w:tc>
          <w:tcPr>
            <w:tcW w:w="1011" w:type="dxa"/>
            <w:shd w:val="clear" w:color="auto" w:fill="auto"/>
            <w:vAlign w:val="center"/>
          </w:tcPr>
          <w:p w14:paraId="6A015814">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w:t>
            </w:r>
          </w:p>
        </w:tc>
        <w:tc>
          <w:tcPr>
            <w:tcW w:w="910" w:type="dxa"/>
            <w:shd w:val="clear" w:color="auto" w:fill="auto"/>
            <w:vAlign w:val="center"/>
          </w:tcPr>
          <w:p w14:paraId="5719EB61">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0</w:t>
            </w:r>
          </w:p>
        </w:tc>
        <w:tc>
          <w:tcPr>
            <w:tcW w:w="1893" w:type="dxa"/>
            <w:shd w:val="clear" w:color="auto" w:fill="auto"/>
            <w:vAlign w:val="center"/>
          </w:tcPr>
          <w:p w14:paraId="1EA7FE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社会生活环境噪声排放标准 GB 22337-2008</w:t>
            </w:r>
          </w:p>
        </w:tc>
        <w:tc>
          <w:tcPr>
            <w:tcW w:w="1008" w:type="dxa"/>
            <w:shd w:val="clear" w:color="auto" w:fill="auto"/>
            <w:vAlign w:val="center"/>
          </w:tcPr>
          <w:p w14:paraId="333E9E7F">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0</w:t>
            </w:r>
          </w:p>
        </w:tc>
        <w:tc>
          <w:tcPr>
            <w:tcW w:w="693" w:type="dxa"/>
            <w:shd w:val="clear" w:color="auto" w:fill="auto"/>
            <w:noWrap/>
            <w:vAlign w:val="center"/>
          </w:tcPr>
          <w:p w14:paraId="54A8A22B">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132</w:t>
            </w:r>
          </w:p>
        </w:tc>
      </w:tr>
      <w:tr w14:paraId="2D4C8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86" w:hRule="atLeast"/>
        </w:trPr>
        <w:tc>
          <w:tcPr>
            <w:tcW w:w="782" w:type="dxa"/>
            <w:shd w:val="clear" w:color="auto" w:fill="auto"/>
            <w:vAlign w:val="center"/>
          </w:tcPr>
          <w:p w14:paraId="03AACC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527" w:type="dxa"/>
            <w:shd w:val="clear" w:color="auto" w:fill="auto"/>
            <w:vAlign w:val="center"/>
          </w:tcPr>
          <w:p w14:paraId="603529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社会生活噪声</w:t>
            </w:r>
          </w:p>
        </w:tc>
        <w:tc>
          <w:tcPr>
            <w:tcW w:w="1007" w:type="dxa"/>
            <w:shd w:val="clear" w:color="auto" w:fill="auto"/>
            <w:vAlign w:val="center"/>
          </w:tcPr>
          <w:p w14:paraId="2B7058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区域环境噪声-仪器法</w:t>
            </w:r>
          </w:p>
        </w:tc>
        <w:tc>
          <w:tcPr>
            <w:tcW w:w="1009" w:type="dxa"/>
            <w:shd w:val="clear" w:color="auto" w:fill="auto"/>
            <w:vAlign w:val="center"/>
          </w:tcPr>
          <w:p w14:paraId="53F87A40">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110</w:t>
            </w:r>
          </w:p>
        </w:tc>
        <w:tc>
          <w:tcPr>
            <w:tcW w:w="1011" w:type="dxa"/>
            <w:shd w:val="clear" w:color="auto" w:fill="auto"/>
            <w:vAlign w:val="center"/>
          </w:tcPr>
          <w:p w14:paraId="011A667C">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w:t>
            </w:r>
          </w:p>
        </w:tc>
        <w:tc>
          <w:tcPr>
            <w:tcW w:w="910" w:type="dxa"/>
            <w:shd w:val="clear" w:color="auto" w:fill="auto"/>
            <w:vAlign w:val="center"/>
          </w:tcPr>
          <w:p w14:paraId="38D048F6">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0</w:t>
            </w:r>
          </w:p>
        </w:tc>
        <w:tc>
          <w:tcPr>
            <w:tcW w:w="1893" w:type="dxa"/>
            <w:shd w:val="clear" w:color="auto" w:fill="auto"/>
            <w:vAlign w:val="center"/>
          </w:tcPr>
          <w:p w14:paraId="02314F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社会生活环境噪声排放标准 GB 22337-2008</w:t>
            </w:r>
          </w:p>
        </w:tc>
        <w:tc>
          <w:tcPr>
            <w:tcW w:w="1008" w:type="dxa"/>
            <w:shd w:val="clear" w:color="auto" w:fill="auto"/>
            <w:vAlign w:val="center"/>
          </w:tcPr>
          <w:p w14:paraId="5307C65B">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0</w:t>
            </w:r>
          </w:p>
        </w:tc>
        <w:tc>
          <w:tcPr>
            <w:tcW w:w="693" w:type="dxa"/>
            <w:shd w:val="clear" w:color="auto" w:fill="auto"/>
            <w:noWrap/>
            <w:vAlign w:val="center"/>
          </w:tcPr>
          <w:p w14:paraId="6319E96F">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110</w:t>
            </w:r>
          </w:p>
        </w:tc>
      </w:tr>
      <w:tr w14:paraId="3E89F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60" w:hRule="atLeast"/>
        </w:trPr>
        <w:tc>
          <w:tcPr>
            <w:tcW w:w="782" w:type="dxa"/>
            <w:shd w:val="clear" w:color="auto" w:fill="auto"/>
            <w:vAlign w:val="center"/>
          </w:tcPr>
          <w:p w14:paraId="1F8EB9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527" w:type="dxa"/>
            <w:shd w:val="clear" w:color="auto" w:fill="auto"/>
            <w:vAlign w:val="center"/>
          </w:tcPr>
          <w:p w14:paraId="2EB195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区域环境噪声（夜）</w:t>
            </w:r>
          </w:p>
        </w:tc>
        <w:tc>
          <w:tcPr>
            <w:tcW w:w="1007" w:type="dxa"/>
            <w:shd w:val="clear" w:color="auto" w:fill="auto"/>
            <w:vAlign w:val="center"/>
          </w:tcPr>
          <w:p w14:paraId="4D769E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798"/>
                <w:lang w:val="en-US" w:eastAsia="zh-CN" w:bidi="ar"/>
              </w:rPr>
              <w:t>区域环境噪声</w:t>
            </w:r>
            <w:r>
              <w:rPr>
                <w:rStyle w:val="799"/>
                <w:rFonts w:eastAsia="宋体"/>
                <w:lang w:val="en-US" w:eastAsia="zh-CN" w:bidi="ar"/>
              </w:rPr>
              <w:t>-</w:t>
            </w:r>
            <w:r>
              <w:rPr>
                <w:rStyle w:val="798"/>
                <w:lang w:val="en-US" w:eastAsia="zh-CN" w:bidi="ar"/>
              </w:rPr>
              <w:t>仪器法（夜间加收20%）</w:t>
            </w:r>
          </w:p>
        </w:tc>
        <w:tc>
          <w:tcPr>
            <w:tcW w:w="1009" w:type="dxa"/>
            <w:shd w:val="clear" w:color="auto" w:fill="auto"/>
            <w:vAlign w:val="center"/>
          </w:tcPr>
          <w:p w14:paraId="7F19CA0B">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132</w:t>
            </w:r>
          </w:p>
        </w:tc>
        <w:tc>
          <w:tcPr>
            <w:tcW w:w="1011" w:type="dxa"/>
            <w:shd w:val="clear" w:color="auto" w:fill="auto"/>
            <w:vAlign w:val="center"/>
          </w:tcPr>
          <w:p w14:paraId="7E9F5B78">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w:t>
            </w:r>
          </w:p>
        </w:tc>
        <w:tc>
          <w:tcPr>
            <w:tcW w:w="910" w:type="dxa"/>
            <w:shd w:val="clear" w:color="auto" w:fill="auto"/>
            <w:vAlign w:val="center"/>
          </w:tcPr>
          <w:p w14:paraId="69070A6D">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0</w:t>
            </w:r>
          </w:p>
        </w:tc>
        <w:tc>
          <w:tcPr>
            <w:tcW w:w="1893" w:type="dxa"/>
            <w:shd w:val="clear" w:color="auto" w:fill="auto"/>
            <w:vAlign w:val="center"/>
          </w:tcPr>
          <w:p w14:paraId="4B9700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环境噪声（区域环境噪声、道路交通噪声）HJ 640-2012</w:t>
            </w:r>
          </w:p>
        </w:tc>
        <w:tc>
          <w:tcPr>
            <w:tcW w:w="1008" w:type="dxa"/>
            <w:shd w:val="clear" w:color="auto" w:fill="auto"/>
            <w:vAlign w:val="center"/>
          </w:tcPr>
          <w:p w14:paraId="777407D0">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0</w:t>
            </w:r>
          </w:p>
        </w:tc>
        <w:tc>
          <w:tcPr>
            <w:tcW w:w="693" w:type="dxa"/>
            <w:shd w:val="clear" w:color="auto" w:fill="auto"/>
            <w:noWrap/>
            <w:vAlign w:val="center"/>
          </w:tcPr>
          <w:p w14:paraId="715524C8">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132</w:t>
            </w:r>
          </w:p>
        </w:tc>
      </w:tr>
      <w:tr w14:paraId="175A6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79" w:hRule="atLeast"/>
        </w:trPr>
        <w:tc>
          <w:tcPr>
            <w:tcW w:w="782" w:type="dxa"/>
            <w:shd w:val="clear" w:color="auto" w:fill="auto"/>
            <w:vAlign w:val="center"/>
          </w:tcPr>
          <w:p w14:paraId="76F6ED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527" w:type="dxa"/>
            <w:shd w:val="clear" w:color="auto" w:fill="auto"/>
            <w:vAlign w:val="center"/>
          </w:tcPr>
          <w:p w14:paraId="7F9C6D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区域环境噪声</w:t>
            </w:r>
          </w:p>
        </w:tc>
        <w:tc>
          <w:tcPr>
            <w:tcW w:w="1007" w:type="dxa"/>
            <w:shd w:val="clear" w:color="auto" w:fill="auto"/>
            <w:vAlign w:val="center"/>
          </w:tcPr>
          <w:p w14:paraId="64E84C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区域环境噪声-仪器法</w:t>
            </w:r>
          </w:p>
        </w:tc>
        <w:tc>
          <w:tcPr>
            <w:tcW w:w="1009" w:type="dxa"/>
            <w:shd w:val="clear" w:color="auto" w:fill="auto"/>
            <w:vAlign w:val="center"/>
          </w:tcPr>
          <w:p w14:paraId="6B9740D6">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110</w:t>
            </w:r>
          </w:p>
        </w:tc>
        <w:tc>
          <w:tcPr>
            <w:tcW w:w="1011" w:type="dxa"/>
            <w:shd w:val="clear" w:color="auto" w:fill="auto"/>
            <w:vAlign w:val="center"/>
          </w:tcPr>
          <w:p w14:paraId="3FDBC450">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w:t>
            </w:r>
          </w:p>
        </w:tc>
        <w:tc>
          <w:tcPr>
            <w:tcW w:w="910" w:type="dxa"/>
            <w:shd w:val="clear" w:color="auto" w:fill="auto"/>
            <w:vAlign w:val="center"/>
          </w:tcPr>
          <w:p w14:paraId="1E1B0448">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0</w:t>
            </w:r>
          </w:p>
        </w:tc>
        <w:tc>
          <w:tcPr>
            <w:tcW w:w="1893" w:type="dxa"/>
            <w:shd w:val="clear" w:color="auto" w:fill="auto"/>
            <w:vAlign w:val="center"/>
          </w:tcPr>
          <w:p w14:paraId="414337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环境噪声（区域环境噪声、道路交通噪声）HJ 640-2013</w:t>
            </w:r>
          </w:p>
        </w:tc>
        <w:tc>
          <w:tcPr>
            <w:tcW w:w="1008" w:type="dxa"/>
            <w:shd w:val="clear" w:color="auto" w:fill="auto"/>
            <w:vAlign w:val="center"/>
          </w:tcPr>
          <w:p w14:paraId="670EDDD9">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0</w:t>
            </w:r>
          </w:p>
        </w:tc>
        <w:tc>
          <w:tcPr>
            <w:tcW w:w="693" w:type="dxa"/>
            <w:shd w:val="clear" w:color="auto" w:fill="auto"/>
            <w:noWrap/>
            <w:vAlign w:val="center"/>
          </w:tcPr>
          <w:p w14:paraId="47D48708">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110</w:t>
            </w:r>
          </w:p>
        </w:tc>
      </w:tr>
      <w:tr w14:paraId="2E06F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60" w:hRule="atLeast"/>
        </w:trPr>
        <w:tc>
          <w:tcPr>
            <w:tcW w:w="782" w:type="dxa"/>
            <w:shd w:val="clear" w:color="auto" w:fill="auto"/>
            <w:vAlign w:val="center"/>
          </w:tcPr>
          <w:p w14:paraId="08DA33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527" w:type="dxa"/>
            <w:shd w:val="clear" w:color="auto" w:fill="auto"/>
            <w:vAlign w:val="center"/>
          </w:tcPr>
          <w:p w14:paraId="099911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道路交通噪声（夜）</w:t>
            </w:r>
          </w:p>
        </w:tc>
        <w:tc>
          <w:tcPr>
            <w:tcW w:w="1007" w:type="dxa"/>
            <w:shd w:val="clear" w:color="auto" w:fill="auto"/>
            <w:vAlign w:val="center"/>
          </w:tcPr>
          <w:p w14:paraId="3A91E6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798"/>
                <w:lang w:val="en-US" w:eastAsia="zh-CN" w:bidi="ar"/>
              </w:rPr>
              <w:t>道路交通噪声</w:t>
            </w:r>
            <w:r>
              <w:rPr>
                <w:rStyle w:val="799"/>
                <w:rFonts w:eastAsia="宋体"/>
                <w:lang w:val="en-US" w:eastAsia="zh-CN" w:bidi="ar"/>
              </w:rPr>
              <w:t>-</w:t>
            </w:r>
            <w:r>
              <w:rPr>
                <w:rStyle w:val="798"/>
                <w:lang w:val="en-US" w:eastAsia="zh-CN" w:bidi="ar"/>
              </w:rPr>
              <w:t>仪器法（夜间加收</w:t>
            </w:r>
            <w:r>
              <w:rPr>
                <w:rStyle w:val="799"/>
                <w:rFonts w:eastAsia="宋体"/>
                <w:lang w:val="en-US" w:eastAsia="zh-CN" w:bidi="ar"/>
              </w:rPr>
              <w:t>20%</w:t>
            </w:r>
            <w:r>
              <w:rPr>
                <w:rStyle w:val="798"/>
                <w:lang w:val="en-US" w:eastAsia="zh-CN" w:bidi="ar"/>
              </w:rPr>
              <w:t>）</w:t>
            </w:r>
          </w:p>
        </w:tc>
        <w:tc>
          <w:tcPr>
            <w:tcW w:w="1009" w:type="dxa"/>
            <w:shd w:val="clear" w:color="auto" w:fill="auto"/>
            <w:vAlign w:val="center"/>
          </w:tcPr>
          <w:p w14:paraId="741DAA05">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84</w:t>
            </w:r>
          </w:p>
        </w:tc>
        <w:tc>
          <w:tcPr>
            <w:tcW w:w="1011" w:type="dxa"/>
            <w:shd w:val="clear" w:color="auto" w:fill="auto"/>
            <w:vAlign w:val="center"/>
          </w:tcPr>
          <w:p w14:paraId="0C3EDBF9">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w:t>
            </w:r>
          </w:p>
        </w:tc>
        <w:tc>
          <w:tcPr>
            <w:tcW w:w="910" w:type="dxa"/>
            <w:shd w:val="clear" w:color="auto" w:fill="auto"/>
            <w:vAlign w:val="center"/>
          </w:tcPr>
          <w:p w14:paraId="4E3A0984">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0</w:t>
            </w:r>
          </w:p>
        </w:tc>
        <w:tc>
          <w:tcPr>
            <w:tcW w:w="1893" w:type="dxa"/>
            <w:shd w:val="clear" w:color="auto" w:fill="auto"/>
            <w:vAlign w:val="center"/>
          </w:tcPr>
          <w:p w14:paraId="1AB429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环境噪声（区域环境噪声、道路交通噪声）HJ 640-2012</w:t>
            </w:r>
          </w:p>
        </w:tc>
        <w:tc>
          <w:tcPr>
            <w:tcW w:w="1008" w:type="dxa"/>
            <w:shd w:val="clear" w:color="auto" w:fill="auto"/>
            <w:vAlign w:val="center"/>
          </w:tcPr>
          <w:p w14:paraId="1E069E98">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0</w:t>
            </w:r>
          </w:p>
        </w:tc>
        <w:tc>
          <w:tcPr>
            <w:tcW w:w="693" w:type="dxa"/>
            <w:shd w:val="clear" w:color="auto" w:fill="auto"/>
            <w:noWrap/>
            <w:vAlign w:val="center"/>
          </w:tcPr>
          <w:p w14:paraId="367B46E2">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84</w:t>
            </w:r>
          </w:p>
        </w:tc>
      </w:tr>
      <w:tr w14:paraId="09CA0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79" w:hRule="atLeast"/>
        </w:trPr>
        <w:tc>
          <w:tcPr>
            <w:tcW w:w="782" w:type="dxa"/>
            <w:shd w:val="clear" w:color="auto" w:fill="auto"/>
            <w:vAlign w:val="center"/>
          </w:tcPr>
          <w:p w14:paraId="21CE4C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527" w:type="dxa"/>
            <w:shd w:val="clear" w:color="auto" w:fill="auto"/>
            <w:vAlign w:val="center"/>
          </w:tcPr>
          <w:p w14:paraId="1BCDBE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道路交通噪声</w:t>
            </w:r>
          </w:p>
        </w:tc>
        <w:tc>
          <w:tcPr>
            <w:tcW w:w="1007" w:type="dxa"/>
            <w:shd w:val="clear" w:color="auto" w:fill="auto"/>
            <w:vAlign w:val="center"/>
          </w:tcPr>
          <w:p w14:paraId="2E195A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798"/>
                <w:lang w:val="en-US" w:eastAsia="zh-CN" w:bidi="ar"/>
              </w:rPr>
              <w:t>道路交通噪声</w:t>
            </w:r>
            <w:r>
              <w:rPr>
                <w:rStyle w:val="799"/>
                <w:rFonts w:eastAsia="宋体"/>
                <w:lang w:val="en-US" w:eastAsia="zh-CN" w:bidi="ar"/>
              </w:rPr>
              <w:t>-</w:t>
            </w:r>
            <w:r>
              <w:rPr>
                <w:rStyle w:val="798"/>
                <w:lang w:val="en-US" w:eastAsia="zh-CN" w:bidi="ar"/>
              </w:rPr>
              <w:t>仪器法</w:t>
            </w:r>
          </w:p>
        </w:tc>
        <w:tc>
          <w:tcPr>
            <w:tcW w:w="1009" w:type="dxa"/>
            <w:shd w:val="clear" w:color="auto" w:fill="auto"/>
            <w:vAlign w:val="center"/>
          </w:tcPr>
          <w:p w14:paraId="6C82AAFB">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70</w:t>
            </w:r>
          </w:p>
        </w:tc>
        <w:tc>
          <w:tcPr>
            <w:tcW w:w="1011" w:type="dxa"/>
            <w:shd w:val="clear" w:color="auto" w:fill="auto"/>
            <w:vAlign w:val="center"/>
          </w:tcPr>
          <w:p w14:paraId="375CADFD">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w:t>
            </w:r>
          </w:p>
        </w:tc>
        <w:tc>
          <w:tcPr>
            <w:tcW w:w="910" w:type="dxa"/>
            <w:shd w:val="clear" w:color="auto" w:fill="auto"/>
            <w:vAlign w:val="center"/>
          </w:tcPr>
          <w:p w14:paraId="26E1E571">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0</w:t>
            </w:r>
          </w:p>
        </w:tc>
        <w:tc>
          <w:tcPr>
            <w:tcW w:w="1893" w:type="dxa"/>
            <w:shd w:val="clear" w:color="auto" w:fill="auto"/>
            <w:vAlign w:val="center"/>
          </w:tcPr>
          <w:p w14:paraId="089404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环境噪声（区域环境噪声、道路交通噪声）HJ 640-2013</w:t>
            </w:r>
          </w:p>
        </w:tc>
        <w:tc>
          <w:tcPr>
            <w:tcW w:w="1008" w:type="dxa"/>
            <w:shd w:val="clear" w:color="auto" w:fill="auto"/>
            <w:vAlign w:val="center"/>
          </w:tcPr>
          <w:p w14:paraId="63C06CAD">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0</w:t>
            </w:r>
          </w:p>
        </w:tc>
        <w:tc>
          <w:tcPr>
            <w:tcW w:w="693" w:type="dxa"/>
            <w:shd w:val="clear" w:color="auto" w:fill="auto"/>
            <w:noWrap/>
            <w:vAlign w:val="center"/>
          </w:tcPr>
          <w:p w14:paraId="398B7FE5">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70</w:t>
            </w:r>
          </w:p>
        </w:tc>
      </w:tr>
      <w:tr w14:paraId="3D7B0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35" w:hRule="atLeast"/>
        </w:trPr>
        <w:tc>
          <w:tcPr>
            <w:tcW w:w="782" w:type="dxa"/>
            <w:shd w:val="clear" w:color="auto" w:fill="auto"/>
            <w:vAlign w:val="center"/>
          </w:tcPr>
          <w:p w14:paraId="113DE7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527" w:type="dxa"/>
            <w:shd w:val="clear" w:color="auto" w:fill="auto"/>
            <w:vAlign w:val="center"/>
          </w:tcPr>
          <w:p w14:paraId="11CBE2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建筑施工场界噪声（夜）</w:t>
            </w:r>
          </w:p>
        </w:tc>
        <w:tc>
          <w:tcPr>
            <w:tcW w:w="1007" w:type="dxa"/>
            <w:shd w:val="clear" w:color="auto" w:fill="auto"/>
            <w:vAlign w:val="center"/>
          </w:tcPr>
          <w:p w14:paraId="7EB77F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798"/>
                <w:lang w:val="en-US" w:eastAsia="zh-CN" w:bidi="ar"/>
              </w:rPr>
              <w:t>建筑施工场界噪声</w:t>
            </w:r>
            <w:r>
              <w:rPr>
                <w:rStyle w:val="799"/>
                <w:rFonts w:eastAsia="宋体"/>
                <w:lang w:val="en-US" w:eastAsia="zh-CN" w:bidi="ar"/>
              </w:rPr>
              <w:t>-</w:t>
            </w:r>
            <w:r>
              <w:rPr>
                <w:rStyle w:val="798"/>
                <w:lang w:val="en-US" w:eastAsia="zh-CN" w:bidi="ar"/>
              </w:rPr>
              <w:t>仪器法（夜间加收</w:t>
            </w:r>
            <w:r>
              <w:rPr>
                <w:rStyle w:val="799"/>
                <w:rFonts w:eastAsia="宋体"/>
                <w:lang w:val="en-US" w:eastAsia="zh-CN" w:bidi="ar"/>
              </w:rPr>
              <w:t>20%</w:t>
            </w:r>
            <w:r>
              <w:rPr>
                <w:rStyle w:val="798"/>
                <w:lang w:val="en-US" w:eastAsia="zh-CN" w:bidi="ar"/>
              </w:rPr>
              <w:t>）</w:t>
            </w:r>
          </w:p>
        </w:tc>
        <w:tc>
          <w:tcPr>
            <w:tcW w:w="1009" w:type="dxa"/>
            <w:shd w:val="clear" w:color="auto" w:fill="auto"/>
            <w:vAlign w:val="center"/>
          </w:tcPr>
          <w:p w14:paraId="40E8877F">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84</w:t>
            </w:r>
          </w:p>
        </w:tc>
        <w:tc>
          <w:tcPr>
            <w:tcW w:w="1011" w:type="dxa"/>
            <w:shd w:val="clear" w:color="auto" w:fill="auto"/>
            <w:vAlign w:val="center"/>
          </w:tcPr>
          <w:p w14:paraId="10F859E9">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w:t>
            </w:r>
          </w:p>
        </w:tc>
        <w:tc>
          <w:tcPr>
            <w:tcW w:w="910" w:type="dxa"/>
            <w:shd w:val="clear" w:color="auto" w:fill="auto"/>
            <w:vAlign w:val="center"/>
          </w:tcPr>
          <w:p w14:paraId="45DA871F">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0</w:t>
            </w:r>
          </w:p>
        </w:tc>
        <w:tc>
          <w:tcPr>
            <w:tcW w:w="1893" w:type="dxa"/>
            <w:shd w:val="clear" w:color="auto" w:fill="auto"/>
            <w:vAlign w:val="center"/>
          </w:tcPr>
          <w:p w14:paraId="378CE3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建筑施工场界环境噪声GB 12523-2011</w:t>
            </w:r>
          </w:p>
        </w:tc>
        <w:tc>
          <w:tcPr>
            <w:tcW w:w="1008" w:type="dxa"/>
            <w:shd w:val="clear" w:color="auto" w:fill="auto"/>
            <w:vAlign w:val="center"/>
          </w:tcPr>
          <w:p w14:paraId="2C2976FF">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0</w:t>
            </w:r>
          </w:p>
        </w:tc>
        <w:tc>
          <w:tcPr>
            <w:tcW w:w="693" w:type="dxa"/>
            <w:shd w:val="clear" w:color="auto" w:fill="auto"/>
            <w:noWrap/>
            <w:vAlign w:val="center"/>
          </w:tcPr>
          <w:p w14:paraId="1AEB0AF3">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84</w:t>
            </w:r>
          </w:p>
        </w:tc>
      </w:tr>
      <w:tr w14:paraId="749D9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09" w:hRule="atLeast"/>
        </w:trPr>
        <w:tc>
          <w:tcPr>
            <w:tcW w:w="782" w:type="dxa"/>
            <w:shd w:val="clear" w:color="auto" w:fill="auto"/>
            <w:vAlign w:val="center"/>
          </w:tcPr>
          <w:p w14:paraId="5F9C1A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527" w:type="dxa"/>
            <w:shd w:val="clear" w:color="auto" w:fill="auto"/>
            <w:vAlign w:val="center"/>
          </w:tcPr>
          <w:p w14:paraId="4B4E34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建筑施工场界噪声</w:t>
            </w:r>
          </w:p>
        </w:tc>
        <w:tc>
          <w:tcPr>
            <w:tcW w:w="1007" w:type="dxa"/>
            <w:shd w:val="clear" w:color="auto" w:fill="auto"/>
            <w:vAlign w:val="center"/>
          </w:tcPr>
          <w:p w14:paraId="6B326E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798"/>
                <w:lang w:val="en-US" w:eastAsia="zh-CN" w:bidi="ar"/>
              </w:rPr>
              <w:t>建筑施工场界噪声</w:t>
            </w:r>
            <w:r>
              <w:rPr>
                <w:rStyle w:val="799"/>
                <w:rFonts w:eastAsia="宋体"/>
                <w:lang w:val="en-US" w:eastAsia="zh-CN" w:bidi="ar"/>
              </w:rPr>
              <w:t>-</w:t>
            </w:r>
            <w:r>
              <w:rPr>
                <w:rStyle w:val="798"/>
                <w:lang w:val="en-US" w:eastAsia="zh-CN" w:bidi="ar"/>
              </w:rPr>
              <w:t>仪器法</w:t>
            </w:r>
          </w:p>
        </w:tc>
        <w:tc>
          <w:tcPr>
            <w:tcW w:w="1009" w:type="dxa"/>
            <w:shd w:val="clear" w:color="auto" w:fill="auto"/>
            <w:vAlign w:val="center"/>
          </w:tcPr>
          <w:p w14:paraId="2BC5CDC8">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70</w:t>
            </w:r>
          </w:p>
        </w:tc>
        <w:tc>
          <w:tcPr>
            <w:tcW w:w="1011" w:type="dxa"/>
            <w:shd w:val="clear" w:color="auto" w:fill="auto"/>
            <w:vAlign w:val="center"/>
          </w:tcPr>
          <w:p w14:paraId="6EF13919">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w:t>
            </w:r>
          </w:p>
        </w:tc>
        <w:tc>
          <w:tcPr>
            <w:tcW w:w="910" w:type="dxa"/>
            <w:shd w:val="clear" w:color="auto" w:fill="auto"/>
            <w:vAlign w:val="center"/>
          </w:tcPr>
          <w:p w14:paraId="684E2351">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0</w:t>
            </w:r>
          </w:p>
        </w:tc>
        <w:tc>
          <w:tcPr>
            <w:tcW w:w="1893" w:type="dxa"/>
            <w:shd w:val="clear" w:color="auto" w:fill="auto"/>
            <w:vAlign w:val="center"/>
          </w:tcPr>
          <w:p w14:paraId="0887C9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建筑施工场界环境噪声GB 12523-2011</w:t>
            </w:r>
          </w:p>
        </w:tc>
        <w:tc>
          <w:tcPr>
            <w:tcW w:w="1008" w:type="dxa"/>
            <w:shd w:val="clear" w:color="auto" w:fill="auto"/>
            <w:vAlign w:val="center"/>
          </w:tcPr>
          <w:p w14:paraId="3331D3CE">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0</w:t>
            </w:r>
          </w:p>
        </w:tc>
        <w:tc>
          <w:tcPr>
            <w:tcW w:w="693" w:type="dxa"/>
            <w:shd w:val="clear" w:color="auto" w:fill="auto"/>
            <w:noWrap/>
            <w:vAlign w:val="center"/>
          </w:tcPr>
          <w:p w14:paraId="224C11A6">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70</w:t>
            </w:r>
          </w:p>
        </w:tc>
      </w:tr>
      <w:tr w14:paraId="65A99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60" w:hRule="atLeast"/>
        </w:trPr>
        <w:tc>
          <w:tcPr>
            <w:tcW w:w="782" w:type="dxa"/>
            <w:shd w:val="clear" w:color="auto" w:fill="auto"/>
            <w:vAlign w:val="center"/>
          </w:tcPr>
          <w:p w14:paraId="500E8C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527" w:type="dxa"/>
            <w:shd w:val="clear" w:color="auto" w:fill="auto"/>
            <w:vAlign w:val="center"/>
          </w:tcPr>
          <w:p w14:paraId="05400C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铁路边界噪声（夜）</w:t>
            </w:r>
          </w:p>
        </w:tc>
        <w:tc>
          <w:tcPr>
            <w:tcW w:w="1007" w:type="dxa"/>
            <w:shd w:val="clear" w:color="auto" w:fill="auto"/>
            <w:vAlign w:val="center"/>
          </w:tcPr>
          <w:p w14:paraId="7E7ECE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798"/>
                <w:lang w:val="en-US" w:eastAsia="zh-CN" w:bidi="ar"/>
              </w:rPr>
              <w:t>铁路边界噪声</w:t>
            </w:r>
            <w:r>
              <w:rPr>
                <w:rStyle w:val="799"/>
                <w:rFonts w:eastAsia="宋体"/>
                <w:lang w:val="en-US" w:eastAsia="zh-CN" w:bidi="ar"/>
              </w:rPr>
              <w:t>-</w:t>
            </w:r>
            <w:r>
              <w:rPr>
                <w:rStyle w:val="798"/>
                <w:lang w:val="en-US" w:eastAsia="zh-CN" w:bidi="ar"/>
              </w:rPr>
              <w:t>仪器法（夜间加收</w:t>
            </w:r>
            <w:r>
              <w:rPr>
                <w:rStyle w:val="799"/>
                <w:rFonts w:eastAsia="宋体"/>
                <w:lang w:val="en-US" w:eastAsia="zh-CN" w:bidi="ar"/>
              </w:rPr>
              <w:t>20%</w:t>
            </w:r>
            <w:r>
              <w:rPr>
                <w:rStyle w:val="798"/>
                <w:lang w:val="en-US" w:eastAsia="zh-CN" w:bidi="ar"/>
              </w:rPr>
              <w:t>）</w:t>
            </w:r>
          </w:p>
        </w:tc>
        <w:tc>
          <w:tcPr>
            <w:tcW w:w="1009" w:type="dxa"/>
            <w:shd w:val="clear" w:color="auto" w:fill="auto"/>
            <w:vAlign w:val="center"/>
          </w:tcPr>
          <w:p w14:paraId="5082B222">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84</w:t>
            </w:r>
          </w:p>
        </w:tc>
        <w:tc>
          <w:tcPr>
            <w:tcW w:w="1011" w:type="dxa"/>
            <w:shd w:val="clear" w:color="auto" w:fill="auto"/>
            <w:vAlign w:val="center"/>
          </w:tcPr>
          <w:p w14:paraId="55563808">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w:t>
            </w:r>
          </w:p>
        </w:tc>
        <w:tc>
          <w:tcPr>
            <w:tcW w:w="910" w:type="dxa"/>
            <w:shd w:val="clear" w:color="auto" w:fill="auto"/>
            <w:vAlign w:val="center"/>
          </w:tcPr>
          <w:p w14:paraId="2C5BB62E">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0</w:t>
            </w:r>
          </w:p>
        </w:tc>
        <w:tc>
          <w:tcPr>
            <w:tcW w:w="1893" w:type="dxa"/>
            <w:shd w:val="clear" w:color="auto" w:fill="auto"/>
            <w:vAlign w:val="center"/>
          </w:tcPr>
          <w:p w14:paraId="249912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铁路边界噪声GB 12525-1990及修改方案（环境保护部公告2008年第38号）</w:t>
            </w:r>
          </w:p>
        </w:tc>
        <w:tc>
          <w:tcPr>
            <w:tcW w:w="1008" w:type="dxa"/>
            <w:shd w:val="clear" w:color="auto" w:fill="auto"/>
            <w:vAlign w:val="center"/>
          </w:tcPr>
          <w:p w14:paraId="520C5216">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0</w:t>
            </w:r>
          </w:p>
        </w:tc>
        <w:tc>
          <w:tcPr>
            <w:tcW w:w="693" w:type="dxa"/>
            <w:shd w:val="clear" w:color="auto" w:fill="auto"/>
            <w:noWrap/>
            <w:vAlign w:val="center"/>
          </w:tcPr>
          <w:p w14:paraId="59183C78">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84</w:t>
            </w:r>
          </w:p>
        </w:tc>
      </w:tr>
      <w:tr w14:paraId="08AB4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trPr>
        <w:tc>
          <w:tcPr>
            <w:tcW w:w="782" w:type="dxa"/>
            <w:shd w:val="clear" w:color="auto" w:fill="auto"/>
            <w:vAlign w:val="center"/>
          </w:tcPr>
          <w:p w14:paraId="26207B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527" w:type="dxa"/>
            <w:shd w:val="clear" w:color="auto" w:fill="auto"/>
            <w:vAlign w:val="center"/>
          </w:tcPr>
          <w:p w14:paraId="769955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铁路边界噪声</w:t>
            </w:r>
          </w:p>
        </w:tc>
        <w:tc>
          <w:tcPr>
            <w:tcW w:w="1007" w:type="dxa"/>
            <w:shd w:val="clear" w:color="auto" w:fill="auto"/>
            <w:vAlign w:val="center"/>
          </w:tcPr>
          <w:p w14:paraId="577D9C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798"/>
                <w:lang w:val="en-US" w:eastAsia="zh-CN" w:bidi="ar"/>
              </w:rPr>
              <w:t>铁路边界噪声</w:t>
            </w:r>
            <w:r>
              <w:rPr>
                <w:rStyle w:val="799"/>
                <w:rFonts w:eastAsia="宋体"/>
                <w:lang w:val="en-US" w:eastAsia="zh-CN" w:bidi="ar"/>
              </w:rPr>
              <w:t>-</w:t>
            </w:r>
            <w:r>
              <w:rPr>
                <w:rStyle w:val="798"/>
                <w:lang w:val="en-US" w:eastAsia="zh-CN" w:bidi="ar"/>
              </w:rPr>
              <w:t>仪器法</w:t>
            </w:r>
          </w:p>
        </w:tc>
        <w:tc>
          <w:tcPr>
            <w:tcW w:w="1009" w:type="dxa"/>
            <w:shd w:val="clear" w:color="auto" w:fill="auto"/>
            <w:vAlign w:val="center"/>
          </w:tcPr>
          <w:p w14:paraId="415ADE97">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70</w:t>
            </w:r>
          </w:p>
        </w:tc>
        <w:tc>
          <w:tcPr>
            <w:tcW w:w="1011" w:type="dxa"/>
            <w:shd w:val="clear" w:color="auto" w:fill="auto"/>
            <w:vAlign w:val="center"/>
          </w:tcPr>
          <w:p w14:paraId="410410BC">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w:t>
            </w:r>
          </w:p>
        </w:tc>
        <w:tc>
          <w:tcPr>
            <w:tcW w:w="910" w:type="dxa"/>
            <w:shd w:val="clear" w:color="auto" w:fill="auto"/>
            <w:vAlign w:val="center"/>
          </w:tcPr>
          <w:p w14:paraId="4FA29C3A">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0</w:t>
            </w:r>
          </w:p>
        </w:tc>
        <w:tc>
          <w:tcPr>
            <w:tcW w:w="1893" w:type="dxa"/>
            <w:shd w:val="clear" w:color="auto" w:fill="auto"/>
            <w:vAlign w:val="center"/>
          </w:tcPr>
          <w:p w14:paraId="364BA3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铁路边界噪声GB 12525-1990及修改方案（环境保护部公告2008年第38号）</w:t>
            </w:r>
          </w:p>
        </w:tc>
        <w:tc>
          <w:tcPr>
            <w:tcW w:w="1008" w:type="dxa"/>
            <w:shd w:val="clear" w:color="auto" w:fill="auto"/>
            <w:vAlign w:val="center"/>
          </w:tcPr>
          <w:p w14:paraId="1BDFD25E">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0</w:t>
            </w:r>
          </w:p>
        </w:tc>
        <w:tc>
          <w:tcPr>
            <w:tcW w:w="693" w:type="dxa"/>
            <w:shd w:val="clear" w:color="auto" w:fill="auto"/>
            <w:noWrap/>
            <w:vAlign w:val="center"/>
          </w:tcPr>
          <w:p w14:paraId="42E4ED8D">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70</w:t>
            </w:r>
          </w:p>
        </w:tc>
      </w:tr>
      <w:tr w14:paraId="03847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0" w:hRule="atLeast"/>
        </w:trPr>
        <w:tc>
          <w:tcPr>
            <w:tcW w:w="782" w:type="dxa"/>
            <w:shd w:val="clear" w:color="auto" w:fill="auto"/>
            <w:vAlign w:val="center"/>
          </w:tcPr>
          <w:p w14:paraId="5A3CBAED">
            <w:pPr>
              <w:jc w:val="center"/>
              <w:rPr>
                <w:rFonts w:hint="eastAsia" w:ascii="宋体" w:hAnsi="宋体" w:eastAsia="宋体" w:cs="宋体"/>
                <w:i w:val="0"/>
                <w:iCs w:val="0"/>
                <w:color w:val="000000"/>
                <w:sz w:val="20"/>
                <w:szCs w:val="20"/>
                <w:u w:val="none"/>
              </w:rPr>
            </w:pPr>
          </w:p>
        </w:tc>
        <w:tc>
          <w:tcPr>
            <w:tcW w:w="1527" w:type="dxa"/>
            <w:shd w:val="clear" w:color="auto" w:fill="auto"/>
            <w:vAlign w:val="center"/>
          </w:tcPr>
          <w:p w14:paraId="45D0F917">
            <w:pPr>
              <w:jc w:val="center"/>
              <w:rPr>
                <w:rFonts w:hint="eastAsia" w:ascii="宋体" w:hAnsi="宋体" w:eastAsia="宋体" w:cs="宋体"/>
                <w:i w:val="0"/>
                <w:iCs w:val="0"/>
                <w:color w:val="000000"/>
                <w:sz w:val="20"/>
                <w:szCs w:val="20"/>
                <w:u w:val="none"/>
              </w:rPr>
            </w:pPr>
          </w:p>
        </w:tc>
        <w:tc>
          <w:tcPr>
            <w:tcW w:w="1007" w:type="dxa"/>
            <w:shd w:val="clear" w:color="auto" w:fill="auto"/>
            <w:vAlign w:val="center"/>
          </w:tcPr>
          <w:p w14:paraId="442C4B20">
            <w:pPr>
              <w:jc w:val="center"/>
              <w:rPr>
                <w:rFonts w:hint="eastAsia" w:ascii="宋体" w:hAnsi="宋体" w:eastAsia="宋体" w:cs="宋体"/>
                <w:i w:val="0"/>
                <w:iCs w:val="0"/>
                <w:color w:val="000000"/>
                <w:sz w:val="20"/>
                <w:szCs w:val="20"/>
                <w:u w:val="none"/>
              </w:rPr>
            </w:pPr>
          </w:p>
        </w:tc>
        <w:tc>
          <w:tcPr>
            <w:tcW w:w="1009" w:type="dxa"/>
            <w:shd w:val="clear" w:color="auto" w:fill="auto"/>
            <w:vAlign w:val="center"/>
          </w:tcPr>
          <w:p w14:paraId="751E4F43">
            <w:pPr>
              <w:jc w:val="center"/>
              <w:rPr>
                <w:rFonts w:hint="default" w:ascii="Times New Roman" w:hAnsi="Times New Roman" w:eastAsia="等线" w:cs="Times New Roman"/>
                <w:i w:val="0"/>
                <w:iCs w:val="0"/>
                <w:color w:val="000000"/>
                <w:sz w:val="20"/>
                <w:szCs w:val="20"/>
                <w:u w:val="none"/>
              </w:rPr>
            </w:pPr>
          </w:p>
        </w:tc>
        <w:tc>
          <w:tcPr>
            <w:tcW w:w="1011" w:type="dxa"/>
            <w:shd w:val="clear" w:color="auto" w:fill="auto"/>
            <w:vAlign w:val="center"/>
          </w:tcPr>
          <w:p w14:paraId="6B0F9C10">
            <w:pPr>
              <w:jc w:val="center"/>
              <w:rPr>
                <w:rFonts w:hint="default" w:ascii="Times New Roman" w:hAnsi="Times New Roman" w:eastAsia="等线" w:cs="Times New Roman"/>
                <w:i w:val="0"/>
                <w:iCs w:val="0"/>
                <w:color w:val="000000"/>
                <w:sz w:val="20"/>
                <w:szCs w:val="20"/>
                <w:u w:val="none"/>
              </w:rPr>
            </w:pPr>
          </w:p>
        </w:tc>
        <w:tc>
          <w:tcPr>
            <w:tcW w:w="910" w:type="dxa"/>
            <w:shd w:val="clear" w:color="auto" w:fill="auto"/>
            <w:vAlign w:val="center"/>
          </w:tcPr>
          <w:p w14:paraId="3B9A9372">
            <w:pPr>
              <w:jc w:val="center"/>
              <w:rPr>
                <w:rFonts w:hint="default" w:ascii="Times New Roman" w:hAnsi="Times New Roman" w:eastAsia="等线" w:cs="Times New Roman"/>
                <w:i w:val="0"/>
                <w:iCs w:val="0"/>
                <w:color w:val="000000"/>
                <w:sz w:val="20"/>
                <w:szCs w:val="20"/>
                <w:u w:val="none"/>
              </w:rPr>
            </w:pPr>
          </w:p>
        </w:tc>
        <w:tc>
          <w:tcPr>
            <w:tcW w:w="1893" w:type="dxa"/>
            <w:shd w:val="clear" w:color="auto" w:fill="auto"/>
            <w:vAlign w:val="center"/>
          </w:tcPr>
          <w:p w14:paraId="1CDFC8B5">
            <w:pPr>
              <w:jc w:val="center"/>
              <w:rPr>
                <w:rFonts w:hint="eastAsia" w:ascii="宋体" w:hAnsi="宋体" w:eastAsia="宋体" w:cs="宋体"/>
                <w:i w:val="0"/>
                <w:iCs w:val="0"/>
                <w:color w:val="000000"/>
                <w:sz w:val="22"/>
                <w:szCs w:val="22"/>
                <w:u w:val="none"/>
              </w:rPr>
            </w:pPr>
          </w:p>
        </w:tc>
        <w:tc>
          <w:tcPr>
            <w:tcW w:w="1008" w:type="dxa"/>
            <w:shd w:val="clear" w:color="auto" w:fill="auto"/>
            <w:vAlign w:val="center"/>
          </w:tcPr>
          <w:p w14:paraId="1A113C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小计</w:t>
            </w:r>
          </w:p>
        </w:tc>
        <w:tc>
          <w:tcPr>
            <w:tcW w:w="693" w:type="dxa"/>
            <w:shd w:val="clear" w:color="auto" w:fill="auto"/>
            <w:noWrap/>
            <w:vAlign w:val="center"/>
          </w:tcPr>
          <w:p w14:paraId="6CA85995">
            <w:pPr>
              <w:keepNext w:val="0"/>
              <w:keepLines w:val="0"/>
              <w:widowControl/>
              <w:suppressLineNumbers w:val="0"/>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1100</w:t>
            </w:r>
          </w:p>
        </w:tc>
      </w:tr>
      <w:tr w14:paraId="38714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8" w:hRule="atLeast"/>
        </w:trPr>
        <w:tc>
          <w:tcPr>
            <w:tcW w:w="9840" w:type="dxa"/>
            <w:gridSpan w:val="9"/>
            <w:shd w:val="clear" w:color="auto" w:fill="auto"/>
            <w:vAlign w:val="center"/>
          </w:tcPr>
          <w:p w14:paraId="289C1046">
            <w:pPr>
              <w:keepNext w:val="0"/>
              <w:keepLines w:val="0"/>
              <w:widowControl/>
              <w:suppressLineNumbers w:val="0"/>
              <w:jc w:val="center"/>
              <w:textAlignment w:val="center"/>
              <w:rPr>
                <w:rFonts w:hint="eastAsia" w:ascii="等线" w:hAnsi="等线" w:eastAsia="等线" w:cs="等线"/>
                <w:b/>
                <w:bCs/>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四、土壤和沉积物</w:t>
            </w:r>
          </w:p>
        </w:tc>
      </w:tr>
      <w:tr w14:paraId="1EA22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34" w:hRule="atLeast"/>
        </w:trPr>
        <w:tc>
          <w:tcPr>
            <w:tcW w:w="782" w:type="dxa"/>
            <w:shd w:val="clear" w:color="auto" w:fill="auto"/>
            <w:vAlign w:val="center"/>
          </w:tcPr>
          <w:p w14:paraId="78F13E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527" w:type="dxa"/>
            <w:shd w:val="clear" w:color="auto" w:fill="auto"/>
            <w:vAlign w:val="center"/>
          </w:tcPr>
          <w:p w14:paraId="362443B3">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pH值</w:t>
            </w:r>
          </w:p>
        </w:tc>
        <w:tc>
          <w:tcPr>
            <w:tcW w:w="1007" w:type="dxa"/>
            <w:shd w:val="clear" w:color="auto" w:fill="auto"/>
            <w:vAlign w:val="center"/>
          </w:tcPr>
          <w:p w14:paraId="7EA199D7">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土壤样品采集</w:t>
            </w:r>
          </w:p>
        </w:tc>
        <w:tc>
          <w:tcPr>
            <w:tcW w:w="1009" w:type="dxa"/>
            <w:shd w:val="clear" w:color="auto" w:fill="auto"/>
            <w:noWrap/>
            <w:vAlign w:val="center"/>
          </w:tcPr>
          <w:p w14:paraId="00A0D386">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70</w:t>
            </w:r>
          </w:p>
        </w:tc>
        <w:tc>
          <w:tcPr>
            <w:tcW w:w="1011" w:type="dxa"/>
            <w:shd w:val="clear" w:color="auto" w:fill="auto"/>
            <w:noWrap/>
            <w:vAlign w:val="center"/>
          </w:tcPr>
          <w:p w14:paraId="6B4DC73E">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萃取</w:t>
            </w:r>
          </w:p>
        </w:tc>
        <w:tc>
          <w:tcPr>
            <w:tcW w:w="910" w:type="dxa"/>
            <w:shd w:val="clear" w:color="auto" w:fill="auto"/>
            <w:noWrap/>
            <w:vAlign w:val="center"/>
          </w:tcPr>
          <w:p w14:paraId="2940D752">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30</w:t>
            </w:r>
          </w:p>
        </w:tc>
        <w:tc>
          <w:tcPr>
            <w:tcW w:w="1893" w:type="dxa"/>
            <w:shd w:val="clear" w:color="auto" w:fill="auto"/>
            <w:vAlign w:val="center"/>
          </w:tcPr>
          <w:p w14:paraId="776EA024">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土壤 pH值的测定 电位法 HJ</w:t>
            </w:r>
            <w:r>
              <w:rPr>
                <w:rFonts w:ascii="宋体" w:hAnsi="宋体" w:eastAsia="宋体" w:cs="宋体"/>
                <w:i w:val="0"/>
                <w:iCs w:val="0"/>
                <w:color w:val="000000"/>
                <w:kern w:val="0"/>
                <w:sz w:val="20"/>
                <w:szCs w:val="20"/>
                <w:u w:val="none"/>
                <w:lang w:val="en-US" w:eastAsia="zh-CN" w:bidi="ar"/>
              </w:rPr>
              <w:br w:type="textWrapping"/>
            </w:r>
            <w:r>
              <w:rPr>
                <w:rFonts w:ascii="宋体" w:hAnsi="宋体" w:eastAsia="宋体" w:cs="宋体"/>
                <w:i w:val="0"/>
                <w:iCs w:val="0"/>
                <w:color w:val="000000"/>
                <w:kern w:val="0"/>
                <w:sz w:val="20"/>
                <w:szCs w:val="20"/>
                <w:u w:val="none"/>
                <w:lang w:val="en-US" w:eastAsia="zh-CN" w:bidi="ar"/>
              </w:rPr>
              <w:t>962-2018</w:t>
            </w:r>
          </w:p>
        </w:tc>
        <w:tc>
          <w:tcPr>
            <w:tcW w:w="1008" w:type="dxa"/>
            <w:shd w:val="clear" w:color="auto" w:fill="auto"/>
            <w:noWrap/>
            <w:vAlign w:val="center"/>
          </w:tcPr>
          <w:p w14:paraId="203D8E8E">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15</w:t>
            </w:r>
          </w:p>
        </w:tc>
        <w:tc>
          <w:tcPr>
            <w:tcW w:w="693" w:type="dxa"/>
            <w:shd w:val="clear" w:color="auto" w:fill="auto"/>
            <w:noWrap/>
            <w:vAlign w:val="center"/>
          </w:tcPr>
          <w:p w14:paraId="68997919">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115</w:t>
            </w:r>
          </w:p>
        </w:tc>
      </w:tr>
      <w:tr w14:paraId="63CBF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782" w:type="dxa"/>
            <w:shd w:val="clear" w:color="auto" w:fill="auto"/>
            <w:vAlign w:val="center"/>
          </w:tcPr>
          <w:p w14:paraId="7EA249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527" w:type="dxa"/>
            <w:shd w:val="clear" w:color="auto" w:fill="auto"/>
            <w:vAlign w:val="center"/>
          </w:tcPr>
          <w:p w14:paraId="0D7EB01E">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氟化物</w:t>
            </w:r>
          </w:p>
        </w:tc>
        <w:tc>
          <w:tcPr>
            <w:tcW w:w="1007" w:type="dxa"/>
            <w:shd w:val="clear" w:color="auto" w:fill="auto"/>
            <w:vAlign w:val="center"/>
          </w:tcPr>
          <w:p w14:paraId="1F536F32">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土壤样品采集</w:t>
            </w:r>
          </w:p>
        </w:tc>
        <w:tc>
          <w:tcPr>
            <w:tcW w:w="1009" w:type="dxa"/>
            <w:shd w:val="clear" w:color="auto" w:fill="auto"/>
            <w:noWrap/>
            <w:vAlign w:val="center"/>
          </w:tcPr>
          <w:p w14:paraId="45FA03C3">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70</w:t>
            </w:r>
          </w:p>
        </w:tc>
        <w:tc>
          <w:tcPr>
            <w:tcW w:w="1011" w:type="dxa"/>
            <w:shd w:val="clear" w:color="auto" w:fill="auto"/>
            <w:noWrap/>
            <w:vAlign w:val="center"/>
          </w:tcPr>
          <w:p w14:paraId="6C1B9919">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萃取</w:t>
            </w:r>
          </w:p>
        </w:tc>
        <w:tc>
          <w:tcPr>
            <w:tcW w:w="910" w:type="dxa"/>
            <w:shd w:val="clear" w:color="auto" w:fill="auto"/>
            <w:noWrap/>
            <w:vAlign w:val="center"/>
          </w:tcPr>
          <w:p w14:paraId="3F3E100C">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80</w:t>
            </w:r>
          </w:p>
        </w:tc>
        <w:tc>
          <w:tcPr>
            <w:tcW w:w="1893" w:type="dxa"/>
            <w:shd w:val="clear" w:color="auto" w:fill="auto"/>
            <w:vAlign w:val="center"/>
          </w:tcPr>
          <w:p w14:paraId="209DC6FE">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土壤质量 氟化物的测定 离子</w:t>
            </w:r>
            <w:r>
              <w:rPr>
                <w:rFonts w:ascii="宋体" w:hAnsi="宋体" w:eastAsia="宋体" w:cs="宋体"/>
                <w:i w:val="0"/>
                <w:iCs w:val="0"/>
                <w:color w:val="000000"/>
                <w:kern w:val="0"/>
                <w:sz w:val="20"/>
                <w:szCs w:val="20"/>
                <w:u w:val="none"/>
                <w:lang w:val="en-US" w:eastAsia="zh-CN" w:bidi="ar"/>
              </w:rPr>
              <w:br w:type="textWrapping"/>
            </w:r>
            <w:r>
              <w:rPr>
                <w:rFonts w:ascii="宋体" w:hAnsi="宋体" w:eastAsia="宋体" w:cs="宋体"/>
                <w:i w:val="0"/>
                <w:iCs w:val="0"/>
                <w:color w:val="000000"/>
                <w:kern w:val="0"/>
                <w:sz w:val="20"/>
                <w:szCs w:val="20"/>
                <w:u w:val="none"/>
                <w:lang w:val="en-US" w:eastAsia="zh-CN" w:bidi="ar"/>
              </w:rPr>
              <w:t>选择电极法 GB/T 22104-2008</w:t>
            </w:r>
          </w:p>
        </w:tc>
        <w:tc>
          <w:tcPr>
            <w:tcW w:w="1008" w:type="dxa"/>
            <w:shd w:val="clear" w:color="auto" w:fill="auto"/>
            <w:noWrap/>
            <w:vAlign w:val="center"/>
          </w:tcPr>
          <w:p w14:paraId="44EBFEC0">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60</w:t>
            </w:r>
          </w:p>
        </w:tc>
        <w:tc>
          <w:tcPr>
            <w:tcW w:w="693" w:type="dxa"/>
            <w:shd w:val="clear" w:color="auto" w:fill="auto"/>
            <w:noWrap/>
            <w:vAlign w:val="center"/>
          </w:tcPr>
          <w:p w14:paraId="78169C0C">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210</w:t>
            </w:r>
          </w:p>
        </w:tc>
      </w:tr>
      <w:tr w14:paraId="7BFAF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trPr>
        <w:tc>
          <w:tcPr>
            <w:tcW w:w="782" w:type="dxa"/>
            <w:shd w:val="clear" w:color="auto" w:fill="auto"/>
            <w:vAlign w:val="center"/>
          </w:tcPr>
          <w:p w14:paraId="3677B3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527" w:type="dxa"/>
            <w:shd w:val="clear" w:color="auto" w:fill="auto"/>
            <w:vAlign w:val="center"/>
          </w:tcPr>
          <w:p w14:paraId="75B77D56">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挥发性有机物</w:t>
            </w:r>
          </w:p>
        </w:tc>
        <w:tc>
          <w:tcPr>
            <w:tcW w:w="1007" w:type="dxa"/>
            <w:shd w:val="clear" w:color="auto" w:fill="auto"/>
            <w:vAlign w:val="center"/>
          </w:tcPr>
          <w:p w14:paraId="507A192C">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土壤样品采集</w:t>
            </w:r>
          </w:p>
        </w:tc>
        <w:tc>
          <w:tcPr>
            <w:tcW w:w="1009" w:type="dxa"/>
            <w:shd w:val="clear" w:color="auto" w:fill="auto"/>
            <w:noWrap/>
            <w:vAlign w:val="center"/>
          </w:tcPr>
          <w:p w14:paraId="23A026E6">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70</w:t>
            </w:r>
          </w:p>
        </w:tc>
        <w:tc>
          <w:tcPr>
            <w:tcW w:w="1011" w:type="dxa"/>
            <w:shd w:val="clear" w:color="auto" w:fill="auto"/>
            <w:noWrap/>
            <w:vAlign w:val="center"/>
          </w:tcPr>
          <w:p w14:paraId="36AE0350">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萃取，过滤，浓缩</w:t>
            </w:r>
          </w:p>
        </w:tc>
        <w:tc>
          <w:tcPr>
            <w:tcW w:w="910" w:type="dxa"/>
            <w:shd w:val="clear" w:color="auto" w:fill="auto"/>
            <w:noWrap/>
            <w:vAlign w:val="center"/>
          </w:tcPr>
          <w:p w14:paraId="68841329">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80</w:t>
            </w:r>
          </w:p>
        </w:tc>
        <w:tc>
          <w:tcPr>
            <w:tcW w:w="1893" w:type="dxa"/>
            <w:shd w:val="clear" w:color="auto" w:fill="auto"/>
            <w:vAlign w:val="center"/>
          </w:tcPr>
          <w:p w14:paraId="6EBFCFB4">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土壤和沉积物 挥发性有机物</w:t>
            </w:r>
            <w:r>
              <w:rPr>
                <w:rFonts w:ascii="宋体" w:hAnsi="宋体" w:eastAsia="宋体" w:cs="宋体"/>
                <w:i w:val="0"/>
                <w:iCs w:val="0"/>
                <w:color w:val="000000"/>
                <w:kern w:val="0"/>
                <w:sz w:val="20"/>
                <w:szCs w:val="20"/>
                <w:u w:val="none"/>
                <w:lang w:val="en-US" w:eastAsia="zh-CN" w:bidi="ar"/>
              </w:rPr>
              <w:br w:type="textWrapping"/>
            </w:r>
            <w:r>
              <w:rPr>
                <w:rFonts w:ascii="宋体" w:hAnsi="宋体" w:eastAsia="宋体" w:cs="宋体"/>
                <w:i w:val="0"/>
                <w:iCs w:val="0"/>
                <w:color w:val="000000"/>
                <w:kern w:val="0"/>
                <w:sz w:val="20"/>
                <w:szCs w:val="20"/>
                <w:u w:val="none"/>
                <w:lang w:val="en-US" w:eastAsia="zh-CN" w:bidi="ar"/>
              </w:rPr>
              <w:t>的测定 吹扫捕集/气相色谱-质</w:t>
            </w:r>
            <w:r>
              <w:rPr>
                <w:rFonts w:ascii="宋体" w:hAnsi="宋体" w:eastAsia="宋体" w:cs="宋体"/>
                <w:i w:val="0"/>
                <w:iCs w:val="0"/>
                <w:color w:val="000000"/>
                <w:kern w:val="0"/>
                <w:sz w:val="20"/>
                <w:szCs w:val="20"/>
                <w:u w:val="none"/>
                <w:lang w:val="en-US" w:eastAsia="zh-CN" w:bidi="ar"/>
              </w:rPr>
              <w:br w:type="textWrapping"/>
            </w:r>
            <w:r>
              <w:rPr>
                <w:rFonts w:ascii="宋体" w:hAnsi="宋体" w:eastAsia="宋体" w:cs="宋体"/>
                <w:i w:val="0"/>
                <w:iCs w:val="0"/>
                <w:color w:val="000000"/>
                <w:kern w:val="0"/>
                <w:sz w:val="20"/>
                <w:szCs w:val="20"/>
                <w:u w:val="none"/>
                <w:lang w:val="en-US" w:eastAsia="zh-CN" w:bidi="ar"/>
              </w:rPr>
              <w:t>谱法 HJ 605-2011</w:t>
            </w:r>
          </w:p>
        </w:tc>
        <w:tc>
          <w:tcPr>
            <w:tcW w:w="1008" w:type="dxa"/>
            <w:shd w:val="clear" w:color="auto" w:fill="auto"/>
            <w:noWrap/>
            <w:vAlign w:val="center"/>
          </w:tcPr>
          <w:p w14:paraId="039A457D">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260</w:t>
            </w:r>
          </w:p>
        </w:tc>
        <w:tc>
          <w:tcPr>
            <w:tcW w:w="693" w:type="dxa"/>
            <w:shd w:val="clear" w:color="auto" w:fill="auto"/>
            <w:noWrap/>
            <w:vAlign w:val="center"/>
          </w:tcPr>
          <w:p w14:paraId="37E36AD4">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410</w:t>
            </w:r>
          </w:p>
        </w:tc>
      </w:tr>
      <w:tr w14:paraId="12D5F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09" w:hRule="atLeast"/>
        </w:trPr>
        <w:tc>
          <w:tcPr>
            <w:tcW w:w="782" w:type="dxa"/>
            <w:shd w:val="clear" w:color="auto" w:fill="auto"/>
            <w:vAlign w:val="center"/>
          </w:tcPr>
          <w:p w14:paraId="4E51E3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527" w:type="dxa"/>
            <w:shd w:val="clear" w:color="auto" w:fill="auto"/>
            <w:vAlign w:val="center"/>
          </w:tcPr>
          <w:p w14:paraId="0122CE6D">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多环芳烃</w:t>
            </w:r>
          </w:p>
        </w:tc>
        <w:tc>
          <w:tcPr>
            <w:tcW w:w="1007" w:type="dxa"/>
            <w:shd w:val="clear" w:color="auto" w:fill="auto"/>
            <w:vAlign w:val="center"/>
          </w:tcPr>
          <w:p w14:paraId="2B37855C">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土壤样品采集</w:t>
            </w:r>
          </w:p>
        </w:tc>
        <w:tc>
          <w:tcPr>
            <w:tcW w:w="1009" w:type="dxa"/>
            <w:shd w:val="clear" w:color="auto" w:fill="auto"/>
            <w:noWrap/>
            <w:vAlign w:val="center"/>
          </w:tcPr>
          <w:p w14:paraId="25B0B232">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70</w:t>
            </w:r>
          </w:p>
        </w:tc>
        <w:tc>
          <w:tcPr>
            <w:tcW w:w="1011" w:type="dxa"/>
            <w:shd w:val="clear" w:color="auto" w:fill="auto"/>
            <w:noWrap/>
            <w:vAlign w:val="center"/>
          </w:tcPr>
          <w:p w14:paraId="392DB3BB">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萃取，过滤，浓缩</w:t>
            </w:r>
          </w:p>
        </w:tc>
        <w:tc>
          <w:tcPr>
            <w:tcW w:w="910" w:type="dxa"/>
            <w:shd w:val="clear" w:color="auto" w:fill="auto"/>
            <w:noWrap/>
            <w:vAlign w:val="center"/>
          </w:tcPr>
          <w:p w14:paraId="192D6BC1">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80</w:t>
            </w:r>
          </w:p>
        </w:tc>
        <w:tc>
          <w:tcPr>
            <w:tcW w:w="1893" w:type="dxa"/>
            <w:shd w:val="clear" w:color="auto" w:fill="auto"/>
            <w:vAlign w:val="center"/>
          </w:tcPr>
          <w:p w14:paraId="2AD87D98">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土壤和沉积物 多环芳烃的测定 气相色谱-质谱法</w:t>
            </w:r>
            <w:r>
              <w:rPr>
                <w:rFonts w:ascii="宋体" w:hAnsi="宋体" w:eastAsia="宋体" w:cs="宋体"/>
                <w:i w:val="0"/>
                <w:iCs w:val="0"/>
                <w:color w:val="000000"/>
                <w:kern w:val="0"/>
                <w:sz w:val="20"/>
                <w:szCs w:val="20"/>
                <w:u w:val="none"/>
                <w:lang w:val="en-US" w:eastAsia="zh-CN" w:bidi="ar"/>
              </w:rPr>
              <w:br w:type="textWrapping"/>
            </w:r>
            <w:r>
              <w:rPr>
                <w:rFonts w:ascii="宋体" w:hAnsi="宋体" w:eastAsia="宋体" w:cs="宋体"/>
                <w:i w:val="0"/>
                <w:iCs w:val="0"/>
                <w:color w:val="000000"/>
                <w:kern w:val="0"/>
                <w:sz w:val="20"/>
                <w:szCs w:val="20"/>
                <w:u w:val="none"/>
                <w:lang w:val="en-US" w:eastAsia="zh-CN" w:bidi="ar"/>
              </w:rPr>
              <w:t>HJ 805-2016</w:t>
            </w:r>
          </w:p>
        </w:tc>
        <w:tc>
          <w:tcPr>
            <w:tcW w:w="1008" w:type="dxa"/>
            <w:shd w:val="clear" w:color="auto" w:fill="auto"/>
            <w:noWrap/>
            <w:vAlign w:val="center"/>
          </w:tcPr>
          <w:p w14:paraId="440A8E78">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260</w:t>
            </w:r>
          </w:p>
        </w:tc>
        <w:tc>
          <w:tcPr>
            <w:tcW w:w="693" w:type="dxa"/>
            <w:shd w:val="clear" w:color="auto" w:fill="auto"/>
            <w:noWrap/>
            <w:vAlign w:val="center"/>
          </w:tcPr>
          <w:p w14:paraId="5E04867C">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410</w:t>
            </w:r>
          </w:p>
        </w:tc>
      </w:tr>
      <w:tr w14:paraId="1BA76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782" w:type="dxa"/>
            <w:shd w:val="clear" w:color="auto" w:fill="auto"/>
            <w:vAlign w:val="center"/>
          </w:tcPr>
          <w:p w14:paraId="669F09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527" w:type="dxa"/>
            <w:shd w:val="clear" w:color="auto" w:fill="auto"/>
            <w:vAlign w:val="center"/>
          </w:tcPr>
          <w:p w14:paraId="0DF836D1">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含水量</w:t>
            </w:r>
          </w:p>
        </w:tc>
        <w:tc>
          <w:tcPr>
            <w:tcW w:w="1007" w:type="dxa"/>
            <w:shd w:val="clear" w:color="auto" w:fill="auto"/>
            <w:vAlign w:val="center"/>
          </w:tcPr>
          <w:p w14:paraId="3F7383A3">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土壤样品采集</w:t>
            </w:r>
          </w:p>
        </w:tc>
        <w:tc>
          <w:tcPr>
            <w:tcW w:w="1009" w:type="dxa"/>
            <w:shd w:val="clear" w:color="auto" w:fill="auto"/>
            <w:noWrap/>
            <w:vAlign w:val="center"/>
          </w:tcPr>
          <w:p w14:paraId="00FF5BA6">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70</w:t>
            </w:r>
          </w:p>
        </w:tc>
        <w:tc>
          <w:tcPr>
            <w:tcW w:w="1011" w:type="dxa"/>
            <w:shd w:val="clear" w:color="auto" w:fill="auto"/>
            <w:noWrap/>
            <w:vAlign w:val="center"/>
          </w:tcPr>
          <w:p w14:paraId="0353B161">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土壤样品制备</w:t>
            </w:r>
          </w:p>
        </w:tc>
        <w:tc>
          <w:tcPr>
            <w:tcW w:w="910" w:type="dxa"/>
            <w:shd w:val="clear" w:color="auto" w:fill="auto"/>
            <w:noWrap/>
            <w:vAlign w:val="center"/>
          </w:tcPr>
          <w:p w14:paraId="13BD4B30">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80</w:t>
            </w:r>
          </w:p>
        </w:tc>
        <w:tc>
          <w:tcPr>
            <w:tcW w:w="1893" w:type="dxa"/>
            <w:shd w:val="clear" w:color="auto" w:fill="auto"/>
            <w:vAlign w:val="center"/>
          </w:tcPr>
          <w:p w14:paraId="43B76207">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森林土壤含水量的测定LY/T 1213-1999</w:t>
            </w:r>
          </w:p>
        </w:tc>
        <w:tc>
          <w:tcPr>
            <w:tcW w:w="1008" w:type="dxa"/>
            <w:shd w:val="clear" w:color="auto" w:fill="auto"/>
            <w:noWrap/>
            <w:vAlign w:val="center"/>
          </w:tcPr>
          <w:p w14:paraId="3B8FFD28">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60</w:t>
            </w:r>
          </w:p>
        </w:tc>
        <w:tc>
          <w:tcPr>
            <w:tcW w:w="693" w:type="dxa"/>
            <w:shd w:val="clear" w:color="auto" w:fill="auto"/>
            <w:noWrap/>
            <w:vAlign w:val="center"/>
          </w:tcPr>
          <w:p w14:paraId="0BA45056">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210</w:t>
            </w:r>
          </w:p>
        </w:tc>
      </w:tr>
      <w:tr w14:paraId="41EA4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782" w:type="dxa"/>
            <w:shd w:val="clear" w:color="auto" w:fill="auto"/>
            <w:vAlign w:val="center"/>
          </w:tcPr>
          <w:p w14:paraId="5A0BF7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527" w:type="dxa"/>
            <w:shd w:val="clear" w:color="auto" w:fill="auto"/>
            <w:vAlign w:val="center"/>
          </w:tcPr>
          <w:p w14:paraId="543FAF25">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土壤容重</w:t>
            </w:r>
          </w:p>
        </w:tc>
        <w:tc>
          <w:tcPr>
            <w:tcW w:w="1007" w:type="dxa"/>
            <w:shd w:val="clear" w:color="auto" w:fill="auto"/>
            <w:vAlign w:val="center"/>
          </w:tcPr>
          <w:p w14:paraId="4C3EA1D0">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土壤样品采集</w:t>
            </w:r>
          </w:p>
        </w:tc>
        <w:tc>
          <w:tcPr>
            <w:tcW w:w="1009" w:type="dxa"/>
            <w:shd w:val="clear" w:color="auto" w:fill="auto"/>
            <w:noWrap/>
            <w:vAlign w:val="center"/>
          </w:tcPr>
          <w:p w14:paraId="7E9260A4">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70</w:t>
            </w:r>
          </w:p>
        </w:tc>
        <w:tc>
          <w:tcPr>
            <w:tcW w:w="1011" w:type="dxa"/>
            <w:shd w:val="clear" w:color="auto" w:fill="auto"/>
            <w:noWrap/>
            <w:vAlign w:val="center"/>
          </w:tcPr>
          <w:p w14:paraId="34CAF5E3">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土壤样品制备</w:t>
            </w:r>
          </w:p>
        </w:tc>
        <w:tc>
          <w:tcPr>
            <w:tcW w:w="910" w:type="dxa"/>
            <w:shd w:val="clear" w:color="auto" w:fill="auto"/>
            <w:noWrap/>
            <w:vAlign w:val="center"/>
          </w:tcPr>
          <w:p w14:paraId="0E38A8B2">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80</w:t>
            </w:r>
          </w:p>
        </w:tc>
        <w:tc>
          <w:tcPr>
            <w:tcW w:w="1893" w:type="dxa"/>
            <w:shd w:val="clear" w:color="auto" w:fill="auto"/>
            <w:vAlign w:val="center"/>
          </w:tcPr>
          <w:p w14:paraId="66D0A63D">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土壤检测 第4部分：土壤容重的测定NY/T 1121.4-2006</w:t>
            </w:r>
          </w:p>
        </w:tc>
        <w:tc>
          <w:tcPr>
            <w:tcW w:w="1008" w:type="dxa"/>
            <w:shd w:val="clear" w:color="auto" w:fill="auto"/>
            <w:noWrap/>
            <w:vAlign w:val="center"/>
          </w:tcPr>
          <w:p w14:paraId="1342D9E1">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60</w:t>
            </w:r>
          </w:p>
        </w:tc>
        <w:tc>
          <w:tcPr>
            <w:tcW w:w="693" w:type="dxa"/>
            <w:shd w:val="clear" w:color="auto" w:fill="auto"/>
            <w:noWrap/>
            <w:vAlign w:val="center"/>
          </w:tcPr>
          <w:p w14:paraId="3B1EF4C3">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210</w:t>
            </w:r>
          </w:p>
        </w:tc>
      </w:tr>
      <w:tr w14:paraId="17C60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trPr>
        <w:tc>
          <w:tcPr>
            <w:tcW w:w="782" w:type="dxa"/>
            <w:shd w:val="clear" w:color="auto" w:fill="auto"/>
            <w:noWrap/>
            <w:vAlign w:val="bottom"/>
          </w:tcPr>
          <w:p w14:paraId="4E5142A4">
            <w:pPr>
              <w:rPr>
                <w:rFonts w:hint="eastAsia" w:ascii="等线" w:hAnsi="等线" w:eastAsia="等线" w:cs="等线"/>
                <w:i w:val="0"/>
                <w:iCs w:val="0"/>
                <w:color w:val="000000"/>
                <w:sz w:val="22"/>
                <w:szCs w:val="22"/>
                <w:u w:val="none"/>
              </w:rPr>
            </w:pPr>
          </w:p>
        </w:tc>
        <w:tc>
          <w:tcPr>
            <w:tcW w:w="1527" w:type="dxa"/>
            <w:shd w:val="clear" w:color="auto" w:fill="auto"/>
            <w:noWrap/>
            <w:vAlign w:val="bottom"/>
          </w:tcPr>
          <w:p w14:paraId="1D076ADD">
            <w:pPr>
              <w:rPr>
                <w:rFonts w:hint="eastAsia" w:ascii="等线" w:hAnsi="等线" w:eastAsia="等线" w:cs="等线"/>
                <w:i w:val="0"/>
                <w:iCs w:val="0"/>
                <w:color w:val="000000"/>
                <w:sz w:val="22"/>
                <w:szCs w:val="22"/>
                <w:u w:val="none"/>
              </w:rPr>
            </w:pPr>
          </w:p>
        </w:tc>
        <w:tc>
          <w:tcPr>
            <w:tcW w:w="1007" w:type="dxa"/>
            <w:shd w:val="clear" w:color="auto" w:fill="auto"/>
            <w:noWrap/>
            <w:vAlign w:val="bottom"/>
          </w:tcPr>
          <w:p w14:paraId="168D0399">
            <w:pPr>
              <w:rPr>
                <w:rFonts w:hint="eastAsia" w:ascii="等线" w:hAnsi="等线" w:eastAsia="等线" w:cs="等线"/>
                <w:i w:val="0"/>
                <w:iCs w:val="0"/>
                <w:color w:val="000000"/>
                <w:sz w:val="22"/>
                <w:szCs w:val="22"/>
                <w:u w:val="none"/>
              </w:rPr>
            </w:pPr>
          </w:p>
        </w:tc>
        <w:tc>
          <w:tcPr>
            <w:tcW w:w="1009" w:type="dxa"/>
            <w:shd w:val="clear" w:color="auto" w:fill="auto"/>
            <w:noWrap/>
            <w:vAlign w:val="bottom"/>
          </w:tcPr>
          <w:p w14:paraId="6B07A7B1">
            <w:pPr>
              <w:rPr>
                <w:rFonts w:hint="eastAsia" w:ascii="等线" w:hAnsi="等线" w:eastAsia="等线" w:cs="等线"/>
                <w:i w:val="0"/>
                <w:iCs w:val="0"/>
                <w:color w:val="000000"/>
                <w:sz w:val="22"/>
                <w:szCs w:val="22"/>
                <w:u w:val="none"/>
              </w:rPr>
            </w:pPr>
          </w:p>
        </w:tc>
        <w:tc>
          <w:tcPr>
            <w:tcW w:w="1011" w:type="dxa"/>
            <w:shd w:val="clear" w:color="auto" w:fill="auto"/>
            <w:noWrap/>
            <w:vAlign w:val="bottom"/>
          </w:tcPr>
          <w:p w14:paraId="03C7898A">
            <w:pPr>
              <w:rPr>
                <w:rFonts w:hint="eastAsia" w:ascii="等线" w:hAnsi="等线" w:eastAsia="等线" w:cs="等线"/>
                <w:i w:val="0"/>
                <w:iCs w:val="0"/>
                <w:color w:val="000000"/>
                <w:sz w:val="22"/>
                <w:szCs w:val="22"/>
                <w:u w:val="none"/>
              </w:rPr>
            </w:pPr>
          </w:p>
        </w:tc>
        <w:tc>
          <w:tcPr>
            <w:tcW w:w="910" w:type="dxa"/>
            <w:shd w:val="clear" w:color="auto" w:fill="auto"/>
            <w:noWrap/>
            <w:vAlign w:val="bottom"/>
          </w:tcPr>
          <w:p w14:paraId="66BE0736">
            <w:pPr>
              <w:rPr>
                <w:rFonts w:hint="eastAsia" w:ascii="等线" w:hAnsi="等线" w:eastAsia="等线" w:cs="等线"/>
                <w:i w:val="0"/>
                <w:iCs w:val="0"/>
                <w:color w:val="000000"/>
                <w:sz w:val="22"/>
                <w:szCs w:val="22"/>
                <w:u w:val="none"/>
              </w:rPr>
            </w:pPr>
          </w:p>
        </w:tc>
        <w:tc>
          <w:tcPr>
            <w:tcW w:w="1893" w:type="dxa"/>
            <w:shd w:val="clear" w:color="auto" w:fill="auto"/>
            <w:noWrap/>
            <w:vAlign w:val="bottom"/>
          </w:tcPr>
          <w:p w14:paraId="3A4ABA78">
            <w:pPr>
              <w:rPr>
                <w:rFonts w:hint="eastAsia" w:ascii="等线" w:hAnsi="等线" w:eastAsia="等线" w:cs="等线"/>
                <w:i w:val="0"/>
                <w:iCs w:val="0"/>
                <w:color w:val="000000"/>
                <w:sz w:val="22"/>
                <w:szCs w:val="22"/>
                <w:u w:val="none"/>
              </w:rPr>
            </w:pPr>
          </w:p>
        </w:tc>
        <w:tc>
          <w:tcPr>
            <w:tcW w:w="1008" w:type="dxa"/>
            <w:shd w:val="clear" w:color="auto" w:fill="auto"/>
            <w:noWrap/>
            <w:vAlign w:val="bottom"/>
          </w:tcPr>
          <w:p w14:paraId="5EC95725">
            <w:pPr>
              <w:keepNext w:val="0"/>
              <w:keepLines w:val="0"/>
              <w:widowControl/>
              <w:suppressLineNumbers w:val="0"/>
              <w:jc w:val="left"/>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小计</w:t>
            </w:r>
          </w:p>
        </w:tc>
        <w:tc>
          <w:tcPr>
            <w:tcW w:w="693" w:type="dxa"/>
            <w:shd w:val="clear" w:color="auto" w:fill="auto"/>
            <w:noWrap/>
            <w:vAlign w:val="bottom"/>
          </w:tcPr>
          <w:p w14:paraId="510C1065">
            <w:pPr>
              <w:keepNext w:val="0"/>
              <w:keepLines w:val="0"/>
              <w:widowControl/>
              <w:suppressLineNumbers w:val="0"/>
              <w:jc w:val="right"/>
              <w:textAlignment w:val="bottom"/>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1565</w:t>
            </w:r>
          </w:p>
        </w:tc>
      </w:tr>
      <w:tr w14:paraId="7CA5B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20" w:hRule="atLeast"/>
        </w:trPr>
        <w:tc>
          <w:tcPr>
            <w:tcW w:w="4325" w:type="dxa"/>
            <w:gridSpan w:val="4"/>
            <w:shd w:val="clear" w:color="auto" w:fill="auto"/>
            <w:noWrap/>
            <w:vAlign w:val="bottom"/>
          </w:tcPr>
          <w:p w14:paraId="16055BCE">
            <w:pPr>
              <w:keepNext w:val="0"/>
              <w:keepLines w:val="0"/>
              <w:widowControl/>
              <w:suppressLineNumbers w:val="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合计：</w:t>
            </w:r>
          </w:p>
        </w:tc>
        <w:tc>
          <w:tcPr>
            <w:tcW w:w="4822" w:type="dxa"/>
            <w:gridSpan w:val="4"/>
            <w:shd w:val="clear" w:color="auto" w:fill="auto"/>
            <w:noWrap/>
            <w:vAlign w:val="bottom"/>
          </w:tcPr>
          <w:p w14:paraId="6C3116A4">
            <w:pPr>
              <w:keepNext w:val="0"/>
              <w:keepLines w:val="0"/>
              <w:widowControl/>
              <w:suppressLineNumbers w:val="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一+二+三+四=</w:t>
            </w:r>
          </w:p>
        </w:tc>
        <w:tc>
          <w:tcPr>
            <w:tcW w:w="693" w:type="dxa"/>
            <w:shd w:val="clear" w:color="auto" w:fill="auto"/>
            <w:noWrap/>
            <w:vAlign w:val="bottom"/>
          </w:tcPr>
          <w:p w14:paraId="1A91B390">
            <w:pPr>
              <w:keepNext w:val="0"/>
              <w:keepLines w:val="0"/>
              <w:widowControl/>
              <w:suppressLineNumbers w:val="0"/>
              <w:jc w:val="right"/>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9813</w:t>
            </w:r>
          </w:p>
        </w:tc>
      </w:tr>
    </w:tbl>
    <w:p w14:paraId="76D52675">
      <w:pPr>
        <w:widowControl/>
        <w:spacing w:line="360" w:lineRule="auto"/>
        <w:rPr>
          <w:rFonts w:hint="eastAsia" w:ascii="仿宋" w:hAnsi="仿宋" w:eastAsia="仿宋" w:cs="仿宋"/>
          <w:b/>
          <w:bCs/>
          <w:color w:val="000000"/>
          <w:sz w:val="24"/>
          <w:szCs w:val="24"/>
        </w:rPr>
      </w:pPr>
    </w:p>
    <w:p w14:paraId="5505E36A">
      <w:pPr>
        <w:pStyle w:val="16"/>
        <w:rPr>
          <w:rFonts w:hint="eastAsia"/>
        </w:rPr>
      </w:pPr>
    </w:p>
    <w:p w14:paraId="5A3E22B3">
      <w:pPr>
        <w:pStyle w:val="13"/>
        <w:rPr>
          <w:rFonts w:hint="eastAsia"/>
        </w:rPr>
      </w:pPr>
    </w:p>
    <w:tbl>
      <w:tblPr>
        <w:tblStyle w:val="34"/>
        <w:tblW w:w="9440" w:type="dxa"/>
        <w:tblInd w:w="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9440"/>
      </w:tblGrid>
      <w:tr w14:paraId="6A5D4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5" w:hRule="atLeast"/>
        </w:trPr>
        <w:tc>
          <w:tcPr>
            <w:tcW w:w="9440" w:type="dxa"/>
            <w:shd w:val="clear" w:color="auto" w:fill="auto"/>
            <w:vAlign w:val="center"/>
          </w:tcPr>
          <w:p w14:paraId="6C4E45E1">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b/>
                <w:bCs/>
                <w:i w:val="0"/>
                <w:iCs w:val="0"/>
                <w:color w:val="000000"/>
                <w:kern w:val="0"/>
                <w:sz w:val="20"/>
                <w:szCs w:val="20"/>
                <w:u w:val="none"/>
                <w:lang w:val="en-US" w:eastAsia="zh-CN" w:bidi="ar"/>
              </w:rPr>
              <w:t>其他需要统一的内容（以下涉及到费用不可竞争）</w:t>
            </w:r>
          </w:p>
        </w:tc>
      </w:tr>
      <w:tr w14:paraId="422D4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32" w:hRule="atLeast"/>
        </w:trPr>
        <w:tc>
          <w:tcPr>
            <w:tcW w:w="9440" w:type="dxa"/>
            <w:shd w:val="clear" w:color="auto" w:fill="auto"/>
            <w:vAlign w:val="center"/>
          </w:tcPr>
          <w:p w14:paraId="1705DC3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1</w:t>
            </w:r>
            <w:r>
              <w:rPr>
                <w:rFonts w:hint="eastAsia" w:ascii="宋体" w:hAnsi="宋体" w:eastAsia="宋体" w:cs="宋体"/>
                <w:i w:val="0"/>
                <w:iCs w:val="0"/>
                <w:color w:val="000000"/>
                <w:kern w:val="0"/>
                <w:sz w:val="20"/>
                <w:szCs w:val="20"/>
                <w:u w:val="none"/>
                <w:lang w:val="en-US" w:eastAsia="zh-CN" w:bidi="ar"/>
              </w:rPr>
              <w:t>、高级专业技术人员每人每天200 元、一般专业技术人员每人每天100 元</w:t>
            </w:r>
          </w:p>
        </w:tc>
      </w:tr>
      <w:tr w14:paraId="2F43B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6" w:hRule="atLeast"/>
        </w:trPr>
        <w:tc>
          <w:tcPr>
            <w:tcW w:w="9440" w:type="dxa"/>
            <w:shd w:val="clear" w:color="auto" w:fill="auto"/>
            <w:vAlign w:val="center"/>
          </w:tcPr>
          <w:p w14:paraId="1948D73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2</w:t>
            </w:r>
            <w:r>
              <w:rPr>
                <w:rFonts w:hint="eastAsia" w:ascii="宋体" w:hAnsi="宋体" w:eastAsia="宋体" w:cs="宋体"/>
                <w:i w:val="0"/>
                <w:iCs w:val="0"/>
                <w:color w:val="000000"/>
                <w:kern w:val="0"/>
                <w:sz w:val="20"/>
                <w:szCs w:val="20"/>
                <w:u w:val="none"/>
                <w:lang w:val="en-US" w:eastAsia="zh-CN" w:bidi="ar"/>
              </w:rPr>
              <w:t>、车辆费用：每辆每天300元</w:t>
            </w:r>
          </w:p>
        </w:tc>
      </w:tr>
      <w:tr w14:paraId="203F6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4" w:hRule="atLeast"/>
        </w:trPr>
        <w:tc>
          <w:tcPr>
            <w:tcW w:w="9440" w:type="dxa"/>
            <w:shd w:val="clear" w:color="auto" w:fill="auto"/>
            <w:vAlign w:val="center"/>
          </w:tcPr>
          <w:p w14:paraId="63FAF74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3</w:t>
            </w:r>
            <w:r>
              <w:rPr>
                <w:rFonts w:hint="eastAsia" w:ascii="宋体" w:hAnsi="宋体" w:eastAsia="宋体" w:cs="宋体"/>
                <w:i w:val="0"/>
                <w:iCs w:val="0"/>
                <w:color w:val="000000"/>
                <w:kern w:val="0"/>
                <w:sz w:val="20"/>
                <w:szCs w:val="20"/>
                <w:u w:val="none"/>
                <w:lang w:val="en-US" w:eastAsia="zh-CN" w:bidi="ar"/>
              </w:rPr>
              <w:t>、环境监测报告编制费按采样费、分析费之和加收。具体加收标准为：数据型环境监测报告加收不超过15%，评价型环境监测报告加收不超过</w:t>
            </w:r>
            <w:r>
              <w:rPr>
                <w:rFonts w:hint="eastAsia" w:ascii="宋体" w:hAnsi="宋体" w:cs="宋体"/>
                <w:i w:val="0"/>
                <w:iCs w:val="0"/>
                <w:color w:val="000000"/>
                <w:kern w:val="0"/>
                <w:sz w:val="20"/>
                <w:szCs w:val="20"/>
                <w:u w:val="none"/>
                <w:lang w:val="en-US" w:eastAsia="zh-CN" w:bidi="ar"/>
              </w:rPr>
              <w:t>20</w:t>
            </w:r>
            <w:r>
              <w:rPr>
                <w:rFonts w:hint="eastAsia" w:ascii="宋体" w:hAnsi="宋体" w:eastAsia="宋体" w:cs="宋体"/>
                <w:i w:val="0"/>
                <w:iCs w:val="0"/>
                <w:color w:val="000000"/>
                <w:kern w:val="0"/>
                <w:sz w:val="20"/>
                <w:szCs w:val="20"/>
                <w:u w:val="none"/>
                <w:lang w:val="en-US" w:eastAsia="zh-CN" w:bidi="ar"/>
              </w:rPr>
              <w:t>%。</w:t>
            </w:r>
          </w:p>
        </w:tc>
      </w:tr>
    </w:tbl>
    <w:p w14:paraId="343F2C70">
      <w:pPr>
        <w:pStyle w:val="16"/>
        <w:rPr>
          <w:rFonts w:hint="eastAsia"/>
        </w:rPr>
      </w:pPr>
    </w:p>
    <w:p w14:paraId="2755623C">
      <w:pPr>
        <w:widowControl/>
        <w:spacing w:line="360" w:lineRule="auto"/>
        <w:rPr>
          <w:rFonts w:ascii="仿宋" w:hAnsi="仿宋" w:eastAsia="仿宋" w:cs="仿宋"/>
          <w:b/>
          <w:bCs/>
          <w:color w:val="000000"/>
          <w:sz w:val="24"/>
          <w:szCs w:val="24"/>
        </w:rPr>
      </w:pPr>
      <w:r>
        <w:rPr>
          <w:rFonts w:hint="eastAsia" w:ascii="仿宋" w:hAnsi="仿宋" w:eastAsia="仿宋" w:cs="仿宋"/>
          <w:b/>
          <w:bCs/>
          <w:color w:val="000000"/>
          <w:sz w:val="24"/>
          <w:szCs w:val="24"/>
        </w:rPr>
        <w:t>五、服务周期</w:t>
      </w:r>
    </w:p>
    <w:p w14:paraId="25D5B956">
      <w:pPr>
        <w:spacing w:line="360" w:lineRule="auto"/>
        <w:ind w:firstLine="420"/>
        <w:rPr>
          <w:rFonts w:ascii="仿宋" w:hAnsi="仿宋" w:eastAsia="仿宋" w:cs="仿宋"/>
          <w:bCs/>
          <w:color w:val="000000"/>
          <w:sz w:val="24"/>
          <w:szCs w:val="24"/>
        </w:rPr>
      </w:pPr>
      <w:r>
        <w:rPr>
          <w:rFonts w:hint="eastAsia" w:ascii="仿宋" w:hAnsi="仿宋" w:eastAsia="仿宋" w:cs="仿宋"/>
          <w:bCs/>
          <w:color w:val="000000"/>
          <w:sz w:val="24"/>
          <w:szCs w:val="24"/>
        </w:rPr>
        <w:t>2026年2月1日-2027年1月31日</w:t>
      </w:r>
    </w:p>
    <w:p w14:paraId="67211E64">
      <w:pPr>
        <w:widowControl/>
        <w:spacing w:line="360" w:lineRule="auto"/>
        <w:rPr>
          <w:rFonts w:ascii="仿宋" w:hAnsi="仿宋" w:eastAsia="仿宋" w:cs="仿宋"/>
          <w:b/>
          <w:bCs/>
          <w:color w:val="000000"/>
          <w:sz w:val="24"/>
          <w:szCs w:val="24"/>
        </w:rPr>
      </w:pPr>
      <w:r>
        <w:rPr>
          <w:rFonts w:hint="eastAsia" w:ascii="仿宋" w:hAnsi="仿宋" w:eastAsia="仿宋" w:cs="仿宋"/>
          <w:b/>
          <w:bCs/>
          <w:color w:val="000000"/>
          <w:sz w:val="24"/>
          <w:szCs w:val="24"/>
        </w:rPr>
        <w:t>六、其他情况说明</w:t>
      </w:r>
    </w:p>
    <w:p w14:paraId="4D2CDB17">
      <w:pPr>
        <w:spacing w:line="360" w:lineRule="auto"/>
        <w:ind w:firstLine="420"/>
        <w:rPr>
          <w:rFonts w:ascii="仿宋" w:hAnsi="仿宋" w:eastAsia="仿宋" w:cs="仿宋"/>
          <w:bCs/>
          <w:color w:val="000000"/>
          <w:sz w:val="24"/>
          <w:szCs w:val="24"/>
        </w:rPr>
      </w:pPr>
      <w:r>
        <w:rPr>
          <w:rFonts w:hint="eastAsia" w:ascii="仿宋" w:hAnsi="仿宋" w:eastAsia="仿宋" w:cs="仿宋"/>
          <w:bCs/>
          <w:color w:val="000000"/>
          <w:sz w:val="24"/>
          <w:szCs w:val="24"/>
        </w:rPr>
        <w:t>（一）参与履行本项目的服务机构及所有人员，对工作中所涉的数据、资料及文件等负有保密义务，任何情况不得向第三方泄露。如存在上述情况，南京市浦口区人民政府顶山街道办事处将按违约行为严重程度依法追究机构相关责任。</w:t>
      </w:r>
    </w:p>
    <w:p w14:paraId="32F1376C">
      <w:pPr>
        <w:spacing w:line="360" w:lineRule="auto"/>
        <w:ind w:firstLine="420"/>
        <w:rPr>
          <w:rFonts w:ascii="仿宋" w:hAnsi="仿宋" w:eastAsia="仿宋" w:cs="仿宋"/>
          <w:bCs/>
          <w:color w:val="000000"/>
          <w:sz w:val="24"/>
          <w:szCs w:val="24"/>
        </w:rPr>
      </w:pPr>
      <w:r>
        <w:rPr>
          <w:rFonts w:hint="eastAsia" w:ascii="仿宋" w:hAnsi="仿宋" w:eastAsia="仿宋" w:cs="仿宋"/>
          <w:bCs/>
          <w:color w:val="000000"/>
          <w:sz w:val="24"/>
          <w:szCs w:val="24"/>
        </w:rPr>
        <w:t>（二）服务机构必须积极配合采购人，做好接受各级管理部门的检查、监督工作；协调在本工作范围内与相关单位之间的相互配合、沟通，并无偿提供与其工作有关的资料、信息等。</w:t>
      </w:r>
    </w:p>
    <w:p w14:paraId="4F8AEA72">
      <w:pPr>
        <w:spacing w:line="360" w:lineRule="auto"/>
        <w:rPr>
          <w:rFonts w:ascii="仿宋" w:hAnsi="仿宋" w:eastAsia="仿宋" w:cs="仿宋"/>
          <w:b/>
          <w:color w:val="000000"/>
          <w:sz w:val="24"/>
          <w:szCs w:val="24"/>
        </w:rPr>
      </w:pPr>
      <w:r>
        <w:rPr>
          <w:rFonts w:hint="eastAsia" w:ascii="仿宋" w:hAnsi="仿宋" w:eastAsia="仿宋" w:cs="仿宋"/>
          <w:b/>
          <w:color w:val="000000"/>
          <w:sz w:val="24"/>
          <w:szCs w:val="24"/>
        </w:rPr>
        <w:t>七、验收标准</w:t>
      </w:r>
    </w:p>
    <w:p w14:paraId="168677A8">
      <w:pPr>
        <w:spacing w:line="360" w:lineRule="auto"/>
        <w:ind w:firstLine="420"/>
        <w:rPr>
          <w:rFonts w:ascii="仿宋" w:hAnsi="仿宋" w:eastAsia="仿宋" w:cs="仿宋"/>
          <w:bCs/>
          <w:color w:val="000000"/>
          <w:sz w:val="24"/>
          <w:szCs w:val="24"/>
        </w:rPr>
      </w:pPr>
      <w:r>
        <w:rPr>
          <w:rFonts w:hint="eastAsia" w:ascii="仿宋" w:hAnsi="仿宋" w:eastAsia="仿宋" w:cs="仿宋"/>
          <w:bCs/>
          <w:color w:val="000000"/>
          <w:sz w:val="24"/>
          <w:szCs w:val="24"/>
        </w:rPr>
        <w:t>符合国家标准、行业标准、地方标准或者其他标准、规范。</w:t>
      </w:r>
    </w:p>
    <w:p w14:paraId="57518B70">
      <w:pPr>
        <w:spacing w:line="360" w:lineRule="auto"/>
        <w:jc w:val="center"/>
        <w:outlineLvl w:val="0"/>
        <w:rPr>
          <w:rFonts w:ascii="仿宋" w:hAnsi="仿宋" w:eastAsia="仿宋" w:cs="仿宋"/>
          <w:b/>
          <w:bCs/>
          <w:color w:val="000000"/>
          <w:sz w:val="32"/>
          <w:szCs w:val="32"/>
          <w:lang w:val="zh-CN"/>
        </w:rPr>
      </w:pPr>
      <w:r>
        <w:rPr>
          <w:rFonts w:hint="eastAsia" w:ascii="仿宋" w:hAnsi="仿宋" w:eastAsia="仿宋" w:cs="仿宋"/>
          <w:b/>
          <w:bCs/>
          <w:color w:val="000000"/>
          <w:sz w:val="32"/>
          <w:szCs w:val="32"/>
          <w:lang w:val="zh-CN"/>
        </w:rPr>
        <w:br w:type="page" w:clear="all"/>
      </w:r>
      <w:bookmarkStart w:id="46" w:name="_Toc30440"/>
      <w:r>
        <w:rPr>
          <w:rFonts w:hint="eastAsia" w:ascii="仿宋" w:hAnsi="仿宋" w:eastAsia="仿宋" w:cs="仿宋"/>
          <w:b/>
          <w:bCs/>
          <w:color w:val="000000"/>
          <w:sz w:val="32"/>
          <w:szCs w:val="32"/>
          <w:lang w:val="zh-CN"/>
        </w:rPr>
        <w:t>第五章</w:t>
      </w:r>
      <w:r>
        <w:rPr>
          <w:rFonts w:hint="eastAsia" w:ascii="仿宋" w:hAnsi="仿宋" w:eastAsia="仿宋" w:cs="仿宋"/>
          <w:b/>
          <w:bCs/>
          <w:color w:val="000000"/>
          <w:sz w:val="32"/>
          <w:szCs w:val="32"/>
        </w:rPr>
        <w:t xml:space="preserve"> </w:t>
      </w:r>
      <w:r>
        <w:rPr>
          <w:rFonts w:hint="eastAsia" w:ascii="仿宋" w:hAnsi="仿宋" w:eastAsia="仿宋" w:cs="仿宋"/>
          <w:b/>
          <w:bCs/>
          <w:color w:val="000000"/>
          <w:sz w:val="32"/>
          <w:szCs w:val="32"/>
          <w:lang w:val="zh-CN"/>
        </w:rPr>
        <w:t>合同条款</w:t>
      </w:r>
      <w:bookmarkEnd w:id="46"/>
    </w:p>
    <w:p w14:paraId="5859D6B7">
      <w:pPr>
        <w:spacing w:line="360" w:lineRule="auto"/>
        <w:jc w:val="center"/>
        <w:rPr>
          <w:rFonts w:ascii="仿宋" w:hAnsi="仿宋" w:eastAsia="仿宋" w:cs="仿宋"/>
          <w:b/>
          <w:color w:val="000000"/>
          <w:sz w:val="44"/>
          <w:szCs w:val="44"/>
        </w:rPr>
      </w:pPr>
    </w:p>
    <w:p w14:paraId="4A4C2351">
      <w:pPr>
        <w:spacing w:line="420" w:lineRule="auto"/>
        <w:jc w:val="center"/>
        <w:rPr>
          <w:rFonts w:ascii="仿宋" w:hAnsi="仿宋" w:eastAsia="仿宋" w:cs="仿宋"/>
          <w:sz w:val="40"/>
          <w:szCs w:val="40"/>
        </w:rPr>
      </w:pPr>
    </w:p>
    <w:p w14:paraId="3473F178">
      <w:pPr>
        <w:spacing w:line="420" w:lineRule="auto"/>
        <w:jc w:val="center"/>
        <w:rPr>
          <w:rFonts w:ascii="仿宋" w:hAnsi="仿宋" w:eastAsia="仿宋" w:cs="仿宋"/>
          <w:sz w:val="40"/>
          <w:szCs w:val="40"/>
        </w:rPr>
      </w:pPr>
    </w:p>
    <w:p w14:paraId="524A4081">
      <w:pPr>
        <w:spacing w:line="420" w:lineRule="auto"/>
        <w:jc w:val="center"/>
        <w:rPr>
          <w:rFonts w:ascii="仿宋" w:hAnsi="仿宋" w:eastAsia="仿宋" w:cs="仿宋"/>
          <w:sz w:val="40"/>
          <w:szCs w:val="40"/>
        </w:rPr>
      </w:pPr>
      <w:r>
        <w:rPr>
          <w:rFonts w:hint="eastAsia" w:ascii="仿宋" w:hAnsi="仿宋" w:eastAsia="仿宋" w:cs="仿宋"/>
          <w:sz w:val="40"/>
          <w:szCs w:val="40"/>
        </w:rPr>
        <w:t>顶山街道环境检测服务项目</w:t>
      </w:r>
    </w:p>
    <w:p w14:paraId="53CFBA08">
      <w:pPr>
        <w:spacing w:line="420" w:lineRule="auto"/>
        <w:jc w:val="center"/>
        <w:rPr>
          <w:rFonts w:ascii="仿宋" w:hAnsi="仿宋" w:eastAsia="仿宋" w:cs="仿宋"/>
          <w:sz w:val="40"/>
          <w:szCs w:val="40"/>
        </w:rPr>
      </w:pPr>
      <w:r>
        <w:rPr>
          <w:rFonts w:hint="eastAsia" w:ascii="仿宋" w:hAnsi="仿宋" w:eastAsia="仿宋" w:cs="仿宋"/>
          <w:sz w:val="40"/>
          <w:szCs w:val="40"/>
        </w:rPr>
        <w:t>合同</w:t>
      </w:r>
    </w:p>
    <w:p w14:paraId="6CA08517">
      <w:pPr>
        <w:spacing w:line="420" w:lineRule="auto"/>
        <w:rPr>
          <w:rFonts w:ascii="仿宋" w:hAnsi="仿宋" w:eastAsia="仿宋" w:cs="仿宋"/>
        </w:rPr>
      </w:pPr>
    </w:p>
    <w:p w14:paraId="1FC8D23E">
      <w:pPr>
        <w:spacing w:line="420" w:lineRule="auto"/>
        <w:rPr>
          <w:rFonts w:ascii="仿宋" w:hAnsi="仿宋" w:eastAsia="仿宋" w:cs="仿宋"/>
          <w:b/>
          <w:bCs/>
          <w:sz w:val="28"/>
          <w:szCs w:val="28"/>
        </w:rPr>
      </w:pPr>
    </w:p>
    <w:p w14:paraId="18C9FDD0">
      <w:pPr>
        <w:pStyle w:val="40"/>
        <w:rPr>
          <w:rFonts w:ascii="仿宋" w:hAnsi="仿宋" w:eastAsia="仿宋" w:cs="仿宋"/>
          <w:lang w:eastAsia="zh-CN"/>
        </w:rPr>
      </w:pPr>
    </w:p>
    <w:p w14:paraId="01E99568">
      <w:pPr>
        <w:pStyle w:val="40"/>
        <w:rPr>
          <w:rFonts w:ascii="仿宋" w:hAnsi="仿宋" w:eastAsia="仿宋" w:cs="仿宋"/>
          <w:lang w:eastAsia="zh-CN"/>
        </w:rPr>
      </w:pPr>
    </w:p>
    <w:p w14:paraId="09973B43">
      <w:pPr>
        <w:pStyle w:val="40"/>
        <w:rPr>
          <w:rFonts w:ascii="仿宋" w:hAnsi="仿宋" w:eastAsia="仿宋" w:cs="仿宋"/>
          <w:lang w:eastAsia="zh-CN"/>
        </w:rPr>
      </w:pPr>
    </w:p>
    <w:p w14:paraId="38F2A301">
      <w:pPr>
        <w:pStyle w:val="40"/>
        <w:rPr>
          <w:rFonts w:ascii="仿宋" w:hAnsi="仿宋" w:eastAsia="仿宋" w:cs="仿宋"/>
          <w:lang w:eastAsia="zh-CN"/>
        </w:rPr>
      </w:pPr>
    </w:p>
    <w:p w14:paraId="0E247537">
      <w:pPr>
        <w:pStyle w:val="40"/>
        <w:rPr>
          <w:rFonts w:ascii="仿宋" w:hAnsi="仿宋" w:eastAsia="仿宋" w:cs="仿宋"/>
          <w:lang w:eastAsia="zh-CN"/>
        </w:rPr>
      </w:pPr>
    </w:p>
    <w:p w14:paraId="225FAD5F">
      <w:pPr>
        <w:pStyle w:val="40"/>
        <w:rPr>
          <w:rFonts w:ascii="仿宋" w:hAnsi="仿宋" w:eastAsia="仿宋" w:cs="仿宋"/>
          <w:lang w:eastAsia="zh-CN"/>
        </w:rPr>
      </w:pPr>
    </w:p>
    <w:p w14:paraId="095CB023">
      <w:pPr>
        <w:spacing w:line="420" w:lineRule="auto"/>
        <w:rPr>
          <w:rFonts w:ascii="仿宋" w:hAnsi="仿宋" w:eastAsia="仿宋" w:cs="仿宋"/>
          <w:b/>
          <w:bCs/>
          <w:sz w:val="28"/>
          <w:szCs w:val="28"/>
        </w:rPr>
      </w:pPr>
      <w:r>
        <w:rPr>
          <w:rFonts w:hint="eastAsia" w:ascii="仿宋" w:hAnsi="仿宋" w:eastAsia="仿宋" w:cs="仿宋"/>
          <w:b/>
          <w:bCs/>
          <w:sz w:val="28"/>
          <w:szCs w:val="28"/>
        </w:rPr>
        <w:t>合同编号 ：</w:t>
      </w:r>
    </w:p>
    <w:p w14:paraId="485CA34B">
      <w:pPr>
        <w:spacing w:line="420" w:lineRule="auto"/>
        <w:rPr>
          <w:rFonts w:ascii="仿宋" w:hAnsi="仿宋" w:eastAsia="仿宋" w:cs="仿宋"/>
          <w:b/>
          <w:bCs/>
          <w:sz w:val="28"/>
          <w:szCs w:val="28"/>
          <w:u w:val="single"/>
        </w:rPr>
      </w:pPr>
      <w:r>
        <w:rPr>
          <w:rFonts w:hint="eastAsia" w:ascii="仿宋" w:hAnsi="仿宋" w:eastAsia="仿宋" w:cs="仿宋"/>
          <w:b/>
          <w:bCs/>
          <w:sz w:val="28"/>
          <w:szCs w:val="28"/>
        </w:rPr>
        <w:t>项目名称 ：</w:t>
      </w:r>
      <w:r>
        <w:rPr>
          <w:rFonts w:hint="eastAsia" w:ascii="仿宋" w:hAnsi="仿宋" w:eastAsia="仿宋" w:cs="仿宋"/>
          <w:b/>
          <w:bCs/>
          <w:sz w:val="28"/>
          <w:szCs w:val="28"/>
          <w:u w:val="single"/>
        </w:rPr>
        <w:t>顶山街道环境检测服务项目</w:t>
      </w:r>
    </w:p>
    <w:p w14:paraId="243A12FB">
      <w:pPr>
        <w:spacing w:line="420" w:lineRule="auto"/>
        <w:rPr>
          <w:rFonts w:ascii="仿宋" w:hAnsi="仿宋" w:eastAsia="仿宋" w:cs="仿宋"/>
          <w:b/>
          <w:bCs/>
          <w:sz w:val="28"/>
          <w:szCs w:val="28"/>
          <w:u w:val="single"/>
        </w:rPr>
      </w:pPr>
      <w:r>
        <w:rPr>
          <w:rFonts w:hint="eastAsia" w:ascii="仿宋" w:hAnsi="仿宋" w:eastAsia="仿宋" w:cs="仿宋"/>
          <w:b/>
          <w:bCs/>
          <w:sz w:val="28"/>
          <w:szCs w:val="28"/>
        </w:rPr>
        <w:t>使用单位 ：</w:t>
      </w:r>
      <w:r>
        <w:rPr>
          <w:rFonts w:hint="eastAsia" w:ascii="仿宋" w:hAnsi="仿宋" w:eastAsia="仿宋" w:cs="仿宋"/>
          <w:b/>
          <w:bCs/>
          <w:sz w:val="28"/>
          <w:szCs w:val="28"/>
          <w:u w:val="single"/>
        </w:rPr>
        <w:t>南京市浦口区人民政府顶山街道办事处</w:t>
      </w:r>
    </w:p>
    <w:p w14:paraId="5CCE115F">
      <w:pPr>
        <w:spacing w:line="420" w:lineRule="auto"/>
        <w:rPr>
          <w:rFonts w:ascii="仿宋" w:hAnsi="仿宋" w:eastAsia="仿宋" w:cs="仿宋"/>
          <w:b/>
          <w:bCs/>
          <w:sz w:val="28"/>
          <w:szCs w:val="28"/>
        </w:rPr>
      </w:pPr>
      <w:r>
        <w:rPr>
          <w:rFonts w:hint="eastAsia" w:ascii="仿宋" w:hAnsi="仿宋" w:eastAsia="仿宋" w:cs="仿宋"/>
          <w:b/>
          <w:bCs/>
          <w:sz w:val="28"/>
          <w:szCs w:val="28"/>
        </w:rPr>
        <w:t>供货单位 ：</w:t>
      </w:r>
      <w:r>
        <w:rPr>
          <w:rFonts w:hint="eastAsia" w:ascii="仿宋" w:hAnsi="仿宋" w:eastAsia="仿宋" w:cs="仿宋"/>
          <w:b/>
          <w:bCs/>
          <w:sz w:val="28"/>
          <w:szCs w:val="28"/>
          <w:u w:val="single"/>
        </w:rPr>
        <w:t xml:space="preserve">                                  </w:t>
      </w:r>
    </w:p>
    <w:p w14:paraId="193B1AB4">
      <w:pPr>
        <w:spacing w:line="420" w:lineRule="auto"/>
        <w:rPr>
          <w:rFonts w:ascii="仿宋" w:hAnsi="仿宋" w:eastAsia="仿宋" w:cs="仿宋"/>
          <w:b/>
          <w:bCs/>
        </w:rPr>
      </w:pPr>
      <w:r>
        <w:rPr>
          <w:rFonts w:hint="eastAsia" w:ascii="仿宋" w:hAnsi="仿宋" w:eastAsia="仿宋" w:cs="仿宋"/>
          <w:b/>
          <w:bCs/>
          <w:sz w:val="28"/>
          <w:szCs w:val="28"/>
        </w:rPr>
        <w:t>签订日期 ：        年    月    日</w:t>
      </w:r>
    </w:p>
    <w:p w14:paraId="4413CFAB">
      <w:pPr>
        <w:spacing w:line="420" w:lineRule="auto"/>
        <w:rPr>
          <w:rFonts w:ascii="仿宋" w:hAnsi="仿宋" w:eastAsia="仿宋" w:cs="仿宋"/>
          <w:b/>
          <w:bCs/>
        </w:rPr>
      </w:pPr>
    </w:p>
    <w:p w14:paraId="48C5451D">
      <w:pPr>
        <w:widowControl/>
        <w:jc w:val="left"/>
        <w:rPr>
          <w:rFonts w:ascii="仿宋" w:hAnsi="仿宋" w:eastAsia="仿宋" w:cs="仿宋"/>
          <w:sz w:val="24"/>
          <w:szCs w:val="24"/>
        </w:rPr>
      </w:pPr>
      <w:r>
        <w:rPr>
          <w:rFonts w:hint="eastAsia" w:ascii="仿宋" w:hAnsi="仿宋" w:eastAsia="仿宋" w:cs="仿宋"/>
          <w:b/>
          <w:bCs/>
        </w:rPr>
        <w:br w:type="page"/>
      </w:r>
      <w:r>
        <w:rPr>
          <w:rFonts w:hint="eastAsia" w:ascii="仿宋" w:hAnsi="仿宋" w:eastAsia="仿宋" w:cs="仿宋"/>
          <w:sz w:val="24"/>
          <w:szCs w:val="24"/>
        </w:rPr>
        <w:t>合同编号：</w:t>
      </w:r>
    </w:p>
    <w:tbl>
      <w:tblPr>
        <w:tblStyle w:val="34"/>
        <w:tblW w:w="9286" w:type="dxa"/>
        <w:tblInd w:w="0" w:type="dxa"/>
        <w:tblLayout w:type="fixed"/>
        <w:tblCellMar>
          <w:top w:w="0" w:type="dxa"/>
          <w:left w:w="0" w:type="dxa"/>
          <w:bottom w:w="0" w:type="dxa"/>
          <w:right w:w="0" w:type="dxa"/>
        </w:tblCellMar>
      </w:tblPr>
      <w:tblGrid>
        <w:gridCol w:w="4643"/>
        <w:gridCol w:w="4643"/>
      </w:tblGrid>
      <w:tr w14:paraId="0F81036B">
        <w:tblPrEx>
          <w:tblCellMar>
            <w:top w:w="0" w:type="dxa"/>
            <w:left w:w="0" w:type="dxa"/>
            <w:bottom w:w="0" w:type="dxa"/>
            <w:right w:w="0" w:type="dxa"/>
          </w:tblCellMar>
        </w:tblPrEx>
        <w:tc>
          <w:tcPr>
            <w:tcW w:w="4643" w:type="dxa"/>
            <w:tcBorders>
              <w:top w:val="nil"/>
              <w:left w:val="nil"/>
              <w:bottom w:val="nil"/>
              <w:right w:val="nil"/>
            </w:tcBorders>
          </w:tcPr>
          <w:p w14:paraId="7B2AD9F9">
            <w:pPr>
              <w:autoSpaceDE w:val="0"/>
              <w:autoSpaceDN w:val="0"/>
              <w:adjustRightInd w:val="0"/>
              <w:spacing w:line="360" w:lineRule="auto"/>
              <w:jc w:val="left"/>
              <w:rPr>
                <w:rFonts w:ascii="仿宋" w:hAnsi="仿宋" w:eastAsia="仿宋" w:cs="仿宋"/>
                <w:sz w:val="24"/>
                <w:szCs w:val="24"/>
              </w:rPr>
            </w:pPr>
            <w:r>
              <w:rPr>
                <w:rFonts w:hint="eastAsia" w:ascii="仿宋" w:hAnsi="仿宋" w:eastAsia="仿宋" w:cs="仿宋"/>
                <w:sz w:val="24"/>
                <w:szCs w:val="24"/>
              </w:rPr>
              <w:t>采购人:南京市浦口区人民政府顶山街道办事处（以下称甲方）</w:t>
            </w:r>
          </w:p>
        </w:tc>
        <w:tc>
          <w:tcPr>
            <w:tcW w:w="4643" w:type="dxa"/>
            <w:tcBorders>
              <w:top w:val="nil"/>
              <w:left w:val="nil"/>
              <w:bottom w:val="nil"/>
              <w:right w:val="nil"/>
            </w:tcBorders>
          </w:tcPr>
          <w:p w14:paraId="2430F8D2">
            <w:pPr>
              <w:autoSpaceDE w:val="0"/>
              <w:autoSpaceDN w:val="0"/>
              <w:adjustRightInd w:val="0"/>
              <w:spacing w:line="360" w:lineRule="auto"/>
              <w:jc w:val="left"/>
              <w:rPr>
                <w:rFonts w:ascii="仿宋" w:hAnsi="仿宋" w:eastAsia="仿宋" w:cs="仿宋"/>
                <w:sz w:val="24"/>
                <w:szCs w:val="24"/>
              </w:rPr>
            </w:pPr>
            <w:r>
              <w:rPr>
                <w:rFonts w:hint="eastAsia" w:ascii="仿宋" w:hAnsi="仿宋" w:eastAsia="仿宋" w:cs="仿宋"/>
                <w:sz w:val="24"/>
                <w:szCs w:val="24"/>
              </w:rPr>
              <w:t>供应商：（以下称乙方）</w:t>
            </w:r>
          </w:p>
        </w:tc>
      </w:tr>
      <w:tr w14:paraId="5013AA4A">
        <w:tblPrEx>
          <w:tblCellMar>
            <w:top w:w="0" w:type="dxa"/>
            <w:left w:w="0" w:type="dxa"/>
            <w:bottom w:w="0" w:type="dxa"/>
            <w:right w:w="0" w:type="dxa"/>
          </w:tblCellMar>
        </w:tblPrEx>
        <w:tc>
          <w:tcPr>
            <w:tcW w:w="4643" w:type="dxa"/>
            <w:tcBorders>
              <w:top w:val="nil"/>
              <w:left w:val="nil"/>
              <w:bottom w:val="nil"/>
              <w:right w:val="nil"/>
            </w:tcBorders>
          </w:tcPr>
          <w:p w14:paraId="5E96BB0A">
            <w:pPr>
              <w:autoSpaceDE w:val="0"/>
              <w:autoSpaceDN w:val="0"/>
              <w:adjustRightInd w:val="0"/>
              <w:spacing w:line="360" w:lineRule="auto"/>
              <w:jc w:val="left"/>
              <w:rPr>
                <w:rFonts w:ascii="仿宋" w:hAnsi="仿宋" w:eastAsia="仿宋" w:cs="仿宋"/>
                <w:sz w:val="24"/>
                <w:szCs w:val="24"/>
              </w:rPr>
            </w:pPr>
            <w:r>
              <w:rPr>
                <w:rFonts w:hint="eastAsia" w:ascii="仿宋" w:hAnsi="仿宋" w:eastAsia="仿宋" w:cs="仿宋"/>
                <w:sz w:val="24"/>
                <w:szCs w:val="24"/>
              </w:rPr>
              <w:t>住所地：南京市江北新区吉庆路10号</w:t>
            </w:r>
          </w:p>
        </w:tc>
        <w:tc>
          <w:tcPr>
            <w:tcW w:w="4643" w:type="dxa"/>
            <w:tcBorders>
              <w:top w:val="nil"/>
              <w:left w:val="nil"/>
              <w:bottom w:val="nil"/>
              <w:right w:val="nil"/>
            </w:tcBorders>
          </w:tcPr>
          <w:p w14:paraId="4EE9C411">
            <w:pPr>
              <w:autoSpaceDE w:val="0"/>
              <w:autoSpaceDN w:val="0"/>
              <w:adjustRightInd w:val="0"/>
              <w:spacing w:line="360" w:lineRule="auto"/>
              <w:jc w:val="left"/>
              <w:rPr>
                <w:rFonts w:ascii="仿宋" w:hAnsi="仿宋" w:eastAsia="仿宋" w:cs="仿宋"/>
                <w:sz w:val="24"/>
                <w:szCs w:val="24"/>
              </w:rPr>
            </w:pPr>
            <w:r>
              <w:rPr>
                <w:rFonts w:hint="eastAsia" w:ascii="仿宋" w:hAnsi="仿宋" w:eastAsia="仿宋" w:cs="仿宋"/>
                <w:sz w:val="24"/>
                <w:szCs w:val="24"/>
              </w:rPr>
              <w:t>住所地：</w:t>
            </w:r>
          </w:p>
        </w:tc>
      </w:tr>
    </w:tbl>
    <w:p w14:paraId="4B83CF02">
      <w:pPr>
        <w:autoSpaceDE w:val="0"/>
        <w:autoSpaceDN w:val="0"/>
        <w:adjustRightInd w:val="0"/>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根据《中华人民共和国政府采购法》、《中华人民共和国民法典》等法律法规的规定，甲乙双方按照招标结果签订本合同。</w:t>
      </w:r>
    </w:p>
    <w:p w14:paraId="758F2A04">
      <w:pPr>
        <w:adjustRightInd w:val="0"/>
        <w:snapToGrid w:val="0"/>
        <w:spacing w:line="360" w:lineRule="auto"/>
        <w:ind w:firstLine="482" w:firstLineChars="200"/>
        <w:rPr>
          <w:rFonts w:ascii="仿宋" w:hAnsi="仿宋" w:eastAsia="仿宋" w:cs="仿宋"/>
          <w:sz w:val="24"/>
          <w:szCs w:val="24"/>
        </w:rPr>
      </w:pPr>
      <w:r>
        <w:rPr>
          <w:rFonts w:hint="eastAsia" w:ascii="仿宋" w:hAnsi="仿宋" w:eastAsia="仿宋" w:cs="仿宋"/>
          <w:b/>
          <w:bCs/>
          <w:sz w:val="24"/>
          <w:szCs w:val="24"/>
        </w:rPr>
        <w:t>第一条 合同标的</w:t>
      </w:r>
    </w:p>
    <w:p w14:paraId="3A3CDF83">
      <w:pPr>
        <w:adjustRightInd w:val="0"/>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1、乙方根据甲方需求提供下列服务：</w:t>
      </w:r>
      <w:r>
        <w:rPr>
          <w:rFonts w:hint="eastAsia" w:ascii="仿宋" w:hAnsi="仿宋" w:eastAsia="仿宋" w:cs="仿宋"/>
          <w:b/>
          <w:bCs/>
          <w:sz w:val="24"/>
          <w:szCs w:val="24"/>
          <w:u w:val="single"/>
        </w:rPr>
        <w:t>水质检测、噪声检测、大气检测、土壤检测</w:t>
      </w:r>
      <w:r>
        <w:rPr>
          <w:rFonts w:hint="eastAsia" w:ascii="仿宋" w:hAnsi="仿宋" w:eastAsia="仿宋" w:cs="仿宋"/>
          <w:sz w:val="24"/>
          <w:szCs w:val="24"/>
        </w:rPr>
        <w:t>。</w:t>
      </w:r>
    </w:p>
    <w:p w14:paraId="15E94999">
      <w:pPr>
        <w:adjustRightInd w:val="0"/>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2、检测内容包括：一、水质监测：水温、pH、电导率、透明度、悬浮物、氨氮、化学需氧量、溶解氧、石油类、动植物油类、总磷、总氮、氟化物、挥发酚、色度、五日生化需氧量、</w:t>
      </w:r>
      <w:r>
        <w:rPr>
          <w:rFonts w:hint="eastAsia" w:ascii="仿宋" w:hAnsi="仿宋" w:eastAsia="仿宋" w:cs="仿宋"/>
          <w:color w:val="000000"/>
          <w:sz w:val="22"/>
          <w:szCs w:val="22"/>
        </w:rPr>
        <w:t>氧化还原电位</w:t>
      </w:r>
      <w:r>
        <w:rPr>
          <w:rFonts w:hint="eastAsia" w:ascii="仿宋" w:hAnsi="仿宋" w:eastAsia="仿宋" w:cs="仿宋"/>
          <w:sz w:val="24"/>
          <w:szCs w:val="24"/>
        </w:rPr>
        <w:t>；二、噪声监测：区域环境噪声、工业企业厂界环境噪声、建筑施工场界噪声、社会生活环境噪声、交通噪声、铁路边界噪声；三、大气监测：餐饮业油烟、烟尘、二氧化硫、氮氧化物、甲醛、氯化氢、臭气浓度、氨、硫化氢、一氧化碳、林格曼黑度、VOCs；四、土壤监测：pH、含水量、土壤容重、氟化物、土壤中挥发性有机物的测定、多环芳烃。（以上监测因子是监测项目的一部分，具体实际工作中，需要的监测因子，以甲方要求为准）。</w:t>
      </w:r>
    </w:p>
    <w:p w14:paraId="5C355F0C">
      <w:pPr>
        <w:adjustRightInd w:val="0"/>
        <w:snapToGrid w:val="0"/>
        <w:spacing w:line="360" w:lineRule="auto"/>
        <w:ind w:firstLine="482" w:firstLineChars="200"/>
        <w:rPr>
          <w:rFonts w:ascii="仿宋" w:hAnsi="仿宋" w:eastAsia="仿宋" w:cs="仿宋"/>
          <w:sz w:val="24"/>
          <w:szCs w:val="24"/>
        </w:rPr>
      </w:pPr>
      <w:r>
        <w:rPr>
          <w:rFonts w:hint="eastAsia" w:ascii="仿宋" w:hAnsi="仿宋" w:eastAsia="仿宋" w:cs="仿宋"/>
          <w:b/>
          <w:bCs/>
          <w:sz w:val="24"/>
          <w:szCs w:val="24"/>
        </w:rPr>
        <w:t>第二条 合同总价款</w:t>
      </w:r>
    </w:p>
    <w:p w14:paraId="352F75C1">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1、本合同项下合同价款，</w:t>
      </w:r>
      <w:r>
        <w:rPr>
          <w:rFonts w:hint="eastAsia" w:ascii="仿宋" w:hAnsi="仿宋" w:eastAsia="仿宋" w:cs="仿宋"/>
          <w:sz w:val="24"/>
          <w:szCs w:val="24"/>
          <w:lang w:val="en-US" w:eastAsia="zh-CN"/>
        </w:rPr>
        <w:t>参</w:t>
      </w:r>
      <w:r>
        <w:rPr>
          <w:rFonts w:hint="eastAsia" w:ascii="仿宋" w:hAnsi="仿宋" w:eastAsia="仿宋" w:cs="仿宋"/>
          <w:sz w:val="24"/>
          <w:szCs w:val="24"/>
        </w:rPr>
        <w:t>照江苏省环境监测专业服务收费标准</w:t>
      </w:r>
      <w:r>
        <w:rPr>
          <w:rFonts w:hint="eastAsia" w:ascii="仿宋" w:hAnsi="仿宋" w:eastAsia="仿宋" w:cs="仿宋"/>
          <w:b/>
          <w:bCs/>
          <w:sz w:val="24"/>
          <w:szCs w:val="24"/>
          <w:u w:val="none"/>
          <w:lang w:eastAsia="zh-CN"/>
        </w:rPr>
        <w:t>，</w:t>
      </w:r>
      <w:r>
        <w:rPr>
          <w:rFonts w:hint="eastAsia" w:ascii="仿宋" w:hAnsi="仿宋" w:eastAsia="仿宋" w:cs="仿宋"/>
          <w:sz w:val="24"/>
          <w:szCs w:val="24"/>
        </w:rPr>
        <w:t>乙方每次检测前应由甲方对检测内容及监测点的数量进行书面签字确认，该书面签字确认材料作为最终结算的依据。以实际检测点位结算，全年不超过35万元。</w:t>
      </w:r>
    </w:p>
    <w:p w14:paraId="4E601E0B">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2、本合同总价是完成合同规定所发生的所有含税费用、工具耗材费用、企业运行费用、支付给员工的工资和国家强制缴纳的各种社会保障资金，以及乙方认为需要的其他费用等。</w:t>
      </w:r>
    </w:p>
    <w:p w14:paraId="2AB2AB61">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3、本合同执行期间合同总价款不变。</w:t>
      </w:r>
    </w:p>
    <w:p w14:paraId="195A3DCB">
      <w:pPr>
        <w:autoSpaceDE w:val="0"/>
        <w:autoSpaceDN w:val="0"/>
        <w:adjustRightInd w:val="0"/>
        <w:spacing w:line="360" w:lineRule="auto"/>
        <w:ind w:firstLine="482" w:firstLineChars="200"/>
        <w:jc w:val="left"/>
        <w:rPr>
          <w:rFonts w:ascii="仿宋" w:hAnsi="仿宋" w:eastAsia="仿宋" w:cs="仿宋"/>
          <w:b/>
          <w:bCs/>
          <w:sz w:val="24"/>
          <w:szCs w:val="24"/>
        </w:rPr>
      </w:pPr>
      <w:r>
        <w:rPr>
          <w:rFonts w:hint="eastAsia" w:ascii="仿宋" w:hAnsi="仿宋" w:eastAsia="仿宋" w:cs="仿宋"/>
          <w:b/>
          <w:bCs/>
          <w:sz w:val="24"/>
          <w:szCs w:val="24"/>
        </w:rPr>
        <w:t>第三条 权利保证</w:t>
      </w:r>
    </w:p>
    <w:p w14:paraId="138E06E1">
      <w:pPr>
        <w:autoSpaceDE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一、甲方权利义务</w:t>
      </w:r>
    </w:p>
    <w:p w14:paraId="13C0E87A">
      <w:pPr>
        <w:autoSpaceDE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（一） 尊重乙方人员的民族习惯，维护其合法权益。</w:t>
      </w:r>
    </w:p>
    <w:p w14:paraId="6AB7A7C1">
      <w:pPr>
        <w:autoSpaceDE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（二） 甲方制订（执行）的安全生产、行为规范等管理规章制度应向乙方人员公开，乙方在履行合同义务时不得违法甲方的管理规章制度。</w:t>
      </w:r>
    </w:p>
    <w:p w14:paraId="18D52A4F">
      <w:pPr>
        <w:spacing w:line="560" w:lineRule="exact"/>
        <w:ind w:firstLine="480" w:firstLineChars="200"/>
        <w:rPr>
          <w:rFonts w:ascii="仿宋" w:hAnsi="仿宋" w:eastAsia="仿宋" w:cs="仿宋"/>
          <w:sz w:val="24"/>
          <w:szCs w:val="24"/>
        </w:rPr>
      </w:pPr>
      <w:r>
        <w:rPr>
          <w:rFonts w:hint="eastAsia" w:ascii="仿宋" w:hAnsi="仿宋" w:eastAsia="仿宋" w:cs="仿宋"/>
          <w:sz w:val="24"/>
          <w:szCs w:val="24"/>
        </w:rPr>
        <w:t>（三） 甲方有权对乙方项目实施和管理进行全程监督，对于发现的问题，甲方有权要求乙方及时整改。</w:t>
      </w:r>
    </w:p>
    <w:p w14:paraId="1BD13FEE">
      <w:pPr>
        <w:spacing w:line="560" w:lineRule="exact"/>
        <w:ind w:firstLine="480" w:firstLineChars="200"/>
        <w:rPr>
          <w:rFonts w:ascii="仿宋" w:hAnsi="仿宋" w:eastAsia="仿宋" w:cs="仿宋"/>
        </w:rPr>
      </w:pPr>
      <w:r>
        <w:rPr>
          <w:rFonts w:hint="eastAsia" w:ascii="仿宋" w:hAnsi="仿宋" w:eastAsia="仿宋" w:cs="仿宋"/>
          <w:sz w:val="24"/>
          <w:szCs w:val="24"/>
        </w:rPr>
        <w:t>（四）甲方应按合同约定向乙方支付款项。</w:t>
      </w:r>
    </w:p>
    <w:p w14:paraId="06CF3E6E">
      <w:pPr>
        <w:autoSpaceDE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二、乙方权利义务</w:t>
      </w:r>
    </w:p>
    <w:p w14:paraId="0433A431">
      <w:pPr>
        <w:autoSpaceDE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（一） 乙方应遵守国家相关法律、法规，保障劳务人员的合法权益，建立内部管理制度，确保乙方作业人员的人身安全、劳动安全，工资按时兑现等问题。并对其作业人员的劳资、保险等负全责</w:t>
      </w:r>
    </w:p>
    <w:p w14:paraId="45AF224C">
      <w:pPr>
        <w:autoSpaceDE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（二） 乙方应教育劳务人员严格遵守甲方管理规章制度，优质、高效完成工作任务。</w:t>
      </w:r>
    </w:p>
    <w:p w14:paraId="03F378C8">
      <w:pPr>
        <w:autoSpaceDE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（三） 乙方应保证甲方在使用该服务或其任何一部分时不受第三方提出侵犯其专利权、版权、商标权或其他权利的起诉。一旦出现侵权，乙方应承担全部责任。</w:t>
      </w:r>
    </w:p>
    <w:p w14:paraId="717EC71F">
      <w:pPr>
        <w:autoSpaceDE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（四）乙方有权要求甲方对采样工作提供必要的便利条件。</w:t>
      </w:r>
    </w:p>
    <w:p w14:paraId="607C159C">
      <w:pPr>
        <w:autoSpaceDE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五）乙方需按照甲方要求，组织好人力物力，安排充足的现场检测人员及实验室分析人员，严格遵守国家环境检测相关规范标准开展检测工作。若因乙方检测不到位或检测报告不准确，造成甲方损失或乙方相关事故的，由乙方承担全部赔偿责任，与甲方无关。</w:t>
      </w:r>
    </w:p>
    <w:p w14:paraId="5A5E0924">
      <w:pPr>
        <w:autoSpaceDE w:val="0"/>
        <w:autoSpaceDN w:val="0"/>
        <w:adjustRightInd w:val="0"/>
        <w:spacing w:line="360" w:lineRule="auto"/>
        <w:ind w:firstLine="482" w:firstLineChars="200"/>
        <w:jc w:val="left"/>
        <w:rPr>
          <w:rFonts w:ascii="仿宋" w:hAnsi="仿宋" w:eastAsia="仿宋" w:cs="仿宋"/>
          <w:b/>
          <w:bCs/>
          <w:sz w:val="24"/>
          <w:szCs w:val="24"/>
        </w:rPr>
      </w:pPr>
      <w:r>
        <w:rPr>
          <w:rFonts w:hint="eastAsia" w:ascii="仿宋" w:hAnsi="仿宋" w:eastAsia="仿宋" w:cs="仿宋"/>
          <w:b/>
          <w:bCs/>
          <w:sz w:val="24"/>
          <w:szCs w:val="24"/>
        </w:rPr>
        <w:t>第四条 质量保证</w:t>
      </w:r>
    </w:p>
    <w:p w14:paraId="40A57FA6">
      <w:pPr>
        <w:autoSpaceDE w:val="0"/>
        <w:autoSpaceDN w:val="0"/>
        <w:adjustRightInd w:val="0"/>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乙方所提供的服务规格应与附件中的相关规定相一致；若技术性能无特殊说明，则按国家有关部门最新颁布的标准及规范为准。</w:t>
      </w:r>
    </w:p>
    <w:p w14:paraId="24EE1961">
      <w:pPr>
        <w:autoSpaceDE w:val="0"/>
        <w:autoSpaceDN w:val="0"/>
        <w:adjustRightInd w:val="0"/>
        <w:spacing w:line="360" w:lineRule="auto"/>
        <w:ind w:firstLine="482" w:firstLineChars="200"/>
        <w:jc w:val="left"/>
        <w:rPr>
          <w:rFonts w:ascii="仿宋" w:hAnsi="仿宋" w:eastAsia="仿宋" w:cs="仿宋"/>
          <w:b/>
          <w:bCs/>
          <w:sz w:val="24"/>
          <w:szCs w:val="24"/>
        </w:rPr>
      </w:pPr>
      <w:r>
        <w:rPr>
          <w:rFonts w:hint="eastAsia" w:ascii="仿宋" w:hAnsi="仿宋" w:eastAsia="仿宋" w:cs="仿宋"/>
          <w:b/>
          <w:bCs/>
          <w:sz w:val="24"/>
          <w:szCs w:val="24"/>
        </w:rPr>
        <w:t>第五条 交付和验收</w:t>
      </w:r>
    </w:p>
    <w:p w14:paraId="4B343D33">
      <w:pPr>
        <w:autoSpaceDE w:val="0"/>
        <w:autoSpaceDN w:val="0"/>
        <w:adjustRightInd w:val="0"/>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1、服务期限：2026年2月1日至2027年1月31日</w:t>
      </w:r>
    </w:p>
    <w:p w14:paraId="2776C3B4">
      <w:pPr>
        <w:autoSpaceDE w:val="0"/>
        <w:autoSpaceDN w:val="0"/>
        <w:adjustRightInd w:val="0"/>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2、验收标准：按照国家相关标准开展监测。</w:t>
      </w:r>
    </w:p>
    <w:p w14:paraId="1D2FD9BA">
      <w:pPr>
        <w:autoSpaceDE w:val="0"/>
        <w:autoSpaceDN w:val="0"/>
        <w:adjustRightInd w:val="0"/>
        <w:spacing w:line="360" w:lineRule="auto"/>
        <w:ind w:firstLine="482" w:firstLineChars="200"/>
        <w:jc w:val="left"/>
        <w:rPr>
          <w:rFonts w:ascii="仿宋" w:hAnsi="仿宋" w:eastAsia="仿宋" w:cs="仿宋"/>
          <w:b/>
          <w:bCs/>
          <w:i/>
          <w:iCs/>
          <w:sz w:val="24"/>
          <w:szCs w:val="24"/>
        </w:rPr>
      </w:pPr>
      <w:r>
        <w:rPr>
          <w:rFonts w:hint="eastAsia" w:ascii="仿宋" w:hAnsi="仿宋" w:eastAsia="仿宋" w:cs="仿宋"/>
          <w:b/>
          <w:bCs/>
          <w:sz w:val="24"/>
          <w:szCs w:val="24"/>
        </w:rPr>
        <w:t>第六条 合同款支付</w:t>
      </w:r>
    </w:p>
    <w:p w14:paraId="7E60CCD7">
      <w:pPr>
        <w:autoSpaceDE w:val="0"/>
        <w:autoSpaceDN w:val="0"/>
        <w:adjustRightInd w:val="0"/>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1、本合同项下所有款项均以人民币支付。</w:t>
      </w:r>
    </w:p>
    <w:p w14:paraId="451A91CF">
      <w:pPr>
        <w:autoSpaceDE w:val="0"/>
        <w:autoSpaceDN w:val="0"/>
        <w:adjustRightInd w:val="0"/>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2、本合同项下的采购资金由甲方自行支付，甲方付款前，乙方向甲方开具足额发票，否则甲方有权将付款时间予以顺延。</w:t>
      </w:r>
    </w:p>
    <w:p w14:paraId="62CE3FF8">
      <w:pPr>
        <w:autoSpaceDE w:val="0"/>
        <w:autoSpaceDN w:val="0"/>
        <w:adjustRightInd w:val="0"/>
        <w:spacing w:line="360" w:lineRule="auto"/>
        <w:ind w:firstLine="480" w:firstLineChars="200"/>
        <w:jc w:val="left"/>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3、经甲方确认后，支付相应款项。</w:t>
      </w:r>
    </w:p>
    <w:p w14:paraId="1E6E435A">
      <w:pPr>
        <w:autoSpaceDE w:val="0"/>
        <w:autoSpaceDN w:val="0"/>
        <w:adjustRightInd w:val="0"/>
        <w:spacing w:line="360" w:lineRule="auto"/>
        <w:ind w:firstLine="480" w:firstLineChars="200"/>
        <w:jc w:val="left"/>
        <w:rPr>
          <w:rFonts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4、付款条件（每季度结算一次，前三次付款，甲方按照乙方实际服务清单据实支付，最后一次付款金额按照全年检测点位的结算审计结果，据实支付尾款）：</w:t>
      </w:r>
    </w:p>
    <w:p w14:paraId="341493F2">
      <w:pPr>
        <w:autoSpaceDE w:val="0"/>
        <w:autoSpaceDN w:val="0"/>
        <w:adjustRightInd w:val="0"/>
        <w:spacing w:line="360" w:lineRule="auto"/>
        <w:ind w:firstLine="482" w:firstLineChars="200"/>
        <w:jc w:val="left"/>
        <w:rPr>
          <w:rFonts w:ascii="仿宋" w:hAnsi="仿宋" w:eastAsia="仿宋" w:cs="仿宋"/>
          <w:b/>
          <w:bCs/>
          <w:sz w:val="24"/>
          <w:szCs w:val="24"/>
        </w:rPr>
      </w:pPr>
      <w:r>
        <w:rPr>
          <w:rFonts w:hint="eastAsia" w:ascii="仿宋" w:hAnsi="仿宋" w:eastAsia="仿宋" w:cs="仿宋"/>
          <w:b/>
          <w:bCs/>
          <w:sz w:val="24"/>
          <w:szCs w:val="24"/>
        </w:rPr>
        <w:t>第七条 违约责任</w:t>
      </w:r>
    </w:p>
    <w:p w14:paraId="76C595BF">
      <w:pPr>
        <w:autoSpaceDE w:val="0"/>
        <w:autoSpaceDN w:val="0"/>
        <w:adjustRightInd w:val="0"/>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1、甲方无正当理由拒收服务、拒付服务款的，由甲方向乙方偿付单项合同金额的5%违约金。</w:t>
      </w:r>
    </w:p>
    <w:p w14:paraId="23AFD4C2">
      <w:pPr>
        <w:autoSpaceDE w:val="0"/>
        <w:autoSpaceDN w:val="0"/>
        <w:adjustRightInd w:val="0"/>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2、甲方未按合同规定的期限向乙方支付服务款的，每逾期1天甲方向乙方偿付欠款总额的5‰滞纳金，但累计滞纳金总额不超过欠款总额的5%。</w:t>
      </w:r>
    </w:p>
    <w:p w14:paraId="2B3DE0E5">
      <w:pPr>
        <w:widowControl/>
        <w:adjustRightInd w:val="0"/>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3、如乙方不能交付服务的，乙方应向甲方支付合同总价5%的违约金。</w:t>
      </w:r>
    </w:p>
    <w:p w14:paraId="2EA68868">
      <w:pPr>
        <w:widowControl/>
        <w:adjustRightInd w:val="0"/>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4、乙方逾期交付的，每逾期1天，乙方向甲方偿付单项合同金额的5‰的滞纳金。如乙方逾期交付达10天，甲方有权解除合同，解除合同的通知自到达乙方时生效。</w:t>
      </w:r>
    </w:p>
    <w:p w14:paraId="7D402797">
      <w:pPr>
        <w:widowControl/>
        <w:adjustRightInd w:val="0"/>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5、乙方所交付的服务不符合合同规定的，甲方有权拒收。甲方拒收的，乙方应向甲方支付单项合同金额5%的违约金。</w:t>
      </w:r>
    </w:p>
    <w:p w14:paraId="24A12352">
      <w:pPr>
        <w:widowControl/>
        <w:adjustRightInd w:val="0"/>
        <w:spacing w:line="360" w:lineRule="auto"/>
        <w:ind w:firstLine="420"/>
        <w:jc w:val="left"/>
        <w:rPr>
          <w:rFonts w:ascii="仿宋" w:hAnsi="仿宋" w:eastAsia="仿宋" w:cs="仿宋"/>
          <w:sz w:val="24"/>
          <w:szCs w:val="24"/>
        </w:rPr>
      </w:pPr>
      <w:r>
        <w:rPr>
          <w:rFonts w:hint="eastAsia" w:ascii="仿宋" w:hAnsi="仿宋" w:eastAsia="仿宋" w:cs="仿宋"/>
          <w:sz w:val="24"/>
          <w:szCs w:val="24"/>
        </w:rPr>
        <w:t>6、在乙方服务期内，如经乙方两次整改仍不能达到合同约定的质量标准，乙方应退回全部合同价款，并按第3款处理，同时，乙方还须赔偿甲方因此遭受的损失。</w:t>
      </w:r>
    </w:p>
    <w:p w14:paraId="77305118">
      <w:pPr>
        <w:widowControl/>
        <w:adjustRightInd w:val="0"/>
        <w:spacing w:line="360" w:lineRule="auto"/>
        <w:ind w:firstLine="482" w:firstLineChars="200"/>
        <w:jc w:val="left"/>
        <w:rPr>
          <w:rFonts w:ascii="仿宋" w:hAnsi="仿宋" w:eastAsia="仿宋" w:cs="仿宋"/>
          <w:b/>
          <w:bCs/>
          <w:sz w:val="24"/>
          <w:szCs w:val="24"/>
        </w:rPr>
      </w:pPr>
      <w:r>
        <w:rPr>
          <w:rFonts w:hint="eastAsia" w:ascii="仿宋" w:hAnsi="仿宋" w:eastAsia="仿宋" w:cs="仿宋"/>
          <w:b/>
          <w:bCs/>
          <w:sz w:val="24"/>
          <w:szCs w:val="24"/>
        </w:rPr>
        <w:t>第八条 项目履约验收</w:t>
      </w:r>
    </w:p>
    <w:p w14:paraId="5961E1A0">
      <w:pPr>
        <w:widowControl/>
        <w:adjustRightInd w:val="0"/>
        <w:spacing w:line="360" w:lineRule="auto"/>
        <w:ind w:firstLine="480" w:firstLineChars="200"/>
        <w:jc w:val="left"/>
        <w:rPr>
          <w:rFonts w:ascii="仿宋" w:hAnsi="仿宋" w:eastAsia="仿宋" w:cs="仿宋"/>
          <w:bCs/>
          <w:sz w:val="24"/>
          <w:szCs w:val="24"/>
        </w:rPr>
      </w:pPr>
      <w:r>
        <w:rPr>
          <w:rFonts w:hint="eastAsia" w:ascii="仿宋" w:hAnsi="仿宋" w:eastAsia="仿宋" w:cs="仿宋"/>
          <w:bCs/>
          <w:sz w:val="24"/>
          <w:szCs w:val="24"/>
        </w:rPr>
        <w:t>1、甲方有权对乙方项目实施执行过程及完成结果进行履约验收。</w:t>
      </w:r>
    </w:p>
    <w:p w14:paraId="088417F9">
      <w:pPr>
        <w:widowControl/>
        <w:adjustRightInd w:val="0"/>
        <w:spacing w:line="360" w:lineRule="auto"/>
        <w:ind w:firstLine="480" w:firstLineChars="200"/>
        <w:jc w:val="left"/>
        <w:rPr>
          <w:rFonts w:ascii="仿宋" w:hAnsi="仿宋" w:eastAsia="仿宋" w:cs="仿宋"/>
          <w:bCs/>
          <w:sz w:val="24"/>
          <w:szCs w:val="24"/>
        </w:rPr>
      </w:pPr>
      <w:r>
        <w:rPr>
          <w:rFonts w:hint="eastAsia" w:ascii="仿宋" w:hAnsi="仿宋" w:eastAsia="仿宋" w:cs="仿宋"/>
          <w:bCs/>
          <w:sz w:val="24"/>
          <w:szCs w:val="24"/>
        </w:rPr>
        <w:t>2、甲方可以邀请第三方机构参与验收，乙方应积极配合并响应。</w:t>
      </w:r>
    </w:p>
    <w:p w14:paraId="433277A2">
      <w:pPr>
        <w:widowControl/>
        <w:adjustRightInd w:val="0"/>
        <w:spacing w:line="360" w:lineRule="auto"/>
        <w:ind w:firstLine="482" w:firstLineChars="200"/>
        <w:jc w:val="left"/>
        <w:rPr>
          <w:rFonts w:ascii="仿宋" w:hAnsi="仿宋" w:eastAsia="仿宋" w:cs="仿宋"/>
          <w:b/>
          <w:bCs/>
          <w:sz w:val="24"/>
          <w:szCs w:val="24"/>
        </w:rPr>
      </w:pPr>
      <w:r>
        <w:rPr>
          <w:rFonts w:hint="eastAsia" w:ascii="仿宋" w:hAnsi="仿宋" w:eastAsia="仿宋" w:cs="仿宋"/>
          <w:b/>
          <w:bCs/>
          <w:sz w:val="24"/>
          <w:szCs w:val="24"/>
        </w:rPr>
        <w:t>第九条 合同的变更和终止</w:t>
      </w:r>
    </w:p>
    <w:p w14:paraId="6D6112BE">
      <w:pPr>
        <w:widowControl/>
        <w:adjustRightInd w:val="0"/>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1、除《政府采购法》第50条第二款规定的情形外，本合同一经签订，甲乙双方不得擅自变更、中止或终止合同。</w:t>
      </w:r>
    </w:p>
    <w:p w14:paraId="3B0FA9F9">
      <w:pPr>
        <w:widowControl/>
        <w:adjustRightInd w:val="0"/>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2、除发生法律规定的不能预见、不能避免并不能克服的客观情况外，甲乙双方不得放弃或拒绝履行合同。</w:t>
      </w:r>
    </w:p>
    <w:p w14:paraId="326A6CB0">
      <w:pPr>
        <w:widowControl/>
        <w:adjustRightInd w:val="0"/>
        <w:spacing w:line="360" w:lineRule="auto"/>
        <w:ind w:firstLine="482" w:firstLineChars="200"/>
        <w:jc w:val="left"/>
        <w:rPr>
          <w:rFonts w:ascii="仿宋" w:hAnsi="仿宋" w:eastAsia="仿宋" w:cs="仿宋"/>
          <w:b/>
          <w:bCs/>
          <w:sz w:val="24"/>
          <w:szCs w:val="24"/>
        </w:rPr>
      </w:pPr>
      <w:r>
        <w:rPr>
          <w:rFonts w:hint="eastAsia" w:ascii="仿宋" w:hAnsi="仿宋" w:eastAsia="仿宋" w:cs="仿宋"/>
          <w:b/>
          <w:bCs/>
          <w:sz w:val="24"/>
          <w:szCs w:val="24"/>
        </w:rPr>
        <w:t>第十条 合同的转让</w:t>
      </w:r>
    </w:p>
    <w:p w14:paraId="50F177C9">
      <w:pPr>
        <w:widowControl/>
        <w:adjustRightInd w:val="0"/>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乙方不得擅自部分或全部转让其应履行的合同义务。</w:t>
      </w:r>
    </w:p>
    <w:p w14:paraId="5E447DC7">
      <w:pPr>
        <w:widowControl/>
        <w:adjustRightInd w:val="0"/>
        <w:spacing w:line="360" w:lineRule="auto"/>
        <w:ind w:firstLine="482" w:firstLineChars="200"/>
        <w:jc w:val="left"/>
        <w:rPr>
          <w:rFonts w:ascii="仿宋" w:hAnsi="仿宋" w:eastAsia="仿宋" w:cs="仿宋"/>
          <w:b/>
          <w:bCs/>
          <w:sz w:val="24"/>
          <w:szCs w:val="24"/>
        </w:rPr>
      </w:pPr>
      <w:r>
        <w:rPr>
          <w:rFonts w:hint="eastAsia" w:ascii="仿宋" w:hAnsi="仿宋" w:eastAsia="仿宋" w:cs="仿宋"/>
          <w:b/>
          <w:bCs/>
          <w:sz w:val="24"/>
          <w:szCs w:val="24"/>
        </w:rPr>
        <w:t>第十一条 争议的解决</w:t>
      </w:r>
    </w:p>
    <w:p w14:paraId="639FF0CA">
      <w:pPr>
        <w:widowControl/>
        <w:adjustRightInd w:val="0"/>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1、因服务的质量问题发生争议的，应当邀请国家认可的质量检测机构对服务质量进行鉴定。符合标准的，鉴定费由甲方承担；不符合质量标准的，鉴定费由乙方承担。</w:t>
      </w:r>
    </w:p>
    <w:p w14:paraId="541D1808">
      <w:pPr>
        <w:widowControl/>
        <w:adjustRightInd w:val="0"/>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2、因履行本合同引起的或与本合同有关的争议，甲、乙双方应首先通过友好协商解决，如果协商不能解决争议，则采取以下第（1）种方式解决争议：</w:t>
      </w:r>
    </w:p>
    <w:p w14:paraId="094B77CC">
      <w:pPr>
        <w:widowControl/>
        <w:adjustRightInd w:val="0"/>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（1）向甲方所在地有管辖权的人民法院提起诉讼；</w:t>
      </w:r>
    </w:p>
    <w:p w14:paraId="7B97C990">
      <w:pPr>
        <w:widowControl/>
        <w:adjustRightInd w:val="0"/>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（2）向南京仲裁委员会按其仲裁规则申请仲裁。</w:t>
      </w:r>
    </w:p>
    <w:p w14:paraId="0216121D">
      <w:pPr>
        <w:widowControl/>
        <w:adjustRightInd w:val="0"/>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如没有约定，默认采取第二种方式解决争议。</w:t>
      </w:r>
    </w:p>
    <w:p w14:paraId="52D4E49D">
      <w:pPr>
        <w:widowControl/>
        <w:adjustRightInd w:val="0"/>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3、在仲裁期间，本合同应继续履行。</w:t>
      </w:r>
    </w:p>
    <w:p w14:paraId="4BA26C16">
      <w:pPr>
        <w:widowControl/>
        <w:adjustRightInd w:val="0"/>
        <w:spacing w:line="360" w:lineRule="auto"/>
        <w:ind w:firstLine="482" w:firstLineChars="200"/>
        <w:jc w:val="left"/>
        <w:rPr>
          <w:rFonts w:ascii="仿宋" w:hAnsi="仿宋" w:eastAsia="仿宋" w:cs="仿宋"/>
          <w:b/>
          <w:bCs/>
          <w:sz w:val="24"/>
          <w:szCs w:val="24"/>
        </w:rPr>
      </w:pPr>
      <w:r>
        <w:rPr>
          <w:rFonts w:hint="eastAsia" w:ascii="仿宋" w:hAnsi="仿宋" w:eastAsia="仿宋" w:cs="仿宋"/>
          <w:b/>
          <w:bCs/>
          <w:sz w:val="24"/>
          <w:szCs w:val="24"/>
        </w:rPr>
        <w:t xml:space="preserve">第十二条 诚实信用 </w:t>
      </w:r>
    </w:p>
    <w:p w14:paraId="2F31B32E">
      <w:pPr>
        <w:widowControl/>
        <w:adjustRightInd w:val="0"/>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 xml:space="preserve"> 乙方应诚实信用，严格按照招标文件要求和投标承诺履行合同，不向甲方进行商业贿赂或者提供不正当利益。</w:t>
      </w:r>
    </w:p>
    <w:p w14:paraId="4A6718D4">
      <w:pPr>
        <w:widowControl/>
        <w:adjustRightInd w:val="0"/>
        <w:spacing w:line="360" w:lineRule="auto"/>
        <w:ind w:firstLine="482" w:firstLineChars="200"/>
        <w:jc w:val="left"/>
        <w:rPr>
          <w:rFonts w:ascii="仿宋" w:hAnsi="仿宋" w:eastAsia="仿宋" w:cs="仿宋"/>
          <w:b/>
          <w:bCs/>
          <w:sz w:val="24"/>
          <w:szCs w:val="24"/>
        </w:rPr>
      </w:pPr>
      <w:r>
        <w:rPr>
          <w:rFonts w:hint="eastAsia" w:ascii="仿宋" w:hAnsi="仿宋" w:eastAsia="仿宋" w:cs="仿宋"/>
          <w:b/>
          <w:bCs/>
          <w:sz w:val="24"/>
          <w:szCs w:val="24"/>
        </w:rPr>
        <w:t>第十三条 合同生效及其他</w:t>
      </w:r>
    </w:p>
    <w:p w14:paraId="10D6510C">
      <w:pPr>
        <w:widowControl/>
        <w:adjustRightInd w:val="0"/>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1、本合同自签订之日起生效。</w:t>
      </w:r>
    </w:p>
    <w:p w14:paraId="6AE7D198">
      <w:pPr>
        <w:widowControl/>
        <w:adjustRightInd w:val="0"/>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2、本合同一式四份，甲乙双方各执一份，一份报送财政所备案，一份报送政府采购及备案。合同自签字盖章之日生效，于服务费全部结清时终止。若有未尽事宜，甲、乙双方可另补充协议，其法律效力同本合同一致生效。</w:t>
      </w:r>
    </w:p>
    <w:p w14:paraId="0C00C469">
      <w:pPr>
        <w:widowControl/>
        <w:adjustRightInd w:val="0"/>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3、本合同应按照中华人民共和国的现行法律进行解释。</w:t>
      </w:r>
    </w:p>
    <w:p w14:paraId="5D2BB4AE">
      <w:pPr>
        <w:pStyle w:val="40"/>
        <w:rPr>
          <w:rFonts w:ascii="仿宋" w:hAnsi="仿宋" w:eastAsia="仿宋" w:cs="仿宋"/>
          <w:lang w:eastAsia="zh-CN"/>
        </w:rPr>
      </w:pPr>
    </w:p>
    <w:p w14:paraId="333D98DF">
      <w:pPr>
        <w:widowControl/>
        <w:adjustRightInd w:val="0"/>
        <w:spacing w:line="360" w:lineRule="auto"/>
        <w:ind w:firstLine="480" w:firstLineChars="200"/>
        <w:jc w:val="left"/>
        <w:rPr>
          <w:rFonts w:ascii="仿宋" w:hAnsi="仿宋" w:eastAsia="仿宋" w:cs="仿宋"/>
          <w:sz w:val="24"/>
          <w:szCs w:val="24"/>
        </w:rPr>
      </w:pPr>
    </w:p>
    <w:tbl>
      <w:tblPr>
        <w:tblStyle w:val="34"/>
        <w:tblW w:w="9286" w:type="dxa"/>
        <w:tblInd w:w="0" w:type="dxa"/>
        <w:tblLayout w:type="fixed"/>
        <w:tblCellMar>
          <w:top w:w="0" w:type="dxa"/>
          <w:left w:w="0" w:type="dxa"/>
          <w:bottom w:w="0" w:type="dxa"/>
          <w:right w:w="0" w:type="dxa"/>
        </w:tblCellMar>
      </w:tblPr>
      <w:tblGrid>
        <w:gridCol w:w="4643"/>
        <w:gridCol w:w="4643"/>
      </w:tblGrid>
      <w:tr w14:paraId="3975F5D3">
        <w:tblPrEx>
          <w:tblCellMar>
            <w:top w:w="0" w:type="dxa"/>
            <w:left w:w="0" w:type="dxa"/>
            <w:bottom w:w="0" w:type="dxa"/>
            <w:right w:w="0" w:type="dxa"/>
          </w:tblCellMar>
        </w:tblPrEx>
        <w:tc>
          <w:tcPr>
            <w:tcW w:w="4643" w:type="dxa"/>
            <w:tcBorders>
              <w:top w:val="nil"/>
              <w:left w:val="nil"/>
              <w:bottom w:val="nil"/>
              <w:right w:val="nil"/>
            </w:tcBorders>
          </w:tcPr>
          <w:p w14:paraId="58C7A04A">
            <w:pPr>
              <w:widowControl/>
              <w:adjustRightInd w:val="0"/>
              <w:spacing w:line="360" w:lineRule="auto"/>
              <w:ind w:left="2184" w:leftChars="240" w:hanging="1680" w:hangingChars="700"/>
              <w:jc w:val="left"/>
              <w:rPr>
                <w:rFonts w:ascii="仿宋" w:hAnsi="仿宋" w:eastAsia="仿宋" w:cs="仿宋"/>
                <w:sz w:val="24"/>
                <w:szCs w:val="24"/>
              </w:rPr>
            </w:pPr>
            <w:r>
              <w:rPr>
                <w:rFonts w:hint="eastAsia" w:ascii="仿宋" w:hAnsi="仿宋" w:eastAsia="仿宋" w:cs="仿宋"/>
                <w:sz w:val="24"/>
                <w:szCs w:val="24"/>
              </w:rPr>
              <w:t>甲方（采购人）：</w:t>
            </w:r>
          </w:p>
        </w:tc>
        <w:tc>
          <w:tcPr>
            <w:tcW w:w="4643" w:type="dxa"/>
            <w:tcBorders>
              <w:top w:val="nil"/>
              <w:left w:val="nil"/>
              <w:bottom w:val="nil"/>
              <w:right w:val="nil"/>
            </w:tcBorders>
          </w:tcPr>
          <w:p w14:paraId="6732EABA">
            <w:pPr>
              <w:widowControl/>
              <w:adjustRightInd w:val="0"/>
              <w:spacing w:line="360" w:lineRule="auto"/>
              <w:ind w:left="2184" w:leftChars="240" w:hanging="1680" w:hangingChars="700"/>
              <w:jc w:val="left"/>
              <w:rPr>
                <w:rFonts w:ascii="仿宋" w:hAnsi="仿宋" w:eastAsia="仿宋" w:cs="仿宋"/>
                <w:sz w:val="24"/>
                <w:szCs w:val="24"/>
              </w:rPr>
            </w:pPr>
            <w:r>
              <w:rPr>
                <w:rFonts w:hint="eastAsia" w:ascii="仿宋" w:hAnsi="仿宋" w:eastAsia="仿宋" w:cs="仿宋"/>
                <w:sz w:val="24"/>
                <w:szCs w:val="24"/>
              </w:rPr>
              <w:t>乙方（供应商）：</w:t>
            </w:r>
          </w:p>
        </w:tc>
      </w:tr>
      <w:tr w14:paraId="08BA628D">
        <w:tblPrEx>
          <w:tblCellMar>
            <w:top w:w="0" w:type="dxa"/>
            <w:left w:w="0" w:type="dxa"/>
            <w:bottom w:w="0" w:type="dxa"/>
            <w:right w:w="0" w:type="dxa"/>
          </w:tblCellMar>
        </w:tblPrEx>
        <w:tc>
          <w:tcPr>
            <w:tcW w:w="4643" w:type="dxa"/>
            <w:tcBorders>
              <w:top w:val="nil"/>
              <w:left w:val="nil"/>
              <w:bottom w:val="nil"/>
              <w:right w:val="nil"/>
            </w:tcBorders>
          </w:tcPr>
          <w:p w14:paraId="3B785159">
            <w:pPr>
              <w:widowControl/>
              <w:adjustRightInd w:val="0"/>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法定（授权）代表人：</w:t>
            </w:r>
          </w:p>
        </w:tc>
        <w:tc>
          <w:tcPr>
            <w:tcW w:w="4643" w:type="dxa"/>
            <w:tcBorders>
              <w:top w:val="nil"/>
              <w:left w:val="nil"/>
              <w:bottom w:val="nil"/>
              <w:right w:val="nil"/>
            </w:tcBorders>
          </w:tcPr>
          <w:p w14:paraId="6B82BC5B">
            <w:pPr>
              <w:widowControl/>
              <w:adjustRightInd w:val="0"/>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法定（授权）代表人：</w:t>
            </w:r>
          </w:p>
        </w:tc>
      </w:tr>
      <w:tr w14:paraId="281CCE3E">
        <w:tblPrEx>
          <w:tblCellMar>
            <w:top w:w="0" w:type="dxa"/>
            <w:left w:w="0" w:type="dxa"/>
            <w:bottom w:w="0" w:type="dxa"/>
            <w:right w:w="0" w:type="dxa"/>
          </w:tblCellMar>
        </w:tblPrEx>
        <w:tc>
          <w:tcPr>
            <w:tcW w:w="4643" w:type="dxa"/>
            <w:tcBorders>
              <w:top w:val="nil"/>
              <w:left w:val="nil"/>
              <w:bottom w:val="nil"/>
              <w:right w:val="nil"/>
            </w:tcBorders>
          </w:tcPr>
          <w:p w14:paraId="445B5FA4">
            <w:pPr>
              <w:widowControl/>
              <w:adjustRightInd w:val="0"/>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电    话：</w:t>
            </w:r>
          </w:p>
        </w:tc>
        <w:tc>
          <w:tcPr>
            <w:tcW w:w="4643" w:type="dxa"/>
            <w:tcBorders>
              <w:top w:val="nil"/>
              <w:left w:val="nil"/>
              <w:bottom w:val="nil"/>
              <w:right w:val="nil"/>
            </w:tcBorders>
          </w:tcPr>
          <w:p w14:paraId="1822C063">
            <w:pPr>
              <w:widowControl/>
              <w:adjustRightInd w:val="0"/>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电    话：</w:t>
            </w:r>
          </w:p>
        </w:tc>
      </w:tr>
      <w:tr w14:paraId="43868D41">
        <w:tblPrEx>
          <w:tblCellMar>
            <w:top w:w="0" w:type="dxa"/>
            <w:left w:w="0" w:type="dxa"/>
            <w:bottom w:w="0" w:type="dxa"/>
            <w:right w:w="0" w:type="dxa"/>
          </w:tblCellMar>
        </w:tblPrEx>
        <w:tc>
          <w:tcPr>
            <w:tcW w:w="4643" w:type="dxa"/>
            <w:tcBorders>
              <w:top w:val="nil"/>
              <w:left w:val="nil"/>
              <w:bottom w:val="nil"/>
              <w:right w:val="nil"/>
            </w:tcBorders>
          </w:tcPr>
          <w:p w14:paraId="65F31284">
            <w:pPr>
              <w:widowControl/>
              <w:adjustRightInd w:val="0"/>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开户银行：</w:t>
            </w:r>
          </w:p>
        </w:tc>
        <w:tc>
          <w:tcPr>
            <w:tcW w:w="4643" w:type="dxa"/>
            <w:tcBorders>
              <w:top w:val="nil"/>
              <w:left w:val="nil"/>
              <w:bottom w:val="nil"/>
              <w:right w:val="nil"/>
            </w:tcBorders>
          </w:tcPr>
          <w:p w14:paraId="2549EDB1">
            <w:pPr>
              <w:widowControl/>
              <w:adjustRightInd w:val="0"/>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开户银行：</w:t>
            </w:r>
          </w:p>
        </w:tc>
      </w:tr>
      <w:tr w14:paraId="626D01AD">
        <w:tblPrEx>
          <w:tblCellMar>
            <w:top w:w="0" w:type="dxa"/>
            <w:left w:w="0" w:type="dxa"/>
            <w:bottom w:w="0" w:type="dxa"/>
            <w:right w:w="0" w:type="dxa"/>
          </w:tblCellMar>
        </w:tblPrEx>
        <w:tc>
          <w:tcPr>
            <w:tcW w:w="4643" w:type="dxa"/>
            <w:tcBorders>
              <w:top w:val="nil"/>
              <w:left w:val="nil"/>
              <w:bottom w:val="nil"/>
              <w:right w:val="nil"/>
            </w:tcBorders>
          </w:tcPr>
          <w:p w14:paraId="7E83FC17">
            <w:pPr>
              <w:widowControl/>
              <w:adjustRightInd w:val="0"/>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账号：</w:t>
            </w:r>
          </w:p>
        </w:tc>
        <w:tc>
          <w:tcPr>
            <w:tcW w:w="4643" w:type="dxa"/>
            <w:tcBorders>
              <w:top w:val="nil"/>
              <w:left w:val="nil"/>
              <w:bottom w:val="nil"/>
              <w:right w:val="nil"/>
            </w:tcBorders>
          </w:tcPr>
          <w:p w14:paraId="57B08099">
            <w:pPr>
              <w:widowControl/>
              <w:adjustRightInd w:val="0"/>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账号：</w:t>
            </w:r>
          </w:p>
        </w:tc>
      </w:tr>
      <w:tr w14:paraId="18FD319A">
        <w:tblPrEx>
          <w:tblCellMar>
            <w:top w:w="0" w:type="dxa"/>
            <w:left w:w="0" w:type="dxa"/>
            <w:bottom w:w="0" w:type="dxa"/>
            <w:right w:w="0" w:type="dxa"/>
          </w:tblCellMar>
        </w:tblPrEx>
        <w:tc>
          <w:tcPr>
            <w:tcW w:w="4643" w:type="dxa"/>
            <w:tcBorders>
              <w:top w:val="nil"/>
              <w:left w:val="nil"/>
              <w:bottom w:val="nil"/>
              <w:right w:val="nil"/>
            </w:tcBorders>
          </w:tcPr>
          <w:p w14:paraId="58AD6460">
            <w:pPr>
              <w:widowControl/>
              <w:adjustRightInd w:val="0"/>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签订日期：   年   月   日</w:t>
            </w:r>
          </w:p>
        </w:tc>
        <w:tc>
          <w:tcPr>
            <w:tcW w:w="4643" w:type="dxa"/>
            <w:tcBorders>
              <w:top w:val="nil"/>
              <w:left w:val="nil"/>
              <w:bottom w:val="nil"/>
              <w:right w:val="nil"/>
            </w:tcBorders>
          </w:tcPr>
          <w:p w14:paraId="580D9AE8">
            <w:pPr>
              <w:widowControl/>
              <w:adjustRightInd w:val="0"/>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签订日期：   年   月   日</w:t>
            </w:r>
          </w:p>
        </w:tc>
      </w:tr>
    </w:tbl>
    <w:p w14:paraId="2B80D135">
      <w:pPr>
        <w:widowControl/>
        <w:adjustRightInd w:val="0"/>
        <w:spacing w:line="360" w:lineRule="auto"/>
        <w:ind w:firstLine="480" w:firstLineChars="200"/>
        <w:jc w:val="left"/>
        <w:rPr>
          <w:rFonts w:ascii="仿宋" w:hAnsi="仿宋" w:eastAsia="仿宋" w:cs="仿宋"/>
          <w:sz w:val="24"/>
          <w:szCs w:val="24"/>
        </w:rPr>
      </w:pPr>
    </w:p>
    <w:p w14:paraId="5B0799EC">
      <w:pPr>
        <w:widowControl/>
        <w:jc w:val="left"/>
        <w:rPr>
          <w:rFonts w:ascii="仿宋" w:hAnsi="仿宋" w:eastAsia="仿宋" w:cs="仿宋"/>
        </w:rPr>
        <w:sectPr>
          <w:footerReference r:id="rId3" w:type="default"/>
          <w:pgSz w:w="11906" w:h="16838"/>
          <w:pgMar w:top="1440" w:right="1080" w:bottom="1440" w:left="1080" w:header="851" w:footer="992" w:gutter="0"/>
          <w:pgNumType w:start="1"/>
          <w:cols w:space="425" w:num="1"/>
          <w:docGrid w:type="lines" w:linePitch="312" w:charSpace="0"/>
        </w:sectPr>
      </w:pPr>
    </w:p>
    <w:p w14:paraId="075572E6">
      <w:pPr>
        <w:spacing w:line="360" w:lineRule="auto"/>
        <w:jc w:val="center"/>
        <w:outlineLvl w:val="0"/>
        <w:rPr>
          <w:rFonts w:ascii="仿宋" w:hAnsi="仿宋" w:eastAsia="仿宋" w:cs="仿宋"/>
          <w:b/>
          <w:bCs/>
          <w:color w:val="000000"/>
          <w:sz w:val="32"/>
          <w:szCs w:val="32"/>
          <w:lang w:val="zh-CN"/>
        </w:rPr>
      </w:pPr>
      <w:bookmarkStart w:id="47" w:name="_Toc4443"/>
      <w:r>
        <w:rPr>
          <w:rFonts w:hint="eastAsia" w:ascii="仿宋" w:hAnsi="仿宋" w:eastAsia="仿宋" w:cs="仿宋"/>
          <w:b/>
          <w:bCs/>
          <w:color w:val="000000"/>
          <w:sz w:val="32"/>
          <w:szCs w:val="32"/>
          <w:lang w:val="zh-CN"/>
        </w:rPr>
        <w:t>第六章</w:t>
      </w:r>
      <w:r>
        <w:rPr>
          <w:rFonts w:hint="eastAsia" w:ascii="仿宋" w:hAnsi="仿宋" w:eastAsia="仿宋" w:cs="仿宋"/>
          <w:b/>
          <w:bCs/>
          <w:color w:val="000000"/>
          <w:sz w:val="32"/>
          <w:szCs w:val="32"/>
        </w:rPr>
        <w:t xml:space="preserve"> </w:t>
      </w:r>
      <w:r>
        <w:rPr>
          <w:rFonts w:hint="eastAsia" w:ascii="仿宋" w:hAnsi="仿宋" w:eastAsia="仿宋" w:cs="仿宋"/>
          <w:b/>
          <w:bCs/>
          <w:color w:val="000000"/>
          <w:sz w:val="32"/>
          <w:szCs w:val="32"/>
          <w:lang w:val="zh-CN"/>
        </w:rPr>
        <w:t>竞争性磋商响应文件格式及附件</w:t>
      </w:r>
      <w:bookmarkEnd w:id="47"/>
    </w:p>
    <w:p w14:paraId="108FAE34">
      <w:pPr>
        <w:spacing w:line="360" w:lineRule="auto"/>
        <w:jc w:val="center"/>
        <w:rPr>
          <w:rFonts w:ascii="仿宋" w:hAnsi="仿宋" w:eastAsia="仿宋" w:cs="仿宋"/>
          <w:color w:val="000000"/>
          <w:sz w:val="32"/>
          <w:szCs w:val="32"/>
        </w:rPr>
      </w:pPr>
    </w:p>
    <w:p w14:paraId="2CAB38AC">
      <w:pPr>
        <w:spacing w:line="360" w:lineRule="auto"/>
        <w:jc w:val="center"/>
        <w:rPr>
          <w:rFonts w:ascii="仿宋" w:hAnsi="仿宋" w:eastAsia="仿宋" w:cs="仿宋"/>
          <w:color w:val="000000"/>
          <w:sz w:val="32"/>
          <w:szCs w:val="32"/>
        </w:rPr>
      </w:pPr>
    </w:p>
    <w:p w14:paraId="17462E04">
      <w:pPr>
        <w:spacing w:line="360" w:lineRule="auto"/>
        <w:rPr>
          <w:rFonts w:ascii="仿宋" w:hAnsi="仿宋" w:eastAsia="仿宋" w:cs="仿宋"/>
          <w:color w:val="000000"/>
          <w:sz w:val="32"/>
          <w:szCs w:val="32"/>
        </w:rPr>
      </w:pPr>
    </w:p>
    <w:p w14:paraId="3CF3CBCE">
      <w:pPr>
        <w:spacing w:line="360" w:lineRule="auto"/>
        <w:jc w:val="center"/>
        <w:rPr>
          <w:rFonts w:ascii="仿宋" w:hAnsi="仿宋" w:eastAsia="仿宋" w:cs="仿宋"/>
          <w:color w:val="000000"/>
          <w:sz w:val="32"/>
          <w:szCs w:val="32"/>
        </w:rPr>
      </w:pPr>
    </w:p>
    <w:p w14:paraId="1338357C">
      <w:pPr>
        <w:spacing w:line="360" w:lineRule="auto"/>
        <w:jc w:val="center"/>
        <w:rPr>
          <w:rFonts w:ascii="仿宋" w:hAnsi="仿宋" w:eastAsia="仿宋" w:cs="仿宋"/>
          <w:b/>
          <w:color w:val="000000"/>
          <w:sz w:val="44"/>
          <w:szCs w:val="44"/>
        </w:rPr>
      </w:pPr>
      <w:r>
        <w:rPr>
          <w:rFonts w:hint="eastAsia" w:ascii="仿宋" w:hAnsi="仿宋" w:eastAsia="仿宋" w:cs="仿宋"/>
          <w:b/>
          <w:color w:val="000000"/>
          <w:sz w:val="44"/>
          <w:szCs w:val="44"/>
        </w:rPr>
        <w:t>竞争性磋商响应文件</w:t>
      </w:r>
    </w:p>
    <w:p w14:paraId="4A410513">
      <w:pPr>
        <w:spacing w:line="360" w:lineRule="auto"/>
        <w:rPr>
          <w:rFonts w:ascii="仿宋" w:hAnsi="仿宋" w:eastAsia="仿宋" w:cs="仿宋"/>
          <w:b/>
          <w:color w:val="000000"/>
          <w:sz w:val="44"/>
          <w:szCs w:val="44"/>
        </w:rPr>
      </w:pPr>
    </w:p>
    <w:p w14:paraId="12A12C04">
      <w:pPr>
        <w:pStyle w:val="199"/>
        <w:rPr>
          <w:rFonts w:ascii="仿宋" w:hAnsi="仿宋" w:eastAsia="仿宋" w:cs="仿宋"/>
        </w:rPr>
      </w:pPr>
    </w:p>
    <w:p w14:paraId="66DCB250">
      <w:pPr>
        <w:pStyle w:val="199"/>
        <w:rPr>
          <w:rFonts w:ascii="仿宋" w:hAnsi="仿宋" w:eastAsia="仿宋" w:cs="仿宋"/>
        </w:rPr>
      </w:pPr>
    </w:p>
    <w:p w14:paraId="108D07F7">
      <w:pPr>
        <w:spacing w:line="360" w:lineRule="auto"/>
        <w:ind w:firstLine="964"/>
        <w:rPr>
          <w:rFonts w:ascii="仿宋" w:hAnsi="仿宋" w:eastAsia="仿宋" w:cs="仿宋"/>
          <w:b/>
          <w:color w:val="000000"/>
          <w:sz w:val="32"/>
          <w:szCs w:val="32"/>
        </w:rPr>
      </w:pPr>
      <w:r>
        <w:rPr>
          <w:rFonts w:hint="eastAsia" w:ascii="仿宋" w:hAnsi="仿宋" w:eastAsia="仿宋" w:cs="仿宋"/>
          <w:b/>
          <w:color w:val="000000"/>
          <w:sz w:val="32"/>
          <w:szCs w:val="32"/>
        </w:rPr>
        <w:t>项目编号：</w:t>
      </w:r>
    </w:p>
    <w:p w14:paraId="072E4FD9">
      <w:pPr>
        <w:spacing w:line="360" w:lineRule="auto"/>
        <w:ind w:firstLine="964"/>
        <w:rPr>
          <w:rFonts w:ascii="仿宋" w:hAnsi="仿宋" w:eastAsia="仿宋" w:cs="仿宋"/>
          <w:b/>
          <w:color w:val="000000"/>
          <w:sz w:val="32"/>
          <w:szCs w:val="32"/>
          <w:u w:val="single"/>
        </w:rPr>
      </w:pPr>
      <w:r>
        <w:rPr>
          <w:rFonts w:hint="eastAsia" w:ascii="仿宋" w:hAnsi="仿宋" w:eastAsia="仿宋" w:cs="仿宋"/>
          <w:b/>
          <w:color w:val="000000"/>
          <w:sz w:val="32"/>
          <w:szCs w:val="32"/>
        </w:rPr>
        <w:t>项目名称：</w:t>
      </w:r>
    </w:p>
    <w:p w14:paraId="6A58928E">
      <w:pPr>
        <w:spacing w:line="360" w:lineRule="auto"/>
        <w:rPr>
          <w:rFonts w:ascii="仿宋" w:hAnsi="仿宋" w:eastAsia="仿宋" w:cs="仿宋"/>
          <w:b/>
          <w:color w:val="000000"/>
          <w:sz w:val="32"/>
          <w:szCs w:val="32"/>
        </w:rPr>
      </w:pPr>
    </w:p>
    <w:p w14:paraId="7ECA2FB5">
      <w:pPr>
        <w:spacing w:line="360" w:lineRule="auto"/>
        <w:rPr>
          <w:rFonts w:ascii="仿宋" w:hAnsi="仿宋" w:eastAsia="仿宋" w:cs="仿宋"/>
          <w:b/>
          <w:color w:val="000000"/>
          <w:sz w:val="32"/>
          <w:szCs w:val="32"/>
        </w:rPr>
      </w:pPr>
    </w:p>
    <w:p w14:paraId="737FB132">
      <w:pPr>
        <w:pStyle w:val="199"/>
        <w:rPr>
          <w:rFonts w:ascii="仿宋" w:hAnsi="仿宋" w:eastAsia="仿宋" w:cs="仿宋"/>
        </w:rPr>
      </w:pPr>
    </w:p>
    <w:p w14:paraId="510C4C4A">
      <w:pPr>
        <w:spacing w:line="360" w:lineRule="auto"/>
        <w:ind w:firstLine="964"/>
        <w:rPr>
          <w:rFonts w:ascii="仿宋" w:hAnsi="仿宋" w:eastAsia="仿宋" w:cs="仿宋"/>
          <w:b/>
          <w:color w:val="000000"/>
          <w:sz w:val="32"/>
          <w:szCs w:val="32"/>
          <w:u w:val="single"/>
        </w:rPr>
      </w:pPr>
      <w:r>
        <w:rPr>
          <w:rFonts w:hint="eastAsia" w:ascii="仿宋" w:hAnsi="仿宋" w:eastAsia="仿宋" w:cs="仿宋"/>
          <w:b/>
          <w:color w:val="000000"/>
          <w:sz w:val="32"/>
          <w:szCs w:val="32"/>
        </w:rPr>
        <w:t>供应商名称：</w:t>
      </w:r>
    </w:p>
    <w:p w14:paraId="60D2AF23">
      <w:pPr>
        <w:spacing w:line="360" w:lineRule="auto"/>
        <w:ind w:firstLine="964"/>
        <w:rPr>
          <w:rFonts w:ascii="仿宋" w:hAnsi="仿宋" w:eastAsia="仿宋" w:cs="仿宋"/>
          <w:b/>
          <w:color w:val="000000"/>
          <w:sz w:val="32"/>
          <w:szCs w:val="32"/>
        </w:rPr>
      </w:pPr>
      <w:r>
        <w:rPr>
          <w:rFonts w:hint="eastAsia" w:ascii="仿宋" w:hAnsi="仿宋" w:eastAsia="仿宋" w:cs="仿宋"/>
          <w:b/>
          <w:color w:val="000000"/>
          <w:sz w:val="32"/>
          <w:szCs w:val="32"/>
        </w:rPr>
        <w:t>日期：</w:t>
      </w:r>
    </w:p>
    <w:p w14:paraId="5F2F3C10">
      <w:pPr>
        <w:tabs>
          <w:tab w:val="left" w:pos="3234"/>
        </w:tabs>
        <w:spacing w:line="360" w:lineRule="auto"/>
        <w:rPr>
          <w:rFonts w:ascii="仿宋" w:hAnsi="仿宋" w:eastAsia="仿宋" w:cs="仿宋"/>
          <w:b/>
          <w:color w:val="000000"/>
          <w:sz w:val="32"/>
          <w:szCs w:val="32"/>
        </w:rPr>
      </w:pPr>
    </w:p>
    <w:p w14:paraId="0E179CB5">
      <w:pPr>
        <w:spacing w:line="360" w:lineRule="auto"/>
        <w:ind w:firstLine="630"/>
        <w:jc w:val="center"/>
        <w:rPr>
          <w:rFonts w:ascii="仿宋" w:hAnsi="仿宋" w:eastAsia="仿宋" w:cs="仿宋"/>
          <w:b/>
          <w:color w:val="000000"/>
          <w:sz w:val="32"/>
          <w:szCs w:val="32"/>
        </w:rPr>
      </w:pPr>
      <w:r>
        <w:rPr>
          <w:rFonts w:hint="eastAsia" w:ascii="仿宋" w:hAnsi="仿宋" w:eastAsia="仿宋" w:cs="仿宋"/>
          <w:color w:val="000000"/>
        </w:rPr>
        <w:br w:type="page" w:clear="all"/>
      </w:r>
      <w:r>
        <w:rPr>
          <w:rFonts w:hint="eastAsia" w:ascii="仿宋" w:hAnsi="仿宋" w:eastAsia="仿宋" w:cs="仿宋"/>
          <w:b/>
          <w:bCs/>
          <w:color w:val="000000"/>
          <w:sz w:val="32"/>
          <w:szCs w:val="32"/>
        </w:rPr>
        <w:t>评分索引表</w:t>
      </w:r>
    </w:p>
    <w:p w14:paraId="52F6745B">
      <w:pPr>
        <w:pStyle w:val="199"/>
        <w:rPr>
          <w:rFonts w:ascii="仿宋" w:hAnsi="仿宋" w:eastAsia="仿宋" w:cs="仿宋"/>
        </w:rPr>
      </w:pPr>
    </w:p>
    <w:tbl>
      <w:tblPr>
        <w:tblStyle w:val="34"/>
        <w:tblW w:w="966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46"/>
        <w:gridCol w:w="5447"/>
        <w:gridCol w:w="1785"/>
        <w:gridCol w:w="1785"/>
      </w:tblGrid>
      <w:tr w14:paraId="79D34E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2" w:hRule="atLeast"/>
          <w:jc w:val="center"/>
        </w:trPr>
        <w:tc>
          <w:tcPr>
            <w:tcW w:w="646" w:type="dxa"/>
            <w:vAlign w:val="center"/>
          </w:tcPr>
          <w:p w14:paraId="79DFAEEF">
            <w:pPr>
              <w:spacing w:line="360" w:lineRule="auto"/>
              <w:jc w:val="center"/>
              <w:rPr>
                <w:rFonts w:ascii="仿宋" w:hAnsi="仿宋" w:eastAsia="仿宋" w:cs="仿宋"/>
                <w:color w:val="000000"/>
              </w:rPr>
            </w:pPr>
            <w:r>
              <w:rPr>
                <w:rFonts w:hint="eastAsia" w:ascii="仿宋" w:hAnsi="仿宋" w:eastAsia="仿宋" w:cs="仿宋"/>
                <w:color w:val="000000"/>
              </w:rPr>
              <w:t>序号</w:t>
            </w:r>
          </w:p>
        </w:tc>
        <w:tc>
          <w:tcPr>
            <w:tcW w:w="5447" w:type="dxa"/>
            <w:vAlign w:val="center"/>
          </w:tcPr>
          <w:p w14:paraId="53D9B4E7">
            <w:pPr>
              <w:spacing w:line="360" w:lineRule="auto"/>
              <w:jc w:val="center"/>
              <w:rPr>
                <w:rFonts w:ascii="仿宋" w:hAnsi="仿宋" w:eastAsia="仿宋" w:cs="仿宋"/>
                <w:b/>
                <w:color w:val="000000"/>
              </w:rPr>
            </w:pPr>
            <w:r>
              <w:rPr>
                <w:rFonts w:hint="eastAsia" w:ascii="仿宋" w:hAnsi="仿宋" w:eastAsia="仿宋" w:cs="仿宋"/>
                <w:b/>
                <w:color w:val="000000"/>
              </w:rPr>
              <w:t>资格性和符合性审查响应内容</w:t>
            </w:r>
          </w:p>
        </w:tc>
        <w:tc>
          <w:tcPr>
            <w:tcW w:w="1785" w:type="dxa"/>
          </w:tcPr>
          <w:p w14:paraId="17B31414">
            <w:pPr>
              <w:spacing w:line="360" w:lineRule="auto"/>
              <w:jc w:val="center"/>
              <w:rPr>
                <w:rFonts w:ascii="仿宋" w:hAnsi="仿宋" w:eastAsia="仿宋" w:cs="仿宋"/>
                <w:color w:val="000000"/>
              </w:rPr>
            </w:pPr>
            <w:r>
              <w:rPr>
                <w:rFonts w:hint="eastAsia" w:ascii="仿宋" w:hAnsi="仿宋" w:eastAsia="仿宋" w:cs="仿宋"/>
                <w:color w:val="000000"/>
              </w:rPr>
              <w:t>是否响应</w:t>
            </w:r>
          </w:p>
          <w:p w14:paraId="357E7108">
            <w:pPr>
              <w:spacing w:line="360" w:lineRule="auto"/>
              <w:jc w:val="center"/>
              <w:rPr>
                <w:rFonts w:ascii="仿宋" w:hAnsi="仿宋" w:eastAsia="仿宋" w:cs="仿宋"/>
                <w:color w:val="000000"/>
                <w:szCs w:val="21"/>
                <w:lang w:val="zh-CN"/>
              </w:rPr>
            </w:pPr>
            <w:r>
              <w:rPr>
                <w:rFonts w:hint="eastAsia" w:ascii="仿宋" w:hAnsi="仿宋" w:eastAsia="仿宋" w:cs="仿宋"/>
                <w:color w:val="000000"/>
              </w:rPr>
              <w:t>（填是或者否）</w:t>
            </w:r>
          </w:p>
        </w:tc>
        <w:tc>
          <w:tcPr>
            <w:tcW w:w="1785" w:type="dxa"/>
            <w:vAlign w:val="center"/>
          </w:tcPr>
          <w:p w14:paraId="7FFDE1F2">
            <w:pPr>
              <w:spacing w:line="360" w:lineRule="auto"/>
              <w:jc w:val="center"/>
              <w:rPr>
                <w:rFonts w:ascii="仿宋" w:hAnsi="仿宋" w:eastAsia="仿宋" w:cs="仿宋"/>
                <w:color w:val="000000"/>
              </w:rPr>
            </w:pPr>
            <w:r>
              <w:rPr>
                <w:rFonts w:hint="eastAsia" w:ascii="仿宋" w:hAnsi="仿宋" w:eastAsia="仿宋" w:cs="仿宋"/>
                <w:color w:val="000000"/>
                <w:szCs w:val="21"/>
                <w:lang w:val="zh-CN"/>
              </w:rPr>
              <w:t>磋商</w:t>
            </w:r>
            <w:r>
              <w:rPr>
                <w:rFonts w:hint="eastAsia" w:ascii="仿宋" w:hAnsi="仿宋" w:eastAsia="仿宋" w:cs="仿宋"/>
                <w:color w:val="000000"/>
              </w:rPr>
              <w:t>文件中的</w:t>
            </w:r>
          </w:p>
          <w:p w14:paraId="4D4ECFD6">
            <w:pPr>
              <w:spacing w:line="360" w:lineRule="auto"/>
              <w:jc w:val="center"/>
              <w:rPr>
                <w:rFonts w:ascii="仿宋" w:hAnsi="仿宋" w:eastAsia="仿宋" w:cs="仿宋"/>
                <w:color w:val="000000"/>
              </w:rPr>
            </w:pPr>
            <w:r>
              <w:rPr>
                <w:rFonts w:hint="eastAsia" w:ascii="仿宋" w:hAnsi="仿宋" w:eastAsia="仿宋" w:cs="仿宋"/>
                <w:color w:val="000000"/>
              </w:rPr>
              <w:t>页码位置</w:t>
            </w:r>
          </w:p>
        </w:tc>
      </w:tr>
      <w:tr w14:paraId="103F4B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5" w:hRule="atLeast"/>
          <w:jc w:val="center"/>
        </w:trPr>
        <w:tc>
          <w:tcPr>
            <w:tcW w:w="646" w:type="dxa"/>
            <w:vAlign w:val="center"/>
          </w:tcPr>
          <w:p w14:paraId="6C047A71">
            <w:pPr>
              <w:spacing w:line="360" w:lineRule="auto"/>
              <w:rPr>
                <w:rFonts w:ascii="仿宋" w:hAnsi="仿宋" w:eastAsia="仿宋" w:cs="仿宋"/>
                <w:color w:val="000000"/>
              </w:rPr>
            </w:pPr>
          </w:p>
        </w:tc>
        <w:tc>
          <w:tcPr>
            <w:tcW w:w="5447" w:type="dxa"/>
            <w:vAlign w:val="center"/>
          </w:tcPr>
          <w:p w14:paraId="5B34B41B">
            <w:pPr>
              <w:spacing w:line="360" w:lineRule="auto"/>
              <w:rPr>
                <w:rFonts w:ascii="仿宋" w:hAnsi="仿宋" w:eastAsia="仿宋" w:cs="仿宋"/>
                <w:color w:val="000000"/>
              </w:rPr>
            </w:pPr>
          </w:p>
        </w:tc>
        <w:tc>
          <w:tcPr>
            <w:tcW w:w="1785" w:type="dxa"/>
          </w:tcPr>
          <w:p w14:paraId="265FD00F">
            <w:pPr>
              <w:spacing w:line="360" w:lineRule="auto"/>
              <w:rPr>
                <w:rFonts w:ascii="仿宋" w:hAnsi="仿宋" w:eastAsia="仿宋" w:cs="仿宋"/>
                <w:color w:val="000000"/>
              </w:rPr>
            </w:pPr>
          </w:p>
        </w:tc>
        <w:tc>
          <w:tcPr>
            <w:tcW w:w="1785" w:type="dxa"/>
            <w:vAlign w:val="center"/>
          </w:tcPr>
          <w:p w14:paraId="45C25AF2">
            <w:pPr>
              <w:spacing w:line="360" w:lineRule="auto"/>
              <w:rPr>
                <w:rFonts w:ascii="仿宋" w:hAnsi="仿宋" w:eastAsia="仿宋" w:cs="仿宋"/>
                <w:color w:val="000000"/>
              </w:rPr>
            </w:pPr>
          </w:p>
        </w:tc>
      </w:tr>
      <w:tr w14:paraId="18CEC1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5" w:hRule="atLeast"/>
          <w:jc w:val="center"/>
        </w:trPr>
        <w:tc>
          <w:tcPr>
            <w:tcW w:w="646" w:type="dxa"/>
            <w:vAlign w:val="center"/>
          </w:tcPr>
          <w:p w14:paraId="44BBC23C">
            <w:pPr>
              <w:spacing w:line="360" w:lineRule="auto"/>
              <w:rPr>
                <w:rFonts w:ascii="仿宋" w:hAnsi="仿宋" w:eastAsia="仿宋" w:cs="仿宋"/>
                <w:color w:val="000000"/>
              </w:rPr>
            </w:pPr>
          </w:p>
        </w:tc>
        <w:tc>
          <w:tcPr>
            <w:tcW w:w="5447" w:type="dxa"/>
            <w:vAlign w:val="center"/>
          </w:tcPr>
          <w:p w14:paraId="1FFFBE70">
            <w:pPr>
              <w:spacing w:line="360" w:lineRule="auto"/>
              <w:rPr>
                <w:rFonts w:ascii="仿宋" w:hAnsi="仿宋" w:eastAsia="仿宋" w:cs="仿宋"/>
                <w:color w:val="000000"/>
              </w:rPr>
            </w:pPr>
          </w:p>
        </w:tc>
        <w:tc>
          <w:tcPr>
            <w:tcW w:w="1785" w:type="dxa"/>
          </w:tcPr>
          <w:p w14:paraId="45AB5D29">
            <w:pPr>
              <w:spacing w:line="360" w:lineRule="auto"/>
              <w:rPr>
                <w:rFonts w:ascii="仿宋" w:hAnsi="仿宋" w:eastAsia="仿宋" w:cs="仿宋"/>
                <w:color w:val="000000"/>
              </w:rPr>
            </w:pPr>
          </w:p>
        </w:tc>
        <w:tc>
          <w:tcPr>
            <w:tcW w:w="1785" w:type="dxa"/>
            <w:vAlign w:val="center"/>
          </w:tcPr>
          <w:p w14:paraId="671BF4AF">
            <w:pPr>
              <w:spacing w:line="360" w:lineRule="auto"/>
              <w:rPr>
                <w:rFonts w:ascii="仿宋" w:hAnsi="仿宋" w:eastAsia="仿宋" w:cs="仿宋"/>
                <w:color w:val="000000"/>
              </w:rPr>
            </w:pPr>
          </w:p>
        </w:tc>
      </w:tr>
      <w:tr w14:paraId="02E9E6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5" w:hRule="atLeast"/>
          <w:jc w:val="center"/>
        </w:trPr>
        <w:tc>
          <w:tcPr>
            <w:tcW w:w="646" w:type="dxa"/>
            <w:vAlign w:val="center"/>
          </w:tcPr>
          <w:p w14:paraId="3FAECDC1">
            <w:pPr>
              <w:spacing w:line="360" w:lineRule="auto"/>
              <w:rPr>
                <w:rFonts w:ascii="仿宋" w:hAnsi="仿宋" w:eastAsia="仿宋" w:cs="仿宋"/>
                <w:color w:val="000000"/>
              </w:rPr>
            </w:pPr>
          </w:p>
        </w:tc>
        <w:tc>
          <w:tcPr>
            <w:tcW w:w="5447" w:type="dxa"/>
            <w:vAlign w:val="center"/>
          </w:tcPr>
          <w:p w14:paraId="47FE6391">
            <w:pPr>
              <w:spacing w:line="360" w:lineRule="auto"/>
              <w:rPr>
                <w:rFonts w:ascii="仿宋" w:hAnsi="仿宋" w:eastAsia="仿宋" w:cs="仿宋"/>
                <w:color w:val="000000"/>
              </w:rPr>
            </w:pPr>
          </w:p>
        </w:tc>
        <w:tc>
          <w:tcPr>
            <w:tcW w:w="1785" w:type="dxa"/>
          </w:tcPr>
          <w:p w14:paraId="628617EE">
            <w:pPr>
              <w:spacing w:line="360" w:lineRule="auto"/>
              <w:rPr>
                <w:rFonts w:ascii="仿宋" w:hAnsi="仿宋" w:eastAsia="仿宋" w:cs="仿宋"/>
                <w:color w:val="000000"/>
              </w:rPr>
            </w:pPr>
          </w:p>
        </w:tc>
        <w:tc>
          <w:tcPr>
            <w:tcW w:w="1785" w:type="dxa"/>
            <w:vAlign w:val="center"/>
          </w:tcPr>
          <w:p w14:paraId="5713A69B">
            <w:pPr>
              <w:spacing w:line="360" w:lineRule="auto"/>
              <w:rPr>
                <w:rFonts w:ascii="仿宋" w:hAnsi="仿宋" w:eastAsia="仿宋" w:cs="仿宋"/>
                <w:color w:val="000000"/>
              </w:rPr>
            </w:pPr>
          </w:p>
        </w:tc>
      </w:tr>
      <w:tr w14:paraId="2CC4B7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5" w:hRule="atLeast"/>
          <w:jc w:val="center"/>
        </w:trPr>
        <w:tc>
          <w:tcPr>
            <w:tcW w:w="646" w:type="dxa"/>
            <w:vAlign w:val="center"/>
          </w:tcPr>
          <w:p w14:paraId="3A32B0AF">
            <w:pPr>
              <w:spacing w:line="360" w:lineRule="auto"/>
              <w:rPr>
                <w:rFonts w:ascii="仿宋" w:hAnsi="仿宋" w:eastAsia="仿宋" w:cs="仿宋"/>
                <w:color w:val="000000"/>
              </w:rPr>
            </w:pPr>
          </w:p>
        </w:tc>
        <w:tc>
          <w:tcPr>
            <w:tcW w:w="5447" w:type="dxa"/>
            <w:vAlign w:val="center"/>
          </w:tcPr>
          <w:p w14:paraId="1FB537FD">
            <w:pPr>
              <w:spacing w:line="360" w:lineRule="auto"/>
              <w:rPr>
                <w:rFonts w:ascii="仿宋" w:hAnsi="仿宋" w:eastAsia="仿宋" w:cs="仿宋"/>
                <w:color w:val="000000"/>
              </w:rPr>
            </w:pPr>
          </w:p>
        </w:tc>
        <w:tc>
          <w:tcPr>
            <w:tcW w:w="1785" w:type="dxa"/>
          </w:tcPr>
          <w:p w14:paraId="73841611">
            <w:pPr>
              <w:spacing w:line="360" w:lineRule="auto"/>
              <w:rPr>
                <w:rFonts w:ascii="仿宋" w:hAnsi="仿宋" w:eastAsia="仿宋" w:cs="仿宋"/>
                <w:color w:val="000000"/>
              </w:rPr>
            </w:pPr>
          </w:p>
        </w:tc>
        <w:tc>
          <w:tcPr>
            <w:tcW w:w="1785" w:type="dxa"/>
            <w:vAlign w:val="center"/>
          </w:tcPr>
          <w:p w14:paraId="372BA39B">
            <w:pPr>
              <w:spacing w:line="360" w:lineRule="auto"/>
              <w:rPr>
                <w:rFonts w:ascii="仿宋" w:hAnsi="仿宋" w:eastAsia="仿宋" w:cs="仿宋"/>
                <w:color w:val="000000"/>
              </w:rPr>
            </w:pPr>
          </w:p>
        </w:tc>
      </w:tr>
      <w:tr w14:paraId="2769F9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5" w:hRule="atLeast"/>
          <w:jc w:val="center"/>
        </w:trPr>
        <w:tc>
          <w:tcPr>
            <w:tcW w:w="646" w:type="dxa"/>
            <w:vAlign w:val="center"/>
          </w:tcPr>
          <w:p w14:paraId="3D34FC44">
            <w:pPr>
              <w:spacing w:line="360" w:lineRule="auto"/>
              <w:rPr>
                <w:rFonts w:ascii="仿宋" w:hAnsi="仿宋" w:eastAsia="仿宋" w:cs="仿宋"/>
                <w:color w:val="000000"/>
              </w:rPr>
            </w:pPr>
          </w:p>
        </w:tc>
        <w:tc>
          <w:tcPr>
            <w:tcW w:w="5447" w:type="dxa"/>
            <w:vAlign w:val="center"/>
          </w:tcPr>
          <w:p w14:paraId="07704551">
            <w:pPr>
              <w:spacing w:line="360" w:lineRule="auto"/>
              <w:rPr>
                <w:rFonts w:ascii="仿宋" w:hAnsi="仿宋" w:eastAsia="仿宋" w:cs="仿宋"/>
                <w:color w:val="000000"/>
                <w:sz w:val="24"/>
              </w:rPr>
            </w:pPr>
          </w:p>
        </w:tc>
        <w:tc>
          <w:tcPr>
            <w:tcW w:w="1785" w:type="dxa"/>
          </w:tcPr>
          <w:p w14:paraId="777FF930">
            <w:pPr>
              <w:spacing w:line="360" w:lineRule="auto"/>
              <w:rPr>
                <w:rFonts w:ascii="仿宋" w:hAnsi="仿宋" w:eastAsia="仿宋" w:cs="仿宋"/>
                <w:color w:val="000000"/>
              </w:rPr>
            </w:pPr>
          </w:p>
        </w:tc>
        <w:tc>
          <w:tcPr>
            <w:tcW w:w="1785" w:type="dxa"/>
            <w:vAlign w:val="center"/>
          </w:tcPr>
          <w:p w14:paraId="458ACC66">
            <w:pPr>
              <w:spacing w:line="360" w:lineRule="auto"/>
              <w:rPr>
                <w:rFonts w:ascii="仿宋" w:hAnsi="仿宋" w:eastAsia="仿宋" w:cs="仿宋"/>
                <w:color w:val="000000"/>
              </w:rPr>
            </w:pPr>
          </w:p>
        </w:tc>
      </w:tr>
      <w:tr w14:paraId="4BC80C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5" w:hRule="atLeast"/>
          <w:jc w:val="center"/>
        </w:trPr>
        <w:tc>
          <w:tcPr>
            <w:tcW w:w="646" w:type="dxa"/>
            <w:vAlign w:val="center"/>
          </w:tcPr>
          <w:p w14:paraId="2A3BBD53">
            <w:pPr>
              <w:spacing w:line="360" w:lineRule="auto"/>
              <w:rPr>
                <w:rFonts w:ascii="仿宋" w:hAnsi="仿宋" w:eastAsia="仿宋" w:cs="仿宋"/>
                <w:color w:val="000000"/>
              </w:rPr>
            </w:pPr>
          </w:p>
        </w:tc>
        <w:tc>
          <w:tcPr>
            <w:tcW w:w="5447" w:type="dxa"/>
            <w:vAlign w:val="center"/>
          </w:tcPr>
          <w:p w14:paraId="3234CB97">
            <w:pPr>
              <w:spacing w:line="360" w:lineRule="auto"/>
              <w:rPr>
                <w:rFonts w:ascii="仿宋" w:hAnsi="仿宋" w:eastAsia="仿宋" w:cs="仿宋"/>
                <w:color w:val="000000"/>
              </w:rPr>
            </w:pPr>
          </w:p>
        </w:tc>
        <w:tc>
          <w:tcPr>
            <w:tcW w:w="1785" w:type="dxa"/>
          </w:tcPr>
          <w:p w14:paraId="1ED50047">
            <w:pPr>
              <w:spacing w:line="360" w:lineRule="auto"/>
              <w:rPr>
                <w:rFonts w:ascii="仿宋" w:hAnsi="仿宋" w:eastAsia="仿宋" w:cs="仿宋"/>
                <w:color w:val="000000"/>
              </w:rPr>
            </w:pPr>
          </w:p>
        </w:tc>
        <w:tc>
          <w:tcPr>
            <w:tcW w:w="1785" w:type="dxa"/>
            <w:vAlign w:val="center"/>
          </w:tcPr>
          <w:p w14:paraId="3FFDC3B2">
            <w:pPr>
              <w:spacing w:line="360" w:lineRule="auto"/>
              <w:rPr>
                <w:rFonts w:ascii="仿宋" w:hAnsi="仿宋" w:eastAsia="仿宋" w:cs="仿宋"/>
                <w:color w:val="000000"/>
              </w:rPr>
            </w:pPr>
          </w:p>
        </w:tc>
      </w:tr>
      <w:tr w14:paraId="52B502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5" w:hRule="atLeast"/>
          <w:jc w:val="center"/>
        </w:trPr>
        <w:tc>
          <w:tcPr>
            <w:tcW w:w="646" w:type="dxa"/>
            <w:vAlign w:val="center"/>
          </w:tcPr>
          <w:p w14:paraId="17637A6B">
            <w:pPr>
              <w:spacing w:line="360" w:lineRule="auto"/>
              <w:jc w:val="center"/>
              <w:rPr>
                <w:rFonts w:ascii="仿宋" w:hAnsi="仿宋" w:eastAsia="仿宋" w:cs="仿宋"/>
                <w:color w:val="000000"/>
              </w:rPr>
            </w:pPr>
            <w:r>
              <w:rPr>
                <w:rFonts w:hint="eastAsia" w:ascii="仿宋" w:hAnsi="仿宋" w:eastAsia="仿宋" w:cs="仿宋"/>
                <w:color w:val="000000"/>
              </w:rPr>
              <w:t>序号</w:t>
            </w:r>
          </w:p>
        </w:tc>
        <w:tc>
          <w:tcPr>
            <w:tcW w:w="5447" w:type="dxa"/>
            <w:vAlign w:val="center"/>
          </w:tcPr>
          <w:p w14:paraId="1263F03C">
            <w:pPr>
              <w:spacing w:line="360" w:lineRule="auto"/>
              <w:jc w:val="center"/>
              <w:rPr>
                <w:rFonts w:ascii="仿宋" w:hAnsi="仿宋" w:eastAsia="仿宋" w:cs="仿宋"/>
                <w:b/>
                <w:color w:val="000000"/>
              </w:rPr>
            </w:pPr>
            <w:r>
              <w:rPr>
                <w:rFonts w:hint="eastAsia" w:ascii="仿宋" w:hAnsi="仿宋" w:eastAsia="仿宋" w:cs="仿宋"/>
                <w:b/>
                <w:color w:val="000000"/>
              </w:rPr>
              <w:t>评分细则响应内容</w:t>
            </w:r>
          </w:p>
        </w:tc>
        <w:tc>
          <w:tcPr>
            <w:tcW w:w="1785" w:type="dxa"/>
          </w:tcPr>
          <w:p w14:paraId="1FE8206F">
            <w:pPr>
              <w:spacing w:line="360" w:lineRule="auto"/>
              <w:jc w:val="center"/>
              <w:rPr>
                <w:rFonts w:ascii="仿宋" w:hAnsi="仿宋" w:eastAsia="仿宋" w:cs="仿宋"/>
                <w:color w:val="000000"/>
              </w:rPr>
            </w:pPr>
            <w:r>
              <w:rPr>
                <w:rFonts w:hint="eastAsia" w:ascii="仿宋" w:hAnsi="仿宋" w:eastAsia="仿宋" w:cs="仿宋"/>
                <w:color w:val="000000"/>
              </w:rPr>
              <w:t>是否响应</w:t>
            </w:r>
          </w:p>
          <w:p w14:paraId="0D317FB1">
            <w:pPr>
              <w:spacing w:line="360" w:lineRule="auto"/>
              <w:jc w:val="center"/>
              <w:rPr>
                <w:rFonts w:ascii="仿宋" w:hAnsi="仿宋" w:eastAsia="仿宋" w:cs="仿宋"/>
                <w:color w:val="000000"/>
                <w:szCs w:val="21"/>
                <w:lang w:val="zh-CN"/>
              </w:rPr>
            </w:pPr>
            <w:r>
              <w:rPr>
                <w:rFonts w:hint="eastAsia" w:ascii="仿宋" w:hAnsi="仿宋" w:eastAsia="仿宋" w:cs="仿宋"/>
                <w:color w:val="000000"/>
              </w:rPr>
              <w:t>（填是或者否）</w:t>
            </w:r>
          </w:p>
        </w:tc>
        <w:tc>
          <w:tcPr>
            <w:tcW w:w="1785" w:type="dxa"/>
            <w:vAlign w:val="center"/>
          </w:tcPr>
          <w:p w14:paraId="63A09382">
            <w:pPr>
              <w:spacing w:line="360" w:lineRule="auto"/>
              <w:jc w:val="center"/>
              <w:rPr>
                <w:rFonts w:ascii="仿宋" w:hAnsi="仿宋" w:eastAsia="仿宋" w:cs="仿宋"/>
                <w:color w:val="000000"/>
              </w:rPr>
            </w:pPr>
            <w:r>
              <w:rPr>
                <w:rFonts w:hint="eastAsia" w:ascii="仿宋" w:hAnsi="仿宋" w:eastAsia="仿宋" w:cs="仿宋"/>
                <w:color w:val="000000"/>
                <w:szCs w:val="21"/>
                <w:lang w:val="zh-CN"/>
              </w:rPr>
              <w:t>磋商</w:t>
            </w:r>
            <w:r>
              <w:rPr>
                <w:rFonts w:hint="eastAsia" w:ascii="仿宋" w:hAnsi="仿宋" w:eastAsia="仿宋" w:cs="仿宋"/>
                <w:color w:val="000000"/>
              </w:rPr>
              <w:t>文件中的</w:t>
            </w:r>
          </w:p>
          <w:p w14:paraId="183D4622">
            <w:pPr>
              <w:spacing w:line="360" w:lineRule="auto"/>
              <w:jc w:val="center"/>
              <w:rPr>
                <w:rFonts w:ascii="仿宋" w:hAnsi="仿宋" w:eastAsia="仿宋" w:cs="仿宋"/>
                <w:color w:val="000000"/>
              </w:rPr>
            </w:pPr>
            <w:r>
              <w:rPr>
                <w:rFonts w:hint="eastAsia" w:ascii="仿宋" w:hAnsi="仿宋" w:eastAsia="仿宋" w:cs="仿宋"/>
                <w:color w:val="000000"/>
              </w:rPr>
              <w:t>页码位置</w:t>
            </w:r>
          </w:p>
        </w:tc>
      </w:tr>
      <w:tr w14:paraId="5B6A73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5" w:hRule="atLeast"/>
          <w:jc w:val="center"/>
        </w:trPr>
        <w:tc>
          <w:tcPr>
            <w:tcW w:w="646" w:type="dxa"/>
            <w:vAlign w:val="center"/>
          </w:tcPr>
          <w:p w14:paraId="0C93A6BD">
            <w:pPr>
              <w:spacing w:line="360" w:lineRule="auto"/>
              <w:rPr>
                <w:rFonts w:ascii="仿宋" w:hAnsi="仿宋" w:eastAsia="仿宋" w:cs="仿宋"/>
                <w:color w:val="000000"/>
              </w:rPr>
            </w:pPr>
          </w:p>
        </w:tc>
        <w:tc>
          <w:tcPr>
            <w:tcW w:w="5447" w:type="dxa"/>
            <w:vAlign w:val="center"/>
          </w:tcPr>
          <w:p w14:paraId="72949A75">
            <w:pPr>
              <w:spacing w:line="360" w:lineRule="auto"/>
              <w:rPr>
                <w:rFonts w:ascii="仿宋" w:hAnsi="仿宋" w:eastAsia="仿宋" w:cs="仿宋"/>
                <w:color w:val="000000"/>
              </w:rPr>
            </w:pPr>
          </w:p>
        </w:tc>
        <w:tc>
          <w:tcPr>
            <w:tcW w:w="1785" w:type="dxa"/>
          </w:tcPr>
          <w:p w14:paraId="3286C992">
            <w:pPr>
              <w:spacing w:line="360" w:lineRule="auto"/>
              <w:rPr>
                <w:rFonts w:ascii="仿宋" w:hAnsi="仿宋" w:eastAsia="仿宋" w:cs="仿宋"/>
                <w:color w:val="000000"/>
              </w:rPr>
            </w:pPr>
          </w:p>
        </w:tc>
        <w:tc>
          <w:tcPr>
            <w:tcW w:w="1785" w:type="dxa"/>
            <w:vAlign w:val="center"/>
          </w:tcPr>
          <w:p w14:paraId="14A83B32">
            <w:pPr>
              <w:spacing w:line="360" w:lineRule="auto"/>
              <w:rPr>
                <w:rFonts w:ascii="仿宋" w:hAnsi="仿宋" w:eastAsia="仿宋" w:cs="仿宋"/>
                <w:color w:val="000000"/>
              </w:rPr>
            </w:pPr>
          </w:p>
        </w:tc>
      </w:tr>
      <w:tr w14:paraId="27F5DF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646" w:type="dxa"/>
            <w:vAlign w:val="center"/>
          </w:tcPr>
          <w:p w14:paraId="03C20DF4">
            <w:pPr>
              <w:spacing w:line="360" w:lineRule="auto"/>
              <w:rPr>
                <w:rFonts w:ascii="仿宋" w:hAnsi="仿宋" w:eastAsia="仿宋" w:cs="仿宋"/>
                <w:color w:val="000000"/>
              </w:rPr>
            </w:pPr>
          </w:p>
        </w:tc>
        <w:tc>
          <w:tcPr>
            <w:tcW w:w="5447" w:type="dxa"/>
            <w:vAlign w:val="center"/>
          </w:tcPr>
          <w:p w14:paraId="2604CB7A">
            <w:pPr>
              <w:spacing w:line="360" w:lineRule="auto"/>
              <w:rPr>
                <w:rFonts w:ascii="仿宋" w:hAnsi="仿宋" w:eastAsia="仿宋" w:cs="仿宋"/>
                <w:color w:val="000000"/>
              </w:rPr>
            </w:pPr>
          </w:p>
        </w:tc>
        <w:tc>
          <w:tcPr>
            <w:tcW w:w="1785" w:type="dxa"/>
          </w:tcPr>
          <w:p w14:paraId="5DD340B9">
            <w:pPr>
              <w:spacing w:line="360" w:lineRule="auto"/>
              <w:rPr>
                <w:rFonts w:ascii="仿宋" w:hAnsi="仿宋" w:eastAsia="仿宋" w:cs="仿宋"/>
                <w:color w:val="000000"/>
              </w:rPr>
            </w:pPr>
          </w:p>
        </w:tc>
        <w:tc>
          <w:tcPr>
            <w:tcW w:w="1785" w:type="dxa"/>
            <w:vAlign w:val="center"/>
          </w:tcPr>
          <w:p w14:paraId="01AE3319">
            <w:pPr>
              <w:spacing w:line="360" w:lineRule="auto"/>
              <w:rPr>
                <w:rFonts w:ascii="仿宋" w:hAnsi="仿宋" w:eastAsia="仿宋" w:cs="仿宋"/>
                <w:color w:val="000000"/>
              </w:rPr>
            </w:pPr>
          </w:p>
        </w:tc>
      </w:tr>
      <w:tr w14:paraId="12B114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646" w:type="dxa"/>
            <w:vAlign w:val="center"/>
          </w:tcPr>
          <w:p w14:paraId="0905A8C3">
            <w:pPr>
              <w:spacing w:line="360" w:lineRule="auto"/>
              <w:rPr>
                <w:rFonts w:ascii="仿宋" w:hAnsi="仿宋" w:eastAsia="仿宋" w:cs="仿宋"/>
                <w:color w:val="000000"/>
              </w:rPr>
            </w:pPr>
          </w:p>
        </w:tc>
        <w:tc>
          <w:tcPr>
            <w:tcW w:w="5447" w:type="dxa"/>
            <w:vAlign w:val="center"/>
          </w:tcPr>
          <w:p w14:paraId="7766CEF7">
            <w:pPr>
              <w:spacing w:line="360" w:lineRule="auto"/>
              <w:rPr>
                <w:rFonts w:ascii="仿宋" w:hAnsi="仿宋" w:eastAsia="仿宋" w:cs="仿宋"/>
                <w:color w:val="000000"/>
              </w:rPr>
            </w:pPr>
          </w:p>
        </w:tc>
        <w:tc>
          <w:tcPr>
            <w:tcW w:w="1785" w:type="dxa"/>
          </w:tcPr>
          <w:p w14:paraId="55D2170F">
            <w:pPr>
              <w:spacing w:line="360" w:lineRule="auto"/>
              <w:rPr>
                <w:rFonts w:ascii="仿宋" w:hAnsi="仿宋" w:eastAsia="仿宋" w:cs="仿宋"/>
                <w:color w:val="000000"/>
              </w:rPr>
            </w:pPr>
          </w:p>
        </w:tc>
        <w:tc>
          <w:tcPr>
            <w:tcW w:w="1785" w:type="dxa"/>
            <w:vAlign w:val="center"/>
          </w:tcPr>
          <w:p w14:paraId="25F237FD">
            <w:pPr>
              <w:spacing w:line="360" w:lineRule="auto"/>
              <w:rPr>
                <w:rFonts w:ascii="仿宋" w:hAnsi="仿宋" w:eastAsia="仿宋" w:cs="仿宋"/>
                <w:color w:val="000000"/>
              </w:rPr>
            </w:pPr>
          </w:p>
        </w:tc>
      </w:tr>
      <w:tr w14:paraId="006E90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646" w:type="dxa"/>
            <w:vAlign w:val="center"/>
          </w:tcPr>
          <w:p w14:paraId="7BA10354">
            <w:pPr>
              <w:spacing w:line="360" w:lineRule="auto"/>
              <w:rPr>
                <w:rFonts w:ascii="仿宋" w:hAnsi="仿宋" w:eastAsia="仿宋" w:cs="仿宋"/>
                <w:color w:val="000000"/>
              </w:rPr>
            </w:pPr>
          </w:p>
        </w:tc>
        <w:tc>
          <w:tcPr>
            <w:tcW w:w="5447" w:type="dxa"/>
            <w:vAlign w:val="center"/>
          </w:tcPr>
          <w:p w14:paraId="71C3645E">
            <w:pPr>
              <w:spacing w:line="360" w:lineRule="auto"/>
              <w:rPr>
                <w:rFonts w:ascii="仿宋" w:hAnsi="仿宋" w:eastAsia="仿宋" w:cs="仿宋"/>
                <w:color w:val="000000"/>
              </w:rPr>
            </w:pPr>
          </w:p>
        </w:tc>
        <w:tc>
          <w:tcPr>
            <w:tcW w:w="1785" w:type="dxa"/>
          </w:tcPr>
          <w:p w14:paraId="6960CE08">
            <w:pPr>
              <w:spacing w:line="360" w:lineRule="auto"/>
              <w:rPr>
                <w:rFonts w:ascii="仿宋" w:hAnsi="仿宋" w:eastAsia="仿宋" w:cs="仿宋"/>
                <w:color w:val="000000"/>
              </w:rPr>
            </w:pPr>
          </w:p>
        </w:tc>
        <w:tc>
          <w:tcPr>
            <w:tcW w:w="1785" w:type="dxa"/>
            <w:vAlign w:val="center"/>
          </w:tcPr>
          <w:p w14:paraId="0D091A3D">
            <w:pPr>
              <w:spacing w:line="360" w:lineRule="auto"/>
              <w:rPr>
                <w:rFonts w:ascii="仿宋" w:hAnsi="仿宋" w:eastAsia="仿宋" w:cs="仿宋"/>
                <w:color w:val="000000"/>
              </w:rPr>
            </w:pPr>
          </w:p>
        </w:tc>
      </w:tr>
      <w:tr w14:paraId="2F6071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646" w:type="dxa"/>
            <w:vAlign w:val="center"/>
          </w:tcPr>
          <w:p w14:paraId="6E72C1D6">
            <w:pPr>
              <w:spacing w:line="360" w:lineRule="auto"/>
              <w:rPr>
                <w:rFonts w:ascii="仿宋" w:hAnsi="仿宋" w:eastAsia="仿宋" w:cs="仿宋"/>
                <w:color w:val="000000"/>
              </w:rPr>
            </w:pPr>
          </w:p>
        </w:tc>
        <w:tc>
          <w:tcPr>
            <w:tcW w:w="5447" w:type="dxa"/>
            <w:vAlign w:val="center"/>
          </w:tcPr>
          <w:p w14:paraId="5266D483">
            <w:pPr>
              <w:spacing w:line="360" w:lineRule="auto"/>
              <w:rPr>
                <w:rFonts w:ascii="仿宋" w:hAnsi="仿宋" w:eastAsia="仿宋" w:cs="仿宋"/>
                <w:color w:val="000000"/>
              </w:rPr>
            </w:pPr>
          </w:p>
        </w:tc>
        <w:tc>
          <w:tcPr>
            <w:tcW w:w="1785" w:type="dxa"/>
          </w:tcPr>
          <w:p w14:paraId="7285D012">
            <w:pPr>
              <w:spacing w:line="360" w:lineRule="auto"/>
              <w:rPr>
                <w:rFonts w:ascii="仿宋" w:hAnsi="仿宋" w:eastAsia="仿宋" w:cs="仿宋"/>
                <w:color w:val="000000"/>
              </w:rPr>
            </w:pPr>
          </w:p>
        </w:tc>
        <w:tc>
          <w:tcPr>
            <w:tcW w:w="1785" w:type="dxa"/>
            <w:vAlign w:val="center"/>
          </w:tcPr>
          <w:p w14:paraId="17BAEE85">
            <w:pPr>
              <w:spacing w:line="360" w:lineRule="auto"/>
              <w:rPr>
                <w:rFonts w:ascii="仿宋" w:hAnsi="仿宋" w:eastAsia="仿宋" w:cs="仿宋"/>
                <w:color w:val="000000"/>
              </w:rPr>
            </w:pPr>
          </w:p>
        </w:tc>
      </w:tr>
      <w:tr w14:paraId="7C663A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646" w:type="dxa"/>
            <w:vAlign w:val="center"/>
          </w:tcPr>
          <w:p w14:paraId="20E299F7">
            <w:pPr>
              <w:spacing w:line="360" w:lineRule="auto"/>
              <w:rPr>
                <w:rFonts w:ascii="仿宋" w:hAnsi="仿宋" w:eastAsia="仿宋" w:cs="仿宋"/>
                <w:color w:val="000000"/>
              </w:rPr>
            </w:pPr>
          </w:p>
        </w:tc>
        <w:tc>
          <w:tcPr>
            <w:tcW w:w="5447" w:type="dxa"/>
            <w:vAlign w:val="center"/>
          </w:tcPr>
          <w:p w14:paraId="1E846ED0">
            <w:pPr>
              <w:spacing w:line="360" w:lineRule="auto"/>
              <w:rPr>
                <w:rFonts w:ascii="仿宋" w:hAnsi="仿宋" w:eastAsia="仿宋" w:cs="仿宋"/>
                <w:color w:val="000000"/>
              </w:rPr>
            </w:pPr>
          </w:p>
        </w:tc>
        <w:tc>
          <w:tcPr>
            <w:tcW w:w="1785" w:type="dxa"/>
          </w:tcPr>
          <w:p w14:paraId="6F1ED3F5">
            <w:pPr>
              <w:spacing w:line="360" w:lineRule="auto"/>
              <w:rPr>
                <w:rFonts w:ascii="仿宋" w:hAnsi="仿宋" w:eastAsia="仿宋" w:cs="仿宋"/>
                <w:color w:val="000000"/>
              </w:rPr>
            </w:pPr>
          </w:p>
        </w:tc>
        <w:tc>
          <w:tcPr>
            <w:tcW w:w="1785" w:type="dxa"/>
            <w:vAlign w:val="center"/>
          </w:tcPr>
          <w:p w14:paraId="580C68C9">
            <w:pPr>
              <w:spacing w:line="360" w:lineRule="auto"/>
              <w:rPr>
                <w:rFonts w:ascii="仿宋" w:hAnsi="仿宋" w:eastAsia="仿宋" w:cs="仿宋"/>
                <w:color w:val="000000"/>
              </w:rPr>
            </w:pPr>
          </w:p>
        </w:tc>
      </w:tr>
      <w:tr w14:paraId="7DB682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646" w:type="dxa"/>
            <w:vAlign w:val="center"/>
          </w:tcPr>
          <w:p w14:paraId="7DFF2CA6">
            <w:pPr>
              <w:spacing w:line="360" w:lineRule="auto"/>
              <w:rPr>
                <w:rFonts w:ascii="仿宋" w:hAnsi="仿宋" w:eastAsia="仿宋" w:cs="仿宋"/>
                <w:color w:val="000000"/>
              </w:rPr>
            </w:pPr>
          </w:p>
        </w:tc>
        <w:tc>
          <w:tcPr>
            <w:tcW w:w="5447" w:type="dxa"/>
            <w:vAlign w:val="center"/>
          </w:tcPr>
          <w:p w14:paraId="02758E64">
            <w:pPr>
              <w:spacing w:line="360" w:lineRule="auto"/>
              <w:rPr>
                <w:rFonts w:ascii="仿宋" w:hAnsi="仿宋" w:eastAsia="仿宋" w:cs="仿宋"/>
                <w:color w:val="000000"/>
              </w:rPr>
            </w:pPr>
          </w:p>
        </w:tc>
        <w:tc>
          <w:tcPr>
            <w:tcW w:w="1785" w:type="dxa"/>
          </w:tcPr>
          <w:p w14:paraId="7C257C9A">
            <w:pPr>
              <w:spacing w:line="360" w:lineRule="auto"/>
              <w:rPr>
                <w:rFonts w:ascii="仿宋" w:hAnsi="仿宋" w:eastAsia="仿宋" w:cs="仿宋"/>
                <w:color w:val="000000"/>
              </w:rPr>
            </w:pPr>
          </w:p>
        </w:tc>
        <w:tc>
          <w:tcPr>
            <w:tcW w:w="1785" w:type="dxa"/>
            <w:vAlign w:val="center"/>
          </w:tcPr>
          <w:p w14:paraId="221399D0">
            <w:pPr>
              <w:spacing w:line="360" w:lineRule="auto"/>
              <w:rPr>
                <w:rFonts w:ascii="仿宋" w:hAnsi="仿宋" w:eastAsia="仿宋" w:cs="仿宋"/>
                <w:color w:val="000000"/>
              </w:rPr>
            </w:pPr>
          </w:p>
        </w:tc>
      </w:tr>
    </w:tbl>
    <w:p w14:paraId="6DBD34D8">
      <w:pPr>
        <w:pStyle w:val="199"/>
        <w:rPr>
          <w:rFonts w:ascii="仿宋" w:hAnsi="仿宋" w:eastAsia="仿宋" w:cs="仿宋"/>
        </w:rPr>
      </w:pPr>
    </w:p>
    <w:p w14:paraId="2E409DA6">
      <w:pPr>
        <w:pStyle w:val="199"/>
        <w:rPr>
          <w:rFonts w:ascii="仿宋" w:hAnsi="仿宋" w:eastAsia="仿宋" w:cs="仿宋"/>
        </w:rPr>
      </w:pPr>
    </w:p>
    <w:p w14:paraId="12E8C8AF">
      <w:pPr>
        <w:pStyle w:val="199"/>
        <w:rPr>
          <w:rFonts w:ascii="仿宋" w:hAnsi="仿宋" w:eastAsia="仿宋" w:cs="仿宋"/>
        </w:rPr>
      </w:pPr>
    </w:p>
    <w:p w14:paraId="0629885D">
      <w:pPr>
        <w:pStyle w:val="199"/>
        <w:rPr>
          <w:rFonts w:ascii="仿宋" w:hAnsi="仿宋" w:eastAsia="仿宋" w:cs="仿宋"/>
        </w:rPr>
      </w:pPr>
    </w:p>
    <w:p w14:paraId="7271FF9F">
      <w:pPr>
        <w:pStyle w:val="199"/>
        <w:rPr>
          <w:rFonts w:ascii="仿宋" w:hAnsi="仿宋" w:eastAsia="仿宋" w:cs="仿宋"/>
        </w:rPr>
      </w:pPr>
    </w:p>
    <w:p w14:paraId="15AFB7E2">
      <w:pPr>
        <w:pStyle w:val="199"/>
        <w:rPr>
          <w:rFonts w:ascii="仿宋" w:hAnsi="仿宋" w:eastAsia="仿宋" w:cs="仿宋"/>
        </w:rPr>
      </w:pPr>
    </w:p>
    <w:p w14:paraId="3FFBF59F">
      <w:pPr>
        <w:pStyle w:val="199"/>
        <w:rPr>
          <w:rFonts w:ascii="仿宋" w:hAnsi="仿宋" w:eastAsia="仿宋" w:cs="仿宋"/>
        </w:rPr>
      </w:pPr>
    </w:p>
    <w:p w14:paraId="43FA640F">
      <w:pPr>
        <w:pStyle w:val="199"/>
        <w:rPr>
          <w:rFonts w:ascii="仿宋" w:hAnsi="仿宋" w:eastAsia="仿宋" w:cs="仿宋"/>
        </w:rPr>
      </w:pPr>
    </w:p>
    <w:p w14:paraId="4E9D3CDC">
      <w:pPr>
        <w:pStyle w:val="199"/>
        <w:rPr>
          <w:rFonts w:ascii="仿宋" w:hAnsi="仿宋" w:eastAsia="仿宋" w:cs="仿宋"/>
        </w:rPr>
      </w:pPr>
    </w:p>
    <w:p w14:paraId="03900E3D">
      <w:pPr>
        <w:pStyle w:val="199"/>
        <w:rPr>
          <w:rFonts w:ascii="仿宋" w:hAnsi="仿宋" w:eastAsia="仿宋" w:cs="仿宋"/>
        </w:rPr>
      </w:pPr>
    </w:p>
    <w:p w14:paraId="0CF576CA">
      <w:pPr>
        <w:pStyle w:val="199"/>
        <w:rPr>
          <w:rFonts w:ascii="仿宋" w:hAnsi="仿宋" w:eastAsia="仿宋" w:cs="仿宋"/>
        </w:rPr>
      </w:pPr>
    </w:p>
    <w:p w14:paraId="20511076">
      <w:pPr>
        <w:pStyle w:val="199"/>
        <w:rPr>
          <w:rFonts w:ascii="仿宋" w:hAnsi="仿宋" w:eastAsia="仿宋" w:cs="仿宋"/>
        </w:rPr>
      </w:pPr>
    </w:p>
    <w:p w14:paraId="6F5986F2">
      <w:pPr>
        <w:pStyle w:val="199"/>
        <w:rPr>
          <w:rFonts w:ascii="仿宋" w:hAnsi="仿宋" w:eastAsia="仿宋" w:cs="仿宋"/>
        </w:rPr>
      </w:pPr>
    </w:p>
    <w:p w14:paraId="6B24A7AE">
      <w:pPr>
        <w:pStyle w:val="199"/>
        <w:rPr>
          <w:rFonts w:ascii="仿宋" w:hAnsi="仿宋" w:eastAsia="仿宋" w:cs="仿宋"/>
        </w:rPr>
      </w:pPr>
    </w:p>
    <w:p w14:paraId="3EEFDEAE">
      <w:pPr>
        <w:spacing w:line="360" w:lineRule="auto"/>
        <w:jc w:val="center"/>
        <w:rPr>
          <w:rFonts w:ascii="仿宋" w:hAnsi="仿宋" w:eastAsia="仿宋" w:cs="仿宋"/>
          <w:b/>
          <w:bCs/>
          <w:color w:val="000000"/>
          <w:sz w:val="32"/>
          <w:szCs w:val="32"/>
        </w:rPr>
      </w:pPr>
      <w:bookmarkStart w:id="48" w:name="_Toc489655320"/>
      <w:r>
        <w:rPr>
          <w:rFonts w:hint="eastAsia" w:ascii="仿宋" w:hAnsi="仿宋" w:eastAsia="仿宋" w:cs="仿宋"/>
          <w:b/>
          <w:bCs/>
          <w:color w:val="000000"/>
          <w:sz w:val="32"/>
          <w:szCs w:val="32"/>
        </w:rPr>
        <w:br w:type="page" w:clear="all"/>
      </w:r>
      <w:r>
        <w:rPr>
          <w:rFonts w:hint="eastAsia" w:ascii="仿宋" w:hAnsi="仿宋" w:eastAsia="仿宋" w:cs="仿宋"/>
          <w:b/>
          <w:bCs/>
          <w:color w:val="000000"/>
          <w:sz w:val="32"/>
          <w:szCs w:val="32"/>
        </w:rPr>
        <w:t>磋商文件主要目录</w:t>
      </w:r>
      <w:bookmarkEnd w:id="48"/>
      <w:r>
        <w:rPr>
          <w:rFonts w:hint="eastAsia" w:ascii="仿宋" w:hAnsi="仿宋" w:eastAsia="仿宋" w:cs="仿宋"/>
          <w:b/>
          <w:bCs/>
          <w:color w:val="000000"/>
          <w:sz w:val="32"/>
          <w:szCs w:val="32"/>
        </w:rPr>
        <w:t>及相关证明材料格式、附件</w:t>
      </w:r>
    </w:p>
    <w:p w14:paraId="0FDEE18F">
      <w:pPr>
        <w:spacing w:line="360" w:lineRule="auto"/>
        <w:rPr>
          <w:rFonts w:ascii="仿宋" w:hAnsi="仿宋" w:eastAsia="仿宋" w:cs="仿宋"/>
          <w:color w:val="000000"/>
          <w:szCs w:val="21"/>
        </w:rPr>
      </w:pPr>
    </w:p>
    <w:p w14:paraId="2D31556B">
      <w:pPr>
        <w:spacing w:line="360" w:lineRule="auto"/>
        <w:rPr>
          <w:rFonts w:ascii="仿宋" w:hAnsi="仿宋" w:eastAsia="仿宋" w:cs="仿宋"/>
          <w:color w:val="000000"/>
          <w:szCs w:val="21"/>
        </w:rPr>
      </w:pPr>
      <w:r>
        <w:rPr>
          <w:rFonts w:hint="eastAsia" w:ascii="仿宋" w:hAnsi="仿宋" w:eastAsia="仿宋" w:cs="仿宋"/>
          <w:color w:val="000000"/>
          <w:szCs w:val="21"/>
        </w:rPr>
        <w:t>一、磋商申请及声明</w:t>
      </w:r>
    </w:p>
    <w:p w14:paraId="00CDDEB0">
      <w:pPr>
        <w:spacing w:line="360" w:lineRule="auto"/>
        <w:rPr>
          <w:rFonts w:ascii="仿宋" w:hAnsi="仿宋" w:eastAsia="仿宋" w:cs="仿宋"/>
          <w:color w:val="000000"/>
          <w:szCs w:val="21"/>
        </w:rPr>
      </w:pPr>
      <w:r>
        <w:rPr>
          <w:rFonts w:hint="eastAsia" w:ascii="仿宋" w:hAnsi="仿宋" w:eastAsia="仿宋" w:cs="仿宋"/>
          <w:color w:val="000000"/>
          <w:szCs w:val="21"/>
        </w:rPr>
        <w:t>二、法定代表人授权委托书及委托代理人的身份证复印件</w:t>
      </w:r>
    </w:p>
    <w:p w14:paraId="0725F202">
      <w:pPr>
        <w:spacing w:line="360" w:lineRule="auto"/>
        <w:rPr>
          <w:rFonts w:ascii="仿宋" w:hAnsi="仿宋" w:eastAsia="仿宋" w:cs="仿宋"/>
          <w:color w:val="000000"/>
          <w:szCs w:val="21"/>
        </w:rPr>
      </w:pPr>
      <w:r>
        <w:rPr>
          <w:rFonts w:hint="eastAsia" w:ascii="仿宋" w:hAnsi="仿宋" w:eastAsia="仿宋" w:cs="仿宋"/>
          <w:color w:val="000000"/>
          <w:szCs w:val="21"/>
        </w:rPr>
        <w:t>三、报价一览表</w:t>
      </w:r>
    </w:p>
    <w:p w14:paraId="716DA931">
      <w:pPr>
        <w:spacing w:line="360" w:lineRule="auto"/>
        <w:rPr>
          <w:rFonts w:ascii="仿宋" w:hAnsi="仿宋" w:eastAsia="仿宋" w:cs="仿宋"/>
          <w:color w:val="000000"/>
          <w:szCs w:val="21"/>
        </w:rPr>
      </w:pPr>
      <w:r>
        <w:rPr>
          <w:rFonts w:hint="eastAsia" w:ascii="仿宋" w:hAnsi="仿宋" w:eastAsia="仿宋" w:cs="仿宋"/>
          <w:color w:val="000000"/>
          <w:szCs w:val="21"/>
        </w:rPr>
        <w:t>四、资格证明文件（</w:t>
      </w:r>
      <w:r>
        <w:rPr>
          <w:rFonts w:hint="eastAsia" w:ascii="仿宋" w:hAnsi="仿宋" w:eastAsia="仿宋" w:cs="仿宋"/>
          <w:b/>
          <w:color w:val="000000"/>
          <w:szCs w:val="21"/>
        </w:rPr>
        <w:t>第一章磋商公告中的“</w:t>
      </w:r>
      <w:r>
        <w:rPr>
          <w:rFonts w:hint="eastAsia" w:ascii="仿宋" w:hAnsi="仿宋" w:eastAsia="仿宋" w:cs="仿宋"/>
          <w:b/>
          <w:color w:val="000000"/>
        </w:rPr>
        <w:t>二、申请人的资格要求</w:t>
      </w:r>
      <w:r>
        <w:rPr>
          <w:rFonts w:hint="eastAsia" w:ascii="仿宋" w:hAnsi="仿宋" w:eastAsia="仿宋" w:cs="仿宋"/>
          <w:b/>
          <w:color w:val="000000"/>
          <w:szCs w:val="21"/>
        </w:rPr>
        <w:t>”</w:t>
      </w:r>
      <w:r>
        <w:rPr>
          <w:rFonts w:hint="eastAsia" w:ascii="仿宋" w:hAnsi="仿宋" w:eastAsia="仿宋" w:cs="仿宋"/>
          <w:b/>
          <w:bCs/>
          <w:color w:val="000000"/>
          <w:szCs w:val="21"/>
        </w:rPr>
        <w:t>，供应商提供相关证明文件</w:t>
      </w:r>
      <w:r>
        <w:rPr>
          <w:rFonts w:hint="eastAsia" w:ascii="仿宋" w:hAnsi="仿宋" w:eastAsia="仿宋" w:cs="仿宋"/>
          <w:color w:val="000000"/>
          <w:szCs w:val="21"/>
        </w:rPr>
        <w:t>）</w:t>
      </w:r>
    </w:p>
    <w:p w14:paraId="03FCC642">
      <w:pPr>
        <w:pStyle w:val="199"/>
        <w:spacing w:line="360" w:lineRule="auto"/>
        <w:rPr>
          <w:rFonts w:ascii="仿宋" w:hAnsi="仿宋" w:eastAsia="仿宋" w:cs="仿宋"/>
          <w:sz w:val="21"/>
          <w:szCs w:val="21"/>
        </w:rPr>
      </w:pPr>
      <w:r>
        <w:rPr>
          <w:rFonts w:hint="eastAsia" w:ascii="仿宋" w:hAnsi="仿宋" w:eastAsia="仿宋" w:cs="仿宋"/>
          <w:sz w:val="21"/>
          <w:szCs w:val="21"/>
        </w:rPr>
        <w:t>五、商务条款偏离表</w:t>
      </w:r>
    </w:p>
    <w:p w14:paraId="73ECA4A2">
      <w:pPr>
        <w:pStyle w:val="199"/>
        <w:spacing w:line="360" w:lineRule="auto"/>
        <w:rPr>
          <w:rFonts w:ascii="仿宋" w:hAnsi="仿宋" w:eastAsia="仿宋" w:cs="仿宋"/>
          <w:sz w:val="21"/>
          <w:szCs w:val="21"/>
        </w:rPr>
      </w:pPr>
      <w:r>
        <w:rPr>
          <w:rFonts w:hint="eastAsia" w:ascii="仿宋" w:hAnsi="仿宋" w:eastAsia="仿宋" w:cs="仿宋"/>
          <w:sz w:val="21"/>
          <w:szCs w:val="21"/>
        </w:rPr>
        <w:t>六、技术条款偏离表</w:t>
      </w:r>
    </w:p>
    <w:p w14:paraId="147EEFDF">
      <w:pPr>
        <w:pStyle w:val="199"/>
        <w:spacing w:line="360" w:lineRule="auto"/>
        <w:rPr>
          <w:rFonts w:ascii="仿宋" w:hAnsi="仿宋" w:eastAsia="仿宋" w:cs="仿宋"/>
          <w:sz w:val="21"/>
          <w:szCs w:val="21"/>
        </w:rPr>
      </w:pPr>
      <w:r>
        <w:rPr>
          <w:rFonts w:hint="eastAsia" w:ascii="仿宋" w:hAnsi="仿宋" w:eastAsia="仿宋" w:cs="仿宋"/>
          <w:sz w:val="21"/>
          <w:szCs w:val="21"/>
        </w:rPr>
        <w:t>七、供应商拟投入本项目团队人员一览表</w:t>
      </w:r>
    </w:p>
    <w:p w14:paraId="55E697D1">
      <w:pPr>
        <w:pStyle w:val="199"/>
        <w:spacing w:line="360" w:lineRule="auto"/>
        <w:rPr>
          <w:rFonts w:ascii="仿宋" w:hAnsi="仿宋" w:eastAsia="仿宋" w:cs="仿宋"/>
          <w:sz w:val="21"/>
          <w:szCs w:val="21"/>
        </w:rPr>
      </w:pPr>
      <w:r>
        <w:rPr>
          <w:rFonts w:hint="eastAsia" w:ascii="仿宋" w:hAnsi="仿宋" w:eastAsia="仿宋" w:cs="仿宋"/>
          <w:sz w:val="21"/>
          <w:szCs w:val="21"/>
        </w:rPr>
        <w:t>八、供应商类似业绩情况表</w:t>
      </w:r>
    </w:p>
    <w:p w14:paraId="508FBB20">
      <w:pPr>
        <w:pStyle w:val="199"/>
        <w:spacing w:line="360" w:lineRule="auto"/>
        <w:rPr>
          <w:rFonts w:ascii="仿宋" w:hAnsi="仿宋" w:eastAsia="仿宋" w:cs="仿宋"/>
          <w:sz w:val="21"/>
          <w:szCs w:val="21"/>
        </w:rPr>
      </w:pPr>
      <w:r>
        <w:rPr>
          <w:rFonts w:hint="eastAsia" w:ascii="仿宋" w:hAnsi="仿宋" w:eastAsia="仿宋" w:cs="仿宋"/>
          <w:sz w:val="21"/>
          <w:szCs w:val="21"/>
        </w:rPr>
        <w:t>九、项目实施方案</w:t>
      </w:r>
    </w:p>
    <w:p w14:paraId="7E2B9096">
      <w:pPr>
        <w:pStyle w:val="199"/>
        <w:spacing w:line="360" w:lineRule="auto"/>
        <w:rPr>
          <w:rFonts w:ascii="仿宋" w:hAnsi="仿宋" w:eastAsia="仿宋" w:cs="仿宋"/>
          <w:sz w:val="21"/>
          <w:szCs w:val="21"/>
        </w:rPr>
      </w:pPr>
      <w:r>
        <w:rPr>
          <w:rFonts w:hint="eastAsia" w:ascii="仿宋" w:hAnsi="仿宋" w:eastAsia="仿宋" w:cs="仿宋"/>
          <w:sz w:val="21"/>
          <w:szCs w:val="21"/>
        </w:rPr>
        <w:t>十、竞争性磋商需要的其他证明文件及材料（若有)</w:t>
      </w:r>
    </w:p>
    <w:p w14:paraId="3A338E7C">
      <w:pPr>
        <w:pStyle w:val="199"/>
        <w:spacing w:line="360" w:lineRule="auto"/>
        <w:rPr>
          <w:rFonts w:ascii="仿宋" w:hAnsi="仿宋" w:eastAsia="仿宋" w:cs="仿宋"/>
          <w:sz w:val="21"/>
          <w:szCs w:val="21"/>
        </w:rPr>
      </w:pPr>
      <w:r>
        <w:rPr>
          <w:rFonts w:hint="eastAsia" w:ascii="仿宋" w:hAnsi="仿宋" w:eastAsia="仿宋" w:cs="仿宋"/>
          <w:sz w:val="21"/>
          <w:szCs w:val="21"/>
        </w:rPr>
        <w:t>十一、最终报价一览表</w:t>
      </w:r>
    </w:p>
    <w:p w14:paraId="7727168F">
      <w:pPr>
        <w:pStyle w:val="199"/>
        <w:spacing w:line="360" w:lineRule="auto"/>
        <w:ind w:firstLine="420"/>
        <w:rPr>
          <w:rFonts w:ascii="仿宋" w:hAnsi="仿宋" w:eastAsia="仿宋" w:cs="仿宋"/>
          <w:sz w:val="21"/>
          <w:szCs w:val="21"/>
        </w:rPr>
      </w:pPr>
      <w:r>
        <w:rPr>
          <w:rFonts w:hint="eastAsia" w:ascii="仿宋" w:hAnsi="仿宋" w:eastAsia="仿宋" w:cs="仿宋"/>
          <w:sz w:val="21"/>
          <w:szCs w:val="21"/>
        </w:rPr>
        <w:t>附件一、相关声明函格式及其他证明材料</w:t>
      </w:r>
    </w:p>
    <w:p w14:paraId="0D71C5BB">
      <w:pPr>
        <w:pStyle w:val="199"/>
        <w:spacing w:line="360" w:lineRule="auto"/>
        <w:ind w:firstLine="420"/>
        <w:rPr>
          <w:rFonts w:ascii="仿宋" w:hAnsi="仿宋" w:eastAsia="仿宋" w:cs="仿宋"/>
          <w:sz w:val="21"/>
          <w:szCs w:val="21"/>
        </w:rPr>
      </w:pPr>
      <w:r>
        <w:rPr>
          <w:rFonts w:hint="eastAsia" w:ascii="仿宋" w:hAnsi="仿宋" w:eastAsia="仿宋" w:cs="仿宋"/>
          <w:sz w:val="21"/>
          <w:szCs w:val="21"/>
        </w:rPr>
        <w:t>附件二、信用查询</w:t>
      </w:r>
    </w:p>
    <w:p w14:paraId="690BFA2D">
      <w:pPr>
        <w:pStyle w:val="199"/>
        <w:spacing w:line="360" w:lineRule="auto"/>
        <w:ind w:firstLine="420"/>
        <w:rPr>
          <w:rFonts w:ascii="仿宋" w:hAnsi="仿宋" w:eastAsia="仿宋" w:cs="仿宋"/>
          <w:sz w:val="21"/>
          <w:szCs w:val="21"/>
        </w:rPr>
      </w:pPr>
      <w:r>
        <w:rPr>
          <w:rFonts w:hint="eastAsia" w:ascii="仿宋" w:hAnsi="仿宋" w:eastAsia="仿宋" w:cs="仿宋"/>
          <w:sz w:val="21"/>
          <w:szCs w:val="21"/>
        </w:rPr>
        <w:t>附件三、供应商诚信承诺书</w:t>
      </w:r>
    </w:p>
    <w:p w14:paraId="5DE97A9C">
      <w:pPr>
        <w:pStyle w:val="199"/>
        <w:rPr>
          <w:rFonts w:ascii="仿宋" w:hAnsi="仿宋" w:eastAsia="仿宋" w:cs="仿宋"/>
        </w:rPr>
      </w:pPr>
    </w:p>
    <w:p w14:paraId="6B0429D2">
      <w:pPr>
        <w:spacing w:line="360" w:lineRule="auto"/>
        <w:rPr>
          <w:rFonts w:ascii="仿宋" w:hAnsi="仿宋" w:eastAsia="仿宋" w:cs="仿宋"/>
          <w:color w:val="000000"/>
        </w:rPr>
      </w:pPr>
      <w:r>
        <w:rPr>
          <w:rFonts w:hint="eastAsia" w:ascii="仿宋" w:hAnsi="仿宋" w:eastAsia="仿宋" w:cs="仿宋"/>
          <w:color w:val="000000"/>
        </w:rPr>
        <w:t xml:space="preserve"> </w:t>
      </w:r>
    </w:p>
    <w:p w14:paraId="64A36168">
      <w:pPr>
        <w:spacing w:line="360" w:lineRule="auto"/>
        <w:rPr>
          <w:rFonts w:ascii="仿宋" w:hAnsi="仿宋" w:eastAsia="仿宋" w:cs="仿宋"/>
          <w:color w:val="000000"/>
        </w:rPr>
      </w:pPr>
    </w:p>
    <w:p w14:paraId="53CB57D8">
      <w:pPr>
        <w:spacing w:line="360" w:lineRule="auto"/>
        <w:rPr>
          <w:rFonts w:ascii="仿宋" w:hAnsi="仿宋" w:eastAsia="仿宋" w:cs="仿宋"/>
          <w:color w:val="000000"/>
        </w:rPr>
      </w:pPr>
    </w:p>
    <w:p w14:paraId="7B52F215">
      <w:pPr>
        <w:spacing w:line="360" w:lineRule="auto"/>
        <w:rPr>
          <w:rFonts w:ascii="仿宋" w:hAnsi="仿宋" w:eastAsia="仿宋" w:cs="仿宋"/>
          <w:color w:val="000000"/>
        </w:rPr>
      </w:pPr>
    </w:p>
    <w:p w14:paraId="479DB35E">
      <w:pPr>
        <w:spacing w:line="360" w:lineRule="auto"/>
        <w:rPr>
          <w:rFonts w:ascii="仿宋" w:hAnsi="仿宋" w:eastAsia="仿宋" w:cs="仿宋"/>
          <w:color w:val="000000"/>
        </w:rPr>
      </w:pPr>
    </w:p>
    <w:p w14:paraId="458F8A9F">
      <w:pPr>
        <w:spacing w:line="360" w:lineRule="auto"/>
        <w:jc w:val="center"/>
        <w:outlineLvl w:val="0"/>
        <w:rPr>
          <w:rFonts w:ascii="仿宋" w:hAnsi="仿宋" w:eastAsia="仿宋" w:cs="仿宋"/>
          <w:b/>
          <w:color w:val="000000"/>
          <w:sz w:val="32"/>
          <w:szCs w:val="32"/>
        </w:rPr>
      </w:pPr>
      <w:r>
        <w:rPr>
          <w:rFonts w:hint="eastAsia" w:ascii="仿宋" w:hAnsi="仿宋" w:eastAsia="仿宋" w:cs="仿宋"/>
          <w:color w:val="000000"/>
        </w:rPr>
        <w:br w:type="page" w:clear="all"/>
      </w:r>
      <w:bookmarkStart w:id="49" w:name="_Toc19904"/>
      <w:r>
        <w:rPr>
          <w:rFonts w:hint="eastAsia" w:ascii="仿宋" w:hAnsi="仿宋" w:eastAsia="仿宋" w:cs="仿宋"/>
          <w:b/>
          <w:color w:val="000000"/>
          <w:sz w:val="32"/>
          <w:szCs w:val="32"/>
        </w:rPr>
        <w:t>一、磋商申请及声明</w:t>
      </w:r>
      <w:bookmarkEnd w:id="49"/>
    </w:p>
    <w:p w14:paraId="39227B90">
      <w:pPr>
        <w:spacing w:line="360" w:lineRule="auto"/>
        <w:rPr>
          <w:rFonts w:ascii="仿宋" w:hAnsi="仿宋" w:eastAsia="仿宋" w:cs="仿宋"/>
          <w:color w:val="000000"/>
          <w:szCs w:val="21"/>
          <w:lang w:val="zh-CN"/>
        </w:rPr>
      </w:pPr>
      <w:r>
        <w:rPr>
          <w:rFonts w:hint="eastAsia" w:ascii="仿宋" w:hAnsi="仿宋" w:eastAsia="仿宋" w:cs="仿宋"/>
          <w:color w:val="000000"/>
          <w:szCs w:val="21"/>
          <w:lang w:val="zh-CN"/>
        </w:rPr>
        <w:t>致：南京市浦口区人民政府顶山街道办事处</w:t>
      </w:r>
    </w:p>
    <w:p w14:paraId="5EA4F332">
      <w:pPr>
        <w:spacing w:line="360" w:lineRule="auto"/>
        <w:ind w:firstLine="420"/>
        <w:rPr>
          <w:rFonts w:ascii="仿宋" w:hAnsi="仿宋" w:eastAsia="仿宋" w:cs="仿宋"/>
          <w:color w:val="000000"/>
          <w:szCs w:val="21"/>
          <w:lang w:val="zh-CN"/>
        </w:rPr>
      </w:pPr>
      <w:r>
        <w:rPr>
          <w:rFonts w:hint="eastAsia" w:ascii="仿宋" w:hAnsi="仿宋" w:eastAsia="仿宋" w:cs="仿宋"/>
          <w:color w:val="000000"/>
          <w:szCs w:val="21"/>
          <w:lang w:val="zh-CN"/>
        </w:rPr>
        <w:t>根据贵方</w:t>
      </w:r>
      <w:r>
        <w:rPr>
          <w:rFonts w:hint="eastAsia" w:ascii="仿宋" w:hAnsi="仿宋" w:eastAsia="仿宋" w:cs="仿宋"/>
          <w:color w:val="000000"/>
          <w:szCs w:val="21"/>
          <w:u w:val="single"/>
          <w:lang w:val="zh-CN"/>
        </w:rPr>
        <w:t xml:space="preserve">        </w:t>
      </w:r>
      <w:r>
        <w:rPr>
          <w:rFonts w:hint="eastAsia" w:ascii="仿宋" w:hAnsi="仿宋" w:eastAsia="仿宋" w:cs="仿宋"/>
          <w:color w:val="000000"/>
          <w:szCs w:val="21"/>
          <w:lang w:val="zh-CN"/>
        </w:rPr>
        <w:t>（项目名称）（项目编号）磋商要求，正式授权下述签字人</w:t>
      </w:r>
      <w:r>
        <w:rPr>
          <w:rFonts w:hint="eastAsia" w:ascii="仿宋" w:hAnsi="仿宋" w:eastAsia="仿宋" w:cs="仿宋"/>
          <w:color w:val="000000"/>
          <w:szCs w:val="21"/>
          <w:u w:val="single"/>
          <w:lang w:val="zh-CN"/>
        </w:rPr>
        <w:t xml:space="preserve">         </w:t>
      </w:r>
      <w:r>
        <w:rPr>
          <w:rFonts w:hint="eastAsia" w:ascii="仿宋" w:hAnsi="仿宋" w:eastAsia="仿宋" w:cs="仿宋"/>
          <w:color w:val="000000"/>
          <w:szCs w:val="21"/>
          <w:lang w:val="zh-CN"/>
        </w:rPr>
        <w:t>(姓名和职务)代表</w:t>
      </w:r>
      <w:r>
        <w:rPr>
          <w:rFonts w:hint="eastAsia" w:ascii="仿宋" w:hAnsi="仿宋" w:eastAsia="仿宋" w:cs="仿宋"/>
          <w:color w:val="000000"/>
          <w:szCs w:val="21"/>
          <w:u w:val="single"/>
          <w:lang w:val="zh-CN"/>
        </w:rPr>
        <w:t xml:space="preserve">            </w:t>
      </w:r>
      <w:r>
        <w:rPr>
          <w:rFonts w:hint="eastAsia" w:ascii="仿宋" w:hAnsi="仿宋" w:eastAsia="仿宋" w:cs="仿宋"/>
          <w:color w:val="000000"/>
          <w:szCs w:val="21"/>
          <w:lang w:val="zh-CN"/>
        </w:rPr>
        <w:t>（供应商名称），提交响应文件并参加磋商。</w:t>
      </w:r>
    </w:p>
    <w:p w14:paraId="5F8AC0B7">
      <w:pPr>
        <w:spacing w:line="360" w:lineRule="auto"/>
        <w:ind w:firstLine="420"/>
        <w:rPr>
          <w:rFonts w:ascii="仿宋" w:hAnsi="仿宋" w:eastAsia="仿宋" w:cs="仿宋"/>
          <w:color w:val="000000"/>
          <w:szCs w:val="21"/>
        </w:rPr>
      </w:pPr>
      <w:r>
        <w:rPr>
          <w:rFonts w:hint="eastAsia" w:ascii="仿宋" w:hAnsi="仿宋" w:eastAsia="仿宋" w:cs="仿宋"/>
          <w:color w:val="000000"/>
          <w:szCs w:val="21"/>
        </w:rPr>
        <w:t>据此函，签字人兹宣布同意如下：</w:t>
      </w:r>
    </w:p>
    <w:p w14:paraId="0FA5BC1A">
      <w:pPr>
        <w:spacing w:line="360" w:lineRule="auto"/>
        <w:ind w:firstLine="420"/>
        <w:rPr>
          <w:rFonts w:ascii="仿宋" w:hAnsi="仿宋" w:eastAsia="仿宋" w:cs="仿宋"/>
          <w:color w:val="000000"/>
          <w:szCs w:val="21"/>
        </w:rPr>
      </w:pPr>
      <w:r>
        <w:rPr>
          <w:rFonts w:hint="eastAsia" w:ascii="仿宋" w:hAnsi="仿宋" w:eastAsia="仿宋" w:cs="仿宋"/>
          <w:color w:val="000000"/>
          <w:szCs w:val="21"/>
        </w:rPr>
        <w:t>1、</w:t>
      </w:r>
      <w:r>
        <w:rPr>
          <w:rFonts w:hint="eastAsia" w:ascii="仿宋" w:hAnsi="仿宋" w:eastAsia="仿宋" w:cs="仿宋"/>
          <w:b/>
          <w:color w:val="000000"/>
          <w:szCs w:val="21"/>
          <w:lang w:val="zh-CN"/>
        </w:rPr>
        <w:t>我们的资格条件完全符合政府采购法和本次采购要求</w:t>
      </w:r>
      <w:r>
        <w:rPr>
          <w:rFonts w:hint="eastAsia" w:ascii="仿宋" w:hAnsi="仿宋" w:eastAsia="仿宋" w:cs="仿宋"/>
          <w:color w:val="000000"/>
          <w:szCs w:val="21"/>
          <w:lang w:val="zh-CN"/>
        </w:rPr>
        <w:t>，</w:t>
      </w:r>
      <w:r>
        <w:rPr>
          <w:rFonts w:hint="eastAsia" w:ascii="仿宋" w:hAnsi="仿宋" w:eastAsia="仿宋" w:cs="仿宋"/>
          <w:color w:val="000000"/>
          <w:szCs w:val="21"/>
        </w:rPr>
        <w:t>我们</w:t>
      </w:r>
      <w:r>
        <w:rPr>
          <w:rFonts w:hint="eastAsia" w:ascii="仿宋" w:hAnsi="仿宋" w:eastAsia="仿宋" w:cs="仿宋"/>
          <w:color w:val="000000"/>
          <w:szCs w:val="21"/>
          <w:lang w:val="zh-CN"/>
        </w:rPr>
        <w:t>同意并向贵方提供了与本次采购活动有关的所有证据和资料</w:t>
      </w:r>
      <w:r>
        <w:rPr>
          <w:rFonts w:hint="eastAsia" w:ascii="仿宋" w:hAnsi="仿宋" w:eastAsia="仿宋" w:cs="仿宋"/>
          <w:color w:val="000000"/>
          <w:szCs w:val="21"/>
        </w:rPr>
        <w:t>。</w:t>
      </w:r>
    </w:p>
    <w:p w14:paraId="59A6A42C">
      <w:pPr>
        <w:spacing w:line="360" w:lineRule="auto"/>
        <w:ind w:firstLine="420"/>
        <w:rPr>
          <w:rFonts w:ascii="仿宋" w:hAnsi="仿宋" w:eastAsia="仿宋" w:cs="仿宋"/>
          <w:color w:val="000000"/>
          <w:szCs w:val="21"/>
          <w:u w:val="single"/>
          <w:lang w:val="zh-CN"/>
        </w:rPr>
      </w:pPr>
      <w:r>
        <w:rPr>
          <w:rFonts w:hint="eastAsia" w:ascii="仿宋" w:hAnsi="仿宋" w:eastAsia="仿宋" w:cs="仿宋"/>
          <w:color w:val="000000"/>
          <w:szCs w:val="21"/>
        </w:rPr>
        <w:t>2、我方拟派项目负责人为</w:t>
      </w:r>
      <w:r>
        <w:rPr>
          <w:rFonts w:hint="eastAsia" w:ascii="仿宋" w:hAnsi="仿宋" w:eastAsia="仿宋" w:cs="仿宋"/>
          <w:color w:val="000000"/>
          <w:szCs w:val="21"/>
          <w:u w:val="single"/>
        </w:rPr>
        <w:t xml:space="preserve">      </w:t>
      </w:r>
      <w:r>
        <w:rPr>
          <w:rFonts w:hint="eastAsia" w:ascii="仿宋" w:hAnsi="仿宋" w:eastAsia="仿宋" w:cs="仿宋"/>
          <w:color w:val="000000"/>
          <w:szCs w:val="21"/>
        </w:rPr>
        <w:t>，联系电话：</w:t>
      </w:r>
      <w:r>
        <w:rPr>
          <w:rFonts w:hint="eastAsia" w:ascii="仿宋" w:hAnsi="仿宋" w:eastAsia="仿宋" w:cs="仿宋"/>
          <w:color w:val="000000"/>
          <w:szCs w:val="21"/>
          <w:u w:val="single"/>
        </w:rPr>
        <w:t xml:space="preserve">           </w:t>
      </w:r>
      <w:r>
        <w:rPr>
          <w:rFonts w:hint="eastAsia" w:ascii="仿宋" w:hAnsi="仿宋" w:eastAsia="仿宋" w:cs="仿宋"/>
          <w:color w:val="000000"/>
          <w:szCs w:val="21"/>
        </w:rPr>
        <w:t>。</w:t>
      </w:r>
    </w:p>
    <w:p w14:paraId="341C0AFF">
      <w:pPr>
        <w:spacing w:line="360" w:lineRule="auto"/>
        <w:ind w:right="-286" w:firstLine="420"/>
        <w:rPr>
          <w:rFonts w:ascii="仿宋" w:hAnsi="仿宋" w:eastAsia="仿宋" w:cs="仿宋"/>
          <w:b/>
          <w:color w:val="000000"/>
          <w:szCs w:val="21"/>
        </w:rPr>
      </w:pPr>
      <w:r>
        <w:rPr>
          <w:rFonts w:hint="eastAsia" w:ascii="仿宋" w:hAnsi="仿宋" w:eastAsia="仿宋" w:cs="仿宋"/>
          <w:color w:val="000000"/>
          <w:szCs w:val="21"/>
        </w:rPr>
        <w:t>3、</w:t>
      </w:r>
      <w:r>
        <w:rPr>
          <w:rFonts w:hint="eastAsia" w:ascii="仿宋" w:hAnsi="仿宋" w:eastAsia="仿宋" w:cs="仿宋"/>
          <w:color w:val="000000"/>
          <w:szCs w:val="21"/>
          <w:lang w:val="zh-CN"/>
        </w:rPr>
        <w:t>我们的磋商报价</w:t>
      </w:r>
      <w:r>
        <w:rPr>
          <w:rFonts w:hint="eastAsia" w:ascii="仿宋" w:hAnsi="仿宋" w:eastAsia="仿宋" w:cs="仿宋"/>
          <w:color w:val="000000"/>
          <w:szCs w:val="21"/>
          <w:lang w:val="en-US" w:eastAsia="zh-CN"/>
        </w:rPr>
        <w:t>各项单价之和</w:t>
      </w:r>
      <w:r>
        <w:rPr>
          <w:rFonts w:hint="eastAsia" w:ascii="仿宋" w:hAnsi="仿宋" w:eastAsia="仿宋" w:cs="仿宋"/>
          <w:color w:val="000000"/>
          <w:szCs w:val="21"/>
          <w:lang w:val="zh-CN"/>
        </w:rPr>
        <w:t>为</w:t>
      </w:r>
      <w:r>
        <w:rPr>
          <w:rFonts w:hint="eastAsia" w:ascii="仿宋" w:hAnsi="仿宋" w:eastAsia="仿宋" w:cs="仿宋"/>
          <w:color w:val="000000"/>
          <w:szCs w:val="21"/>
          <w:u w:val="single"/>
          <w:lang w:val="zh-CN"/>
        </w:rPr>
        <w:t xml:space="preserve">    </w:t>
      </w:r>
      <w:r>
        <w:rPr>
          <w:rFonts w:hint="eastAsia" w:ascii="仿宋" w:hAnsi="仿宋" w:eastAsia="仿宋" w:cs="仿宋"/>
          <w:color w:val="000000"/>
          <w:szCs w:val="21"/>
          <w:u w:val="single"/>
          <w:lang w:val="en-US" w:eastAsia="zh-CN"/>
        </w:rPr>
        <w:t>元，大写：</w:t>
      </w:r>
      <w:r>
        <w:rPr>
          <w:rFonts w:hint="eastAsia" w:ascii="仿宋" w:hAnsi="仿宋" w:eastAsia="仿宋" w:cs="仿宋"/>
          <w:color w:val="000000"/>
          <w:szCs w:val="21"/>
          <w:lang w:val="zh-CN"/>
        </w:rPr>
        <w:t>。是否属于</w:t>
      </w:r>
      <w:r>
        <w:rPr>
          <w:rFonts w:hint="eastAsia" w:ascii="仿宋" w:hAnsi="仿宋" w:eastAsia="仿宋" w:cs="仿宋"/>
          <w:color w:val="000000"/>
          <w:szCs w:val="21"/>
          <w:u w:val="single"/>
          <w:lang w:val="zh-CN"/>
        </w:rPr>
        <w:t xml:space="preserve">  （是/否） </w:t>
      </w:r>
      <w:r>
        <w:rPr>
          <w:rFonts w:hint="eastAsia" w:ascii="仿宋" w:hAnsi="仿宋" w:eastAsia="仿宋" w:cs="仿宋"/>
          <w:b/>
          <w:color w:val="000000"/>
          <w:szCs w:val="21"/>
          <w:lang w:val="zh-CN"/>
        </w:rPr>
        <w:t>小、微型企业、残疾人福利性单位、监狱企业的服务</w:t>
      </w:r>
      <w:r>
        <w:rPr>
          <w:rFonts w:hint="eastAsia" w:ascii="仿宋" w:hAnsi="仿宋" w:eastAsia="仿宋" w:cs="仿宋"/>
          <w:b/>
          <w:color w:val="000000"/>
          <w:szCs w:val="21"/>
        </w:rPr>
        <w:t>。</w:t>
      </w:r>
    </w:p>
    <w:p w14:paraId="64DB5598">
      <w:pPr>
        <w:spacing w:line="360" w:lineRule="auto"/>
        <w:ind w:right="-286" w:firstLine="420"/>
        <w:rPr>
          <w:rFonts w:ascii="仿宋" w:hAnsi="仿宋" w:eastAsia="仿宋" w:cs="仿宋"/>
          <w:color w:val="000000"/>
          <w:szCs w:val="21"/>
        </w:rPr>
      </w:pPr>
      <w:r>
        <w:rPr>
          <w:rFonts w:hint="eastAsia" w:ascii="仿宋" w:hAnsi="仿宋" w:eastAsia="仿宋" w:cs="仿宋"/>
          <w:color w:val="000000"/>
          <w:szCs w:val="21"/>
        </w:rPr>
        <w:t>4、</w:t>
      </w:r>
      <w:r>
        <w:rPr>
          <w:rFonts w:hint="eastAsia" w:ascii="仿宋" w:hAnsi="仿宋" w:eastAsia="仿宋" w:cs="仿宋"/>
          <w:color w:val="000000"/>
          <w:szCs w:val="21"/>
          <w:lang w:val="zh-CN"/>
        </w:rPr>
        <w:t>我们已详细审核全部磋商文件及其有效补充文件，我们放弃对磋商文件任何误解的权利，提交响应文件后，</w:t>
      </w:r>
      <w:r>
        <w:rPr>
          <w:rFonts w:hint="eastAsia" w:ascii="仿宋" w:hAnsi="仿宋" w:eastAsia="仿宋" w:cs="仿宋"/>
          <w:b/>
          <w:color w:val="000000"/>
          <w:szCs w:val="21"/>
          <w:lang w:val="zh-CN"/>
        </w:rPr>
        <w:t>不对磋商文件本身提出质疑</w:t>
      </w:r>
      <w:r>
        <w:rPr>
          <w:rFonts w:hint="eastAsia" w:ascii="仿宋" w:hAnsi="仿宋" w:eastAsia="仿宋" w:cs="仿宋"/>
          <w:color w:val="000000"/>
          <w:szCs w:val="21"/>
          <w:lang w:val="zh-CN"/>
        </w:rPr>
        <w:t>。否则，属于不诚信和故意扰乱政府采购活动行为，我们将无条件接受处罚。</w:t>
      </w:r>
    </w:p>
    <w:p w14:paraId="4218558D">
      <w:pPr>
        <w:spacing w:line="360" w:lineRule="auto"/>
        <w:ind w:firstLine="420"/>
        <w:rPr>
          <w:rFonts w:ascii="仿宋" w:hAnsi="仿宋" w:eastAsia="仿宋" w:cs="仿宋"/>
          <w:color w:val="000000"/>
          <w:szCs w:val="21"/>
        </w:rPr>
      </w:pPr>
      <w:r>
        <w:rPr>
          <w:rFonts w:hint="eastAsia" w:ascii="仿宋" w:hAnsi="仿宋" w:eastAsia="仿宋" w:cs="仿宋"/>
          <w:color w:val="000000"/>
          <w:szCs w:val="21"/>
        </w:rPr>
        <w:t>5、一旦我方成交，我方将根据磋商文件的规定，严格履行合同，保证于承诺的时间内完成本项目规定的服务内容。</w:t>
      </w:r>
    </w:p>
    <w:p w14:paraId="6B650B10">
      <w:pPr>
        <w:spacing w:line="360" w:lineRule="auto"/>
        <w:ind w:firstLine="420"/>
        <w:rPr>
          <w:rFonts w:ascii="仿宋" w:hAnsi="仿宋" w:eastAsia="仿宋" w:cs="仿宋"/>
          <w:color w:val="000000"/>
          <w:szCs w:val="21"/>
        </w:rPr>
      </w:pPr>
      <w:r>
        <w:rPr>
          <w:rFonts w:hint="eastAsia" w:ascii="仿宋" w:hAnsi="仿宋" w:eastAsia="仿宋" w:cs="仿宋"/>
          <w:color w:val="000000"/>
          <w:szCs w:val="21"/>
        </w:rPr>
        <w:t>6、我方决不提供虚假材料谋取成交、决不采取不正当手段诋毁、排挤其他供应商、决不与采购人、其它供应商或者代理机构恶意串通、决不向采购人、代理机构工作人员和磋商小组进行商业贿赂、决不拒绝有关部门监督检查或提供虚假情况，如有违反，无条件接受贵方及相关管理部门的处罚。</w:t>
      </w:r>
    </w:p>
    <w:p w14:paraId="20671D70">
      <w:pPr>
        <w:spacing w:line="360" w:lineRule="auto"/>
        <w:ind w:firstLine="420"/>
        <w:rPr>
          <w:rFonts w:ascii="仿宋" w:hAnsi="仿宋" w:eastAsia="仿宋" w:cs="仿宋"/>
          <w:color w:val="000000"/>
          <w:szCs w:val="21"/>
        </w:rPr>
      </w:pPr>
      <w:r>
        <w:rPr>
          <w:rFonts w:hint="eastAsia" w:ascii="仿宋" w:hAnsi="仿宋" w:eastAsia="仿宋" w:cs="仿宋"/>
          <w:color w:val="000000"/>
          <w:szCs w:val="21"/>
        </w:rPr>
        <w:t>7、我方正式通讯方式为：</w:t>
      </w:r>
    </w:p>
    <w:p w14:paraId="1513790F">
      <w:pPr>
        <w:spacing w:line="360" w:lineRule="auto"/>
        <w:ind w:firstLine="420"/>
        <w:rPr>
          <w:rFonts w:ascii="仿宋" w:hAnsi="仿宋" w:eastAsia="仿宋" w:cs="仿宋"/>
          <w:color w:val="000000"/>
          <w:szCs w:val="21"/>
          <w:u w:val="single"/>
        </w:rPr>
      </w:pPr>
      <w:r>
        <w:rPr>
          <w:rFonts w:hint="eastAsia" w:ascii="仿宋" w:hAnsi="仿宋" w:eastAsia="仿宋" w:cs="仿宋"/>
          <w:color w:val="000000"/>
          <w:szCs w:val="21"/>
        </w:rPr>
        <w:t>地址：</w:t>
      </w:r>
    </w:p>
    <w:p w14:paraId="42C597BE">
      <w:pPr>
        <w:spacing w:line="360" w:lineRule="auto"/>
        <w:ind w:firstLine="420"/>
        <w:rPr>
          <w:rFonts w:ascii="仿宋" w:hAnsi="仿宋" w:eastAsia="仿宋" w:cs="仿宋"/>
          <w:color w:val="000000"/>
          <w:szCs w:val="21"/>
          <w:u w:val="single"/>
        </w:rPr>
      </w:pPr>
      <w:r>
        <w:rPr>
          <w:rFonts w:hint="eastAsia" w:ascii="仿宋" w:hAnsi="仿宋" w:eastAsia="仿宋" w:cs="仿宋"/>
          <w:color w:val="000000"/>
          <w:szCs w:val="21"/>
        </w:rPr>
        <w:t>电话：</w:t>
      </w:r>
    </w:p>
    <w:p w14:paraId="7EA29737">
      <w:pPr>
        <w:spacing w:line="360" w:lineRule="auto"/>
        <w:ind w:firstLine="420"/>
        <w:rPr>
          <w:rFonts w:ascii="仿宋" w:hAnsi="仿宋" w:eastAsia="仿宋" w:cs="仿宋"/>
          <w:color w:val="000000"/>
          <w:szCs w:val="21"/>
          <w:u w:val="single"/>
        </w:rPr>
      </w:pPr>
      <w:r>
        <w:rPr>
          <w:rFonts w:hint="eastAsia" w:ascii="仿宋" w:hAnsi="仿宋" w:eastAsia="仿宋" w:cs="仿宋"/>
          <w:color w:val="000000"/>
          <w:szCs w:val="21"/>
        </w:rPr>
        <w:t>传真：</w:t>
      </w:r>
    </w:p>
    <w:p w14:paraId="7015FB6F">
      <w:pPr>
        <w:spacing w:line="360" w:lineRule="auto"/>
        <w:ind w:firstLine="420"/>
        <w:rPr>
          <w:rFonts w:ascii="仿宋" w:hAnsi="仿宋" w:eastAsia="仿宋" w:cs="仿宋"/>
          <w:color w:val="000000"/>
          <w:szCs w:val="21"/>
        </w:rPr>
      </w:pPr>
      <w:r>
        <w:rPr>
          <w:rFonts w:hint="eastAsia" w:ascii="仿宋" w:hAnsi="仿宋" w:eastAsia="仿宋" w:cs="仿宋"/>
          <w:color w:val="000000"/>
          <w:szCs w:val="21"/>
        </w:rPr>
        <w:t>8、我方正式开户银行和帐号为：</w:t>
      </w:r>
    </w:p>
    <w:p w14:paraId="43E94AC1">
      <w:pPr>
        <w:spacing w:line="360" w:lineRule="auto"/>
        <w:ind w:firstLine="420"/>
        <w:rPr>
          <w:rFonts w:ascii="仿宋" w:hAnsi="仿宋" w:eastAsia="仿宋" w:cs="仿宋"/>
          <w:color w:val="000000"/>
          <w:szCs w:val="21"/>
          <w:u w:val="single"/>
        </w:rPr>
      </w:pPr>
      <w:r>
        <w:rPr>
          <w:rFonts w:hint="eastAsia" w:ascii="仿宋" w:hAnsi="仿宋" w:eastAsia="仿宋" w:cs="仿宋"/>
          <w:color w:val="000000"/>
          <w:szCs w:val="21"/>
        </w:rPr>
        <w:t>开户银行：</w:t>
      </w:r>
    </w:p>
    <w:p w14:paraId="550D0323">
      <w:pPr>
        <w:spacing w:line="360" w:lineRule="auto"/>
        <w:ind w:firstLine="420"/>
        <w:rPr>
          <w:rFonts w:ascii="仿宋" w:hAnsi="仿宋" w:eastAsia="仿宋" w:cs="仿宋"/>
          <w:color w:val="000000"/>
          <w:szCs w:val="21"/>
        </w:rPr>
      </w:pPr>
      <w:r>
        <w:rPr>
          <w:rFonts w:hint="eastAsia" w:ascii="仿宋" w:hAnsi="仿宋" w:eastAsia="仿宋" w:cs="仿宋"/>
          <w:color w:val="000000"/>
          <w:szCs w:val="21"/>
        </w:rPr>
        <w:t>帐号：</w:t>
      </w:r>
    </w:p>
    <w:p w14:paraId="59C98D78">
      <w:pPr>
        <w:spacing w:line="360" w:lineRule="auto"/>
        <w:ind w:firstLine="420"/>
        <w:rPr>
          <w:rFonts w:ascii="仿宋" w:hAnsi="仿宋" w:eastAsia="仿宋" w:cs="仿宋"/>
          <w:color w:val="000000"/>
          <w:szCs w:val="21"/>
          <w:u w:val="single"/>
        </w:rPr>
      </w:pPr>
      <w:r>
        <w:rPr>
          <w:rFonts w:hint="eastAsia" w:ascii="仿宋" w:hAnsi="仿宋" w:eastAsia="仿宋" w:cs="仿宋"/>
          <w:color w:val="000000"/>
          <w:szCs w:val="21"/>
        </w:rPr>
        <w:t>供应商授权代表姓名（签字）：</w:t>
      </w:r>
    </w:p>
    <w:p w14:paraId="01AA9D32">
      <w:pPr>
        <w:spacing w:line="360" w:lineRule="auto"/>
        <w:ind w:firstLine="420"/>
        <w:rPr>
          <w:rFonts w:ascii="仿宋" w:hAnsi="仿宋" w:eastAsia="仿宋" w:cs="仿宋"/>
          <w:color w:val="000000"/>
          <w:szCs w:val="21"/>
        </w:rPr>
      </w:pPr>
      <w:r>
        <w:rPr>
          <w:rFonts w:hint="eastAsia" w:ascii="仿宋" w:hAnsi="仿宋" w:eastAsia="仿宋" w:cs="仿宋"/>
          <w:color w:val="000000"/>
          <w:szCs w:val="21"/>
        </w:rPr>
        <w:t>供应商名称（盖章）：</w:t>
      </w:r>
    </w:p>
    <w:p w14:paraId="24051C76">
      <w:pPr>
        <w:spacing w:line="360" w:lineRule="auto"/>
        <w:ind w:firstLine="420"/>
        <w:rPr>
          <w:rFonts w:ascii="仿宋" w:hAnsi="仿宋" w:eastAsia="仿宋" w:cs="仿宋"/>
          <w:color w:val="000000"/>
          <w:szCs w:val="21"/>
        </w:rPr>
      </w:pPr>
      <w:r>
        <w:rPr>
          <w:rFonts w:hint="eastAsia" w:ascii="仿宋" w:hAnsi="仿宋" w:eastAsia="仿宋" w:cs="仿宋"/>
          <w:color w:val="000000"/>
          <w:szCs w:val="21"/>
        </w:rPr>
        <w:t>日期：年月日</w:t>
      </w:r>
    </w:p>
    <w:p w14:paraId="68EBFD59">
      <w:pPr>
        <w:pStyle w:val="199"/>
        <w:rPr>
          <w:rFonts w:ascii="仿宋" w:hAnsi="仿宋" w:eastAsia="仿宋" w:cs="仿宋"/>
        </w:rPr>
      </w:pPr>
    </w:p>
    <w:p w14:paraId="2ED10406">
      <w:pPr>
        <w:pStyle w:val="199"/>
        <w:rPr>
          <w:rFonts w:ascii="仿宋" w:hAnsi="仿宋" w:eastAsia="仿宋" w:cs="仿宋"/>
        </w:rPr>
      </w:pPr>
    </w:p>
    <w:p w14:paraId="71278227">
      <w:pPr>
        <w:pStyle w:val="199"/>
        <w:rPr>
          <w:rFonts w:ascii="仿宋" w:hAnsi="仿宋" w:eastAsia="仿宋" w:cs="仿宋"/>
        </w:rPr>
      </w:pPr>
    </w:p>
    <w:p w14:paraId="7896B61D">
      <w:pPr>
        <w:spacing w:line="360" w:lineRule="auto"/>
        <w:jc w:val="center"/>
        <w:outlineLvl w:val="0"/>
        <w:rPr>
          <w:rFonts w:ascii="仿宋" w:hAnsi="仿宋" w:eastAsia="仿宋" w:cs="仿宋"/>
          <w:b/>
          <w:color w:val="000000"/>
          <w:sz w:val="32"/>
          <w:szCs w:val="32"/>
        </w:rPr>
      </w:pPr>
      <w:r>
        <w:rPr>
          <w:rFonts w:hint="eastAsia" w:ascii="仿宋" w:hAnsi="仿宋" w:eastAsia="仿宋" w:cs="仿宋"/>
          <w:b/>
          <w:color w:val="000000"/>
          <w:sz w:val="32"/>
          <w:szCs w:val="32"/>
        </w:rPr>
        <w:br w:type="page" w:clear="all"/>
      </w:r>
      <w:bookmarkStart w:id="50" w:name="_Toc19329"/>
      <w:r>
        <w:rPr>
          <w:rFonts w:hint="eastAsia" w:ascii="仿宋" w:hAnsi="仿宋" w:eastAsia="仿宋" w:cs="仿宋"/>
          <w:b/>
          <w:color w:val="000000"/>
          <w:sz w:val="32"/>
          <w:szCs w:val="32"/>
        </w:rPr>
        <w:t>二、法定代表人授权书及委托代理人的身份证复印件</w:t>
      </w:r>
      <w:bookmarkEnd w:id="50"/>
    </w:p>
    <w:p w14:paraId="20ADBE19">
      <w:pPr>
        <w:spacing w:line="360" w:lineRule="auto"/>
        <w:rPr>
          <w:rFonts w:ascii="仿宋" w:hAnsi="仿宋" w:eastAsia="仿宋" w:cs="仿宋"/>
          <w:b/>
          <w:color w:val="000000"/>
          <w:szCs w:val="21"/>
        </w:rPr>
      </w:pPr>
    </w:p>
    <w:p w14:paraId="153B468C">
      <w:pPr>
        <w:spacing w:line="360" w:lineRule="auto"/>
        <w:rPr>
          <w:rFonts w:ascii="仿宋" w:hAnsi="仿宋" w:eastAsia="仿宋" w:cs="仿宋"/>
          <w:color w:val="000000"/>
          <w:szCs w:val="21"/>
          <w:lang w:val="zh-CN"/>
        </w:rPr>
      </w:pPr>
      <w:r>
        <w:rPr>
          <w:rFonts w:hint="eastAsia" w:ascii="仿宋" w:hAnsi="仿宋" w:eastAsia="仿宋" w:cs="仿宋"/>
          <w:color w:val="000000"/>
          <w:szCs w:val="21"/>
        </w:rPr>
        <w:t>致：南京市浦口区人民政府顶山街道办事处</w:t>
      </w:r>
    </w:p>
    <w:p w14:paraId="34729450">
      <w:pPr>
        <w:spacing w:line="360" w:lineRule="auto"/>
        <w:ind w:firstLine="420"/>
        <w:rPr>
          <w:rFonts w:ascii="仿宋" w:hAnsi="仿宋" w:eastAsia="仿宋" w:cs="仿宋"/>
          <w:color w:val="000000"/>
          <w:szCs w:val="21"/>
          <w:u w:val="single"/>
          <w:lang w:val="zh-CN"/>
        </w:rPr>
      </w:pPr>
      <w:r>
        <w:rPr>
          <w:rFonts w:hint="eastAsia" w:ascii="仿宋" w:hAnsi="仿宋" w:eastAsia="仿宋" w:cs="仿宋"/>
          <w:color w:val="000000"/>
          <w:szCs w:val="21"/>
          <w:lang w:val="zh-CN"/>
        </w:rPr>
        <w:t>本授权书声明：注册于</w:t>
      </w:r>
      <w:r>
        <w:rPr>
          <w:rFonts w:hint="eastAsia" w:ascii="仿宋" w:hAnsi="仿宋" w:eastAsia="仿宋" w:cs="仿宋"/>
          <w:color w:val="000000"/>
          <w:szCs w:val="21"/>
          <w:u w:val="single"/>
          <w:lang w:val="zh-CN"/>
        </w:rPr>
        <w:t xml:space="preserve">           </w:t>
      </w:r>
      <w:r>
        <w:rPr>
          <w:rFonts w:hint="eastAsia" w:ascii="仿宋" w:hAnsi="仿宋" w:eastAsia="仿宋" w:cs="仿宋"/>
          <w:color w:val="000000"/>
          <w:szCs w:val="21"/>
          <w:lang w:val="zh-CN"/>
        </w:rPr>
        <w:t>（供应商住址）的</w:t>
      </w:r>
      <w:r>
        <w:rPr>
          <w:rFonts w:hint="eastAsia" w:ascii="仿宋" w:hAnsi="仿宋" w:eastAsia="仿宋" w:cs="仿宋"/>
          <w:color w:val="000000"/>
          <w:szCs w:val="21"/>
          <w:u w:val="single"/>
          <w:lang w:val="zh-CN"/>
        </w:rPr>
        <w:t xml:space="preserve">          </w:t>
      </w:r>
      <w:r>
        <w:rPr>
          <w:rFonts w:hint="eastAsia" w:ascii="仿宋" w:hAnsi="仿宋" w:eastAsia="仿宋" w:cs="仿宋"/>
          <w:color w:val="000000"/>
          <w:szCs w:val="21"/>
          <w:lang w:val="zh-CN"/>
        </w:rPr>
        <w:t>（供应商名称）法定代表人</w:t>
      </w:r>
      <w:r>
        <w:rPr>
          <w:rFonts w:hint="eastAsia" w:ascii="仿宋" w:hAnsi="仿宋" w:eastAsia="仿宋" w:cs="仿宋"/>
          <w:color w:val="000000"/>
          <w:szCs w:val="21"/>
          <w:u w:val="single"/>
          <w:lang w:val="zh-CN"/>
        </w:rPr>
        <w:t xml:space="preserve">      </w:t>
      </w:r>
      <w:r>
        <w:rPr>
          <w:rFonts w:hint="eastAsia" w:ascii="仿宋" w:hAnsi="仿宋" w:eastAsia="仿宋" w:cs="仿宋"/>
          <w:color w:val="000000"/>
          <w:szCs w:val="21"/>
          <w:lang w:val="zh-CN"/>
        </w:rPr>
        <w:t>（法定代表人姓名、职务）代表本公司授权在下面签字的</w:t>
      </w:r>
      <w:r>
        <w:rPr>
          <w:rFonts w:hint="eastAsia" w:ascii="仿宋" w:hAnsi="仿宋" w:eastAsia="仿宋" w:cs="仿宋"/>
          <w:color w:val="000000"/>
          <w:szCs w:val="21"/>
          <w:u w:val="single"/>
          <w:lang w:val="zh-CN"/>
        </w:rPr>
        <w:t xml:space="preserve">       </w:t>
      </w:r>
      <w:r>
        <w:rPr>
          <w:rFonts w:hint="eastAsia" w:ascii="仿宋" w:hAnsi="仿宋" w:eastAsia="仿宋" w:cs="仿宋"/>
          <w:color w:val="000000"/>
          <w:szCs w:val="21"/>
          <w:lang w:val="zh-CN"/>
        </w:rPr>
        <w:t>（供应商代表姓名、职务）为本公司的合法代理人，就贵方组织的</w:t>
      </w:r>
      <w:r>
        <w:rPr>
          <w:rFonts w:hint="eastAsia" w:ascii="仿宋" w:hAnsi="仿宋" w:eastAsia="仿宋" w:cs="仿宋"/>
          <w:color w:val="000000"/>
          <w:szCs w:val="21"/>
          <w:u w:val="single"/>
          <w:lang w:val="zh-CN"/>
        </w:rPr>
        <w:t xml:space="preserve">                 </w:t>
      </w:r>
      <w:r>
        <w:rPr>
          <w:rFonts w:hint="eastAsia" w:ascii="仿宋" w:hAnsi="仿宋" w:eastAsia="仿宋" w:cs="仿宋"/>
          <w:color w:val="000000"/>
          <w:szCs w:val="21"/>
          <w:lang w:val="zh-CN"/>
        </w:rPr>
        <w:t>（项目名称）（项目编号）竞争性磋商，以本公司名义处理一切与之有关的事务。</w:t>
      </w:r>
    </w:p>
    <w:p w14:paraId="123AB01E">
      <w:pPr>
        <w:spacing w:line="360" w:lineRule="auto"/>
        <w:rPr>
          <w:rFonts w:ascii="仿宋" w:hAnsi="仿宋" w:eastAsia="仿宋" w:cs="仿宋"/>
          <w:color w:val="000000"/>
          <w:szCs w:val="21"/>
          <w:lang w:val="zh-CN"/>
        </w:rPr>
      </w:pPr>
      <w:r>
        <w:rPr>
          <w:rFonts w:hint="eastAsia" w:ascii="仿宋" w:hAnsi="仿宋" w:eastAsia="仿宋" w:cs="仿宋"/>
          <w:color w:val="000000"/>
          <w:szCs w:val="21"/>
          <w:lang w:val="zh-CN"/>
        </w:rPr>
        <w:t>本授权书于年月日签字生效，特此声明。</w:t>
      </w:r>
    </w:p>
    <w:p w14:paraId="4B02BBF5">
      <w:pPr>
        <w:spacing w:line="360" w:lineRule="auto"/>
        <w:rPr>
          <w:rFonts w:ascii="仿宋" w:hAnsi="仿宋" w:eastAsia="仿宋" w:cs="仿宋"/>
          <w:color w:val="000000"/>
          <w:szCs w:val="21"/>
          <w:lang w:val="zh-CN"/>
        </w:rPr>
      </w:pPr>
      <w:r>
        <w:rPr>
          <w:rFonts w:hint="eastAsia" w:ascii="仿宋" w:hAnsi="仿宋" w:eastAsia="仿宋" w:cs="仿宋"/>
          <w:color w:val="000000"/>
          <w:szCs w:val="21"/>
          <w:lang w:val="zh-CN"/>
        </w:rPr>
        <w:t>法定代表人签字：</w:t>
      </w:r>
    </w:p>
    <w:p w14:paraId="13D555BC">
      <w:pPr>
        <w:spacing w:line="360" w:lineRule="auto"/>
        <w:rPr>
          <w:rFonts w:ascii="仿宋" w:hAnsi="仿宋" w:eastAsia="仿宋" w:cs="仿宋"/>
          <w:color w:val="000000"/>
          <w:szCs w:val="21"/>
          <w:lang w:val="zh-CN"/>
        </w:rPr>
      </w:pPr>
      <w:r>
        <w:rPr>
          <w:rFonts w:hint="eastAsia" w:ascii="仿宋" w:hAnsi="仿宋" w:eastAsia="仿宋" w:cs="仿宋"/>
          <w:color w:val="000000"/>
          <w:szCs w:val="21"/>
          <w:lang w:val="zh-CN"/>
        </w:rPr>
        <w:t>被授权人签字：</w:t>
      </w:r>
    </w:p>
    <w:p w14:paraId="7E5A099F">
      <w:pPr>
        <w:tabs>
          <w:tab w:val="left" w:pos="1440"/>
        </w:tabs>
        <w:spacing w:line="360" w:lineRule="auto"/>
        <w:rPr>
          <w:rFonts w:ascii="仿宋" w:hAnsi="仿宋" w:eastAsia="仿宋" w:cs="仿宋"/>
          <w:color w:val="000000"/>
          <w:szCs w:val="21"/>
          <w:lang w:val="zh-CN"/>
        </w:rPr>
      </w:pPr>
      <w:r>
        <w:rPr>
          <w:rFonts w:hint="eastAsia" w:ascii="仿宋" w:hAnsi="仿宋" w:eastAsia="仿宋" w:cs="仿宋"/>
          <w:color w:val="000000"/>
          <w:szCs w:val="21"/>
          <w:lang w:val="zh-CN"/>
        </w:rPr>
        <w:t>日期：年 月 日</w:t>
      </w:r>
    </w:p>
    <w:p w14:paraId="067D0592">
      <w:pPr>
        <w:tabs>
          <w:tab w:val="left" w:pos="1440"/>
        </w:tabs>
        <w:spacing w:line="360" w:lineRule="auto"/>
        <w:rPr>
          <w:rFonts w:ascii="仿宋" w:hAnsi="仿宋" w:eastAsia="仿宋" w:cs="仿宋"/>
          <w:color w:val="000000"/>
          <w:szCs w:val="21"/>
        </w:rPr>
      </w:pPr>
    </w:p>
    <w:p w14:paraId="7F81CA76">
      <w:pPr>
        <w:tabs>
          <w:tab w:val="left" w:pos="1440"/>
        </w:tabs>
        <w:spacing w:line="360" w:lineRule="auto"/>
        <w:rPr>
          <w:rFonts w:ascii="仿宋" w:hAnsi="仿宋" w:eastAsia="仿宋" w:cs="仿宋"/>
          <w:color w:val="000000"/>
          <w:szCs w:val="21"/>
          <w:lang w:val="zh-CN"/>
        </w:rPr>
      </w:pPr>
    </w:p>
    <w:p w14:paraId="5058BB5C">
      <w:pPr>
        <w:tabs>
          <w:tab w:val="left" w:pos="1440"/>
        </w:tabs>
        <w:spacing w:line="360" w:lineRule="auto"/>
        <w:rPr>
          <w:rFonts w:ascii="仿宋" w:hAnsi="仿宋" w:eastAsia="仿宋" w:cs="仿宋"/>
          <w:color w:val="000000"/>
          <w:szCs w:val="21"/>
          <w:lang w:val="zh-CN"/>
        </w:rPr>
      </w:pPr>
    </w:p>
    <w:p w14:paraId="3A422B3F">
      <w:pPr>
        <w:tabs>
          <w:tab w:val="left" w:pos="1440"/>
        </w:tabs>
        <w:spacing w:line="360" w:lineRule="auto"/>
        <w:rPr>
          <w:rFonts w:ascii="仿宋" w:hAnsi="仿宋" w:eastAsia="仿宋" w:cs="仿宋"/>
          <w:color w:val="000000"/>
          <w:szCs w:val="21"/>
          <w:lang w:val="zh-CN"/>
        </w:rPr>
      </w:pPr>
    </w:p>
    <w:p w14:paraId="19AF5F6B">
      <w:pPr>
        <w:tabs>
          <w:tab w:val="left" w:pos="1440"/>
        </w:tabs>
        <w:spacing w:line="360" w:lineRule="auto"/>
        <w:rPr>
          <w:rFonts w:ascii="仿宋" w:hAnsi="仿宋" w:eastAsia="仿宋" w:cs="仿宋"/>
          <w:color w:val="000000"/>
          <w:szCs w:val="21"/>
          <w:lang w:val="zh-CN"/>
        </w:rPr>
      </w:pPr>
    </w:p>
    <w:p w14:paraId="7D75FE8E">
      <w:pPr>
        <w:tabs>
          <w:tab w:val="left" w:pos="1440"/>
        </w:tabs>
        <w:spacing w:line="360" w:lineRule="auto"/>
        <w:rPr>
          <w:rFonts w:ascii="仿宋" w:hAnsi="仿宋" w:eastAsia="仿宋" w:cs="仿宋"/>
          <w:color w:val="000000"/>
          <w:szCs w:val="21"/>
          <w:lang w:val="zh-CN"/>
        </w:rPr>
      </w:pPr>
    </w:p>
    <w:p w14:paraId="38CDAE32">
      <w:pPr>
        <w:tabs>
          <w:tab w:val="left" w:pos="1440"/>
        </w:tabs>
        <w:spacing w:line="360" w:lineRule="auto"/>
        <w:rPr>
          <w:rFonts w:ascii="仿宋" w:hAnsi="仿宋" w:eastAsia="仿宋" w:cs="仿宋"/>
          <w:color w:val="000000"/>
          <w:szCs w:val="21"/>
          <w:lang w:val="zh-CN"/>
        </w:rPr>
      </w:pPr>
    </w:p>
    <w:p w14:paraId="378C3500">
      <w:pPr>
        <w:tabs>
          <w:tab w:val="left" w:pos="1440"/>
        </w:tabs>
        <w:spacing w:line="360" w:lineRule="auto"/>
        <w:rPr>
          <w:rFonts w:ascii="仿宋" w:hAnsi="仿宋" w:eastAsia="仿宋" w:cs="仿宋"/>
          <w:color w:val="000000"/>
          <w:szCs w:val="21"/>
          <w:lang w:val="zh-CN"/>
        </w:rPr>
      </w:pPr>
    </w:p>
    <w:p w14:paraId="6AC80ABF">
      <w:pPr>
        <w:tabs>
          <w:tab w:val="left" w:pos="1440"/>
        </w:tabs>
        <w:spacing w:line="360" w:lineRule="auto"/>
        <w:rPr>
          <w:rFonts w:ascii="仿宋" w:hAnsi="仿宋" w:eastAsia="仿宋" w:cs="仿宋"/>
          <w:color w:val="000000"/>
          <w:szCs w:val="21"/>
          <w:lang w:val="zh-CN"/>
        </w:rPr>
      </w:pPr>
    </w:p>
    <w:p w14:paraId="7382DD3A">
      <w:pPr>
        <w:tabs>
          <w:tab w:val="left" w:pos="1440"/>
        </w:tabs>
        <w:spacing w:line="360" w:lineRule="auto"/>
        <w:rPr>
          <w:rFonts w:ascii="仿宋" w:hAnsi="仿宋" w:eastAsia="仿宋" w:cs="仿宋"/>
          <w:color w:val="000000"/>
          <w:szCs w:val="21"/>
          <w:lang w:val="zh-CN"/>
        </w:rPr>
      </w:pPr>
    </w:p>
    <w:p w14:paraId="110DD45A">
      <w:pPr>
        <w:tabs>
          <w:tab w:val="left" w:pos="1440"/>
        </w:tabs>
        <w:spacing w:line="360" w:lineRule="auto"/>
        <w:rPr>
          <w:rFonts w:ascii="仿宋" w:hAnsi="仿宋" w:eastAsia="仿宋" w:cs="仿宋"/>
          <w:color w:val="000000"/>
          <w:szCs w:val="21"/>
          <w:lang w:val="zh-CN"/>
        </w:rPr>
      </w:pPr>
    </w:p>
    <w:p w14:paraId="01E64864">
      <w:pPr>
        <w:tabs>
          <w:tab w:val="left" w:pos="1440"/>
        </w:tabs>
        <w:spacing w:line="360" w:lineRule="auto"/>
        <w:rPr>
          <w:rFonts w:ascii="仿宋" w:hAnsi="仿宋" w:eastAsia="仿宋" w:cs="仿宋"/>
          <w:color w:val="000000"/>
          <w:szCs w:val="21"/>
          <w:lang w:val="zh-CN"/>
        </w:rPr>
      </w:pPr>
    </w:p>
    <w:p w14:paraId="734FC072">
      <w:pPr>
        <w:tabs>
          <w:tab w:val="left" w:pos="1440"/>
        </w:tabs>
        <w:spacing w:line="360" w:lineRule="auto"/>
        <w:rPr>
          <w:rFonts w:ascii="仿宋" w:hAnsi="仿宋" w:eastAsia="仿宋" w:cs="仿宋"/>
          <w:color w:val="000000"/>
          <w:szCs w:val="21"/>
          <w:lang w:val="zh-CN"/>
        </w:rPr>
      </w:pPr>
    </w:p>
    <w:p w14:paraId="324175C8">
      <w:pPr>
        <w:tabs>
          <w:tab w:val="left" w:pos="1440"/>
        </w:tabs>
        <w:spacing w:line="360" w:lineRule="auto"/>
        <w:rPr>
          <w:rFonts w:ascii="仿宋" w:hAnsi="仿宋" w:eastAsia="仿宋" w:cs="仿宋"/>
          <w:b/>
          <w:color w:val="000000"/>
          <w:szCs w:val="21"/>
          <w:lang w:val="zh-CN"/>
        </w:rPr>
      </w:pPr>
    </w:p>
    <w:p w14:paraId="698411CF">
      <w:pPr>
        <w:pStyle w:val="199"/>
        <w:spacing w:line="360" w:lineRule="auto"/>
        <w:rPr>
          <w:rFonts w:ascii="仿宋" w:hAnsi="仿宋" w:eastAsia="仿宋" w:cs="仿宋"/>
          <w:lang w:val="zh-CN"/>
        </w:rPr>
      </w:pPr>
    </w:p>
    <w:p w14:paraId="467CC668">
      <w:pPr>
        <w:tabs>
          <w:tab w:val="left" w:pos="1440"/>
        </w:tabs>
        <w:spacing w:line="360" w:lineRule="auto"/>
        <w:rPr>
          <w:rFonts w:ascii="仿宋" w:hAnsi="仿宋" w:eastAsia="仿宋" w:cs="仿宋"/>
          <w:b/>
          <w:color w:val="000000"/>
          <w:szCs w:val="21"/>
          <w:lang w:val="zh-CN"/>
        </w:rPr>
      </w:pPr>
      <w:r>
        <w:rPr>
          <w:rFonts w:hint="eastAsia" w:ascii="仿宋" w:hAnsi="仿宋" w:eastAsia="仿宋" w:cs="仿宋"/>
          <w:b/>
          <w:color w:val="000000"/>
          <w:szCs w:val="21"/>
          <w:lang w:val="zh-CN"/>
        </w:rPr>
        <w:t>注：应附法定代表人及委托代理人的身份证复印件加盖公章</w:t>
      </w:r>
    </w:p>
    <w:p w14:paraId="7597F18C">
      <w:pPr>
        <w:spacing w:line="360" w:lineRule="auto"/>
        <w:jc w:val="center"/>
        <w:outlineLvl w:val="0"/>
        <w:rPr>
          <w:rFonts w:ascii="仿宋" w:hAnsi="仿宋" w:eastAsia="仿宋" w:cs="仿宋"/>
          <w:b/>
          <w:color w:val="000000"/>
          <w:sz w:val="32"/>
          <w:szCs w:val="32"/>
        </w:rPr>
        <w:sectPr>
          <w:headerReference r:id="rId4" w:type="default"/>
          <w:footerReference r:id="rId5" w:type="default"/>
          <w:footerReference r:id="rId6" w:type="even"/>
          <w:pgSz w:w="11906" w:h="16838"/>
          <w:pgMar w:top="1560" w:right="1588" w:bottom="1701" w:left="1588" w:header="851" w:footer="1134" w:gutter="0"/>
          <w:cols w:space="720" w:num="1"/>
          <w:docGrid w:linePitch="360" w:charSpace="0"/>
        </w:sectPr>
      </w:pPr>
      <w:r>
        <w:rPr>
          <w:rFonts w:hint="eastAsia" w:ascii="仿宋" w:hAnsi="仿宋" w:eastAsia="仿宋" w:cs="仿宋"/>
          <w:b/>
          <w:color w:val="000000"/>
          <w:sz w:val="32"/>
          <w:szCs w:val="32"/>
        </w:rPr>
        <w:br w:type="page" w:clear="all"/>
      </w:r>
      <w:bookmarkStart w:id="51" w:name="_Toc30430"/>
    </w:p>
    <w:p w14:paraId="7374F065">
      <w:pPr>
        <w:spacing w:line="360" w:lineRule="auto"/>
        <w:jc w:val="center"/>
        <w:outlineLvl w:val="0"/>
        <w:rPr>
          <w:rFonts w:ascii="仿宋" w:hAnsi="仿宋" w:eastAsia="仿宋" w:cs="仿宋"/>
          <w:b/>
          <w:color w:val="000000"/>
          <w:sz w:val="32"/>
          <w:szCs w:val="32"/>
        </w:rPr>
      </w:pPr>
      <w:r>
        <w:rPr>
          <w:rFonts w:hint="eastAsia" w:ascii="仿宋" w:hAnsi="仿宋" w:eastAsia="仿宋" w:cs="仿宋"/>
          <w:b/>
          <w:color w:val="000000"/>
          <w:sz w:val="32"/>
          <w:szCs w:val="32"/>
        </w:rPr>
        <w:t>三、报价一览表</w:t>
      </w:r>
    </w:p>
    <w:p w14:paraId="319C3FEC">
      <w:pPr>
        <w:pStyle w:val="199"/>
        <w:rPr>
          <w:rFonts w:ascii="仿宋" w:hAnsi="仿宋" w:eastAsia="仿宋" w:cs="仿宋"/>
          <w:lang w:val="zh-CN"/>
        </w:rPr>
      </w:pPr>
    </w:p>
    <w:tbl>
      <w:tblPr>
        <w:tblStyle w:val="34"/>
        <w:tblW w:w="916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16"/>
        <w:gridCol w:w="2285"/>
        <w:gridCol w:w="2377"/>
        <w:gridCol w:w="3789"/>
      </w:tblGrid>
      <w:tr w14:paraId="568990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09" w:hRule="atLeast"/>
          <w:jc w:val="center"/>
        </w:trPr>
        <w:tc>
          <w:tcPr>
            <w:tcW w:w="716" w:type="dxa"/>
            <w:vAlign w:val="center"/>
          </w:tcPr>
          <w:p w14:paraId="284B7788">
            <w:pPr>
              <w:pStyle w:val="231"/>
              <w:spacing w:line="360" w:lineRule="auto"/>
              <w:jc w:val="center"/>
              <w:rPr>
                <w:rFonts w:ascii="仿宋" w:hAnsi="仿宋" w:eastAsia="仿宋" w:cs="仿宋"/>
                <w:color w:val="000000"/>
                <w:szCs w:val="21"/>
              </w:rPr>
            </w:pPr>
            <w:r>
              <w:rPr>
                <w:rFonts w:hint="eastAsia" w:ascii="仿宋" w:hAnsi="仿宋" w:eastAsia="仿宋" w:cs="仿宋"/>
                <w:color w:val="000000"/>
                <w:szCs w:val="21"/>
              </w:rPr>
              <w:t>序号</w:t>
            </w:r>
          </w:p>
        </w:tc>
        <w:tc>
          <w:tcPr>
            <w:tcW w:w="2285" w:type="dxa"/>
            <w:vAlign w:val="center"/>
          </w:tcPr>
          <w:p w14:paraId="6990F9B8">
            <w:pPr>
              <w:pStyle w:val="231"/>
              <w:spacing w:line="360" w:lineRule="auto"/>
              <w:jc w:val="center"/>
              <w:rPr>
                <w:rFonts w:ascii="仿宋" w:hAnsi="仿宋" w:eastAsia="仿宋" w:cs="仿宋"/>
                <w:color w:val="000000"/>
                <w:szCs w:val="21"/>
              </w:rPr>
            </w:pPr>
            <w:r>
              <w:rPr>
                <w:rFonts w:hint="eastAsia" w:ascii="仿宋" w:hAnsi="仿宋" w:eastAsia="仿宋" w:cs="仿宋"/>
                <w:color w:val="000000"/>
                <w:szCs w:val="21"/>
              </w:rPr>
              <w:t>项目名称</w:t>
            </w:r>
          </w:p>
        </w:tc>
        <w:tc>
          <w:tcPr>
            <w:tcW w:w="2377" w:type="dxa"/>
            <w:vAlign w:val="center"/>
          </w:tcPr>
          <w:p w14:paraId="1A77C73A">
            <w:pPr>
              <w:pStyle w:val="231"/>
              <w:spacing w:line="360" w:lineRule="auto"/>
              <w:jc w:val="center"/>
              <w:rPr>
                <w:rFonts w:ascii="仿宋" w:hAnsi="仿宋" w:eastAsia="仿宋" w:cs="仿宋"/>
                <w:color w:val="000000"/>
                <w:szCs w:val="21"/>
              </w:rPr>
            </w:pPr>
            <w:r>
              <w:rPr>
                <w:rFonts w:hint="eastAsia" w:ascii="仿宋" w:hAnsi="仿宋" w:eastAsia="仿宋" w:cs="仿宋"/>
                <w:color w:val="000000"/>
                <w:szCs w:val="21"/>
              </w:rPr>
              <w:t>服务周期</w:t>
            </w:r>
          </w:p>
        </w:tc>
        <w:tc>
          <w:tcPr>
            <w:tcW w:w="3789" w:type="dxa"/>
            <w:vAlign w:val="center"/>
          </w:tcPr>
          <w:p w14:paraId="379B83DC">
            <w:pPr>
              <w:pStyle w:val="231"/>
              <w:spacing w:line="360" w:lineRule="auto"/>
              <w:jc w:val="center"/>
              <w:rPr>
                <w:rFonts w:hint="eastAsia" w:ascii="仿宋" w:hAnsi="仿宋" w:eastAsia="仿宋" w:cs="仿宋"/>
                <w:color w:val="000000"/>
                <w:szCs w:val="21"/>
                <w:lang w:eastAsia="zh-CN"/>
              </w:rPr>
            </w:pPr>
            <w:r>
              <w:rPr>
                <w:rFonts w:hint="eastAsia" w:ascii="仿宋" w:hAnsi="仿宋" w:eastAsia="仿宋" w:cs="仿宋"/>
                <w:color w:val="000000"/>
                <w:szCs w:val="21"/>
              </w:rPr>
              <w:t>报价</w:t>
            </w:r>
            <w:r>
              <w:rPr>
                <w:rFonts w:hint="eastAsia" w:ascii="仿宋" w:hAnsi="仿宋" w:eastAsia="仿宋" w:cs="仿宋"/>
                <w:color w:val="000000"/>
                <w:szCs w:val="21"/>
                <w:lang w:eastAsia="zh-CN"/>
              </w:rPr>
              <w:t>（</w:t>
            </w:r>
            <w:r>
              <w:rPr>
                <w:rFonts w:hint="eastAsia" w:ascii="仿宋" w:hAnsi="仿宋" w:eastAsia="仿宋" w:cs="仿宋"/>
                <w:color w:val="000000"/>
                <w:szCs w:val="21"/>
                <w:lang w:val="en-US" w:eastAsia="zh-CN"/>
              </w:rPr>
              <w:t>元</w:t>
            </w:r>
            <w:r>
              <w:rPr>
                <w:rFonts w:hint="eastAsia" w:ascii="仿宋" w:hAnsi="仿宋" w:eastAsia="仿宋" w:cs="仿宋"/>
                <w:color w:val="000000"/>
                <w:szCs w:val="21"/>
                <w:lang w:eastAsia="zh-CN"/>
              </w:rPr>
              <w:t>）</w:t>
            </w:r>
            <w:r>
              <w:rPr>
                <w:rFonts w:hint="eastAsia" w:ascii="仿宋" w:hAnsi="仿宋" w:eastAsia="仿宋" w:cs="仿宋"/>
                <w:color w:val="000000"/>
                <w:szCs w:val="21"/>
              </w:rPr>
              <w:t xml:space="preserve"> </w:t>
            </w:r>
            <w:r>
              <w:rPr>
                <w:rFonts w:hint="eastAsia" w:ascii="仿宋" w:hAnsi="仿宋" w:eastAsia="仿宋" w:cs="仿宋"/>
                <w:color w:val="000000"/>
                <w:szCs w:val="21"/>
                <w:lang w:eastAsia="zh-CN"/>
              </w:rPr>
              <w:t>（</w:t>
            </w:r>
            <w:r>
              <w:rPr>
                <w:rFonts w:hint="eastAsia" w:ascii="仿宋" w:hAnsi="仿宋" w:eastAsia="仿宋" w:cs="仿宋"/>
                <w:color w:val="000000"/>
                <w:szCs w:val="21"/>
                <w:lang w:val="en-US" w:eastAsia="zh-CN"/>
              </w:rPr>
              <w:t>各项单价之和</w:t>
            </w:r>
            <w:r>
              <w:rPr>
                <w:rFonts w:hint="eastAsia" w:ascii="仿宋" w:hAnsi="仿宋" w:eastAsia="仿宋" w:cs="仿宋"/>
                <w:color w:val="000000"/>
                <w:szCs w:val="21"/>
                <w:lang w:eastAsia="zh-CN"/>
              </w:rPr>
              <w:t>）</w:t>
            </w:r>
          </w:p>
        </w:tc>
      </w:tr>
      <w:tr w14:paraId="4166AA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06" w:hRule="atLeast"/>
          <w:jc w:val="center"/>
        </w:trPr>
        <w:tc>
          <w:tcPr>
            <w:tcW w:w="716" w:type="dxa"/>
            <w:vAlign w:val="center"/>
          </w:tcPr>
          <w:p w14:paraId="74FE8D74">
            <w:pPr>
              <w:pStyle w:val="231"/>
              <w:spacing w:line="360" w:lineRule="auto"/>
              <w:jc w:val="center"/>
              <w:rPr>
                <w:rFonts w:ascii="仿宋" w:hAnsi="仿宋" w:eastAsia="仿宋" w:cs="仿宋"/>
                <w:bCs/>
                <w:color w:val="000000"/>
                <w:szCs w:val="21"/>
              </w:rPr>
            </w:pPr>
          </w:p>
        </w:tc>
        <w:tc>
          <w:tcPr>
            <w:tcW w:w="2285" w:type="dxa"/>
            <w:vAlign w:val="center"/>
          </w:tcPr>
          <w:p w14:paraId="26BD1B24">
            <w:pPr>
              <w:spacing w:line="240" w:lineRule="exact"/>
              <w:contextualSpacing/>
              <w:jc w:val="center"/>
              <w:rPr>
                <w:rFonts w:ascii="仿宋" w:hAnsi="仿宋" w:eastAsia="仿宋" w:cs="仿宋"/>
                <w:color w:val="000000"/>
                <w:szCs w:val="21"/>
              </w:rPr>
            </w:pPr>
          </w:p>
        </w:tc>
        <w:tc>
          <w:tcPr>
            <w:tcW w:w="2377" w:type="dxa"/>
            <w:vAlign w:val="center"/>
          </w:tcPr>
          <w:p w14:paraId="375AC32C">
            <w:pPr>
              <w:pStyle w:val="231"/>
              <w:spacing w:line="360" w:lineRule="auto"/>
              <w:jc w:val="center"/>
              <w:rPr>
                <w:rFonts w:ascii="仿宋" w:hAnsi="仿宋" w:eastAsia="仿宋" w:cs="仿宋"/>
                <w:bCs/>
                <w:color w:val="000000"/>
                <w:szCs w:val="21"/>
              </w:rPr>
            </w:pPr>
          </w:p>
        </w:tc>
        <w:tc>
          <w:tcPr>
            <w:tcW w:w="3789" w:type="dxa"/>
            <w:vAlign w:val="center"/>
          </w:tcPr>
          <w:p w14:paraId="1D5AAC2A">
            <w:pPr>
              <w:spacing w:line="360" w:lineRule="auto"/>
              <w:jc w:val="center"/>
              <w:rPr>
                <w:rFonts w:ascii="仿宋" w:hAnsi="仿宋" w:eastAsia="仿宋" w:cs="仿宋"/>
                <w:color w:val="000000"/>
                <w:szCs w:val="21"/>
                <w:lang w:val="zh-CN"/>
              </w:rPr>
            </w:pPr>
          </w:p>
        </w:tc>
      </w:tr>
      <w:tr w14:paraId="17CBDD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095" w:hRule="atLeast"/>
          <w:jc w:val="center"/>
        </w:trPr>
        <w:tc>
          <w:tcPr>
            <w:tcW w:w="9167" w:type="dxa"/>
            <w:gridSpan w:val="4"/>
            <w:vAlign w:val="center"/>
          </w:tcPr>
          <w:p w14:paraId="24335AF3">
            <w:pPr>
              <w:pStyle w:val="231"/>
              <w:spacing w:line="360" w:lineRule="auto"/>
              <w:jc w:val="left"/>
              <w:rPr>
                <w:rFonts w:ascii="仿宋" w:hAnsi="仿宋" w:eastAsia="仿宋" w:cs="仿宋"/>
                <w:color w:val="000000"/>
                <w:szCs w:val="21"/>
                <w:lang w:val="zh-CN"/>
              </w:rPr>
            </w:pPr>
            <w:r>
              <w:rPr>
                <w:rFonts w:hint="eastAsia" w:ascii="仿宋" w:hAnsi="仿宋" w:eastAsia="仿宋" w:cs="仿宋"/>
                <w:color w:val="000000"/>
                <w:szCs w:val="21"/>
                <w:lang w:val="zh-CN"/>
              </w:rPr>
              <w:t>供应商是否属于小微型企业        是          否</w:t>
            </w:r>
          </w:p>
          <w:p w14:paraId="57F77180">
            <w:pPr>
              <w:pStyle w:val="231"/>
              <w:spacing w:line="360" w:lineRule="auto"/>
              <w:jc w:val="left"/>
              <w:rPr>
                <w:rFonts w:ascii="仿宋" w:hAnsi="仿宋" w:eastAsia="仿宋" w:cs="仿宋"/>
                <w:color w:val="000000"/>
                <w:szCs w:val="21"/>
                <w:lang w:val="zh-CN"/>
              </w:rPr>
            </w:pPr>
            <w:r>
              <w:rPr>
                <w:rFonts w:hint="eastAsia" w:ascii="仿宋" w:hAnsi="仿宋" w:eastAsia="仿宋" w:cs="仿宋"/>
                <w:color w:val="000000"/>
                <w:szCs w:val="21"/>
              </w:rPr>
              <w:t xml:space="preserve">是否属于残疾人福利单位的服务    </w:t>
            </w:r>
            <w:r>
              <w:rPr>
                <w:rFonts w:hint="eastAsia" w:ascii="仿宋" w:hAnsi="仿宋" w:eastAsia="仿宋" w:cs="仿宋"/>
                <w:color w:val="000000"/>
                <w:szCs w:val="21"/>
                <w:lang w:val="zh-CN"/>
              </w:rPr>
              <w:t>是          否</w:t>
            </w:r>
          </w:p>
          <w:p w14:paraId="1BE6AB4F">
            <w:pPr>
              <w:pStyle w:val="231"/>
              <w:spacing w:line="360" w:lineRule="auto"/>
              <w:jc w:val="left"/>
              <w:rPr>
                <w:rFonts w:ascii="仿宋" w:hAnsi="仿宋" w:eastAsia="仿宋" w:cs="仿宋"/>
                <w:bCs/>
                <w:color w:val="000000"/>
                <w:szCs w:val="21"/>
              </w:rPr>
            </w:pPr>
            <w:r>
              <w:rPr>
                <w:rFonts w:hint="eastAsia" w:ascii="仿宋" w:hAnsi="仿宋" w:eastAsia="仿宋" w:cs="仿宋"/>
                <w:color w:val="000000"/>
                <w:szCs w:val="21"/>
              </w:rPr>
              <w:t xml:space="preserve">是否属于监狱企业型企业的服务    </w:t>
            </w:r>
            <w:r>
              <w:rPr>
                <w:rFonts w:hint="eastAsia" w:ascii="仿宋" w:hAnsi="仿宋" w:eastAsia="仿宋" w:cs="仿宋"/>
                <w:color w:val="000000"/>
                <w:szCs w:val="21"/>
                <w:lang w:val="zh-CN"/>
              </w:rPr>
              <w:t>是          否</w:t>
            </w:r>
          </w:p>
        </w:tc>
      </w:tr>
    </w:tbl>
    <w:p w14:paraId="1AB78885">
      <w:pPr>
        <w:tabs>
          <w:tab w:val="left" w:pos="426"/>
        </w:tabs>
        <w:spacing w:line="360" w:lineRule="auto"/>
        <w:rPr>
          <w:rFonts w:ascii="仿宋" w:hAnsi="仿宋" w:eastAsia="仿宋" w:cs="仿宋"/>
          <w:color w:val="000000"/>
          <w:lang w:val="zh-CN"/>
        </w:rPr>
      </w:pPr>
      <w:r>
        <w:rPr>
          <w:rFonts w:hint="eastAsia" w:ascii="仿宋" w:hAnsi="仿宋" w:eastAsia="仿宋" w:cs="仿宋"/>
          <w:color w:val="000000"/>
          <w:lang w:val="zh-CN"/>
        </w:rPr>
        <w:t>注：1.填写此表时不得改变表格形式。</w:t>
      </w:r>
    </w:p>
    <w:p w14:paraId="52DDBAB6">
      <w:pPr>
        <w:tabs>
          <w:tab w:val="left" w:pos="426"/>
        </w:tabs>
        <w:spacing w:line="360" w:lineRule="auto"/>
        <w:ind w:firstLine="420"/>
        <w:rPr>
          <w:rFonts w:ascii="仿宋" w:hAnsi="仿宋" w:eastAsia="仿宋" w:cs="仿宋"/>
          <w:color w:val="000000"/>
          <w:lang w:val="zh-CN"/>
        </w:rPr>
      </w:pPr>
      <w:r>
        <w:rPr>
          <w:rFonts w:hint="eastAsia" w:ascii="仿宋" w:hAnsi="仿宋" w:eastAsia="仿宋" w:cs="仿宋"/>
          <w:color w:val="000000"/>
          <w:lang w:val="zh-CN"/>
        </w:rPr>
        <w:t>2.</w:t>
      </w:r>
      <w:r>
        <w:rPr>
          <w:rFonts w:hint="eastAsia" w:ascii="仿宋" w:hAnsi="仿宋" w:eastAsia="仿宋" w:cs="仿宋"/>
          <w:color w:val="000000"/>
        </w:rPr>
        <w:t xml:space="preserve"> </w:t>
      </w:r>
      <w:r>
        <w:rPr>
          <w:rFonts w:hint="eastAsia" w:ascii="仿宋" w:hAnsi="仿宋" w:eastAsia="仿宋" w:cs="仿宋"/>
          <w:color w:val="000000"/>
          <w:lang w:val="zh-CN"/>
        </w:rPr>
        <w:t>磋商文件所确定的招标范围、内容内全部工作内容的价格体现，包括人工工资、社保、管理费、交通费、利润、税金以及政策性风险、其它风险等一切费用。</w:t>
      </w:r>
    </w:p>
    <w:p w14:paraId="5406DEC3">
      <w:pPr>
        <w:spacing w:line="360" w:lineRule="auto"/>
        <w:ind w:firstLine="422"/>
        <w:rPr>
          <w:rFonts w:ascii="仿宋" w:hAnsi="仿宋" w:eastAsia="仿宋" w:cs="仿宋"/>
          <w:b/>
          <w:color w:val="000000"/>
          <w:lang w:val="zh-CN"/>
        </w:rPr>
      </w:pPr>
      <w:r>
        <w:rPr>
          <w:rFonts w:hint="eastAsia" w:ascii="仿宋" w:hAnsi="仿宋" w:eastAsia="仿宋" w:cs="仿宋"/>
          <w:b/>
          <w:color w:val="000000"/>
          <w:lang w:val="zh-CN"/>
        </w:rPr>
        <w:t>3．</w:t>
      </w:r>
      <w:r>
        <w:rPr>
          <w:rFonts w:hint="eastAsia" w:ascii="仿宋" w:hAnsi="仿宋" w:eastAsia="仿宋" w:cs="仿宋"/>
          <w:b/>
          <w:color w:val="000000"/>
          <w:szCs w:val="21"/>
          <w:lang w:val="zh-CN"/>
        </w:rPr>
        <w:t>在“</w:t>
      </w:r>
      <w:r>
        <w:rPr>
          <w:rFonts w:hint="eastAsia" w:ascii="仿宋" w:hAnsi="仿宋" w:eastAsia="仿宋" w:cs="仿宋"/>
          <w:b/>
          <w:color w:val="000000"/>
          <w:szCs w:val="21"/>
        </w:rPr>
        <w:t>是否属于小、微型企业的服务</w:t>
      </w:r>
      <w:r>
        <w:rPr>
          <w:rFonts w:hint="eastAsia" w:ascii="仿宋" w:hAnsi="仿宋" w:eastAsia="仿宋" w:cs="仿宋"/>
          <w:b/>
          <w:color w:val="000000"/>
          <w:szCs w:val="21"/>
          <w:lang w:val="zh-CN"/>
        </w:rPr>
        <w:t>”、“</w:t>
      </w:r>
      <w:r>
        <w:rPr>
          <w:rFonts w:hint="eastAsia" w:ascii="仿宋" w:hAnsi="仿宋" w:eastAsia="仿宋" w:cs="仿宋"/>
          <w:b/>
          <w:color w:val="000000"/>
          <w:szCs w:val="21"/>
        </w:rPr>
        <w:t>是否属于残疾人福利单位的服务</w:t>
      </w:r>
      <w:r>
        <w:rPr>
          <w:rFonts w:hint="eastAsia" w:ascii="仿宋" w:hAnsi="仿宋" w:eastAsia="仿宋" w:cs="仿宋"/>
          <w:b/>
          <w:color w:val="000000"/>
          <w:szCs w:val="21"/>
          <w:lang w:val="zh-CN"/>
        </w:rPr>
        <w:t>”、“</w:t>
      </w:r>
      <w:r>
        <w:rPr>
          <w:rFonts w:hint="eastAsia" w:ascii="仿宋" w:hAnsi="仿宋" w:eastAsia="仿宋" w:cs="仿宋"/>
          <w:b/>
          <w:color w:val="000000"/>
          <w:szCs w:val="21"/>
        </w:rPr>
        <w:t>是否属于监狱企业型企业的服务</w:t>
      </w:r>
      <w:r>
        <w:rPr>
          <w:rFonts w:hint="eastAsia" w:ascii="仿宋" w:hAnsi="仿宋" w:eastAsia="仿宋" w:cs="仿宋"/>
          <w:b/>
          <w:color w:val="000000"/>
          <w:szCs w:val="21"/>
          <w:lang w:val="zh-CN"/>
        </w:rPr>
        <w:t>”栏内，填写“是”或“否”</w:t>
      </w:r>
      <w:r>
        <w:rPr>
          <w:rFonts w:hint="eastAsia" w:ascii="仿宋" w:hAnsi="仿宋" w:eastAsia="仿宋" w:cs="仿宋"/>
          <w:b/>
          <w:color w:val="000000"/>
          <w:szCs w:val="21"/>
        </w:rPr>
        <w:t>，如果小微型企业的服务报价无法划分计算的，谈判时将不予认可。小型和微型企业服务是指供应商为小企业，且符合中小企业划分标准，为采购项目提供本企业的服务，或者提供其他小企业的服务。</w:t>
      </w:r>
    </w:p>
    <w:p w14:paraId="198A202C">
      <w:pPr>
        <w:spacing w:line="360" w:lineRule="auto"/>
        <w:rPr>
          <w:rFonts w:ascii="仿宋" w:hAnsi="仿宋" w:eastAsia="仿宋" w:cs="仿宋"/>
          <w:bCs/>
          <w:color w:val="000000"/>
          <w:lang w:val="zh-CN"/>
        </w:rPr>
      </w:pPr>
    </w:p>
    <w:p w14:paraId="57D2B98A">
      <w:pPr>
        <w:spacing w:line="360" w:lineRule="auto"/>
        <w:rPr>
          <w:rFonts w:ascii="仿宋" w:hAnsi="仿宋" w:eastAsia="仿宋" w:cs="仿宋"/>
          <w:bCs/>
          <w:color w:val="000000"/>
          <w:lang w:val="zh-CN"/>
        </w:rPr>
      </w:pPr>
    </w:p>
    <w:p w14:paraId="50F8F07A">
      <w:pPr>
        <w:spacing w:line="360" w:lineRule="auto"/>
        <w:rPr>
          <w:rFonts w:ascii="仿宋" w:hAnsi="仿宋" w:eastAsia="仿宋" w:cs="仿宋"/>
          <w:bCs/>
          <w:color w:val="000000"/>
          <w:lang w:val="zh-CN"/>
        </w:rPr>
      </w:pPr>
      <w:r>
        <w:rPr>
          <w:rFonts w:hint="eastAsia" w:ascii="仿宋" w:hAnsi="仿宋" w:eastAsia="仿宋" w:cs="仿宋"/>
          <w:bCs/>
          <w:color w:val="000000"/>
          <w:lang w:val="zh-CN"/>
        </w:rPr>
        <w:t>供应商名称：（公章）</w:t>
      </w:r>
    </w:p>
    <w:p w14:paraId="0C1B4A54">
      <w:pPr>
        <w:spacing w:line="360" w:lineRule="auto"/>
        <w:rPr>
          <w:rFonts w:ascii="仿宋" w:hAnsi="仿宋" w:eastAsia="仿宋" w:cs="仿宋"/>
          <w:bCs/>
          <w:color w:val="000000"/>
          <w:lang w:val="zh-CN"/>
        </w:rPr>
      </w:pPr>
      <w:r>
        <w:rPr>
          <w:rFonts w:hint="eastAsia" w:ascii="仿宋" w:hAnsi="仿宋" w:eastAsia="仿宋" w:cs="仿宋"/>
          <w:bCs/>
          <w:color w:val="000000"/>
          <w:lang w:val="zh-CN"/>
        </w:rPr>
        <w:t>法定代表人或委托代理人：（签字）</w:t>
      </w:r>
    </w:p>
    <w:p w14:paraId="71BCE185">
      <w:pPr>
        <w:spacing w:line="360" w:lineRule="auto"/>
        <w:rPr>
          <w:rFonts w:ascii="仿宋" w:hAnsi="仿宋" w:eastAsia="仿宋" w:cs="仿宋"/>
          <w:bCs/>
          <w:color w:val="000000"/>
          <w:lang w:val="zh-CN"/>
        </w:rPr>
      </w:pPr>
      <w:r>
        <w:rPr>
          <w:rFonts w:hint="eastAsia" w:ascii="仿宋" w:hAnsi="仿宋" w:eastAsia="仿宋" w:cs="仿宋"/>
          <w:bCs/>
          <w:color w:val="000000"/>
          <w:lang w:val="zh-CN"/>
        </w:rPr>
        <w:t>日期：</w:t>
      </w:r>
    </w:p>
    <w:p w14:paraId="3EA859EE">
      <w:pPr>
        <w:spacing w:line="360" w:lineRule="auto"/>
        <w:jc w:val="both"/>
        <w:outlineLvl w:val="9"/>
        <w:rPr>
          <w:rFonts w:ascii="仿宋" w:hAnsi="仿宋" w:eastAsia="仿宋" w:cs="仿宋"/>
          <w:b/>
          <w:color w:val="000000"/>
          <w:sz w:val="32"/>
          <w:szCs w:val="32"/>
        </w:rPr>
      </w:pPr>
    </w:p>
    <w:p w14:paraId="390B3F00">
      <w:pPr>
        <w:spacing w:line="360" w:lineRule="auto"/>
        <w:jc w:val="center"/>
        <w:outlineLvl w:val="9"/>
        <w:rPr>
          <w:rFonts w:hint="eastAsia" w:ascii="仿宋" w:hAnsi="仿宋" w:eastAsia="仿宋" w:cs="仿宋"/>
          <w:b/>
          <w:color w:val="000000"/>
          <w:sz w:val="32"/>
          <w:szCs w:val="32"/>
        </w:rPr>
      </w:pPr>
    </w:p>
    <w:p w14:paraId="75404D13">
      <w:pPr>
        <w:jc w:val="center"/>
        <w:rPr>
          <w:rFonts w:hint="eastAsia" w:ascii="仿宋" w:hAnsi="仿宋" w:eastAsia="仿宋" w:cs="仿宋"/>
          <w:b/>
          <w:color w:val="000000"/>
          <w:sz w:val="32"/>
          <w:szCs w:val="32"/>
        </w:rPr>
      </w:pPr>
      <w:r>
        <w:rPr>
          <w:rFonts w:hint="eastAsia" w:ascii="仿宋" w:hAnsi="仿宋" w:eastAsia="仿宋" w:cs="仿宋"/>
          <w:b/>
          <w:color w:val="000000"/>
          <w:sz w:val="32"/>
          <w:szCs w:val="32"/>
          <w:lang w:val="en-US" w:eastAsia="zh-CN"/>
        </w:rPr>
        <w:t>3.1</w:t>
      </w:r>
      <w:r>
        <w:rPr>
          <w:rFonts w:hint="eastAsia" w:ascii="仿宋" w:hAnsi="仿宋" w:eastAsia="仿宋" w:cs="仿宋"/>
          <w:b/>
          <w:color w:val="000000"/>
          <w:sz w:val="32"/>
          <w:szCs w:val="32"/>
        </w:rPr>
        <w:t>分项报价表</w:t>
      </w:r>
    </w:p>
    <w:p w14:paraId="1CC62661">
      <w:pPr>
        <w:jc w:val="center"/>
        <w:rPr>
          <w:rFonts w:hint="eastAsia" w:ascii="仿宋" w:hAnsi="仿宋" w:eastAsia="仿宋" w:cs="仿宋"/>
          <w:b/>
          <w:bCs w:val="0"/>
          <w:color w:val="000000"/>
          <w:sz w:val="24"/>
          <w:szCs w:val="24"/>
        </w:rPr>
      </w:pPr>
      <w:r>
        <w:rPr>
          <w:rFonts w:hint="eastAsia" w:ascii="仿宋" w:hAnsi="仿宋" w:eastAsia="仿宋" w:cs="仿宋"/>
          <w:b/>
          <w:bCs w:val="0"/>
          <w:color w:val="000000"/>
          <w:sz w:val="24"/>
          <w:szCs w:val="24"/>
        </w:rPr>
        <w:t>（</w:t>
      </w:r>
      <w:r>
        <w:rPr>
          <w:rFonts w:hint="eastAsia" w:ascii="仿宋" w:hAnsi="仿宋" w:eastAsia="仿宋" w:cs="仿宋"/>
          <w:b/>
          <w:bCs w:val="0"/>
          <w:color w:val="000000"/>
          <w:sz w:val="24"/>
          <w:szCs w:val="24"/>
          <w:lang w:val="en-US" w:eastAsia="zh-CN"/>
        </w:rPr>
        <w:t>必须按第四章报价要求中表格提供，未提供或漏项或超过最高限价单价按无效投标处理，供应商</w:t>
      </w:r>
      <w:r>
        <w:rPr>
          <w:rFonts w:hint="eastAsia" w:ascii="仿宋" w:hAnsi="仿宋" w:eastAsia="仿宋" w:cs="仿宋"/>
          <w:b/>
          <w:bCs w:val="0"/>
          <w:color w:val="000000"/>
          <w:sz w:val="24"/>
          <w:szCs w:val="24"/>
        </w:rPr>
        <w:t>自行编制）</w:t>
      </w:r>
    </w:p>
    <w:p w14:paraId="1B713BB8">
      <w:pPr>
        <w:rPr>
          <w:rFonts w:hint="eastAsia" w:ascii="仿宋" w:hAnsi="仿宋" w:eastAsia="仿宋" w:cs="仿宋"/>
          <w:b/>
          <w:color w:val="000000"/>
          <w:sz w:val="32"/>
          <w:szCs w:val="32"/>
        </w:rPr>
      </w:pPr>
    </w:p>
    <w:p w14:paraId="30B12179">
      <w:pPr>
        <w:rPr>
          <w:rFonts w:hint="eastAsia" w:ascii="仿宋" w:hAnsi="仿宋" w:eastAsia="仿宋" w:cs="仿宋"/>
          <w:b/>
          <w:color w:val="000000"/>
          <w:sz w:val="32"/>
          <w:szCs w:val="32"/>
        </w:rPr>
      </w:pPr>
    </w:p>
    <w:p w14:paraId="72BD6D8E">
      <w:pPr>
        <w:spacing w:line="360" w:lineRule="auto"/>
        <w:rPr>
          <w:rFonts w:ascii="仿宋" w:hAnsi="仿宋" w:eastAsia="仿宋" w:cs="仿宋"/>
          <w:bCs/>
          <w:color w:val="000000"/>
          <w:lang w:val="zh-CN"/>
        </w:rPr>
      </w:pPr>
      <w:r>
        <w:rPr>
          <w:rFonts w:hint="eastAsia" w:ascii="仿宋" w:hAnsi="仿宋" w:eastAsia="仿宋" w:cs="仿宋"/>
          <w:bCs/>
          <w:color w:val="000000"/>
          <w:lang w:val="zh-CN"/>
        </w:rPr>
        <w:t>供应商名称：（公章）</w:t>
      </w:r>
    </w:p>
    <w:p w14:paraId="76FE2358">
      <w:pPr>
        <w:spacing w:line="360" w:lineRule="auto"/>
        <w:rPr>
          <w:rFonts w:ascii="仿宋" w:hAnsi="仿宋" w:eastAsia="仿宋" w:cs="仿宋"/>
          <w:bCs/>
          <w:color w:val="000000"/>
          <w:lang w:val="zh-CN"/>
        </w:rPr>
      </w:pPr>
      <w:r>
        <w:rPr>
          <w:rFonts w:hint="eastAsia" w:ascii="仿宋" w:hAnsi="仿宋" w:eastAsia="仿宋" w:cs="仿宋"/>
          <w:bCs/>
          <w:color w:val="000000"/>
          <w:lang w:val="zh-CN"/>
        </w:rPr>
        <w:t>日期：</w:t>
      </w:r>
    </w:p>
    <w:p w14:paraId="24761F96">
      <w:pPr>
        <w:spacing w:line="360" w:lineRule="auto"/>
        <w:jc w:val="center"/>
        <w:outlineLvl w:val="9"/>
        <w:rPr>
          <w:rFonts w:hint="eastAsia" w:ascii="仿宋" w:hAnsi="仿宋" w:eastAsia="仿宋" w:cs="仿宋"/>
          <w:b/>
          <w:color w:val="000000"/>
          <w:sz w:val="32"/>
          <w:szCs w:val="32"/>
        </w:rPr>
      </w:pPr>
    </w:p>
    <w:p w14:paraId="18FB3E1A">
      <w:pPr>
        <w:spacing w:line="360" w:lineRule="auto"/>
        <w:jc w:val="center"/>
        <w:outlineLvl w:val="0"/>
        <w:rPr>
          <w:rFonts w:ascii="仿宋" w:hAnsi="仿宋" w:eastAsia="仿宋" w:cs="仿宋"/>
          <w:b/>
          <w:color w:val="000000"/>
          <w:sz w:val="32"/>
          <w:szCs w:val="32"/>
        </w:rPr>
      </w:pPr>
      <w:r>
        <w:rPr>
          <w:rFonts w:hint="eastAsia" w:ascii="仿宋" w:hAnsi="仿宋" w:eastAsia="仿宋" w:cs="仿宋"/>
          <w:b/>
          <w:color w:val="000000"/>
          <w:sz w:val="32"/>
          <w:szCs w:val="32"/>
        </w:rPr>
        <w:t>四、资格证明文件</w:t>
      </w:r>
      <w:bookmarkEnd w:id="51"/>
    </w:p>
    <w:p w14:paraId="5038FD48">
      <w:pPr>
        <w:spacing w:line="360" w:lineRule="auto"/>
        <w:ind w:firstLine="422"/>
        <w:rPr>
          <w:rFonts w:ascii="仿宋" w:hAnsi="仿宋" w:eastAsia="仿宋" w:cs="仿宋"/>
          <w:b/>
          <w:color w:val="000000"/>
        </w:rPr>
      </w:pPr>
      <w:r>
        <w:rPr>
          <w:rFonts w:hint="eastAsia" w:ascii="仿宋" w:hAnsi="仿宋" w:eastAsia="仿宋" w:cs="仿宋"/>
          <w:b/>
          <w:color w:val="000000"/>
        </w:rPr>
        <w:t xml:space="preserve">一、参加政府采购活动的供应商应当具备政府采购法第二十二条第一款规定： </w:t>
      </w:r>
    </w:p>
    <w:p w14:paraId="342019AE">
      <w:pPr>
        <w:spacing w:line="360" w:lineRule="auto"/>
        <w:ind w:firstLine="420"/>
        <w:rPr>
          <w:rFonts w:ascii="仿宋" w:hAnsi="仿宋" w:eastAsia="仿宋" w:cs="仿宋"/>
          <w:color w:val="000000"/>
        </w:rPr>
      </w:pPr>
      <w:r>
        <w:rPr>
          <w:rFonts w:hint="eastAsia" w:ascii="仿宋" w:hAnsi="仿宋" w:eastAsia="仿宋" w:cs="仿宋"/>
          <w:color w:val="000000"/>
        </w:rPr>
        <w:t>（1）具有独立承担民事责任的能力（提供法人或者其他组织的营业执照，供应商为自然人的提供身份证明，复印件加盖公章）；</w:t>
      </w:r>
    </w:p>
    <w:p w14:paraId="349D2CEC">
      <w:pPr>
        <w:spacing w:line="360" w:lineRule="auto"/>
        <w:ind w:firstLine="420"/>
        <w:rPr>
          <w:rFonts w:ascii="仿宋" w:hAnsi="仿宋" w:eastAsia="仿宋" w:cs="仿宋"/>
          <w:color w:val="000000"/>
        </w:rPr>
      </w:pPr>
      <w:r>
        <w:rPr>
          <w:rFonts w:hint="eastAsia" w:ascii="仿宋" w:hAnsi="仿宋" w:eastAsia="仿宋" w:cs="仿宋"/>
          <w:color w:val="000000"/>
        </w:rPr>
        <w:t>（2）具有良好的商业信誉和健全的财务会计制度（提供 2024年度财务报表或2024年度财务审计报告，或磋商截止时间前六个月内银行出具的资信证明，或财政部门认可的政府采购专业担保机构出具的担保函）；</w:t>
      </w:r>
    </w:p>
    <w:p w14:paraId="559D290C">
      <w:pPr>
        <w:spacing w:line="360" w:lineRule="auto"/>
        <w:ind w:firstLine="420"/>
        <w:rPr>
          <w:rFonts w:ascii="仿宋" w:hAnsi="仿宋" w:eastAsia="仿宋" w:cs="仿宋"/>
          <w:color w:val="000000"/>
        </w:rPr>
      </w:pPr>
      <w:r>
        <w:rPr>
          <w:rFonts w:hint="eastAsia" w:ascii="仿宋" w:hAnsi="仿宋" w:eastAsia="仿宋" w:cs="仿宋"/>
          <w:color w:val="000000"/>
        </w:rPr>
        <w:t>（3）具有履行合同所必需的设备和专业技术能力（根据项目需求提供履行合同所必需的设备和专业技术能力的证明材料或相关加盖公章的承诺函）；</w:t>
      </w:r>
    </w:p>
    <w:p w14:paraId="6C12D359">
      <w:pPr>
        <w:spacing w:line="360" w:lineRule="auto"/>
        <w:ind w:firstLine="420"/>
        <w:rPr>
          <w:rFonts w:ascii="仿宋" w:hAnsi="仿宋" w:eastAsia="仿宋" w:cs="仿宋"/>
          <w:color w:val="000000"/>
        </w:rPr>
      </w:pPr>
      <w:r>
        <w:rPr>
          <w:rFonts w:hint="eastAsia" w:ascii="仿宋" w:hAnsi="仿宋" w:eastAsia="仿宋" w:cs="仿宋"/>
          <w:color w:val="000000"/>
        </w:rPr>
        <w:t>（4）有依法缴纳税收和社会保障资金的良好记录（提供参加本次政府采购活动前半年内（至少一个月）依法缴纳税收和社会保障资金的相关资料，复印件加盖公章）；</w:t>
      </w:r>
    </w:p>
    <w:p w14:paraId="5DAC799B">
      <w:pPr>
        <w:spacing w:line="360" w:lineRule="auto"/>
        <w:ind w:firstLine="420"/>
        <w:rPr>
          <w:rFonts w:ascii="仿宋" w:hAnsi="仿宋" w:eastAsia="仿宋" w:cs="仿宋"/>
          <w:color w:val="000000"/>
        </w:rPr>
      </w:pPr>
      <w:r>
        <w:rPr>
          <w:rFonts w:hint="eastAsia" w:ascii="仿宋" w:hAnsi="仿宋" w:eastAsia="仿宋" w:cs="仿宋"/>
          <w:color w:val="000000"/>
        </w:rPr>
        <w:t>（5）参加本次采购活动前三年内，在经营活动中没有重大违法记录（提供参加本次政府采购活动前3年内在经营活动中没有重大违法记录的书面声明的原件）（格式见自拟）；</w:t>
      </w:r>
    </w:p>
    <w:p w14:paraId="43F85DFB">
      <w:pPr>
        <w:spacing w:line="360" w:lineRule="auto"/>
        <w:ind w:firstLine="420"/>
        <w:rPr>
          <w:rFonts w:ascii="仿宋" w:hAnsi="仿宋" w:eastAsia="仿宋" w:cs="仿宋"/>
          <w:color w:val="000000"/>
        </w:rPr>
      </w:pPr>
      <w:r>
        <w:rPr>
          <w:rFonts w:hint="eastAsia" w:ascii="仿宋" w:hAnsi="仿宋" w:eastAsia="仿宋" w:cs="仿宋"/>
          <w:color w:val="000000"/>
        </w:rPr>
        <w:t>（6）法律、行政法规规定的其他条件：无。</w:t>
      </w:r>
    </w:p>
    <w:p w14:paraId="0A5474BA">
      <w:pPr>
        <w:spacing w:line="360" w:lineRule="auto"/>
        <w:ind w:firstLine="420"/>
        <w:rPr>
          <w:rFonts w:ascii="仿宋" w:hAnsi="仿宋" w:eastAsia="仿宋" w:cs="仿宋"/>
          <w:color w:val="000000"/>
        </w:rPr>
      </w:pPr>
      <w:r>
        <w:rPr>
          <w:rFonts w:hint="eastAsia" w:ascii="仿宋" w:hAnsi="仿宋" w:eastAsia="仿宋" w:cs="仿宋"/>
          <w:color w:val="000000"/>
        </w:rPr>
        <w:t>说明：根据《关于在政府采购活动中推行信用承诺制的通知》（宁财购通[2021]5号）的规定，本项目磋商公告“二、申请人的资格要求第1条”中涉及的证明材料，供应商可以在响应文件中一次性提交，也可在响应文件中提供满足相应条件的书面承诺书（详见磋商文件第六章“附件”），无需要提供上述涉及的证明材料。</w:t>
      </w:r>
    </w:p>
    <w:p w14:paraId="79A025DB">
      <w:pPr>
        <w:spacing w:line="360" w:lineRule="auto"/>
        <w:ind w:firstLine="420"/>
        <w:rPr>
          <w:rFonts w:ascii="仿宋" w:hAnsi="仿宋" w:eastAsia="仿宋" w:cs="仿宋"/>
          <w:color w:val="000000"/>
        </w:rPr>
      </w:pPr>
      <w:r>
        <w:rPr>
          <w:rFonts w:hint="eastAsia" w:ascii="仿宋" w:hAnsi="仿宋" w:eastAsia="仿宋" w:cs="仿宋"/>
          <w:color w:val="000000"/>
        </w:rPr>
        <w:t>供应商仅提供信用承诺书而未提供“二、申请人的资格要求第1条”中涉及的证明材料的，供应商在中标(成交)后，须将上述由信用承诺书替代的证明材料提交采购人或采购代理机构核验，经核验无误后由采购人或采购代理机构发出中标(成交)通知书。</w:t>
      </w:r>
    </w:p>
    <w:p w14:paraId="281D5DDA">
      <w:pPr>
        <w:spacing w:line="360" w:lineRule="auto"/>
        <w:ind w:firstLine="420"/>
        <w:rPr>
          <w:rFonts w:ascii="仿宋" w:hAnsi="仿宋" w:eastAsia="仿宋" w:cs="仿宋"/>
          <w:color w:val="000000"/>
        </w:rPr>
      </w:pPr>
      <w:r>
        <w:rPr>
          <w:rFonts w:hint="eastAsia" w:ascii="仿宋" w:hAnsi="仿宋" w:eastAsia="仿宋" w:cs="仿宋"/>
          <w:color w:val="000000"/>
        </w:rPr>
        <w:t>供应商涉及以下情形的，不适用信用承诺，仍须提供上述证明材料：</w:t>
      </w:r>
    </w:p>
    <w:p w14:paraId="09AD0585">
      <w:pPr>
        <w:spacing w:line="360" w:lineRule="auto"/>
        <w:ind w:firstLine="420"/>
        <w:rPr>
          <w:rFonts w:ascii="仿宋" w:hAnsi="仿宋" w:eastAsia="仿宋" w:cs="仿宋"/>
          <w:color w:val="000000"/>
        </w:rPr>
      </w:pPr>
      <w:r>
        <w:rPr>
          <w:rFonts w:hint="eastAsia" w:ascii="仿宋" w:hAnsi="仿宋" w:eastAsia="仿宋" w:cs="仿宋"/>
          <w:color w:val="000000"/>
        </w:rPr>
        <w:t>①供应商被列入严重失信主体名单；</w:t>
      </w:r>
    </w:p>
    <w:p w14:paraId="60CC44BD">
      <w:pPr>
        <w:spacing w:line="360" w:lineRule="auto"/>
        <w:ind w:firstLine="420"/>
        <w:rPr>
          <w:rFonts w:ascii="仿宋" w:hAnsi="仿宋" w:eastAsia="仿宋" w:cs="仿宋"/>
          <w:color w:val="000000"/>
        </w:rPr>
      </w:pPr>
      <w:r>
        <w:rPr>
          <w:rFonts w:hint="eastAsia" w:ascii="仿宋" w:hAnsi="仿宋" w:eastAsia="仿宋" w:cs="仿宋"/>
          <w:color w:val="000000"/>
        </w:rPr>
        <w:t>②被相关监管部门作出行政处罚且尚在处罚有效期内；</w:t>
      </w:r>
    </w:p>
    <w:p w14:paraId="2D38F1E1">
      <w:pPr>
        <w:spacing w:line="360" w:lineRule="auto"/>
        <w:ind w:firstLine="420"/>
        <w:rPr>
          <w:rFonts w:ascii="仿宋" w:hAnsi="仿宋" w:eastAsia="仿宋" w:cs="仿宋"/>
          <w:color w:val="000000"/>
        </w:rPr>
      </w:pPr>
      <w:r>
        <w:rPr>
          <w:rFonts w:hint="eastAsia" w:ascii="仿宋" w:hAnsi="仿宋" w:eastAsia="仿宋" w:cs="仿宋"/>
          <w:color w:val="000000"/>
        </w:rPr>
        <w:t>③其他法律、行政法规规定的不适用信用承诺的情形。</w:t>
      </w:r>
    </w:p>
    <w:p w14:paraId="7DA81CD3">
      <w:pPr>
        <w:spacing w:line="360" w:lineRule="auto"/>
        <w:ind w:firstLine="422"/>
        <w:rPr>
          <w:rFonts w:ascii="仿宋" w:hAnsi="仿宋" w:eastAsia="仿宋" w:cs="仿宋"/>
          <w:color w:val="000000"/>
        </w:rPr>
      </w:pPr>
      <w:r>
        <w:rPr>
          <w:rFonts w:hint="eastAsia" w:ascii="仿宋" w:hAnsi="仿宋" w:eastAsia="仿宋" w:cs="仿宋"/>
          <w:b/>
          <w:color w:val="000000"/>
        </w:rPr>
        <w:t>二、落实政府采购政策需满足的资格要求：</w:t>
      </w:r>
      <w:r>
        <w:rPr>
          <w:rFonts w:hint="eastAsia" w:ascii="仿宋" w:hAnsi="仿宋" w:eastAsia="仿宋" w:cs="仿宋"/>
          <w:color w:val="000000"/>
        </w:rPr>
        <w:t xml:space="preserve">（如属于专门面向中小企业采购的项目，供应商应为中小微企业、监狱企业、残疾人福利性单位）本项目按照采用以下第（4）种方式落实政府采购促进中小企业发展的要求： </w:t>
      </w:r>
    </w:p>
    <w:p w14:paraId="238E0188">
      <w:pPr>
        <w:spacing w:line="360" w:lineRule="auto"/>
        <w:ind w:firstLine="420"/>
        <w:rPr>
          <w:rFonts w:ascii="仿宋" w:hAnsi="仿宋" w:eastAsia="仿宋" w:cs="仿宋"/>
          <w:color w:val="000000"/>
        </w:rPr>
      </w:pPr>
      <w:r>
        <w:rPr>
          <w:rFonts w:hint="eastAsia" w:ascii="仿宋" w:hAnsi="仿宋" w:eastAsia="仿宋" w:cs="仿宋"/>
          <w:color w:val="000000"/>
        </w:rPr>
        <w:t>（1）本项目整体专门面向中小企业采购服务。</w:t>
      </w:r>
    </w:p>
    <w:p w14:paraId="4CFCB504">
      <w:pPr>
        <w:spacing w:line="360" w:lineRule="auto"/>
        <w:ind w:firstLine="420"/>
        <w:rPr>
          <w:rFonts w:ascii="仿宋" w:hAnsi="仿宋" w:eastAsia="仿宋" w:cs="仿宋"/>
          <w:color w:val="000000"/>
        </w:rPr>
      </w:pPr>
      <w:r>
        <w:rPr>
          <w:rFonts w:hint="eastAsia" w:ascii="仿宋" w:hAnsi="仿宋" w:eastAsia="仿宋" w:cs="仿宋"/>
          <w:color w:val="000000"/>
        </w:rPr>
        <w:t xml:space="preserve">（2）本项目整体专门面向小微企业采购服务。 </w:t>
      </w:r>
    </w:p>
    <w:p w14:paraId="70E12F30">
      <w:pPr>
        <w:spacing w:line="360" w:lineRule="auto"/>
        <w:ind w:firstLine="420"/>
        <w:rPr>
          <w:rFonts w:ascii="仿宋" w:hAnsi="仿宋" w:eastAsia="仿宋" w:cs="仿宋"/>
          <w:color w:val="000000"/>
        </w:rPr>
      </w:pPr>
      <w:r>
        <w:rPr>
          <w:rFonts w:hint="eastAsia" w:ascii="仿宋" w:hAnsi="仿宋" w:eastAsia="仿宋" w:cs="仿宋"/>
          <w:color w:val="000000"/>
        </w:rPr>
        <w:t xml:space="preserve">（3）本项目通过以下第（）种方式预留部分采购份额采购中小企业服务： </w:t>
      </w:r>
    </w:p>
    <w:p w14:paraId="1D56CE63">
      <w:pPr>
        <w:spacing w:line="360" w:lineRule="auto"/>
        <w:ind w:firstLine="420"/>
        <w:rPr>
          <w:rFonts w:ascii="仿宋" w:hAnsi="仿宋" w:eastAsia="仿宋" w:cs="仿宋"/>
          <w:color w:val="000000"/>
        </w:rPr>
      </w:pPr>
      <w:r>
        <w:rPr>
          <w:rFonts w:hint="eastAsia" w:ascii="仿宋" w:hAnsi="仿宋" w:eastAsia="仿宋" w:cs="仿宋"/>
          <w:color w:val="000000"/>
        </w:rPr>
        <w:t xml:space="preserve">①本项目要求供应商以联合体形式参加，中小企业合同金额应当达到的比例为%。 </w:t>
      </w:r>
    </w:p>
    <w:p w14:paraId="33051D88">
      <w:pPr>
        <w:spacing w:line="360" w:lineRule="auto"/>
        <w:ind w:firstLine="420"/>
        <w:rPr>
          <w:rFonts w:ascii="仿宋" w:hAnsi="仿宋" w:eastAsia="仿宋" w:cs="仿宋"/>
          <w:color w:val="000000"/>
        </w:rPr>
      </w:pPr>
      <w:r>
        <w:rPr>
          <w:rFonts w:hint="eastAsia" w:ascii="仿宋" w:hAnsi="仿宋" w:eastAsia="仿宋" w:cs="仿宋"/>
          <w:color w:val="000000"/>
        </w:rPr>
        <w:t xml:space="preserve">②本项目要求供应商进行合同分包，中小企业合同金额应当达到的比例为%。 </w:t>
      </w:r>
    </w:p>
    <w:p w14:paraId="7ABE9654">
      <w:pPr>
        <w:spacing w:line="360" w:lineRule="auto"/>
        <w:ind w:firstLine="420"/>
        <w:rPr>
          <w:rFonts w:ascii="仿宋" w:hAnsi="仿宋" w:eastAsia="仿宋" w:cs="仿宋"/>
          <w:color w:val="000000"/>
        </w:rPr>
      </w:pPr>
      <w:r>
        <w:rPr>
          <w:rFonts w:hint="eastAsia" w:ascii="仿宋" w:hAnsi="仿宋" w:eastAsia="仿宋" w:cs="仿宋"/>
          <w:color w:val="000000"/>
        </w:rPr>
        <w:t xml:space="preserve">（4）本项目为非预留份额的采购项目或采购包，执行价格扣除优惠政策，具体详见第三章评标办法与标准。 </w:t>
      </w:r>
    </w:p>
    <w:p w14:paraId="7B8CCAE4">
      <w:pPr>
        <w:spacing w:line="360" w:lineRule="auto"/>
        <w:ind w:firstLine="422"/>
        <w:rPr>
          <w:rFonts w:ascii="仿宋" w:hAnsi="仿宋" w:eastAsia="仿宋" w:cs="仿宋"/>
          <w:b/>
          <w:color w:val="FF0000"/>
        </w:rPr>
      </w:pPr>
      <w:r>
        <w:rPr>
          <w:rFonts w:hint="eastAsia" w:ascii="仿宋" w:hAnsi="仿宋" w:eastAsia="仿宋" w:cs="仿宋"/>
          <w:b/>
          <w:color w:val="000000"/>
        </w:rPr>
        <w:t>三、采购人根据采购项目的特殊要求规定的特定条件：</w:t>
      </w:r>
      <w:r>
        <w:rPr>
          <w:rFonts w:hint="eastAsia" w:ascii="仿宋" w:hAnsi="仿宋" w:eastAsia="仿宋" w:cs="仿宋"/>
          <w:b/>
        </w:rPr>
        <w:t>供应商具有省级以上质量技术监督局颁发的计量认证（CMA）证书。（提供相关证明材料复印件加盖公章）</w:t>
      </w:r>
    </w:p>
    <w:p w14:paraId="1F8DE713">
      <w:pPr>
        <w:spacing w:line="360" w:lineRule="auto"/>
        <w:ind w:firstLine="422"/>
        <w:rPr>
          <w:rFonts w:ascii="仿宋" w:hAnsi="仿宋" w:eastAsia="仿宋" w:cs="仿宋"/>
          <w:b/>
          <w:color w:val="000000"/>
        </w:rPr>
      </w:pPr>
      <w:r>
        <w:rPr>
          <w:rFonts w:hint="eastAsia" w:ascii="仿宋" w:hAnsi="仿宋" w:eastAsia="仿宋" w:cs="仿宋"/>
          <w:b/>
          <w:color w:val="000000"/>
        </w:rPr>
        <w:t>四、拒绝下述供应商参加本次采购活动：</w:t>
      </w:r>
    </w:p>
    <w:p w14:paraId="0BA40B8F">
      <w:pPr>
        <w:spacing w:line="360" w:lineRule="auto"/>
        <w:ind w:firstLine="420"/>
        <w:rPr>
          <w:rFonts w:ascii="仿宋" w:hAnsi="仿宋" w:eastAsia="仿宋" w:cs="仿宋"/>
          <w:color w:val="000000"/>
        </w:rPr>
      </w:pPr>
      <w:r>
        <w:rPr>
          <w:rFonts w:hint="eastAsia" w:ascii="仿宋" w:hAnsi="仿宋" w:eastAsia="仿宋" w:cs="仿宋"/>
          <w:color w:val="000000"/>
        </w:rPr>
        <w:t>（1）供应商单位负责人为同一人或者存在直接控股、管理关系的不同供应商，不得参加同一合同项下的采购活动。（符合并提供承诺书）</w:t>
      </w:r>
    </w:p>
    <w:p w14:paraId="6B8837D9">
      <w:pPr>
        <w:spacing w:line="360" w:lineRule="auto"/>
        <w:ind w:firstLine="420"/>
        <w:rPr>
          <w:rFonts w:ascii="仿宋" w:hAnsi="仿宋" w:eastAsia="仿宋" w:cs="仿宋"/>
          <w:color w:val="000000"/>
        </w:rPr>
      </w:pPr>
      <w:r>
        <w:rPr>
          <w:rFonts w:hint="eastAsia" w:ascii="仿宋" w:hAnsi="仿宋" w:eastAsia="仿宋" w:cs="仿宋"/>
          <w:color w:val="000000"/>
        </w:rPr>
        <w:t>（2）凡为采购项目提供整体设计、规范编制或者项目管理、监理、检测等服务的供应商，不得再参加本项目的采购活动。（符合并提供承诺书）</w:t>
      </w:r>
    </w:p>
    <w:p w14:paraId="032B2D63">
      <w:pPr>
        <w:spacing w:line="360" w:lineRule="auto"/>
        <w:ind w:firstLine="420"/>
        <w:rPr>
          <w:rFonts w:ascii="仿宋" w:hAnsi="仿宋" w:eastAsia="仿宋" w:cs="仿宋"/>
          <w:color w:val="000000"/>
        </w:rPr>
      </w:pPr>
      <w:r>
        <w:rPr>
          <w:rFonts w:hint="eastAsia" w:ascii="仿宋" w:hAnsi="仿宋" w:eastAsia="仿宋" w:cs="仿宋"/>
          <w:color w:val="000000"/>
        </w:rPr>
        <w:t>（3）拒绝列入失信被执行人、重大税收违法案件当事人名单、政府采购严重违法失信行为记录名单中的供应商参加本项目的采购活动。采购人或代理机构通过“信用中国”网站（www.creditchina.gov.cn）、“中国政府采购网”网站（www.ccgp.gov.cn）等渠道查询供应商信用记录并保存。（提供查阅记录截图并加盖企业公章）</w:t>
      </w:r>
    </w:p>
    <w:p w14:paraId="384CDC61">
      <w:pPr>
        <w:rPr>
          <w:rFonts w:ascii="仿宋" w:hAnsi="仿宋" w:eastAsia="仿宋" w:cs="仿宋"/>
          <w:b/>
          <w:color w:val="000000"/>
        </w:rPr>
      </w:pPr>
      <w:r>
        <w:rPr>
          <w:rFonts w:hint="eastAsia" w:ascii="仿宋" w:hAnsi="仿宋" w:eastAsia="仿宋" w:cs="仿宋"/>
          <w:b/>
          <w:color w:val="000000"/>
        </w:rPr>
        <w:br w:type="page"/>
      </w:r>
    </w:p>
    <w:p w14:paraId="1B65A51B">
      <w:pPr>
        <w:spacing w:line="360" w:lineRule="auto"/>
        <w:ind w:firstLine="422"/>
        <w:rPr>
          <w:rFonts w:ascii="仿宋" w:hAnsi="仿宋" w:eastAsia="仿宋" w:cs="仿宋"/>
          <w:b/>
          <w:color w:val="000000"/>
          <w:szCs w:val="21"/>
        </w:rPr>
      </w:pPr>
      <w:r>
        <w:rPr>
          <w:rFonts w:hint="eastAsia" w:ascii="仿宋" w:hAnsi="仿宋" w:eastAsia="仿宋" w:cs="仿宋"/>
          <w:b/>
          <w:color w:val="000000"/>
        </w:rPr>
        <w:t>五、</w:t>
      </w:r>
      <w:r>
        <w:rPr>
          <w:rFonts w:hint="eastAsia" w:ascii="仿宋" w:hAnsi="仿宋" w:eastAsia="仿宋" w:cs="仿宋"/>
          <w:b/>
          <w:color w:val="000000"/>
          <w:szCs w:val="21"/>
        </w:rPr>
        <w:t>南京市政府采购供应商信用记录表暨信用承诺书（打印并加盖公章）</w:t>
      </w:r>
    </w:p>
    <w:p w14:paraId="6CDD3B93">
      <w:pPr>
        <w:spacing w:before="43"/>
        <w:ind w:left="820"/>
        <w:jc w:val="left"/>
        <w:rPr>
          <w:rFonts w:ascii="仿宋" w:hAnsi="仿宋" w:eastAsia="仿宋" w:cs="仿宋"/>
          <w:b/>
        </w:rPr>
      </w:pPr>
      <w:r>
        <w:rPr>
          <w:rFonts w:hint="eastAsia" w:ascii="仿宋" w:hAnsi="仿宋" w:eastAsia="仿宋" w:cs="仿宋"/>
          <w:b/>
        </w:rPr>
        <w:t>（需在线打印，直接填写无效）</w:t>
      </w:r>
    </w:p>
    <w:p w14:paraId="24E7AFB0">
      <w:pPr>
        <w:pStyle w:val="16"/>
        <w:rPr>
          <w:rFonts w:ascii="仿宋" w:hAnsi="仿宋" w:eastAsia="仿宋" w:cs="仿宋"/>
          <w:b/>
        </w:rPr>
      </w:pPr>
    </w:p>
    <w:p w14:paraId="7E4F20B3">
      <w:pPr>
        <w:pStyle w:val="16"/>
        <w:spacing w:before="6"/>
        <w:rPr>
          <w:rFonts w:ascii="仿宋" w:hAnsi="仿宋" w:eastAsia="仿宋" w:cs="仿宋"/>
          <w:b/>
          <w:sz w:val="14"/>
        </w:rPr>
      </w:pPr>
    </w:p>
    <w:p w14:paraId="6F79DCFD">
      <w:pPr>
        <w:ind w:left="807" w:right="1027"/>
        <w:jc w:val="center"/>
        <w:rPr>
          <w:rFonts w:ascii="仿宋" w:hAnsi="仿宋" w:eastAsia="仿宋" w:cs="仿宋"/>
          <w:b/>
          <w:sz w:val="32"/>
        </w:rPr>
      </w:pPr>
      <w:r>
        <w:rPr>
          <w:rFonts w:hint="eastAsia" w:ascii="仿宋" w:hAnsi="仿宋" w:eastAsia="仿宋" w:cs="仿宋"/>
          <w:b/>
          <w:sz w:val="32"/>
        </w:rPr>
        <w:t>南京市政府采购供应商信用记录表暨信用承诺书</w:t>
      </w:r>
    </w:p>
    <w:p w14:paraId="2F2D8FF1">
      <w:pPr>
        <w:tabs>
          <w:tab w:val="left" w:pos="7446"/>
          <w:tab w:val="left" w:pos="8180"/>
          <w:tab w:val="left" w:pos="8915"/>
        </w:tabs>
        <w:spacing w:before="127" w:after="22"/>
        <w:ind w:left="6712"/>
        <w:jc w:val="left"/>
        <w:rPr>
          <w:rFonts w:ascii="仿宋" w:hAnsi="仿宋" w:eastAsia="仿宋" w:cs="仿宋"/>
        </w:rPr>
      </w:pPr>
      <w:r>
        <w:rPr>
          <w:rFonts w:hint="eastAsia" w:ascii="仿宋" w:hAnsi="仿宋" w:eastAsia="仿宋" w:cs="仿宋"/>
        </w:rPr>
        <w:t>二〇</w:t>
      </w:r>
      <w:r>
        <w:rPr>
          <w:rFonts w:hint="eastAsia" w:ascii="仿宋" w:hAnsi="仿宋" w:eastAsia="仿宋" w:cs="仿宋"/>
        </w:rPr>
        <w:tab/>
      </w:r>
      <w:r>
        <w:rPr>
          <w:rFonts w:hint="eastAsia" w:ascii="仿宋" w:hAnsi="仿宋" w:eastAsia="仿宋" w:cs="仿宋"/>
        </w:rPr>
        <w:t>年</w:t>
      </w:r>
      <w:r>
        <w:rPr>
          <w:rFonts w:hint="eastAsia" w:ascii="仿宋" w:hAnsi="仿宋" w:eastAsia="仿宋" w:cs="仿宋"/>
        </w:rPr>
        <w:tab/>
      </w:r>
      <w:r>
        <w:rPr>
          <w:rFonts w:hint="eastAsia" w:ascii="仿宋" w:hAnsi="仿宋" w:eastAsia="仿宋" w:cs="仿宋"/>
        </w:rPr>
        <w:t>月</w:t>
      </w:r>
      <w:r>
        <w:rPr>
          <w:rFonts w:hint="eastAsia" w:ascii="仿宋" w:hAnsi="仿宋" w:eastAsia="仿宋" w:cs="仿宋"/>
        </w:rPr>
        <w:tab/>
      </w:r>
      <w:r>
        <w:rPr>
          <w:rFonts w:hint="eastAsia" w:ascii="仿宋" w:hAnsi="仿宋" w:eastAsia="仿宋" w:cs="仿宋"/>
        </w:rPr>
        <w:t>日</w:t>
      </w:r>
    </w:p>
    <w:tbl>
      <w:tblPr>
        <w:tblStyle w:val="34"/>
        <w:tblW w:w="8538" w:type="dxa"/>
        <w:tblInd w:w="39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84"/>
        <w:gridCol w:w="2376"/>
        <w:gridCol w:w="1842"/>
        <w:gridCol w:w="2436"/>
      </w:tblGrid>
      <w:tr w14:paraId="77DED5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2" w:hRule="atLeast"/>
        </w:trPr>
        <w:tc>
          <w:tcPr>
            <w:tcW w:w="1884" w:type="dxa"/>
          </w:tcPr>
          <w:p w14:paraId="44C303F4">
            <w:pPr>
              <w:pStyle w:val="545"/>
              <w:spacing w:before="143"/>
              <w:ind w:left="106"/>
              <w:rPr>
                <w:b/>
                <w:sz w:val="21"/>
              </w:rPr>
            </w:pPr>
            <w:r>
              <w:rPr>
                <w:rFonts w:hint="eastAsia"/>
                <w:b/>
                <w:sz w:val="21"/>
              </w:rPr>
              <w:t>单位名称</w:t>
            </w:r>
          </w:p>
        </w:tc>
        <w:tc>
          <w:tcPr>
            <w:tcW w:w="2376" w:type="dxa"/>
          </w:tcPr>
          <w:p w14:paraId="6B285D24">
            <w:pPr>
              <w:pStyle w:val="545"/>
              <w:rPr>
                <w:sz w:val="20"/>
              </w:rPr>
            </w:pPr>
          </w:p>
        </w:tc>
        <w:tc>
          <w:tcPr>
            <w:tcW w:w="1842" w:type="dxa"/>
          </w:tcPr>
          <w:p w14:paraId="0234E28B">
            <w:pPr>
              <w:pStyle w:val="545"/>
              <w:spacing w:before="143"/>
              <w:ind w:left="107"/>
              <w:rPr>
                <w:b/>
                <w:sz w:val="21"/>
              </w:rPr>
            </w:pPr>
            <w:r>
              <w:rPr>
                <w:rFonts w:hint="eastAsia"/>
                <w:b/>
                <w:sz w:val="21"/>
              </w:rPr>
              <w:t>统一社会信用代码</w:t>
            </w:r>
          </w:p>
        </w:tc>
        <w:tc>
          <w:tcPr>
            <w:tcW w:w="2436" w:type="dxa"/>
          </w:tcPr>
          <w:p w14:paraId="08FDEB26">
            <w:pPr>
              <w:pStyle w:val="545"/>
              <w:rPr>
                <w:sz w:val="20"/>
              </w:rPr>
            </w:pPr>
          </w:p>
        </w:tc>
      </w:tr>
      <w:tr w14:paraId="236EC3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1" w:hRule="atLeast"/>
        </w:trPr>
        <w:tc>
          <w:tcPr>
            <w:tcW w:w="1884" w:type="dxa"/>
          </w:tcPr>
          <w:p w14:paraId="77F78B86">
            <w:pPr>
              <w:pStyle w:val="545"/>
              <w:spacing w:before="143"/>
              <w:ind w:left="106"/>
              <w:rPr>
                <w:b/>
                <w:sz w:val="21"/>
              </w:rPr>
            </w:pPr>
            <w:r>
              <w:rPr>
                <w:rFonts w:hint="eastAsia"/>
                <w:b/>
                <w:sz w:val="21"/>
              </w:rPr>
              <w:t>法定代表人</w:t>
            </w:r>
          </w:p>
        </w:tc>
        <w:tc>
          <w:tcPr>
            <w:tcW w:w="2376" w:type="dxa"/>
          </w:tcPr>
          <w:p w14:paraId="63F49B17">
            <w:pPr>
              <w:pStyle w:val="545"/>
              <w:rPr>
                <w:sz w:val="20"/>
              </w:rPr>
            </w:pPr>
          </w:p>
        </w:tc>
        <w:tc>
          <w:tcPr>
            <w:tcW w:w="1842" w:type="dxa"/>
          </w:tcPr>
          <w:p w14:paraId="43B3343A">
            <w:pPr>
              <w:pStyle w:val="545"/>
              <w:spacing w:before="143"/>
              <w:ind w:left="107"/>
              <w:rPr>
                <w:b/>
                <w:sz w:val="21"/>
              </w:rPr>
            </w:pPr>
            <w:r>
              <w:rPr>
                <w:rFonts w:hint="eastAsia"/>
                <w:b/>
                <w:sz w:val="21"/>
              </w:rPr>
              <w:t>联系人</w:t>
            </w:r>
          </w:p>
        </w:tc>
        <w:tc>
          <w:tcPr>
            <w:tcW w:w="2436" w:type="dxa"/>
          </w:tcPr>
          <w:p w14:paraId="57649693">
            <w:pPr>
              <w:pStyle w:val="545"/>
              <w:rPr>
                <w:sz w:val="20"/>
              </w:rPr>
            </w:pPr>
          </w:p>
        </w:tc>
      </w:tr>
      <w:tr w14:paraId="5978E5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2" w:hRule="atLeast"/>
        </w:trPr>
        <w:tc>
          <w:tcPr>
            <w:tcW w:w="1884" w:type="dxa"/>
          </w:tcPr>
          <w:p w14:paraId="458CBC68">
            <w:pPr>
              <w:pStyle w:val="545"/>
              <w:spacing w:before="142"/>
              <w:ind w:left="106"/>
              <w:rPr>
                <w:b/>
                <w:sz w:val="21"/>
              </w:rPr>
            </w:pPr>
            <w:r>
              <w:rPr>
                <w:rFonts w:hint="eastAsia"/>
                <w:b/>
                <w:sz w:val="21"/>
              </w:rPr>
              <w:t>联系地址</w:t>
            </w:r>
          </w:p>
        </w:tc>
        <w:tc>
          <w:tcPr>
            <w:tcW w:w="2376" w:type="dxa"/>
          </w:tcPr>
          <w:p w14:paraId="78305FA3">
            <w:pPr>
              <w:pStyle w:val="545"/>
              <w:rPr>
                <w:sz w:val="20"/>
              </w:rPr>
            </w:pPr>
          </w:p>
        </w:tc>
        <w:tc>
          <w:tcPr>
            <w:tcW w:w="1842" w:type="dxa"/>
          </w:tcPr>
          <w:p w14:paraId="462A644C">
            <w:pPr>
              <w:pStyle w:val="545"/>
              <w:spacing w:before="142"/>
              <w:ind w:left="107"/>
              <w:rPr>
                <w:b/>
                <w:sz w:val="21"/>
              </w:rPr>
            </w:pPr>
            <w:r>
              <w:rPr>
                <w:rFonts w:hint="eastAsia"/>
                <w:b/>
                <w:sz w:val="21"/>
              </w:rPr>
              <w:t>联系电话</w:t>
            </w:r>
          </w:p>
        </w:tc>
        <w:tc>
          <w:tcPr>
            <w:tcW w:w="2436" w:type="dxa"/>
          </w:tcPr>
          <w:p w14:paraId="6760A8E1">
            <w:pPr>
              <w:pStyle w:val="545"/>
              <w:rPr>
                <w:sz w:val="20"/>
              </w:rPr>
            </w:pPr>
          </w:p>
        </w:tc>
      </w:tr>
      <w:tr w14:paraId="69A572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59" w:hRule="atLeast"/>
        </w:trPr>
        <w:tc>
          <w:tcPr>
            <w:tcW w:w="1884" w:type="dxa"/>
          </w:tcPr>
          <w:p w14:paraId="35006459">
            <w:pPr>
              <w:pStyle w:val="545"/>
              <w:rPr>
                <w:sz w:val="20"/>
              </w:rPr>
            </w:pPr>
          </w:p>
          <w:p w14:paraId="4725B80D">
            <w:pPr>
              <w:pStyle w:val="545"/>
              <w:spacing w:before="12"/>
              <w:rPr>
                <w:sz w:val="17"/>
              </w:rPr>
            </w:pPr>
          </w:p>
          <w:p w14:paraId="2E5AF27C">
            <w:pPr>
              <w:pStyle w:val="545"/>
              <w:ind w:left="106"/>
              <w:rPr>
                <w:b/>
                <w:sz w:val="21"/>
              </w:rPr>
            </w:pPr>
            <w:r>
              <w:rPr>
                <w:rFonts w:hint="eastAsia"/>
                <w:b/>
                <w:sz w:val="21"/>
              </w:rPr>
              <w:t>诚信档案记录情况</w:t>
            </w:r>
          </w:p>
        </w:tc>
        <w:tc>
          <w:tcPr>
            <w:tcW w:w="6654" w:type="dxa"/>
            <w:gridSpan w:val="3"/>
          </w:tcPr>
          <w:p w14:paraId="67D60544">
            <w:pPr>
              <w:pStyle w:val="545"/>
              <w:rPr>
                <w:sz w:val="20"/>
              </w:rPr>
            </w:pPr>
          </w:p>
        </w:tc>
      </w:tr>
      <w:tr w14:paraId="526181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85" w:hRule="atLeast"/>
        </w:trPr>
        <w:tc>
          <w:tcPr>
            <w:tcW w:w="1884" w:type="dxa"/>
          </w:tcPr>
          <w:p w14:paraId="620852B2">
            <w:pPr>
              <w:pStyle w:val="545"/>
              <w:rPr>
                <w:sz w:val="20"/>
              </w:rPr>
            </w:pPr>
          </w:p>
          <w:p w14:paraId="134E23CF">
            <w:pPr>
              <w:pStyle w:val="545"/>
              <w:rPr>
                <w:sz w:val="20"/>
              </w:rPr>
            </w:pPr>
          </w:p>
          <w:p w14:paraId="234A8653">
            <w:pPr>
              <w:pStyle w:val="545"/>
              <w:rPr>
                <w:sz w:val="20"/>
              </w:rPr>
            </w:pPr>
          </w:p>
          <w:p w14:paraId="522BB21F">
            <w:pPr>
              <w:pStyle w:val="545"/>
              <w:rPr>
                <w:sz w:val="20"/>
              </w:rPr>
            </w:pPr>
          </w:p>
          <w:p w14:paraId="77EF6497">
            <w:pPr>
              <w:pStyle w:val="545"/>
              <w:rPr>
                <w:sz w:val="20"/>
              </w:rPr>
            </w:pPr>
          </w:p>
          <w:p w14:paraId="390DD5B2">
            <w:pPr>
              <w:pStyle w:val="545"/>
              <w:rPr>
                <w:sz w:val="20"/>
              </w:rPr>
            </w:pPr>
          </w:p>
          <w:p w14:paraId="61E83C08">
            <w:pPr>
              <w:pStyle w:val="545"/>
              <w:rPr>
                <w:sz w:val="20"/>
              </w:rPr>
            </w:pPr>
          </w:p>
          <w:p w14:paraId="2CF4309B">
            <w:pPr>
              <w:pStyle w:val="545"/>
              <w:rPr>
                <w:sz w:val="20"/>
              </w:rPr>
            </w:pPr>
          </w:p>
          <w:p w14:paraId="6845910C">
            <w:pPr>
              <w:pStyle w:val="545"/>
              <w:rPr>
                <w:sz w:val="20"/>
              </w:rPr>
            </w:pPr>
          </w:p>
          <w:p w14:paraId="6C7DF86E">
            <w:pPr>
              <w:pStyle w:val="545"/>
              <w:rPr>
                <w:sz w:val="20"/>
              </w:rPr>
            </w:pPr>
          </w:p>
          <w:p w14:paraId="39A1FF55">
            <w:pPr>
              <w:pStyle w:val="545"/>
              <w:rPr>
                <w:sz w:val="20"/>
              </w:rPr>
            </w:pPr>
          </w:p>
          <w:p w14:paraId="7DDEEB2E">
            <w:pPr>
              <w:pStyle w:val="545"/>
              <w:rPr>
                <w:sz w:val="20"/>
              </w:rPr>
            </w:pPr>
          </w:p>
          <w:p w14:paraId="02601185">
            <w:pPr>
              <w:pStyle w:val="545"/>
              <w:spacing w:before="8"/>
            </w:pPr>
          </w:p>
          <w:p w14:paraId="6A07DB12">
            <w:pPr>
              <w:pStyle w:val="545"/>
              <w:ind w:left="593"/>
              <w:rPr>
                <w:b/>
                <w:sz w:val="21"/>
              </w:rPr>
            </w:pPr>
            <w:r>
              <w:rPr>
                <w:rFonts w:hint="eastAsia"/>
                <w:b/>
                <w:sz w:val="21"/>
              </w:rPr>
              <w:t>信用承诺</w:t>
            </w:r>
          </w:p>
        </w:tc>
        <w:tc>
          <w:tcPr>
            <w:tcW w:w="6654" w:type="dxa"/>
            <w:gridSpan w:val="3"/>
          </w:tcPr>
          <w:p w14:paraId="4D3D03D0">
            <w:pPr>
              <w:pStyle w:val="545"/>
              <w:rPr>
                <w:sz w:val="20"/>
              </w:rPr>
            </w:pPr>
          </w:p>
          <w:p w14:paraId="4BA27CDC">
            <w:pPr>
              <w:pStyle w:val="545"/>
              <w:spacing w:before="152" w:line="364" w:lineRule="auto"/>
              <w:ind w:left="106" w:right="-15" w:firstLine="420"/>
              <w:jc w:val="left"/>
              <w:rPr>
                <w:sz w:val="21"/>
              </w:rPr>
            </w:pPr>
            <w:r>
              <w:rPr>
                <w:rFonts w:hint="eastAsia"/>
                <w:sz w:val="21"/>
              </w:rPr>
              <w:t>我公司自愿参加贵中心(公司)组织的本次采购活动，严格遵守《中华人民共和国政府采购法》及相关法律法规，坚守公开、公平、公正和诚实信用的原则，依法诚信经营，无条件遵守本次政府采购活动的各项规定。我们郑</w:t>
            </w:r>
            <w:r>
              <w:rPr>
                <w:rFonts w:hint="eastAsia"/>
                <w:spacing w:val="-9"/>
                <w:sz w:val="21"/>
              </w:rPr>
              <w:t>重承诺，本公司符合《中华人民共和国政府采购法》第二十二条规定的条件， 包括:具有独立承担民事责任的能力;具有良好的商业信誉和健全的财务会计制度;有履行合同所必需的设备和专业技术能力;有依法缴纳税收和社会保障</w:t>
            </w:r>
            <w:r>
              <w:rPr>
                <w:rFonts w:hint="eastAsia"/>
                <w:spacing w:val="-13"/>
                <w:sz w:val="21"/>
              </w:rPr>
              <w:t>资金的良好记录;参加政府采购活动前三年内，在经营活动中没有重大违法记录;符合法律、行政法规和采购文件规定的其他条件。如有弄虛作假或其他违法违规行为，愿承担一切法律责任，接受各级政府采购监管部门和有权机关的审查和处罚。</w:t>
            </w:r>
          </w:p>
          <w:p w14:paraId="1813A254">
            <w:pPr>
              <w:pStyle w:val="545"/>
              <w:rPr>
                <w:sz w:val="20"/>
              </w:rPr>
            </w:pPr>
          </w:p>
          <w:p w14:paraId="17EC18E9">
            <w:pPr>
              <w:pStyle w:val="545"/>
              <w:rPr>
                <w:sz w:val="20"/>
              </w:rPr>
            </w:pPr>
          </w:p>
          <w:p w14:paraId="2E864494">
            <w:pPr>
              <w:pStyle w:val="545"/>
              <w:rPr>
                <w:sz w:val="20"/>
              </w:rPr>
            </w:pPr>
          </w:p>
          <w:p w14:paraId="00428BEE">
            <w:pPr>
              <w:pStyle w:val="545"/>
              <w:rPr>
                <w:sz w:val="20"/>
              </w:rPr>
            </w:pPr>
          </w:p>
          <w:p w14:paraId="369FA526">
            <w:pPr>
              <w:pStyle w:val="545"/>
              <w:spacing w:before="4"/>
              <w:rPr>
                <w:sz w:val="15"/>
              </w:rPr>
            </w:pPr>
          </w:p>
          <w:p w14:paraId="7F94F7B2">
            <w:pPr>
              <w:pStyle w:val="545"/>
              <w:spacing w:before="1" w:line="364" w:lineRule="auto"/>
              <w:ind w:right="2104"/>
              <w:jc w:val="right"/>
              <w:rPr>
                <w:sz w:val="21"/>
              </w:rPr>
            </w:pPr>
            <w:r>
              <w:rPr>
                <w:rFonts w:hint="eastAsia"/>
                <w:sz w:val="21"/>
              </w:rPr>
              <w:t xml:space="preserve">供应商名称（盖章）： </w:t>
            </w:r>
          </w:p>
          <w:p w14:paraId="3B735FEF">
            <w:pPr>
              <w:pStyle w:val="545"/>
              <w:spacing w:before="1" w:line="364" w:lineRule="auto"/>
              <w:ind w:right="2104"/>
              <w:jc w:val="right"/>
              <w:rPr>
                <w:sz w:val="21"/>
              </w:rPr>
            </w:pPr>
            <w:r>
              <w:rPr>
                <w:rFonts w:hint="eastAsia"/>
                <w:sz w:val="21"/>
              </w:rPr>
              <w:t>法定代表人（签字）：</w:t>
            </w:r>
          </w:p>
        </w:tc>
      </w:tr>
    </w:tbl>
    <w:p w14:paraId="0E4A2D0A">
      <w:pPr>
        <w:spacing w:line="360" w:lineRule="auto"/>
        <w:ind w:firstLine="422"/>
        <w:rPr>
          <w:rFonts w:ascii="仿宋" w:hAnsi="仿宋" w:eastAsia="仿宋" w:cs="仿宋"/>
          <w:b/>
          <w:color w:val="000000"/>
        </w:rPr>
      </w:pPr>
    </w:p>
    <w:p w14:paraId="52A26778">
      <w:pPr>
        <w:pStyle w:val="199"/>
        <w:rPr>
          <w:rFonts w:ascii="仿宋" w:hAnsi="仿宋" w:eastAsia="仿宋" w:cs="仿宋"/>
        </w:rPr>
      </w:pPr>
    </w:p>
    <w:p w14:paraId="77EDD736">
      <w:pPr>
        <w:pStyle w:val="199"/>
        <w:rPr>
          <w:rFonts w:ascii="仿宋" w:hAnsi="仿宋" w:eastAsia="仿宋" w:cs="仿宋"/>
        </w:rPr>
      </w:pPr>
    </w:p>
    <w:p w14:paraId="3F5A150D">
      <w:pPr>
        <w:pStyle w:val="199"/>
        <w:rPr>
          <w:rFonts w:ascii="仿宋" w:hAnsi="仿宋" w:eastAsia="仿宋" w:cs="仿宋"/>
        </w:rPr>
      </w:pPr>
    </w:p>
    <w:p w14:paraId="446E05D5">
      <w:pPr>
        <w:spacing w:line="360" w:lineRule="auto"/>
        <w:jc w:val="center"/>
        <w:outlineLvl w:val="0"/>
        <w:rPr>
          <w:rFonts w:ascii="仿宋" w:hAnsi="仿宋" w:eastAsia="仿宋" w:cs="仿宋"/>
          <w:b/>
          <w:color w:val="000000"/>
          <w:sz w:val="32"/>
          <w:szCs w:val="32"/>
        </w:rPr>
      </w:pPr>
      <w:r>
        <w:rPr>
          <w:rFonts w:hint="eastAsia" w:ascii="仿宋" w:hAnsi="仿宋" w:eastAsia="仿宋" w:cs="仿宋"/>
          <w:b/>
          <w:color w:val="000000"/>
          <w:sz w:val="32"/>
          <w:szCs w:val="32"/>
        </w:rPr>
        <w:br w:type="page" w:clear="all"/>
      </w:r>
      <w:bookmarkStart w:id="52" w:name="_Toc8913"/>
      <w:r>
        <w:rPr>
          <w:rFonts w:hint="eastAsia" w:ascii="仿宋" w:hAnsi="仿宋" w:eastAsia="仿宋" w:cs="仿宋"/>
          <w:b/>
          <w:color w:val="000000"/>
          <w:sz w:val="32"/>
          <w:szCs w:val="32"/>
        </w:rPr>
        <w:t>五、商务条款偏离表</w:t>
      </w:r>
      <w:bookmarkEnd w:id="52"/>
    </w:p>
    <w:tbl>
      <w:tblPr>
        <w:tblStyle w:val="34"/>
        <w:tblW w:w="914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78"/>
        <w:gridCol w:w="1620"/>
        <w:gridCol w:w="2700"/>
        <w:gridCol w:w="1415"/>
        <w:gridCol w:w="1810"/>
        <w:gridCol w:w="1020"/>
      </w:tblGrid>
      <w:tr w14:paraId="0603E4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tblHeader/>
          <w:jc w:val="center"/>
        </w:trPr>
        <w:tc>
          <w:tcPr>
            <w:tcW w:w="6313" w:type="dxa"/>
            <w:gridSpan w:val="4"/>
            <w:tcBorders>
              <w:top w:val="nil"/>
              <w:left w:val="nil"/>
              <w:right w:val="nil"/>
            </w:tcBorders>
            <w:vAlign w:val="center"/>
          </w:tcPr>
          <w:p w14:paraId="5A7AA849">
            <w:pPr>
              <w:widowControl/>
              <w:spacing w:line="240" w:lineRule="atLeast"/>
              <w:jc w:val="left"/>
              <w:rPr>
                <w:rFonts w:ascii="仿宋" w:hAnsi="仿宋" w:eastAsia="仿宋" w:cs="仿宋"/>
                <w:color w:val="000000"/>
                <w:szCs w:val="21"/>
                <w:lang w:val="zh-CN"/>
              </w:rPr>
            </w:pPr>
            <w:r>
              <w:rPr>
                <w:rFonts w:hint="eastAsia" w:ascii="仿宋" w:hAnsi="仿宋" w:eastAsia="仿宋" w:cs="仿宋"/>
                <w:color w:val="000000"/>
                <w:szCs w:val="21"/>
                <w:lang w:val="zh-CN"/>
              </w:rPr>
              <w:t>项目名称：</w:t>
            </w:r>
          </w:p>
        </w:tc>
        <w:tc>
          <w:tcPr>
            <w:tcW w:w="2830" w:type="dxa"/>
            <w:gridSpan w:val="2"/>
            <w:tcBorders>
              <w:top w:val="nil"/>
              <w:left w:val="nil"/>
              <w:right w:val="nil"/>
            </w:tcBorders>
            <w:vAlign w:val="center"/>
          </w:tcPr>
          <w:p w14:paraId="38B9F76E">
            <w:pPr>
              <w:widowControl/>
              <w:spacing w:line="240" w:lineRule="atLeast"/>
              <w:ind w:firstLine="105"/>
              <w:jc w:val="left"/>
              <w:rPr>
                <w:rFonts w:ascii="仿宋" w:hAnsi="仿宋" w:eastAsia="仿宋" w:cs="仿宋"/>
                <w:color w:val="000000"/>
                <w:szCs w:val="21"/>
                <w:lang w:val="zh-CN"/>
              </w:rPr>
            </w:pPr>
            <w:r>
              <w:rPr>
                <w:rFonts w:hint="eastAsia" w:ascii="仿宋" w:hAnsi="仿宋" w:eastAsia="仿宋" w:cs="仿宋"/>
                <w:color w:val="000000"/>
                <w:szCs w:val="21"/>
                <w:lang w:val="zh-CN"/>
              </w:rPr>
              <w:t xml:space="preserve">项目编号： </w:t>
            </w:r>
          </w:p>
        </w:tc>
      </w:tr>
      <w:tr w14:paraId="156FCF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578" w:type="dxa"/>
            <w:vAlign w:val="center"/>
          </w:tcPr>
          <w:p w14:paraId="520F86E4">
            <w:pPr>
              <w:widowControl/>
              <w:spacing w:line="240" w:lineRule="atLeast"/>
              <w:jc w:val="center"/>
              <w:rPr>
                <w:rFonts w:ascii="仿宋" w:hAnsi="仿宋" w:eastAsia="仿宋" w:cs="仿宋"/>
                <w:color w:val="000000"/>
                <w:szCs w:val="21"/>
                <w:lang w:val="zh-CN"/>
              </w:rPr>
            </w:pPr>
            <w:r>
              <w:rPr>
                <w:rFonts w:hint="eastAsia" w:ascii="仿宋" w:hAnsi="仿宋" w:eastAsia="仿宋" w:cs="仿宋"/>
                <w:color w:val="000000"/>
                <w:szCs w:val="21"/>
                <w:lang w:val="zh-CN"/>
              </w:rPr>
              <w:t>序号</w:t>
            </w:r>
          </w:p>
        </w:tc>
        <w:tc>
          <w:tcPr>
            <w:tcW w:w="1620" w:type="dxa"/>
            <w:vAlign w:val="center"/>
          </w:tcPr>
          <w:p w14:paraId="130304AA">
            <w:pPr>
              <w:widowControl/>
              <w:spacing w:line="240" w:lineRule="atLeast"/>
              <w:jc w:val="center"/>
              <w:rPr>
                <w:rFonts w:ascii="仿宋" w:hAnsi="仿宋" w:eastAsia="仿宋" w:cs="仿宋"/>
                <w:color w:val="000000"/>
                <w:szCs w:val="21"/>
                <w:lang w:val="zh-CN"/>
              </w:rPr>
            </w:pPr>
            <w:r>
              <w:rPr>
                <w:rFonts w:hint="eastAsia" w:ascii="仿宋" w:hAnsi="仿宋" w:eastAsia="仿宋" w:cs="仿宋"/>
                <w:color w:val="000000"/>
                <w:szCs w:val="21"/>
                <w:lang w:val="zh-CN"/>
              </w:rPr>
              <w:t>采购文件条目号</w:t>
            </w:r>
          </w:p>
        </w:tc>
        <w:tc>
          <w:tcPr>
            <w:tcW w:w="2700" w:type="dxa"/>
            <w:vAlign w:val="center"/>
          </w:tcPr>
          <w:p w14:paraId="3ED522E5">
            <w:pPr>
              <w:widowControl/>
              <w:spacing w:line="240" w:lineRule="atLeast"/>
              <w:jc w:val="center"/>
              <w:rPr>
                <w:rFonts w:ascii="仿宋" w:hAnsi="仿宋" w:eastAsia="仿宋" w:cs="仿宋"/>
                <w:color w:val="000000"/>
                <w:szCs w:val="21"/>
                <w:lang w:val="zh-CN"/>
              </w:rPr>
            </w:pPr>
            <w:r>
              <w:rPr>
                <w:rFonts w:hint="eastAsia" w:ascii="仿宋" w:hAnsi="仿宋" w:eastAsia="仿宋" w:cs="仿宋"/>
                <w:color w:val="000000"/>
                <w:szCs w:val="21"/>
                <w:lang w:val="zh-CN"/>
              </w:rPr>
              <w:t>采购文件要求的商务条款</w:t>
            </w:r>
          </w:p>
        </w:tc>
        <w:tc>
          <w:tcPr>
            <w:tcW w:w="3225" w:type="dxa"/>
            <w:gridSpan w:val="2"/>
            <w:vAlign w:val="center"/>
          </w:tcPr>
          <w:p w14:paraId="6CC22F2E">
            <w:pPr>
              <w:widowControl/>
              <w:spacing w:line="240" w:lineRule="atLeast"/>
              <w:jc w:val="center"/>
              <w:rPr>
                <w:rFonts w:ascii="仿宋" w:hAnsi="仿宋" w:eastAsia="仿宋" w:cs="仿宋"/>
                <w:color w:val="000000"/>
                <w:szCs w:val="21"/>
                <w:lang w:val="zh-CN"/>
              </w:rPr>
            </w:pPr>
            <w:r>
              <w:rPr>
                <w:rFonts w:hint="eastAsia" w:ascii="仿宋" w:hAnsi="仿宋" w:eastAsia="仿宋" w:cs="仿宋"/>
                <w:color w:val="000000"/>
                <w:szCs w:val="21"/>
                <w:lang w:val="zh-CN"/>
              </w:rPr>
              <w:t>磋商响应</w:t>
            </w:r>
          </w:p>
        </w:tc>
        <w:tc>
          <w:tcPr>
            <w:tcW w:w="1020" w:type="dxa"/>
            <w:vAlign w:val="center"/>
          </w:tcPr>
          <w:p w14:paraId="53DBFB15">
            <w:pPr>
              <w:widowControl/>
              <w:spacing w:line="240" w:lineRule="atLeast"/>
              <w:jc w:val="center"/>
              <w:rPr>
                <w:rFonts w:ascii="仿宋" w:hAnsi="仿宋" w:eastAsia="仿宋" w:cs="仿宋"/>
                <w:color w:val="000000"/>
                <w:szCs w:val="21"/>
                <w:lang w:val="zh-CN"/>
              </w:rPr>
            </w:pPr>
            <w:r>
              <w:rPr>
                <w:rFonts w:hint="eastAsia" w:ascii="仿宋" w:hAnsi="仿宋" w:eastAsia="仿宋" w:cs="仿宋"/>
                <w:color w:val="000000"/>
                <w:szCs w:val="21"/>
                <w:lang w:val="zh-CN"/>
              </w:rPr>
              <w:t>偏离</w:t>
            </w:r>
          </w:p>
        </w:tc>
      </w:tr>
      <w:tr w14:paraId="0E2B76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578" w:type="dxa"/>
            <w:vAlign w:val="center"/>
          </w:tcPr>
          <w:p w14:paraId="0182C1C5">
            <w:pPr>
              <w:widowControl/>
              <w:spacing w:line="240" w:lineRule="atLeast"/>
              <w:jc w:val="center"/>
              <w:rPr>
                <w:rFonts w:ascii="仿宋" w:hAnsi="仿宋" w:eastAsia="仿宋" w:cs="仿宋"/>
                <w:color w:val="000000"/>
                <w:szCs w:val="21"/>
                <w:lang w:val="zh-CN"/>
              </w:rPr>
            </w:pPr>
          </w:p>
        </w:tc>
        <w:tc>
          <w:tcPr>
            <w:tcW w:w="1620" w:type="dxa"/>
            <w:vAlign w:val="center"/>
          </w:tcPr>
          <w:p w14:paraId="157E9F88">
            <w:pPr>
              <w:widowControl/>
              <w:spacing w:line="240" w:lineRule="atLeast"/>
              <w:jc w:val="center"/>
              <w:rPr>
                <w:rFonts w:ascii="仿宋" w:hAnsi="仿宋" w:eastAsia="仿宋" w:cs="仿宋"/>
                <w:color w:val="000000"/>
                <w:szCs w:val="21"/>
                <w:lang w:val="zh-CN"/>
              </w:rPr>
            </w:pPr>
          </w:p>
        </w:tc>
        <w:tc>
          <w:tcPr>
            <w:tcW w:w="2700" w:type="dxa"/>
            <w:vAlign w:val="center"/>
          </w:tcPr>
          <w:p w14:paraId="4C5041BA">
            <w:pPr>
              <w:widowControl/>
              <w:spacing w:line="240" w:lineRule="atLeast"/>
              <w:jc w:val="center"/>
              <w:rPr>
                <w:rFonts w:ascii="仿宋" w:hAnsi="仿宋" w:eastAsia="仿宋" w:cs="仿宋"/>
                <w:color w:val="000000"/>
                <w:szCs w:val="21"/>
                <w:lang w:val="zh-CN"/>
              </w:rPr>
            </w:pPr>
          </w:p>
        </w:tc>
        <w:tc>
          <w:tcPr>
            <w:tcW w:w="3225" w:type="dxa"/>
            <w:gridSpan w:val="2"/>
            <w:vAlign w:val="center"/>
          </w:tcPr>
          <w:p w14:paraId="388B6019">
            <w:pPr>
              <w:widowControl/>
              <w:spacing w:line="240" w:lineRule="atLeast"/>
              <w:jc w:val="center"/>
              <w:rPr>
                <w:rFonts w:ascii="仿宋" w:hAnsi="仿宋" w:eastAsia="仿宋" w:cs="仿宋"/>
                <w:color w:val="000000"/>
                <w:szCs w:val="21"/>
                <w:lang w:val="zh-CN"/>
              </w:rPr>
            </w:pPr>
          </w:p>
        </w:tc>
        <w:tc>
          <w:tcPr>
            <w:tcW w:w="1020" w:type="dxa"/>
            <w:vAlign w:val="center"/>
          </w:tcPr>
          <w:p w14:paraId="207DE89C">
            <w:pPr>
              <w:widowControl/>
              <w:spacing w:line="240" w:lineRule="atLeast"/>
              <w:jc w:val="center"/>
              <w:rPr>
                <w:rFonts w:ascii="仿宋" w:hAnsi="仿宋" w:eastAsia="仿宋" w:cs="仿宋"/>
                <w:color w:val="000000"/>
                <w:szCs w:val="21"/>
                <w:lang w:val="zh-CN"/>
              </w:rPr>
            </w:pPr>
          </w:p>
        </w:tc>
      </w:tr>
      <w:tr w14:paraId="51210A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578" w:type="dxa"/>
            <w:vAlign w:val="center"/>
          </w:tcPr>
          <w:p w14:paraId="18561BBA">
            <w:pPr>
              <w:widowControl/>
              <w:spacing w:line="240" w:lineRule="atLeast"/>
              <w:jc w:val="center"/>
              <w:rPr>
                <w:rFonts w:ascii="仿宋" w:hAnsi="仿宋" w:eastAsia="仿宋" w:cs="仿宋"/>
                <w:color w:val="000000"/>
                <w:szCs w:val="21"/>
                <w:lang w:val="zh-CN"/>
              </w:rPr>
            </w:pPr>
          </w:p>
        </w:tc>
        <w:tc>
          <w:tcPr>
            <w:tcW w:w="1620" w:type="dxa"/>
            <w:vAlign w:val="center"/>
          </w:tcPr>
          <w:p w14:paraId="20058A75">
            <w:pPr>
              <w:widowControl/>
              <w:spacing w:line="240" w:lineRule="atLeast"/>
              <w:jc w:val="center"/>
              <w:rPr>
                <w:rFonts w:ascii="仿宋" w:hAnsi="仿宋" w:eastAsia="仿宋" w:cs="仿宋"/>
                <w:color w:val="000000"/>
                <w:szCs w:val="21"/>
                <w:lang w:val="zh-CN"/>
              </w:rPr>
            </w:pPr>
          </w:p>
        </w:tc>
        <w:tc>
          <w:tcPr>
            <w:tcW w:w="2700" w:type="dxa"/>
            <w:vAlign w:val="center"/>
          </w:tcPr>
          <w:p w14:paraId="6D54C579">
            <w:pPr>
              <w:widowControl/>
              <w:spacing w:line="240" w:lineRule="atLeast"/>
              <w:jc w:val="center"/>
              <w:rPr>
                <w:rFonts w:ascii="仿宋" w:hAnsi="仿宋" w:eastAsia="仿宋" w:cs="仿宋"/>
                <w:color w:val="000000"/>
                <w:szCs w:val="21"/>
                <w:lang w:val="zh-CN"/>
              </w:rPr>
            </w:pPr>
          </w:p>
        </w:tc>
        <w:tc>
          <w:tcPr>
            <w:tcW w:w="3225" w:type="dxa"/>
            <w:gridSpan w:val="2"/>
            <w:vAlign w:val="center"/>
          </w:tcPr>
          <w:p w14:paraId="639BF295">
            <w:pPr>
              <w:widowControl/>
              <w:spacing w:line="240" w:lineRule="atLeast"/>
              <w:jc w:val="center"/>
              <w:rPr>
                <w:rFonts w:ascii="仿宋" w:hAnsi="仿宋" w:eastAsia="仿宋" w:cs="仿宋"/>
                <w:color w:val="000000"/>
                <w:szCs w:val="21"/>
                <w:lang w:val="zh-CN"/>
              </w:rPr>
            </w:pPr>
          </w:p>
        </w:tc>
        <w:tc>
          <w:tcPr>
            <w:tcW w:w="1020" w:type="dxa"/>
            <w:vAlign w:val="center"/>
          </w:tcPr>
          <w:p w14:paraId="1B143F0B">
            <w:pPr>
              <w:widowControl/>
              <w:spacing w:line="240" w:lineRule="atLeast"/>
              <w:jc w:val="center"/>
              <w:rPr>
                <w:rFonts w:ascii="仿宋" w:hAnsi="仿宋" w:eastAsia="仿宋" w:cs="仿宋"/>
                <w:color w:val="000000"/>
                <w:szCs w:val="21"/>
                <w:lang w:val="zh-CN"/>
              </w:rPr>
            </w:pPr>
          </w:p>
        </w:tc>
      </w:tr>
      <w:tr w14:paraId="055D49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578" w:type="dxa"/>
            <w:vAlign w:val="center"/>
          </w:tcPr>
          <w:p w14:paraId="0573A1ED">
            <w:pPr>
              <w:widowControl/>
              <w:spacing w:line="240" w:lineRule="atLeast"/>
              <w:jc w:val="center"/>
              <w:rPr>
                <w:rFonts w:ascii="仿宋" w:hAnsi="仿宋" w:eastAsia="仿宋" w:cs="仿宋"/>
                <w:color w:val="000000"/>
                <w:szCs w:val="21"/>
                <w:lang w:val="zh-CN"/>
              </w:rPr>
            </w:pPr>
          </w:p>
        </w:tc>
        <w:tc>
          <w:tcPr>
            <w:tcW w:w="1620" w:type="dxa"/>
            <w:vAlign w:val="center"/>
          </w:tcPr>
          <w:p w14:paraId="3F462222">
            <w:pPr>
              <w:widowControl/>
              <w:spacing w:line="240" w:lineRule="atLeast"/>
              <w:jc w:val="center"/>
              <w:rPr>
                <w:rFonts w:ascii="仿宋" w:hAnsi="仿宋" w:eastAsia="仿宋" w:cs="仿宋"/>
                <w:color w:val="000000"/>
                <w:szCs w:val="21"/>
                <w:lang w:val="zh-CN"/>
              </w:rPr>
            </w:pPr>
          </w:p>
        </w:tc>
        <w:tc>
          <w:tcPr>
            <w:tcW w:w="2700" w:type="dxa"/>
            <w:vAlign w:val="center"/>
          </w:tcPr>
          <w:p w14:paraId="1DC02557">
            <w:pPr>
              <w:widowControl/>
              <w:spacing w:line="240" w:lineRule="atLeast"/>
              <w:jc w:val="center"/>
              <w:rPr>
                <w:rFonts w:ascii="仿宋" w:hAnsi="仿宋" w:eastAsia="仿宋" w:cs="仿宋"/>
                <w:color w:val="000000"/>
                <w:szCs w:val="21"/>
                <w:lang w:val="zh-CN"/>
              </w:rPr>
            </w:pPr>
          </w:p>
        </w:tc>
        <w:tc>
          <w:tcPr>
            <w:tcW w:w="3225" w:type="dxa"/>
            <w:gridSpan w:val="2"/>
            <w:vAlign w:val="center"/>
          </w:tcPr>
          <w:p w14:paraId="5923A0A7">
            <w:pPr>
              <w:widowControl/>
              <w:spacing w:line="240" w:lineRule="atLeast"/>
              <w:jc w:val="center"/>
              <w:rPr>
                <w:rFonts w:ascii="仿宋" w:hAnsi="仿宋" w:eastAsia="仿宋" w:cs="仿宋"/>
                <w:color w:val="000000"/>
                <w:szCs w:val="21"/>
                <w:lang w:val="zh-CN"/>
              </w:rPr>
            </w:pPr>
          </w:p>
        </w:tc>
        <w:tc>
          <w:tcPr>
            <w:tcW w:w="1020" w:type="dxa"/>
            <w:vAlign w:val="center"/>
          </w:tcPr>
          <w:p w14:paraId="3CFE7348">
            <w:pPr>
              <w:widowControl/>
              <w:spacing w:line="240" w:lineRule="atLeast"/>
              <w:jc w:val="center"/>
              <w:rPr>
                <w:rFonts w:ascii="仿宋" w:hAnsi="仿宋" w:eastAsia="仿宋" w:cs="仿宋"/>
                <w:color w:val="000000"/>
                <w:szCs w:val="21"/>
                <w:lang w:val="zh-CN"/>
              </w:rPr>
            </w:pPr>
          </w:p>
        </w:tc>
      </w:tr>
      <w:tr w14:paraId="2A7492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578" w:type="dxa"/>
            <w:vAlign w:val="center"/>
          </w:tcPr>
          <w:p w14:paraId="520FE46F">
            <w:pPr>
              <w:widowControl/>
              <w:spacing w:line="240" w:lineRule="atLeast"/>
              <w:jc w:val="center"/>
              <w:rPr>
                <w:rFonts w:ascii="仿宋" w:hAnsi="仿宋" w:eastAsia="仿宋" w:cs="仿宋"/>
                <w:color w:val="000000"/>
                <w:szCs w:val="21"/>
                <w:lang w:val="zh-CN"/>
              </w:rPr>
            </w:pPr>
          </w:p>
        </w:tc>
        <w:tc>
          <w:tcPr>
            <w:tcW w:w="1620" w:type="dxa"/>
            <w:vAlign w:val="center"/>
          </w:tcPr>
          <w:p w14:paraId="1CD93EE7">
            <w:pPr>
              <w:widowControl/>
              <w:spacing w:line="240" w:lineRule="atLeast"/>
              <w:jc w:val="center"/>
              <w:rPr>
                <w:rFonts w:ascii="仿宋" w:hAnsi="仿宋" w:eastAsia="仿宋" w:cs="仿宋"/>
                <w:color w:val="000000"/>
                <w:szCs w:val="21"/>
                <w:lang w:val="zh-CN"/>
              </w:rPr>
            </w:pPr>
          </w:p>
        </w:tc>
        <w:tc>
          <w:tcPr>
            <w:tcW w:w="2700" w:type="dxa"/>
            <w:vAlign w:val="center"/>
          </w:tcPr>
          <w:p w14:paraId="6C381C83">
            <w:pPr>
              <w:widowControl/>
              <w:spacing w:line="240" w:lineRule="atLeast"/>
              <w:jc w:val="center"/>
              <w:rPr>
                <w:rFonts w:ascii="仿宋" w:hAnsi="仿宋" w:eastAsia="仿宋" w:cs="仿宋"/>
                <w:color w:val="000000"/>
                <w:szCs w:val="21"/>
                <w:lang w:val="zh-CN"/>
              </w:rPr>
            </w:pPr>
          </w:p>
        </w:tc>
        <w:tc>
          <w:tcPr>
            <w:tcW w:w="3225" w:type="dxa"/>
            <w:gridSpan w:val="2"/>
            <w:vAlign w:val="center"/>
          </w:tcPr>
          <w:p w14:paraId="7186F282">
            <w:pPr>
              <w:widowControl/>
              <w:spacing w:line="240" w:lineRule="atLeast"/>
              <w:jc w:val="center"/>
              <w:rPr>
                <w:rFonts w:ascii="仿宋" w:hAnsi="仿宋" w:eastAsia="仿宋" w:cs="仿宋"/>
                <w:color w:val="000000"/>
                <w:szCs w:val="21"/>
                <w:lang w:val="zh-CN"/>
              </w:rPr>
            </w:pPr>
          </w:p>
        </w:tc>
        <w:tc>
          <w:tcPr>
            <w:tcW w:w="1020" w:type="dxa"/>
            <w:vAlign w:val="center"/>
          </w:tcPr>
          <w:p w14:paraId="2F470C18">
            <w:pPr>
              <w:widowControl/>
              <w:spacing w:line="240" w:lineRule="atLeast"/>
              <w:jc w:val="center"/>
              <w:rPr>
                <w:rFonts w:ascii="仿宋" w:hAnsi="仿宋" w:eastAsia="仿宋" w:cs="仿宋"/>
                <w:color w:val="000000"/>
                <w:szCs w:val="21"/>
                <w:lang w:val="zh-CN"/>
              </w:rPr>
            </w:pPr>
          </w:p>
        </w:tc>
      </w:tr>
      <w:tr w14:paraId="5509EC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578" w:type="dxa"/>
            <w:vAlign w:val="center"/>
          </w:tcPr>
          <w:p w14:paraId="715D4D4A">
            <w:pPr>
              <w:widowControl/>
              <w:spacing w:line="240" w:lineRule="atLeast"/>
              <w:jc w:val="center"/>
              <w:rPr>
                <w:rFonts w:ascii="仿宋" w:hAnsi="仿宋" w:eastAsia="仿宋" w:cs="仿宋"/>
                <w:color w:val="000000"/>
                <w:szCs w:val="21"/>
                <w:lang w:val="zh-CN"/>
              </w:rPr>
            </w:pPr>
          </w:p>
        </w:tc>
        <w:tc>
          <w:tcPr>
            <w:tcW w:w="1620" w:type="dxa"/>
            <w:vAlign w:val="center"/>
          </w:tcPr>
          <w:p w14:paraId="7B6C734C">
            <w:pPr>
              <w:widowControl/>
              <w:spacing w:line="240" w:lineRule="atLeast"/>
              <w:jc w:val="center"/>
              <w:rPr>
                <w:rFonts w:ascii="仿宋" w:hAnsi="仿宋" w:eastAsia="仿宋" w:cs="仿宋"/>
                <w:color w:val="000000"/>
                <w:szCs w:val="21"/>
                <w:lang w:val="zh-CN"/>
              </w:rPr>
            </w:pPr>
          </w:p>
        </w:tc>
        <w:tc>
          <w:tcPr>
            <w:tcW w:w="2700" w:type="dxa"/>
            <w:vAlign w:val="center"/>
          </w:tcPr>
          <w:p w14:paraId="6B002553">
            <w:pPr>
              <w:widowControl/>
              <w:spacing w:line="240" w:lineRule="atLeast"/>
              <w:jc w:val="center"/>
              <w:rPr>
                <w:rFonts w:ascii="仿宋" w:hAnsi="仿宋" w:eastAsia="仿宋" w:cs="仿宋"/>
                <w:color w:val="000000"/>
                <w:szCs w:val="21"/>
                <w:lang w:val="zh-CN"/>
              </w:rPr>
            </w:pPr>
          </w:p>
        </w:tc>
        <w:tc>
          <w:tcPr>
            <w:tcW w:w="3225" w:type="dxa"/>
            <w:gridSpan w:val="2"/>
            <w:vAlign w:val="center"/>
          </w:tcPr>
          <w:p w14:paraId="1143F7F4">
            <w:pPr>
              <w:widowControl/>
              <w:spacing w:line="240" w:lineRule="atLeast"/>
              <w:jc w:val="center"/>
              <w:rPr>
                <w:rFonts w:ascii="仿宋" w:hAnsi="仿宋" w:eastAsia="仿宋" w:cs="仿宋"/>
                <w:color w:val="000000"/>
                <w:szCs w:val="21"/>
                <w:lang w:val="zh-CN"/>
              </w:rPr>
            </w:pPr>
          </w:p>
        </w:tc>
        <w:tc>
          <w:tcPr>
            <w:tcW w:w="1020" w:type="dxa"/>
            <w:vAlign w:val="center"/>
          </w:tcPr>
          <w:p w14:paraId="37452935">
            <w:pPr>
              <w:widowControl/>
              <w:spacing w:line="240" w:lineRule="atLeast"/>
              <w:jc w:val="center"/>
              <w:rPr>
                <w:rFonts w:ascii="仿宋" w:hAnsi="仿宋" w:eastAsia="仿宋" w:cs="仿宋"/>
                <w:color w:val="000000"/>
                <w:szCs w:val="21"/>
                <w:lang w:val="zh-CN"/>
              </w:rPr>
            </w:pPr>
          </w:p>
        </w:tc>
      </w:tr>
    </w:tbl>
    <w:p w14:paraId="5AC44CB8">
      <w:pPr>
        <w:widowControl/>
        <w:spacing w:line="360" w:lineRule="auto"/>
        <w:jc w:val="left"/>
        <w:rPr>
          <w:rFonts w:ascii="仿宋" w:hAnsi="仿宋" w:eastAsia="仿宋" w:cs="仿宋"/>
          <w:color w:val="000000"/>
          <w:szCs w:val="21"/>
          <w:lang w:val="zh-CN"/>
        </w:rPr>
      </w:pPr>
    </w:p>
    <w:p w14:paraId="43B9393F">
      <w:pPr>
        <w:widowControl/>
        <w:spacing w:line="360" w:lineRule="auto"/>
        <w:jc w:val="left"/>
        <w:rPr>
          <w:rFonts w:ascii="仿宋" w:hAnsi="仿宋" w:eastAsia="仿宋" w:cs="仿宋"/>
          <w:color w:val="000000"/>
          <w:szCs w:val="21"/>
          <w:lang w:val="zh-CN"/>
        </w:rPr>
      </w:pPr>
    </w:p>
    <w:p w14:paraId="55B3C60A">
      <w:pPr>
        <w:widowControl/>
        <w:spacing w:line="360" w:lineRule="auto"/>
        <w:jc w:val="left"/>
        <w:rPr>
          <w:rFonts w:ascii="仿宋" w:hAnsi="仿宋" w:eastAsia="仿宋" w:cs="仿宋"/>
          <w:color w:val="000000"/>
          <w:szCs w:val="21"/>
          <w:lang w:val="zh-CN"/>
        </w:rPr>
      </w:pPr>
      <w:r>
        <w:rPr>
          <w:rFonts w:hint="eastAsia" w:ascii="仿宋" w:hAnsi="仿宋" w:eastAsia="仿宋" w:cs="仿宋"/>
          <w:color w:val="000000"/>
          <w:szCs w:val="21"/>
          <w:lang w:val="zh-CN"/>
        </w:rPr>
        <w:t>供应商名称：</w:t>
      </w:r>
      <w:r>
        <w:rPr>
          <w:rFonts w:hint="eastAsia" w:ascii="仿宋" w:hAnsi="仿宋" w:eastAsia="仿宋" w:cs="仿宋"/>
          <w:color w:val="000000"/>
          <w:szCs w:val="21"/>
          <w:u w:val="single"/>
          <w:lang w:val="zh-CN"/>
        </w:rPr>
        <w:t xml:space="preserve">                                                      </w:t>
      </w:r>
      <w:r>
        <w:rPr>
          <w:rFonts w:hint="eastAsia" w:ascii="仿宋" w:hAnsi="仿宋" w:eastAsia="仿宋" w:cs="仿宋"/>
          <w:color w:val="000000"/>
          <w:szCs w:val="21"/>
          <w:lang w:val="zh-CN"/>
        </w:rPr>
        <w:t>（盖章）</w:t>
      </w:r>
    </w:p>
    <w:p w14:paraId="0BF2A686">
      <w:pPr>
        <w:spacing w:line="360" w:lineRule="auto"/>
        <w:rPr>
          <w:rFonts w:ascii="仿宋" w:hAnsi="仿宋" w:eastAsia="仿宋" w:cs="仿宋"/>
          <w:color w:val="000000"/>
          <w:szCs w:val="21"/>
          <w:lang w:val="zh-CN"/>
        </w:rPr>
      </w:pPr>
      <w:r>
        <w:rPr>
          <w:rFonts w:hint="eastAsia" w:ascii="仿宋" w:hAnsi="仿宋" w:eastAsia="仿宋" w:cs="仿宋"/>
          <w:color w:val="000000"/>
          <w:szCs w:val="21"/>
          <w:lang w:val="zh-CN"/>
        </w:rPr>
        <w:t>说明：如果行数不够，请自行增加。</w:t>
      </w:r>
    </w:p>
    <w:p w14:paraId="78493E94">
      <w:pPr>
        <w:pStyle w:val="199"/>
        <w:rPr>
          <w:rFonts w:ascii="仿宋" w:hAnsi="仿宋" w:eastAsia="仿宋" w:cs="仿宋"/>
          <w:sz w:val="21"/>
          <w:szCs w:val="21"/>
        </w:rPr>
      </w:pPr>
    </w:p>
    <w:p w14:paraId="17A2AA64">
      <w:pPr>
        <w:spacing w:line="360" w:lineRule="auto"/>
        <w:jc w:val="center"/>
        <w:outlineLvl w:val="0"/>
        <w:rPr>
          <w:rFonts w:ascii="仿宋" w:hAnsi="仿宋" w:eastAsia="仿宋" w:cs="仿宋"/>
          <w:b/>
          <w:color w:val="000000"/>
          <w:sz w:val="32"/>
          <w:szCs w:val="32"/>
        </w:rPr>
      </w:pPr>
      <w:r>
        <w:rPr>
          <w:rFonts w:hint="eastAsia" w:ascii="仿宋" w:hAnsi="仿宋" w:eastAsia="仿宋" w:cs="仿宋"/>
          <w:color w:val="000000"/>
        </w:rPr>
        <w:br w:type="page" w:clear="all"/>
      </w:r>
      <w:bookmarkStart w:id="53" w:name="_Toc6419"/>
      <w:r>
        <w:rPr>
          <w:rFonts w:hint="eastAsia" w:ascii="仿宋" w:hAnsi="仿宋" w:eastAsia="仿宋" w:cs="仿宋"/>
          <w:b/>
          <w:color w:val="000000"/>
          <w:sz w:val="32"/>
          <w:szCs w:val="32"/>
        </w:rPr>
        <w:t>六、技术条款偏离表</w:t>
      </w:r>
      <w:bookmarkEnd w:id="53"/>
    </w:p>
    <w:tbl>
      <w:tblPr>
        <w:tblStyle w:val="34"/>
        <w:tblW w:w="914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78"/>
        <w:gridCol w:w="1620"/>
        <w:gridCol w:w="2700"/>
        <w:gridCol w:w="1415"/>
        <w:gridCol w:w="1810"/>
        <w:gridCol w:w="1020"/>
      </w:tblGrid>
      <w:tr w14:paraId="7E73CE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tblHeader/>
          <w:jc w:val="center"/>
        </w:trPr>
        <w:tc>
          <w:tcPr>
            <w:tcW w:w="6313" w:type="dxa"/>
            <w:gridSpan w:val="4"/>
            <w:tcBorders>
              <w:top w:val="nil"/>
              <w:left w:val="nil"/>
              <w:right w:val="nil"/>
            </w:tcBorders>
            <w:vAlign w:val="center"/>
          </w:tcPr>
          <w:p w14:paraId="417343E2">
            <w:pPr>
              <w:widowControl/>
              <w:spacing w:line="240" w:lineRule="atLeast"/>
              <w:jc w:val="left"/>
              <w:rPr>
                <w:rFonts w:ascii="仿宋" w:hAnsi="仿宋" w:eastAsia="仿宋" w:cs="仿宋"/>
                <w:color w:val="000000"/>
                <w:szCs w:val="21"/>
                <w:lang w:val="zh-CN"/>
              </w:rPr>
            </w:pPr>
            <w:r>
              <w:rPr>
                <w:rFonts w:hint="eastAsia" w:ascii="仿宋" w:hAnsi="仿宋" w:eastAsia="仿宋" w:cs="仿宋"/>
                <w:color w:val="000000"/>
                <w:szCs w:val="21"/>
                <w:lang w:val="zh-CN"/>
              </w:rPr>
              <w:t>项目名称：</w:t>
            </w:r>
          </w:p>
        </w:tc>
        <w:tc>
          <w:tcPr>
            <w:tcW w:w="2830" w:type="dxa"/>
            <w:gridSpan w:val="2"/>
            <w:tcBorders>
              <w:top w:val="nil"/>
              <w:left w:val="nil"/>
              <w:right w:val="nil"/>
            </w:tcBorders>
            <w:vAlign w:val="center"/>
          </w:tcPr>
          <w:p w14:paraId="1D0C3DD6">
            <w:pPr>
              <w:widowControl/>
              <w:spacing w:line="240" w:lineRule="atLeast"/>
              <w:ind w:firstLine="105"/>
              <w:jc w:val="left"/>
              <w:rPr>
                <w:rFonts w:ascii="仿宋" w:hAnsi="仿宋" w:eastAsia="仿宋" w:cs="仿宋"/>
                <w:color w:val="000000"/>
                <w:szCs w:val="21"/>
                <w:lang w:val="zh-CN"/>
              </w:rPr>
            </w:pPr>
            <w:r>
              <w:rPr>
                <w:rFonts w:hint="eastAsia" w:ascii="仿宋" w:hAnsi="仿宋" w:eastAsia="仿宋" w:cs="仿宋"/>
                <w:color w:val="000000"/>
                <w:szCs w:val="21"/>
                <w:lang w:val="zh-CN"/>
              </w:rPr>
              <w:t xml:space="preserve">项目编号： </w:t>
            </w:r>
          </w:p>
        </w:tc>
      </w:tr>
      <w:tr w14:paraId="1E681D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578" w:type="dxa"/>
            <w:vAlign w:val="center"/>
          </w:tcPr>
          <w:p w14:paraId="49FDCA00">
            <w:pPr>
              <w:widowControl/>
              <w:spacing w:line="240" w:lineRule="atLeast"/>
              <w:jc w:val="center"/>
              <w:rPr>
                <w:rFonts w:ascii="仿宋" w:hAnsi="仿宋" w:eastAsia="仿宋" w:cs="仿宋"/>
                <w:color w:val="000000"/>
                <w:szCs w:val="21"/>
                <w:lang w:val="zh-CN"/>
              </w:rPr>
            </w:pPr>
            <w:r>
              <w:rPr>
                <w:rFonts w:hint="eastAsia" w:ascii="仿宋" w:hAnsi="仿宋" w:eastAsia="仿宋" w:cs="仿宋"/>
                <w:color w:val="000000"/>
                <w:szCs w:val="21"/>
                <w:lang w:val="zh-CN"/>
              </w:rPr>
              <w:t>序号</w:t>
            </w:r>
          </w:p>
        </w:tc>
        <w:tc>
          <w:tcPr>
            <w:tcW w:w="1620" w:type="dxa"/>
            <w:vAlign w:val="center"/>
          </w:tcPr>
          <w:p w14:paraId="629A0C97">
            <w:pPr>
              <w:widowControl/>
              <w:spacing w:line="240" w:lineRule="atLeast"/>
              <w:jc w:val="center"/>
              <w:rPr>
                <w:rFonts w:ascii="仿宋" w:hAnsi="仿宋" w:eastAsia="仿宋" w:cs="仿宋"/>
                <w:color w:val="000000"/>
                <w:szCs w:val="21"/>
                <w:lang w:val="zh-CN"/>
              </w:rPr>
            </w:pPr>
            <w:r>
              <w:rPr>
                <w:rFonts w:hint="eastAsia" w:ascii="仿宋" w:hAnsi="仿宋" w:eastAsia="仿宋" w:cs="仿宋"/>
                <w:color w:val="000000"/>
                <w:szCs w:val="21"/>
                <w:lang w:val="zh-CN"/>
              </w:rPr>
              <w:t>采购文件条目号</w:t>
            </w:r>
          </w:p>
        </w:tc>
        <w:tc>
          <w:tcPr>
            <w:tcW w:w="2700" w:type="dxa"/>
            <w:vAlign w:val="center"/>
          </w:tcPr>
          <w:p w14:paraId="1BEFBD31">
            <w:pPr>
              <w:widowControl/>
              <w:spacing w:line="240" w:lineRule="atLeast"/>
              <w:jc w:val="center"/>
              <w:rPr>
                <w:rFonts w:ascii="仿宋" w:hAnsi="仿宋" w:eastAsia="仿宋" w:cs="仿宋"/>
                <w:color w:val="000000"/>
                <w:szCs w:val="21"/>
                <w:lang w:val="zh-CN"/>
              </w:rPr>
            </w:pPr>
            <w:r>
              <w:rPr>
                <w:rFonts w:hint="eastAsia" w:ascii="仿宋" w:hAnsi="仿宋" w:eastAsia="仿宋" w:cs="仿宋"/>
                <w:color w:val="000000"/>
                <w:szCs w:val="21"/>
                <w:lang w:val="zh-CN"/>
              </w:rPr>
              <w:t>采购文件要求的技术条款</w:t>
            </w:r>
          </w:p>
        </w:tc>
        <w:tc>
          <w:tcPr>
            <w:tcW w:w="3225" w:type="dxa"/>
            <w:gridSpan w:val="2"/>
            <w:vAlign w:val="center"/>
          </w:tcPr>
          <w:p w14:paraId="254C6B4E">
            <w:pPr>
              <w:widowControl/>
              <w:spacing w:line="240" w:lineRule="atLeast"/>
              <w:jc w:val="center"/>
              <w:rPr>
                <w:rFonts w:ascii="仿宋" w:hAnsi="仿宋" w:eastAsia="仿宋" w:cs="仿宋"/>
                <w:color w:val="000000"/>
                <w:szCs w:val="21"/>
                <w:lang w:val="zh-CN"/>
              </w:rPr>
            </w:pPr>
            <w:r>
              <w:rPr>
                <w:rFonts w:hint="eastAsia" w:ascii="仿宋" w:hAnsi="仿宋" w:eastAsia="仿宋" w:cs="仿宋"/>
                <w:color w:val="000000"/>
                <w:szCs w:val="21"/>
                <w:lang w:val="zh-CN"/>
              </w:rPr>
              <w:t>磋商响应</w:t>
            </w:r>
          </w:p>
        </w:tc>
        <w:tc>
          <w:tcPr>
            <w:tcW w:w="1020" w:type="dxa"/>
            <w:vAlign w:val="center"/>
          </w:tcPr>
          <w:p w14:paraId="3FC506CD">
            <w:pPr>
              <w:widowControl/>
              <w:spacing w:line="240" w:lineRule="atLeast"/>
              <w:jc w:val="center"/>
              <w:rPr>
                <w:rFonts w:ascii="仿宋" w:hAnsi="仿宋" w:eastAsia="仿宋" w:cs="仿宋"/>
                <w:color w:val="000000"/>
                <w:szCs w:val="21"/>
                <w:lang w:val="zh-CN"/>
              </w:rPr>
            </w:pPr>
            <w:r>
              <w:rPr>
                <w:rFonts w:hint="eastAsia" w:ascii="仿宋" w:hAnsi="仿宋" w:eastAsia="仿宋" w:cs="仿宋"/>
                <w:color w:val="000000"/>
                <w:szCs w:val="21"/>
                <w:lang w:val="zh-CN"/>
              </w:rPr>
              <w:t>偏离</w:t>
            </w:r>
          </w:p>
        </w:tc>
      </w:tr>
      <w:tr w14:paraId="592BEF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578" w:type="dxa"/>
            <w:vAlign w:val="center"/>
          </w:tcPr>
          <w:p w14:paraId="5288B226">
            <w:pPr>
              <w:widowControl/>
              <w:spacing w:line="240" w:lineRule="atLeast"/>
              <w:jc w:val="center"/>
              <w:rPr>
                <w:rFonts w:ascii="仿宋" w:hAnsi="仿宋" w:eastAsia="仿宋" w:cs="仿宋"/>
                <w:color w:val="000000"/>
                <w:szCs w:val="21"/>
                <w:lang w:val="zh-CN"/>
              </w:rPr>
            </w:pPr>
          </w:p>
        </w:tc>
        <w:tc>
          <w:tcPr>
            <w:tcW w:w="1620" w:type="dxa"/>
            <w:vAlign w:val="center"/>
          </w:tcPr>
          <w:p w14:paraId="4E636F32">
            <w:pPr>
              <w:widowControl/>
              <w:spacing w:line="240" w:lineRule="atLeast"/>
              <w:jc w:val="center"/>
              <w:rPr>
                <w:rFonts w:ascii="仿宋" w:hAnsi="仿宋" w:eastAsia="仿宋" w:cs="仿宋"/>
                <w:color w:val="000000"/>
                <w:szCs w:val="21"/>
                <w:lang w:val="zh-CN"/>
              </w:rPr>
            </w:pPr>
          </w:p>
        </w:tc>
        <w:tc>
          <w:tcPr>
            <w:tcW w:w="2700" w:type="dxa"/>
            <w:vAlign w:val="center"/>
          </w:tcPr>
          <w:p w14:paraId="0110801C">
            <w:pPr>
              <w:widowControl/>
              <w:spacing w:line="240" w:lineRule="atLeast"/>
              <w:jc w:val="center"/>
              <w:rPr>
                <w:rFonts w:ascii="仿宋" w:hAnsi="仿宋" w:eastAsia="仿宋" w:cs="仿宋"/>
                <w:color w:val="000000"/>
                <w:szCs w:val="21"/>
                <w:lang w:val="zh-CN"/>
              </w:rPr>
            </w:pPr>
          </w:p>
        </w:tc>
        <w:tc>
          <w:tcPr>
            <w:tcW w:w="3225" w:type="dxa"/>
            <w:gridSpan w:val="2"/>
            <w:vAlign w:val="center"/>
          </w:tcPr>
          <w:p w14:paraId="7A0A6093">
            <w:pPr>
              <w:widowControl/>
              <w:spacing w:line="240" w:lineRule="atLeast"/>
              <w:jc w:val="center"/>
              <w:rPr>
                <w:rFonts w:ascii="仿宋" w:hAnsi="仿宋" w:eastAsia="仿宋" w:cs="仿宋"/>
                <w:color w:val="000000"/>
                <w:szCs w:val="21"/>
                <w:lang w:val="zh-CN"/>
              </w:rPr>
            </w:pPr>
          </w:p>
        </w:tc>
        <w:tc>
          <w:tcPr>
            <w:tcW w:w="1020" w:type="dxa"/>
            <w:vAlign w:val="center"/>
          </w:tcPr>
          <w:p w14:paraId="1D5A3B1C">
            <w:pPr>
              <w:widowControl/>
              <w:spacing w:line="240" w:lineRule="atLeast"/>
              <w:jc w:val="center"/>
              <w:rPr>
                <w:rFonts w:ascii="仿宋" w:hAnsi="仿宋" w:eastAsia="仿宋" w:cs="仿宋"/>
                <w:color w:val="000000"/>
                <w:szCs w:val="21"/>
                <w:lang w:val="zh-CN"/>
              </w:rPr>
            </w:pPr>
          </w:p>
        </w:tc>
      </w:tr>
      <w:tr w14:paraId="766346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578" w:type="dxa"/>
            <w:vAlign w:val="center"/>
          </w:tcPr>
          <w:p w14:paraId="72EA9DFB">
            <w:pPr>
              <w:widowControl/>
              <w:spacing w:line="240" w:lineRule="atLeast"/>
              <w:jc w:val="center"/>
              <w:rPr>
                <w:rFonts w:ascii="仿宋" w:hAnsi="仿宋" w:eastAsia="仿宋" w:cs="仿宋"/>
                <w:color w:val="000000"/>
                <w:szCs w:val="21"/>
                <w:lang w:val="zh-CN"/>
              </w:rPr>
            </w:pPr>
          </w:p>
        </w:tc>
        <w:tc>
          <w:tcPr>
            <w:tcW w:w="1620" w:type="dxa"/>
            <w:vAlign w:val="center"/>
          </w:tcPr>
          <w:p w14:paraId="1F5FC704">
            <w:pPr>
              <w:widowControl/>
              <w:spacing w:line="240" w:lineRule="atLeast"/>
              <w:jc w:val="center"/>
              <w:rPr>
                <w:rFonts w:ascii="仿宋" w:hAnsi="仿宋" w:eastAsia="仿宋" w:cs="仿宋"/>
                <w:color w:val="000000"/>
                <w:szCs w:val="21"/>
                <w:lang w:val="zh-CN"/>
              </w:rPr>
            </w:pPr>
          </w:p>
        </w:tc>
        <w:tc>
          <w:tcPr>
            <w:tcW w:w="2700" w:type="dxa"/>
            <w:vAlign w:val="center"/>
          </w:tcPr>
          <w:p w14:paraId="41B70C18">
            <w:pPr>
              <w:widowControl/>
              <w:spacing w:line="240" w:lineRule="atLeast"/>
              <w:jc w:val="center"/>
              <w:rPr>
                <w:rFonts w:ascii="仿宋" w:hAnsi="仿宋" w:eastAsia="仿宋" w:cs="仿宋"/>
                <w:color w:val="000000"/>
                <w:szCs w:val="21"/>
                <w:lang w:val="zh-CN"/>
              </w:rPr>
            </w:pPr>
          </w:p>
        </w:tc>
        <w:tc>
          <w:tcPr>
            <w:tcW w:w="3225" w:type="dxa"/>
            <w:gridSpan w:val="2"/>
            <w:vAlign w:val="center"/>
          </w:tcPr>
          <w:p w14:paraId="544E8296">
            <w:pPr>
              <w:widowControl/>
              <w:spacing w:line="240" w:lineRule="atLeast"/>
              <w:jc w:val="center"/>
              <w:rPr>
                <w:rFonts w:ascii="仿宋" w:hAnsi="仿宋" w:eastAsia="仿宋" w:cs="仿宋"/>
                <w:color w:val="000000"/>
                <w:szCs w:val="21"/>
                <w:lang w:val="zh-CN"/>
              </w:rPr>
            </w:pPr>
          </w:p>
        </w:tc>
        <w:tc>
          <w:tcPr>
            <w:tcW w:w="1020" w:type="dxa"/>
            <w:vAlign w:val="center"/>
          </w:tcPr>
          <w:p w14:paraId="6A5B4A0C">
            <w:pPr>
              <w:widowControl/>
              <w:spacing w:line="240" w:lineRule="atLeast"/>
              <w:jc w:val="center"/>
              <w:rPr>
                <w:rFonts w:ascii="仿宋" w:hAnsi="仿宋" w:eastAsia="仿宋" w:cs="仿宋"/>
                <w:color w:val="000000"/>
                <w:szCs w:val="21"/>
                <w:lang w:val="zh-CN"/>
              </w:rPr>
            </w:pPr>
          </w:p>
        </w:tc>
      </w:tr>
      <w:tr w14:paraId="485399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578" w:type="dxa"/>
            <w:vAlign w:val="center"/>
          </w:tcPr>
          <w:p w14:paraId="152968CA">
            <w:pPr>
              <w:widowControl/>
              <w:spacing w:line="240" w:lineRule="atLeast"/>
              <w:jc w:val="center"/>
              <w:rPr>
                <w:rFonts w:ascii="仿宋" w:hAnsi="仿宋" w:eastAsia="仿宋" w:cs="仿宋"/>
                <w:color w:val="000000"/>
                <w:szCs w:val="21"/>
                <w:lang w:val="zh-CN"/>
              </w:rPr>
            </w:pPr>
          </w:p>
        </w:tc>
        <w:tc>
          <w:tcPr>
            <w:tcW w:w="1620" w:type="dxa"/>
            <w:vAlign w:val="center"/>
          </w:tcPr>
          <w:p w14:paraId="0F7E4DC9">
            <w:pPr>
              <w:widowControl/>
              <w:spacing w:line="240" w:lineRule="atLeast"/>
              <w:jc w:val="center"/>
              <w:rPr>
                <w:rFonts w:ascii="仿宋" w:hAnsi="仿宋" w:eastAsia="仿宋" w:cs="仿宋"/>
                <w:color w:val="000000"/>
                <w:szCs w:val="21"/>
                <w:lang w:val="zh-CN"/>
              </w:rPr>
            </w:pPr>
          </w:p>
        </w:tc>
        <w:tc>
          <w:tcPr>
            <w:tcW w:w="2700" w:type="dxa"/>
            <w:vAlign w:val="center"/>
          </w:tcPr>
          <w:p w14:paraId="6F25CFC4">
            <w:pPr>
              <w:widowControl/>
              <w:spacing w:line="240" w:lineRule="atLeast"/>
              <w:jc w:val="center"/>
              <w:rPr>
                <w:rFonts w:ascii="仿宋" w:hAnsi="仿宋" w:eastAsia="仿宋" w:cs="仿宋"/>
                <w:color w:val="000000"/>
                <w:szCs w:val="21"/>
                <w:lang w:val="zh-CN"/>
              </w:rPr>
            </w:pPr>
          </w:p>
        </w:tc>
        <w:tc>
          <w:tcPr>
            <w:tcW w:w="3225" w:type="dxa"/>
            <w:gridSpan w:val="2"/>
            <w:vAlign w:val="center"/>
          </w:tcPr>
          <w:p w14:paraId="695ACE46">
            <w:pPr>
              <w:widowControl/>
              <w:spacing w:line="240" w:lineRule="atLeast"/>
              <w:jc w:val="center"/>
              <w:rPr>
                <w:rFonts w:ascii="仿宋" w:hAnsi="仿宋" w:eastAsia="仿宋" w:cs="仿宋"/>
                <w:color w:val="000000"/>
                <w:szCs w:val="21"/>
                <w:lang w:val="zh-CN"/>
              </w:rPr>
            </w:pPr>
          </w:p>
        </w:tc>
        <w:tc>
          <w:tcPr>
            <w:tcW w:w="1020" w:type="dxa"/>
            <w:vAlign w:val="center"/>
          </w:tcPr>
          <w:p w14:paraId="5D5DE578">
            <w:pPr>
              <w:widowControl/>
              <w:spacing w:line="240" w:lineRule="atLeast"/>
              <w:jc w:val="center"/>
              <w:rPr>
                <w:rFonts w:ascii="仿宋" w:hAnsi="仿宋" w:eastAsia="仿宋" w:cs="仿宋"/>
                <w:color w:val="000000"/>
                <w:szCs w:val="21"/>
                <w:lang w:val="zh-CN"/>
              </w:rPr>
            </w:pPr>
          </w:p>
        </w:tc>
      </w:tr>
      <w:tr w14:paraId="62DDDC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578" w:type="dxa"/>
            <w:vAlign w:val="center"/>
          </w:tcPr>
          <w:p w14:paraId="2656603F">
            <w:pPr>
              <w:widowControl/>
              <w:spacing w:line="240" w:lineRule="atLeast"/>
              <w:jc w:val="center"/>
              <w:rPr>
                <w:rFonts w:ascii="仿宋" w:hAnsi="仿宋" w:eastAsia="仿宋" w:cs="仿宋"/>
                <w:color w:val="000000"/>
                <w:szCs w:val="21"/>
                <w:lang w:val="zh-CN"/>
              </w:rPr>
            </w:pPr>
          </w:p>
        </w:tc>
        <w:tc>
          <w:tcPr>
            <w:tcW w:w="1620" w:type="dxa"/>
            <w:vAlign w:val="center"/>
          </w:tcPr>
          <w:p w14:paraId="31BCB62C">
            <w:pPr>
              <w:widowControl/>
              <w:spacing w:line="240" w:lineRule="atLeast"/>
              <w:jc w:val="center"/>
              <w:rPr>
                <w:rFonts w:ascii="仿宋" w:hAnsi="仿宋" w:eastAsia="仿宋" w:cs="仿宋"/>
                <w:color w:val="000000"/>
                <w:szCs w:val="21"/>
                <w:lang w:val="zh-CN"/>
              </w:rPr>
            </w:pPr>
          </w:p>
        </w:tc>
        <w:tc>
          <w:tcPr>
            <w:tcW w:w="2700" w:type="dxa"/>
            <w:vAlign w:val="center"/>
          </w:tcPr>
          <w:p w14:paraId="2C81E99D">
            <w:pPr>
              <w:widowControl/>
              <w:spacing w:line="240" w:lineRule="atLeast"/>
              <w:jc w:val="center"/>
              <w:rPr>
                <w:rFonts w:ascii="仿宋" w:hAnsi="仿宋" w:eastAsia="仿宋" w:cs="仿宋"/>
                <w:color w:val="000000"/>
                <w:szCs w:val="21"/>
                <w:lang w:val="zh-CN"/>
              </w:rPr>
            </w:pPr>
          </w:p>
        </w:tc>
        <w:tc>
          <w:tcPr>
            <w:tcW w:w="3225" w:type="dxa"/>
            <w:gridSpan w:val="2"/>
            <w:vAlign w:val="center"/>
          </w:tcPr>
          <w:p w14:paraId="5A617620">
            <w:pPr>
              <w:widowControl/>
              <w:spacing w:line="240" w:lineRule="atLeast"/>
              <w:jc w:val="center"/>
              <w:rPr>
                <w:rFonts w:ascii="仿宋" w:hAnsi="仿宋" w:eastAsia="仿宋" w:cs="仿宋"/>
                <w:color w:val="000000"/>
                <w:szCs w:val="21"/>
                <w:lang w:val="zh-CN"/>
              </w:rPr>
            </w:pPr>
          </w:p>
        </w:tc>
        <w:tc>
          <w:tcPr>
            <w:tcW w:w="1020" w:type="dxa"/>
            <w:vAlign w:val="center"/>
          </w:tcPr>
          <w:p w14:paraId="52582A40">
            <w:pPr>
              <w:widowControl/>
              <w:spacing w:line="240" w:lineRule="atLeast"/>
              <w:jc w:val="center"/>
              <w:rPr>
                <w:rFonts w:ascii="仿宋" w:hAnsi="仿宋" w:eastAsia="仿宋" w:cs="仿宋"/>
                <w:color w:val="000000"/>
                <w:szCs w:val="21"/>
                <w:lang w:val="zh-CN"/>
              </w:rPr>
            </w:pPr>
          </w:p>
        </w:tc>
      </w:tr>
      <w:tr w14:paraId="4C2F2C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578" w:type="dxa"/>
            <w:vAlign w:val="center"/>
          </w:tcPr>
          <w:p w14:paraId="73ABF73F">
            <w:pPr>
              <w:widowControl/>
              <w:spacing w:line="240" w:lineRule="atLeast"/>
              <w:jc w:val="center"/>
              <w:rPr>
                <w:rFonts w:ascii="仿宋" w:hAnsi="仿宋" w:eastAsia="仿宋" w:cs="仿宋"/>
                <w:color w:val="000000"/>
                <w:szCs w:val="21"/>
                <w:lang w:val="zh-CN"/>
              </w:rPr>
            </w:pPr>
          </w:p>
        </w:tc>
        <w:tc>
          <w:tcPr>
            <w:tcW w:w="1620" w:type="dxa"/>
            <w:vAlign w:val="center"/>
          </w:tcPr>
          <w:p w14:paraId="6081EBF0">
            <w:pPr>
              <w:widowControl/>
              <w:spacing w:line="240" w:lineRule="atLeast"/>
              <w:jc w:val="center"/>
              <w:rPr>
                <w:rFonts w:ascii="仿宋" w:hAnsi="仿宋" w:eastAsia="仿宋" w:cs="仿宋"/>
                <w:color w:val="000000"/>
                <w:szCs w:val="21"/>
                <w:lang w:val="zh-CN"/>
              </w:rPr>
            </w:pPr>
          </w:p>
        </w:tc>
        <w:tc>
          <w:tcPr>
            <w:tcW w:w="2700" w:type="dxa"/>
            <w:vAlign w:val="center"/>
          </w:tcPr>
          <w:p w14:paraId="75A0DFDD">
            <w:pPr>
              <w:widowControl/>
              <w:spacing w:line="240" w:lineRule="atLeast"/>
              <w:jc w:val="center"/>
              <w:rPr>
                <w:rFonts w:ascii="仿宋" w:hAnsi="仿宋" w:eastAsia="仿宋" w:cs="仿宋"/>
                <w:color w:val="000000"/>
                <w:szCs w:val="21"/>
                <w:lang w:val="zh-CN"/>
              </w:rPr>
            </w:pPr>
          </w:p>
        </w:tc>
        <w:tc>
          <w:tcPr>
            <w:tcW w:w="3225" w:type="dxa"/>
            <w:gridSpan w:val="2"/>
            <w:vAlign w:val="center"/>
          </w:tcPr>
          <w:p w14:paraId="732D70C4">
            <w:pPr>
              <w:widowControl/>
              <w:spacing w:line="240" w:lineRule="atLeast"/>
              <w:jc w:val="center"/>
              <w:rPr>
                <w:rFonts w:ascii="仿宋" w:hAnsi="仿宋" w:eastAsia="仿宋" w:cs="仿宋"/>
                <w:color w:val="000000"/>
                <w:szCs w:val="21"/>
                <w:lang w:val="zh-CN"/>
              </w:rPr>
            </w:pPr>
          </w:p>
        </w:tc>
        <w:tc>
          <w:tcPr>
            <w:tcW w:w="1020" w:type="dxa"/>
            <w:vAlign w:val="center"/>
          </w:tcPr>
          <w:p w14:paraId="550E9338">
            <w:pPr>
              <w:widowControl/>
              <w:spacing w:line="240" w:lineRule="atLeast"/>
              <w:jc w:val="center"/>
              <w:rPr>
                <w:rFonts w:ascii="仿宋" w:hAnsi="仿宋" w:eastAsia="仿宋" w:cs="仿宋"/>
                <w:color w:val="000000"/>
                <w:szCs w:val="21"/>
                <w:lang w:val="zh-CN"/>
              </w:rPr>
            </w:pPr>
          </w:p>
        </w:tc>
      </w:tr>
    </w:tbl>
    <w:p w14:paraId="65EAE3F2">
      <w:pPr>
        <w:widowControl/>
        <w:spacing w:line="360" w:lineRule="auto"/>
        <w:jc w:val="left"/>
        <w:rPr>
          <w:rFonts w:ascii="仿宋" w:hAnsi="仿宋" w:eastAsia="仿宋" w:cs="仿宋"/>
          <w:color w:val="000000"/>
          <w:szCs w:val="21"/>
          <w:lang w:val="zh-CN"/>
        </w:rPr>
      </w:pPr>
    </w:p>
    <w:p w14:paraId="1BFE2731">
      <w:pPr>
        <w:widowControl/>
        <w:spacing w:line="360" w:lineRule="auto"/>
        <w:jc w:val="left"/>
        <w:rPr>
          <w:rFonts w:ascii="仿宋" w:hAnsi="仿宋" w:eastAsia="仿宋" w:cs="仿宋"/>
          <w:color w:val="000000"/>
          <w:szCs w:val="21"/>
          <w:lang w:val="zh-CN"/>
        </w:rPr>
      </w:pPr>
    </w:p>
    <w:p w14:paraId="6F03C04A">
      <w:pPr>
        <w:widowControl/>
        <w:spacing w:line="360" w:lineRule="auto"/>
        <w:jc w:val="left"/>
        <w:rPr>
          <w:rFonts w:ascii="仿宋" w:hAnsi="仿宋" w:eastAsia="仿宋" w:cs="仿宋"/>
          <w:color w:val="000000"/>
          <w:szCs w:val="21"/>
          <w:lang w:val="zh-CN"/>
        </w:rPr>
      </w:pPr>
      <w:r>
        <w:rPr>
          <w:rFonts w:hint="eastAsia" w:ascii="仿宋" w:hAnsi="仿宋" w:eastAsia="仿宋" w:cs="仿宋"/>
          <w:color w:val="000000"/>
          <w:szCs w:val="21"/>
          <w:lang w:val="zh-CN"/>
        </w:rPr>
        <w:t>供应商名称：</w:t>
      </w:r>
      <w:r>
        <w:rPr>
          <w:rFonts w:hint="eastAsia" w:ascii="仿宋" w:hAnsi="仿宋" w:eastAsia="仿宋" w:cs="仿宋"/>
          <w:color w:val="000000"/>
          <w:szCs w:val="21"/>
          <w:u w:val="single"/>
          <w:lang w:val="zh-CN"/>
        </w:rPr>
        <w:t xml:space="preserve">                                                      </w:t>
      </w:r>
      <w:r>
        <w:rPr>
          <w:rFonts w:hint="eastAsia" w:ascii="仿宋" w:hAnsi="仿宋" w:eastAsia="仿宋" w:cs="仿宋"/>
          <w:color w:val="000000"/>
          <w:szCs w:val="21"/>
          <w:lang w:val="zh-CN"/>
        </w:rPr>
        <w:t>（盖章）</w:t>
      </w:r>
    </w:p>
    <w:p w14:paraId="3FBFBA5A">
      <w:pPr>
        <w:spacing w:line="360" w:lineRule="auto"/>
        <w:rPr>
          <w:rFonts w:ascii="仿宋" w:hAnsi="仿宋" w:eastAsia="仿宋" w:cs="仿宋"/>
          <w:color w:val="000000"/>
          <w:szCs w:val="21"/>
          <w:lang w:val="zh-CN"/>
        </w:rPr>
      </w:pPr>
      <w:r>
        <w:rPr>
          <w:rFonts w:hint="eastAsia" w:ascii="仿宋" w:hAnsi="仿宋" w:eastAsia="仿宋" w:cs="仿宋"/>
          <w:color w:val="000000"/>
          <w:szCs w:val="21"/>
          <w:lang w:val="zh-CN"/>
        </w:rPr>
        <w:t>说明：如果行数不够，请自行增加。</w:t>
      </w:r>
    </w:p>
    <w:p w14:paraId="66784EA7">
      <w:pPr>
        <w:pStyle w:val="199"/>
        <w:rPr>
          <w:rFonts w:ascii="仿宋" w:hAnsi="仿宋" w:eastAsia="仿宋" w:cs="仿宋"/>
        </w:rPr>
      </w:pPr>
    </w:p>
    <w:p w14:paraId="2F24AD2F">
      <w:pPr>
        <w:widowControl/>
        <w:spacing w:line="360" w:lineRule="auto"/>
        <w:jc w:val="left"/>
        <w:rPr>
          <w:rFonts w:ascii="仿宋" w:hAnsi="仿宋" w:eastAsia="仿宋" w:cs="仿宋"/>
          <w:color w:val="000000"/>
          <w:sz w:val="24"/>
          <w:szCs w:val="24"/>
        </w:rPr>
      </w:pPr>
    </w:p>
    <w:p w14:paraId="0DC170BE">
      <w:pPr>
        <w:pStyle w:val="199"/>
        <w:rPr>
          <w:rFonts w:ascii="仿宋" w:hAnsi="仿宋" w:eastAsia="仿宋" w:cs="仿宋"/>
        </w:rPr>
      </w:pPr>
    </w:p>
    <w:p w14:paraId="38E02D06">
      <w:pPr>
        <w:pStyle w:val="199"/>
        <w:rPr>
          <w:rFonts w:ascii="仿宋" w:hAnsi="仿宋" w:eastAsia="仿宋" w:cs="仿宋"/>
        </w:rPr>
      </w:pPr>
    </w:p>
    <w:p w14:paraId="156E598E">
      <w:pPr>
        <w:pStyle w:val="199"/>
        <w:rPr>
          <w:rFonts w:ascii="仿宋" w:hAnsi="仿宋" w:eastAsia="仿宋" w:cs="仿宋"/>
        </w:rPr>
      </w:pPr>
    </w:p>
    <w:p w14:paraId="31C53F9D">
      <w:pPr>
        <w:pStyle w:val="199"/>
        <w:rPr>
          <w:rFonts w:ascii="仿宋" w:hAnsi="仿宋" w:eastAsia="仿宋" w:cs="仿宋"/>
        </w:rPr>
      </w:pPr>
    </w:p>
    <w:p w14:paraId="34C97D4D">
      <w:pPr>
        <w:pStyle w:val="199"/>
        <w:rPr>
          <w:rFonts w:ascii="仿宋" w:hAnsi="仿宋" w:eastAsia="仿宋" w:cs="仿宋"/>
        </w:rPr>
      </w:pPr>
    </w:p>
    <w:p w14:paraId="6B0B030A">
      <w:pPr>
        <w:pStyle w:val="199"/>
        <w:rPr>
          <w:rFonts w:ascii="仿宋" w:hAnsi="仿宋" w:eastAsia="仿宋" w:cs="仿宋"/>
        </w:rPr>
      </w:pPr>
    </w:p>
    <w:p w14:paraId="6809C62E">
      <w:pPr>
        <w:pStyle w:val="199"/>
        <w:rPr>
          <w:rFonts w:ascii="仿宋" w:hAnsi="仿宋" w:eastAsia="仿宋" w:cs="仿宋"/>
        </w:rPr>
      </w:pPr>
    </w:p>
    <w:p w14:paraId="0DD14C26">
      <w:pPr>
        <w:pStyle w:val="199"/>
        <w:rPr>
          <w:rFonts w:ascii="仿宋" w:hAnsi="仿宋" w:eastAsia="仿宋" w:cs="仿宋"/>
        </w:rPr>
      </w:pPr>
    </w:p>
    <w:p w14:paraId="53D91EAD">
      <w:pPr>
        <w:pStyle w:val="199"/>
        <w:rPr>
          <w:rFonts w:ascii="仿宋" w:hAnsi="仿宋" w:eastAsia="仿宋" w:cs="仿宋"/>
        </w:rPr>
      </w:pPr>
    </w:p>
    <w:p w14:paraId="648E74C9">
      <w:pPr>
        <w:pStyle w:val="199"/>
        <w:rPr>
          <w:rFonts w:ascii="仿宋" w:hAnsi="仿宋" w:eastAsia="仿宋" w:cs="仿宋"/>
        </w:rPr>
      </w:pPr>
    </w:p>
    <w:p w14:paraId="283ABA0C">
      <w:pPr>
        <w:pStyle w:val="199"/>
        <w:rPr>
          <w:rFonts w:ascii="仿宋" w:hAnsi="仿宋" w:eastAsia="仿宋" w:cs="仿宋"/>
        </w:rPr>
      </w:pPr>
    </w:p>
    <w:p w14:paraId="5F4B8271">
      <w:pPr>
        <w:pStyle w:val="199"/>
        <w:rPr>
          <w:rFonts w:ascii="仿宋" w:hAnsi="仿宋" w:eastAsia="仿宋" w:cs="仿宋"/>
        </w:rPr>
      </w:pPr>
    </w:p>
    <w:p w14:paraId="316259EE">
      <w:pPr>
        <w:pStyle w:val="199"/>
        <w:rPr>
          <w:rFonts w:ascii="仿宋" w:hAnsi="仿宋" w:eastAsia="仿宋" w:cs="仿宋"/>
        </w:rPr>
      </w:pPr>
    </w:p>
    <w:p w14:paraId="309ED978">
      <w:pPr>
        <w:pStyle w:val="199"/>
        <w:rPr>
          <w:rFonts w:ascii="仿宋" w:hAnsi="仿宋" w:eastAsia="仿宋" w:cs="仿宋"/>
        </w:rPr>
      </w:pPr>
    </w:p>
    <w:p w14:paraId="64FDD293">
      <w:pPr>
        <w:pStyle w:val="199"/>
        <w:rPr>
          <w:rFonts w:ascii="仿宋" w:hAnsi="仿宋" w:eastAsia="仿宋" w:cs="仿宋"/>
        </w:rPr>
      </w:pPr>
    </w:p>
    <w:p w14:paraId="47F6300E">
      <w:pPr>
        <w:pStyle w:val="199"/>
        <w:rPr>
          <w:rFonts w:ascii="仿宋" w:hAnsi="仿宋" w:eastAsia="仿宋" w:cs="仿宋"/>
        </w:rPr>
      </w:pPr>
    </w:p>
    <w:p w14:paraId="1B22D8C2">
      <w:pPr>
        <w:spacing w:line="360" w:lineRule="auto"/>
        <w:rPr>
          <w:rFonts w:ascii="仿宋" w:hAnsi="仿宋" w:eastAsia="仿宋" w:cs="仿宋"/>
          <w:color w:val="000000"/>
        </w:rPr>
      </w:pPr>
    </w:p>
    <w:p w14:paraId="43983C0B">
      <w:pPr>
        <w:spacing w:line="360" w:lineRule="auto"/>
        <w:rPr>
          <w:rFonts w:ascii="仿宋" w:hAnsi="仿宋" w:eastAsia="仿宋" w:cs="仿宋"/>
          <w:color w:val="000000"/>
        </w:rPr>
      </w:pPr>
    </w:p>
    <w:p w14:paraId="228F650C">
      <w:pPr>
        <w:widowControl/>
        <w:tabs>
          <w:tab w:val="left" w:pos="3105"/>
          <w:tab w:val="center" w:pos="4745"/>
        </w:tabs>
        <w:spacing w:line="360" w:lineRule="auto"/>
        <w:jc w:val="center"/>
        <w:outlineLvl w:val="0"/>
        <w:rPr>
          <w:rFonts w:ascii="仿宋" w:hAnsi="仿宋" w:eastAsia="仿宋" w:cs="仿宋"/>
          <w:b/>
          <w:color w:val="000000"/>
          <w:sz w:val="32"/>
          <w:szCs w:val="32"/>
        </w:rPr>
      </w:pPr>
      <w:bookmarkStart w:id="54" w:name="_Toc3610"/>
      <w:r>
        <w:rPr>
          <w:rFonts w:hint="eastAsia" w:ascii="仿宋" w:hAnsi="仿宋" w:eastAsia="仿宋" w:cs="仿宋"/>
          <w:b/>
          <w:color w:val="000000"/>
          <w:sz w:val="32"/>
          <w:szCs w:val="32"/>
        </w:rPr>
        <w:t>七、</w:t>
      </w:r>
      <w:r>
        <w:rPr>
          <w:rFonts w:hint="eastAsia" w:ascii="仿宋" w:hAnsi="仿宋" w:eastAsia="仿宋" w:cs="仿宋"/>
          <w:b/>
          <w:sz w:val="32"/>
        </w:rPr>
        <w:t>供应商拟投入本项目团队人员一览表</w:t>
      </w:r>
      <w:bookmarkEnd w:id="54"/>
    </w:p>
    <w:p w14:paraId="3A58A9BC">
      <w:pPr>
        <w:ind w:right="657"/>
        <w:jc w:val="center"/>
        <w:rPr>
          <w:rFonts w:ascii="仿宋" w:hAnsi="仿宋" w:eastAsia="仿宋" w:cs="仿宋"/>
          <w:b/>
          <w:sz w:val="32"/>
        </w:rPr>
      </w:pPr>
      <w:r>
        <w:rPr>
          <w:rFonts w:hint="eastAsia" w:ascii="仿宋" w:hAnsi="仿宋" w:eastAsia="仿宋" w:cs="仿宋"/>
          <w:b/>
          <w:sz w:val="32"/>
        </w:rPr>
        <w:t>供应商拟投入本项目团队人员一览表</w:t>
      </w:r>
    </w:p>
    <w:p w14:paraId="5F599760">
      <w:pPr>
        <w:pStyle w:val="16"/>
        <w:tabs>
          <w:tab w:val="left" w:pos="7596"/>
        </w:tabs>
        <w:spacing w:before="278"/>
        <w:ind w:left="516"/>
        <w:rPr>
          <w:rFonts w:ascii="仿宋" w:hAnsi="仿宋" w:eastAsia="仿宋" w:cs="仿宋"/>
        </w:rPr>
      </w:pPr>
      <w:r>
        <w:rPr>
          <w:rFonts w:hint="eastAsia" w:ascii="仿宋" w:hAnsi="仿宋" w:eastAsia="仿宋" w:cs="仿宋"/>
        </w:rPr>
        <w:t>项目名称：</w:t>
      </w:r>
      <w:r>
        <w:rPr>
          <w:rFonts w:hint="eastAsia" w:ascii="仿宋" w:hAnsi="仿宋" w:eastAsia="仿宋" w:cs="仿宋"/>
        </w:rPr>
        <w:tab/>
      </w:r>
      <w:r>
        <w:rPr>
          <w:rFonts w:hint="eastAsia" w:ascii="仿宋" w:hAnsi="仿宋" w:eastAsia="仿宋" w:cs="仿宋"/>
        </w:rPr>
        <w:t>项目编号：</w:t>
      </w:r>
    </w:p>
    <w:tbl>
      <w:tblPr>
        <w:tblStyle w:val="34"/>
        <w:tblW w:w="0" w:type="auto"/>
        <w:tblInd w:w="33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10"/>
        <w:gridCol w:w="810"/>
        <w:gridCol w:w="795"/>
        <w:gridCol w:w="645"/>
        <w:gridCol w:w="675"/>
        <w:gridCol w:w="645"/>
        <w:gridCol w:w="975"/>
        <w:gridCol w:w="750"/>
        <w:gridCol w:w="1033"/>
        <w:gridCol w:w="975"/>
        <w:gridCol w:w="846"/>
      </w:tblGrid>
      <w:tr w14:paraId="230B7D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66" w:hRule="atLeast"/>
        </w:trPr>
        <w:tc>
          <w:tcPr>
            <w:tcW w:w="610" w:type="dxa"/>
          </w:tcPr>
          <w:p w14:paraId="62EB4859">
            <w:pPr>
              <w:pStyle w:val="545"/>
              <w:spacing w:before="3"/>
              <w:jc w:val="left"/>
              <w:rPr>
                <w:sz w:val="24"/>
              </w:rPr>
            </w:pPr>
          </w:p>
          <w:p w14:paraId="069735F2">
            <w:pPr>
              <w:pStyle w:val="545"/>
              <w:spacing w:line="242" w:lineRule="auto"/>
              <w:ind w:left="106" w:right="282"/>
              <w:jc w:val="left"/>
              <w:rPr>
                <w:b/>
                <w:sz w:val="21"/>
              </w:rPr>
            </w:pPr>
            <w:r>
              <w:rPr>
                <w:rFonts w:hint="eastAsia"/>
                <w:b/>
                <w:sz w:val="21"/>
              </w:rPr>
              <w:t>序号</w:t>
            </w:r>
          </w:p>
        </w:tc>
        <w:tc>
          <w:tcPr>
            <w:tcW w:w="810" w:type="dxa"/>
          </w:tcPr>
          <w:p w14:paraId="65E6EDB8">
            <w:pPr>
              <w:pStyle w:val="545"/>
              <w:jc w:val="left"/>
              <w:rPr>
                <w:sz w:val="20"/>
              </w:rPr>
            </w:pPr>
          </w:p>
          <w:p w14:paraId="09B00BC0">
            <w:pPr>
              <w:pStyle w:val="545"/>
              <w:spacing w:before="9"/>
              <w:jc w:val="left"/>
              <w:rPr>
                <w:sz w:val="14"/>
              </w:rPr>
            </w:pPr>
          </w:p>
          <w:p w14:paraId="785F0BF1">
            <w:pPr>
              <w:pStyle w:val="545"/>
              <w:ind w:left="108"/>
              <w:jc w:val="left"/>
              <w:rPr>
                <w:b/>
                <w:sz w:val="21"/>
              </w:rPr>
            </w:pPr>
            <w:r>
              <w:rPr>
                <w:rFonts w:hint="eastAsia"/>
                <w:b/>
                <w:sz w:val="21"/>
              </w:rPr>
              <w:t>姓名</w:t>
            </w:r>
          </w:p>
        </w:tc>
        <w:tc>
          <w:tcPr>
            <w:tcW w:w="795" w:type="dxa"/>
          </w:tcPr>
          <w:p w14:paraId="2142166E">
            <w:pPr>
              <w:pStyle w:val="545"/>
              <w:jc w:val="left"/>
              <w:rPr>
                <w:sz w:val="20"/>
              </w:rPr>
            </w:pPr>
          </w:p>
          <w:p w14:paraId="49E1916C">
            <w:pPr>
              <w:pStyle w:val="545"/>
              <w:spacing w:before="9"/>
              <w:jc w:val="left"/>
              <w:rPr>
                <w:sz w:val="14"/>
              </w:rPr>
            </w:pPr>
          </w:p>
          <w:p w14:paraId="2D3CAF43">
            <w:pPr>
              <w:pStyle w:val="545"/>
              <w:ind w:left="107"/>
              <w:jc w:val="left"/>
              <w:rPr>
                <w:b/>
                <w:sz w:val="21"/>
              </w:rPr>
            </w:pPr>
            <w:r>
              <w:rPr>
                <w:rFonts w:hint="eastAsia"/>
                <w:b/>
                <w:sz w:val="21"/>
              </w:rPr>
              <w:t>性别</w:t>
            </w:r>
          </w:p>
        </w:tc>
        <w:tc>
          <w:tcPr>
            <w:tcW w:w="645" w:type="dxa"/>
          </w:tcPr>
          <w:p w14:paraId="26BDF16C">
            <w:pPr>
              <w:pStyle w:val="545"/>
              <w:jc w:val="left"/>
              <w:rPr>
                <w:sz w:val="20"/>
              </w:rPr>
            </w:pPr>
          </w:p>
          <w:p w14:paraId="6E42A115">
            <w:pPr>
              <w:pStyle w:val="545"/>
              <w:spacing w:before="9"/>
              <w:jc w:val="left"/>
              <w:rPr>
                <w:sz w:val="14"/>
              </w:rPr>
            </w:pPr>
          </w:p>
          <w:p w14:paraId="3622E496">
            <w:pPr>
              <w:pStyle w:val="545"/>
              <w:ind w:left="106"/>
              <w:jc w:val="left"/>
              <w:rPr>
                <w:b/>
                <w:sz w:val="21"/>
              </w:rPr>
            </w:pPr>
            <w:r>
              <w:rPr>
                <w:rFonts w:hint="eastAsia"/>
                <w:b/>
                <w:sz w:val="21"/>
              </w:rPr>
              <w:t>年龄</w:t>
            </w:r>
          </w:p>
        </w:tc>
        <w:tc>
          <w:tcPr>
            <w:tcW w:w="675" w:type="dxa"/>
          </w:tcPr>
          <w:p w14:paraId="34F93A68">
            <w:pPr>
              <w:pStyle w:val="545"/>
              <w:jc w:val="left"/>
              <w:rPr>
                <w:sz w:val="20"/>
              </w:rPr>
            </w:pPr>
          </w:p>
          <w:p w14:paraId="398366F1">
            <w:pPr>
              <w:pStyle w:val="545"/>
              <w:spacing w:before="9"/>
              <w:jc w:val="left"/>
              <w:rPr>
                <w:sz w:val="14"/>
              </w:rPr>
            </w:pPr>
          </w:p>
          <w:p w14:paraId="08ADFABF">
            <w:pPr>
              <w:pStyle w:val="545"/>
              <w:ind w:left="107"/>
              <w:jc w:val="left"/>
              <w:rPr>
                <w:b/>
                <w:sz w:val="21"/>
              </w:rPr>
            </w:pPr>
            <w:r>
              <w:rPr>
                <w:rFonts w:hint="eastAsia"/>
                <w:b/>
                <w:sz w:val="21"/>
              </w:rPr>
              <w:t>专业</w:t>
            </w:r>
          </w:p>
        </w:tc>
        <w:tc>
          <w:tcPr>
            <w:tcW w:w="645" w:type="dxa"/>
          </w:tcPr>
          <w:p w14:paraId="1B5EA624">
            <w:pPr>
              <w:pStyle w:val="545"/>
              <w:jc w:val="left"/>
              <w:rPr>
                <w:sz w:val="20"/>
              </w:rPr>
            </w:pPr>
          </w:p>
          <w:p w14:paraId="7F8BF407">
            <w:pPr>
              <w:pStyle w:val="545"/>
              <w:spacing w:before="9"/>
              <w:jc w:val="left"/>
              <w:rPr>
                <w:sz w:val="14"/>
              </w:rPr>
            </w:pPr>
          </w:p>
          <w:p w14:paraId="08A2AF7B">
            <w:pPr>
              <w:pStyle w:val="545"/>
              <w:ind w:left="106"/>
              <w:jc w:val="left"/>
              <w:rPr>
                <w:b/>
                <w:sz w:val="21"/>
              </w:rPr>
            </w:pPr>
            <w:r>
              <w:rPr>
                <w:rFonts w:hint="eastAsia"/>
                <w:b/>
                <w:sz w:val="21"/>
              </w:rPr>
              <w:t>学历</w:t>
            </w:r>
          </w:p>
        </w:tc>
        <w:tc>
          <w:tcPr>
            <w:tcW w:w="975" w:type="dxa"/>
          </w:tcPr>
          <w:p w14:paraId="3E07A5F1">
            <w:pPr>
              <w:pStyle w:val="545"/>
              <w:spacing w:before="174" w:line="242" w:lineRule="auto"/>
              <w:ind w:left="172" w:right="159"/>
              <w:jc w:val="both"/>
              <w:rPr>
                <w:b/>
                <w:sz w:val="21"/>
              </w:rPr>
            </w:pPr>
            <w:r>
              <w:rPr>
                <w:rFonts w:hint="eastAsia"/>
                <w:b/>
                <w:sz w:val="21"/>
              </w:rPr>
              <w:t>执业资格及证书号</w:t>
            </w:r>
          </w:p>
        </w:tc>
        <w:tc>
          <w:tcPr>
            <w:tcW w:w="750" w:type="dxa"/>
          </w:tcPr>
          <w:p w14:paraId="0DEF6966">
            <w:pPr>
              <w:pStyle w:val="545"/>
              <w:spacing w:before="3"/>
              <w:jc w:val="left"/>
              <w:rPr>
                <w:sz w:val="24"/>
              </w:rPr>
            </w:pPr>
          </w:p>
          <w:p w14:paraId="336C7B67">
            <w:pPr>
              <w:pStyle w:val="545"/>
              <w:spacing w:line="242" w:lineRule="auto"/>
              <w:ind w:left="106" w:right="98"/>
              <w:jc w:val="left"/>
              <w:rPr>
                <w:b/>
                <w:sz w:val="21"/>
              </w:rPr>
            </w:pPr>
            <w:r>
              <w:rPr>
                <w:rFonts w:hint="eastAsia"/>
                <w:b/>
                <w:sz w:val="21"/>
              </w:rPr>
              <w:t>技 术职称</w:t>
            </w:r>
          </w:p>
        </w:tc>
        <w:tc>
          <w:tcPr>
            <w:tcW w:w="1033" w:type="dxa"/>
          </w:tcPr>
          <w:p w14:paraId="63E7EFD9">
            <w:pPr>
              <w:pStyle w:val="545"/>
              <w:spacing w:before="37" w:line="242" w:lineRule="auto"/>
              <w:ind w:left="108" w:right="94"/>
              <w:jc w:val="both"/>
              <w:rPr>
                <w:b/>
                <w:sz w:val="21"/>
              </w:rPr>
            </w:pPr>
            <w:r>
              <w:rPr>
                <w:rFonts w:hint="eastAsia"/>
                <w:b/>
                <w:spacing w:val="-9"/>
                <w:sz w:val="21"/>
              </w:rPr>
              <w:t>相 关 工作 年 限而 及 工</w:t>
            </w:r>
            <w:r>
              <w:rPr>
                <w:rFonts w:hint="eastAsia"/>
                <w:b/>
                <w:sz w:val="21"/>
              </w:rPr>
              <w:t>作经历</w:t>
            </w:r>
          </w:p>
        </w:tc>
        <w:tc>
          <w:tcPr>
            <w:tcW w:w="975" w:type="dxa"/>
          </w:tcPr>
          <w:p w14:paraId="68870178">
            <w:pPr>
              <w:pStyle w:val="545"/>
              <w:spacing w:before="37" w:line="242" w:lineRule="auto"/>
              <w:ind w:left="107" w:right="97"/>
              <w:jc w:val="both"/>
              <w:rPr>
                <w:b/>
                <w:sz w:val="21"/>
              </w:rPr>
            </w:pPr>
            <w:r>
              <w:rPr>
                <w:rFonts w:hint="eastAsia"/>
                <w:b/>
                <w:spacing w:val="-21"/>
                <w:sz w:val="21"/>
              </w:rPr>
              <w:t>拟 担 任本 项 目何 种 工</w:t>
            </w:r>
            <w:r>
              <w:rPr>
                <w:rFonts w:hint="eastAsia"/>
                <w:b/>
                <w:sz w:val="21"/>
              </w:rPr>
              <w:t>作</w:t>
            </w:r>
          </w:p>
        </w:tc>
        <w:tc>
          <w:tcPr>
            <w:tcW w:w="846" w:type="dxa"/>
          </w:tcPr>
          <w:p w14:paraId="4288B3B9">
            <w:pPr>
              <w:pStyle w:val="545"/>
              <w:jc w:val="left"/>
              <w:rPr>
                <w:sz w:val="20"/>
              </w:rPr>
            </w:pPr>
          </w:p>
          <w:p w14:paraId="1F529E14">
            <w:pPr>
              <w:pStyle w:val="545"/>
              <w:spacing w:before="9"/>
              <w:jc w:val="left"/>
              <w:rPr>
                <w:sz w:val="14"/>
              </w:rPr>
            </w:pPr>
          </w:p>
          <w:p w14:paraId="681FDB75">
            <w:pPr>
              <w:pStyle w:val="545"/>
              <w:ind w:left="106"/>
              <w:jc w:val="left"/>
              <w:rPr>
                <w:b/>
                <w:sz w:val="21"/>
              </w:rPr>
            </w:pPr>
            <w:r>
              <w:rPr>
                <w:rFonts w:hint="eastAsia"/>
                <w:b/>
                <w:sz w:val="21"/>
              </w:rPr>
              <w:t>备注</w:t>
            </w:r>
          </w:p>
        </w:tc>
      </w:tr>
      <w:tr w14:paraId="5D8804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610" w:type="dxa"/>
          </w:tcPr>
          <w:p w14:paraId="43D40B61">
            <w:pPr>
              <w:pStyle w:val="545"/>
              <w:jc w:val="left"/>
            </w:pPr>
          </w:p>
        </w:tc>
        <w:tc>
          <w:tcPr>
            <w:tcW w:w="810" w:type="dxa"/>
          </w:tcPr>
          <w:p w14:paraId="0E140C5F">
            <w:pPr>
              <w:pStyle w:val="545"/>
              <w:jc w:val="left"/>
            </w:pPr>
          </w:p>
        </w:tc>
        <w:tc>
          <w:tcPr>
            <w:tcW w:w="795" w:type="dxa"/>
          </w:tcPr>
          <w:p w14:paraId="3880352B">
            <w:pPr>
              <w:pStyle w:val="545"/>
              <w:jc w:val="left"/>
            </w:pPr>
          </w:p>
        </w:tc>
        <w:tc>
          <w:tcPr>
            <w:tcW w:w="645" w:type="dxa"/>
          </w:tcPr>
          <w:p w14:paraId="1AF9A514">
            <w:pPr>
              <w:pStyle w:val="545"/>
              <w:jc w:val="left"/>
            </w:pPr>
          </w:p>
        </w:tc>
        <w:tc>
          <w:tcPr>
            <w:tcW w:w="675" w:type="dxa"/>
          </w:tcPr>
          <w:p w14:paraId="133F93DD">
            <w:pPr>
              <w:pStyle w:val="545"/>
              <w:jc w:val="left"/>
            </w:pPr>
          </w:p>
        </w:tc>
        <w:tc>
          <w:tcPr>
            <w:tcW w:w="645" w:type="dxa"/>
          </w:tcPr>
          <w:p w14:paraId="6ACB66EB">
            <w:pPr>
              <w:pStyle w:val="545"/>
              <w:jc w:val="left"/>
            </w:pPr>
          </w:p>
        </w:tc>
        <w:tc>
          <w:tcPr>
            <w:tcW w:w="975" w:type="dxa"/>
          </w:tcPr>
          <w:p w14:paraId="72A46C68">
            <w:pPr>
              <w:pStyle w:val="545"/>
              <w:jc w:val="left"/>
            </w:pPr>
          </w:p>
        </w:tc>
        <w:tc>
          <w:tcPr>
            <w:tcW w:w="750" w:type="dxa"/>
          </w:tcPr>
          <w:p w14:paraId="749657BB">
            <w:pPr>
              <w:pStyle w:val="545"/>
              <w:jc w:val="left"/>
            </w:pPr>
          </w:p>
        </w:tc>
        <w:tc>
          <w:tcPr>
            <w:tcW w:w="1033" w:type="dxa"/>
          </w:tcPr>
          <w:p w14:paraId="6652681D">
            <w:pPr>
              <w:pStyle w:val="545"/>
              <w:jc w:val="left"/>
            </w:pPr>
          </w:p>
        </w:tc>
        <w:tc>
          <w:tcPr>
            <w:tcW w:w="975" w:type="dxa"/>
          </w:tcPr>
          <w:p w14:paraId="4759E4BB">
            <w:pPr>
              <w:pStyle w:val="545"/>
              <w:jc w:val="left"/>
            </w:pPr>
          </w:p>
        </w:tc>
        <w:tc>
          <w:tcPr>
            <w:tcW w:w="846" w:type="dxa"/>
          </w:tcPr>
          <w:p w14:paraId="00B41A04">
            <w:pPr>
              <w:pStyle w:val="545"/>
              <w:jc w:val="left"/>
            </w:pPr>
          </w:p>
        </w:tc>
      </w:tr>
      <w:tr w14:paraId="27E20F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610" w:type="dxa"/>
          </w:tcPr>
          <w:p w14:paraId="31FC4A87">
            <w:pPr>
              <w:pStyle w:val="545"/>
              <w:jc w:val="left"/>
            </w:pPr>
          </w:p>
        </w:tc>
        <w:tc>
          <w:tcPr>
            <w:tcW w:w="810" w:type="dxa"/>
          </w:tcPr>
          <w:p w14:paraId="419080EC">
            <w:pPr>
              <w:pStyle w:val="545"/>
              <w:jc w:val="left"/>
            </w:pPr>
          </w:p>
        </w:tc>
        <w:tc>
          <w:tcPr>
            <w:tcW w:w="795" w:type="dxa"/>
          </w:tcPr>
          <w:p w14:paraId="49B384F5">
            <w:pPr>
              <w:pStyle w:val="545"/>
              <w:jc w:val="left"/>
            </w:pPr>
          </w:p>
        </w:tc>
        <w:tc>
          <w:tcPr>
            <w:tcW w:w="645" w:type="dxa"/>
          </w:tcPr>
          <w:p w14:paraId="419E6EFB">
            <w:pPr>
              <w:pStyle w:val="545"/>
              <w:jc w:val="left"/>
            </w:pPr>
          </w:p>
        </w:tc>
        <w:tc>
          <w:tcPr>
            <w:tcW w:w="675" w:type="dxa"/>
          </w:tcPr>
          <w:p w14:paraId="590FD7F4">
            <w:pPr>
              <w:pStyle w:val="545"/>
              <w:jc w:val="left"/>
            </w:pPr>
          </w:p>
        </w:tc>
        <w:tc>
          <w:tcPr>
            <w:tcW w:w="645" w:type="dxa"/>
          </w:tcPr>
          <w:p w14:paraId="4FA46314">
            <w:pPr>
              <w:pStyle w:val="545"/>
              <w:jc w:val="left"/>
            </w:pPr>
          </w:p>
        </w:tc>
        <w:tc>
          <w:tcPr>
            <w:tcW w:w="975" w:type="dxa"/>
          </w:tcPr>
          <w:p w14:paraId="596F76A7">
            <w:pPr>
              <w:pStyle w:val="545"/>
              <w:jc w:val="left"/>
            </w:pPr>
          </w:p>
        </w:tc>
        <w:tc>
          <w:tcPr>
            <w:tcW w:w="750" w:type="dxa"/>
          </w:tcPr>
          <w:p w14:paraId="476526C9">
            <w:pPr>
              <w:pStyle w:val="545"/>
              <w:jc w:val="left"/>
            </w:pPr>
          </w:p>
        </w:tc>
        <w:tc>
          <w:tcPr>
            <w:tcW w:w="1033" w:type="dxa"/>
          </w:tcPr>
          <w:p w14:paraId="2D800CA2">
            <w:pPr>
              <w:pStyle w:val="545"/>
              <w:jc w:val="left"/>
            </w:pPr>
          </w:p>
        </w:tc>
        <w:tc>
          <w:tcPr>
            <w:tcW w:w="975" w:type="dxa"/>
          </w:tcPr>
          <w:p w14:paraId="743429FE">
            <w:pPr>
              <w:pStyle w:val="545"/>
              <w:jc w:val="left"/>
            </w:pPr>
          </w:p>
        </w:tc>
        <w:tc>
          <w:tcPr>
            <w:tcW w:w="846" w:type="dxa"/>
          </w:tcPr>
          <w:p w14:paraId="7D7A3C9D">
            <w:pPr>
              <w:pStyle w:val="545"/>
              <w:jc w:val="left"/>
            </w:pPr>
          </w:p>
        </w:tc>
      </w:tr>
      <w:tr w14:paraId="4827E9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1" w:hRule="atLeast"/>
        </w:trPr>
        <w:tc>
          <w:tcPr>
            <w:tcW w:w="610" w:type="dxa"/>
          </w:tcPr>
          <w:p w14:paraId="2F1445E3">
            <w:pPr>
              <w:pStyle w:val="545"/>
              <w:jc w:val="left"/>
            </w:pPr>
          </w:p>
        </w:tc>
        <w:tc>
          <w:tcPr>
            <w:tcW w:w="810" w:type="dxa"/>
          </w:tcPr>
          <w:p w14:paraId="7CEDABE8">
            <w:pPr>
              <w:pStyle w:val="545"/>
              <w:jc w:val="left"/>
            </w:pPr>
          </w:p>
        </w:tc>
        <w:tc>
          <w:tcPr>
            <w:tcW w:w="795" w:type="dxa"/>
          </w:tcPr>
          <w:p w14:paraId="4A80545C">
            <w:pPr>
              <w:pStyle w:val="545"/>
              <w:jc w:val="left"/>
            </w:pPr>
          </w:p>
        </w:tc>
        <w:tc>
          <w:tcPr>
            <w:tcW w:w="645" w:type="dxa"/>
          </w:tcPr>
          <w:p w14:paraId="298B9DED">
            <w:pPr>
              <w:pStyle w:val="545"/>
              <w:jc w:val="left"/>
            </w:pPr>
          </w:p>
        </w:tc>
        <w:tc>
          <w:tcPr>
            <w:tcW w:w="675" w:type="dxa"/>
          </w:tcPr>
          <w:p w14:paraId="2C123EDB">
            <w:pPr>
              <w:pStyle w:val="545"/>
              <w:jc w:val="left"/>
            </w:pPr>
          </w:p>
        </w:tc>
        <w:tc>
          <w:tcPr>
            <w:tcW w:w="645" w:type="dxa"/>
          </w:tcPr>
          <w:p w14:paraId="237484D4">
            <w:pPr>
              <w:pStyle w:val="545"/>
              <w:jc w:val="left"/>
            </w:pPr>
          </w:p>
        </w:tc>
        <w:tc>
          <w:tcPr>
            <w:tcW w:w="975" w:type="dxa"/>
          </w:tcPr>
          <w:p w14:paraId="7250680B">
            <w:pPr>
              <w:pStyle w:val="545"/>
              <w:jc w:val="left"/>
            </w:pPr>
          </w:p>
        </w:tc>
        <w:tc>
          <w:tcPr>
            <w:tcW w:w="750" w:type="dxa"/>
          </w:tcPr>
          <w:p w14:paraId="566A992B">
            <w:pPr>
              <w:pStyle w:val="545"/>
              <w:jc w:val="left"/>
            </w:pPr>
          </w:p>
        </w:tc>
        <w:tc>
          <w:tcPr>
            <w:tcW w:w="1033" w:type="dxa"/>
          </w:tcPr>
          <w:p w14:paraId="50C85A41">
            <w:pPr>
              <w:pStyle w:val="545"/>
              <w:jc w:val="left"/>
            </w:pPr>
          </w:p>
        </w:tc>
        <w:tc>
          <w:tcPr>
            <w:tcW w:w="975" w:type="dxa"/>
          </w:tcPr>
          <w:p w14:paraId="281B92C8">
            <w:pPr>
              <w:pStyle w:val="545"/>
              <w:jc w:val="left"/>
            </w:pPr>
          </w:p>
        </w:tc>
        <w:tc>
          <w:tcPr>
            <w:tcW w:w="846" w:type="dxa"/>
          </w:tcPr>
          <w:p w14:paraId="47FB83B9">
            <w:pPr>
              <w:pStyle w:val="545"/>
              <w:jc w:val="left"/>
            </w:pPr>
          </w:p>
        </w:tc>
      </w:tr>
      <w:tr w14:paraId="13ADA8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1" w:hRule="atLeast"/>
        </w:trPr>
        <w:tc>
          <w:tcPr>
            <w:tcW w:w="610" w:type="dxa"/>
          </w:tcPr>
          <w:p w14:paraId="2860B27B">
            <w:pPr>
              <w:pStyle w:val="545"/>
              <w:jc w:val="left"/>
            </w:pPr>
          </w:p>
        </w:tc>
        <w:tc>
          <w:tcPr>
            <w:tcW w:w="810" w:type="dxa"/>
          </w:tcPr>
          <w:p w14:paraId="44C7008A">
            <w:pPr>
              <w:pStyle w:val="545"/>
              <w:jc w:val="left"/>
            </w:pPr>
          </w:p>
        </w:tc>
        <w:tc>
          <w:tcPr>
            <w:tcW w:w="795" w:type="dxa"/>
          </w:tcPr>
          <w:p w14:paraId="6D83596C">
            <w:pPr>
              <w:pStyle w:val="545"/>
              <w:jc w:val="left"/>
            </w:pPr>
          </w:p>
        </w:tc>
        <w:tc>
          <w:tcPr>
            <w:tcW w:w="645" w:type="dxa"/>
          </w:tcPr>
          <w:p w14:paraId="55AFECF5">
            <w:pPr>
              <w:pStyle w:val="545"/>
              <w:jc w:val="left"/>
            </w:pPr>
          </w:p>
        </w:tc>
        <w:tc>
          <w:tcPr>
            <w:tcW w:w="675" w:type="dxa"/>
          </w:tcPr>
          <w:p w14:paraId="1F6C7653">
            <w:pPr>
              <w:pStyle w:val="545"/>
              <w:jc w:val="left"/>
            </w:pPr>
          </w:p>
        </w:tc>
        <w:tc>
          <w:tcPr>
            <w:tcW w:w="645" w:type="dxa"/>
          </w:tcPr>
          <w:p w14:paraId="437F820E">
            <w:pPr>
              <w:pStyle w:val="545"/>
              <w:jc w:val="left"/>
            </w:pPr>
          </w:p>
        </w:tc>
        <w:tc>
          <w:tcPr>
            <w:tcW w:w="975" w:type="dxa"/>
          </w:tcPr>
          <w:p w14:paraId="306F7CAA">
            <w:pPr>
              <w:pStyle w:val="545"/>
              <w:jc w:val="left"/>
            </w:pPr>
          </w:p>
        </w:tc>
        <w:tc>
          <w:tcPr>
            <w:tcW w:w="750" w:type="dxa"/>
          </w:tcPr>
          <w:p w14:paraId="3ADDEC4B">
            <w:pPr>
              <w:pStyle w:val="545"/>
              <w:jc w:val="left"/>
            </w:pPr>
          </w:p>
        </w:tc>
        <w:tc>
          <w:tcPr>
            <w:tcW w:w="1033" w:type="dxa"/>
          </w:tcPr>
          <w:p w14:paraId="03C4E71D">
            <w:pPr>
              <w:pStyle w:val="545"/>
              <w:jc w:val="left"/>
            </w:pPr>
          </w:p>
        </w:tc>
        <w:tc>
          <w:tcPr>
            <w:tcW w:w="975" w:type="dxa"/>
          </w:tcPr>
          <w:p w14:paraId="4C44BD5B">
            <w:pPr>
              <w:pStyle w:val="545"/>
              <w:jc w:val="left"/>
            </w:pPr>
          </w:p>
        </w:tc>
        <w:tc>
          <w:tcPr>
            <w:tcW w:w="846" w:type="dxa"/>
          </w:tcPr>
          <w:p w14:paraId="28E9CBFC">
            <w:pPr>
              <w:pStyle w:val="545"/>
              <w:jc w:val="left"/>
            </w:pPr>
          </w:p>
        </w:tc>
      </w:tr>
      <w:tr w14:paraId="61F6C0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610" w:type="dxa"/>
          </w:tcPr>
          <w:p w14:paraId="7CAD4A08">
            <w:pPr>
              <w:pStyle w:val="545"/>
              <w:jc w:val="left"/>
            </w:pPr>
          </w:p>
        </w:tc>
        <w:tc>
          <w:tcPr>
            <w:tcW w:w="810" w:type="dxa"/>
          </w:tcPr>
          <w:p w14:paraId="7148A45D">
            <w:pPr>
              <w:pStyle w:val="545"/>
              <w:jc w:val="left"/>
            </w:pPr>
          </w:p>
        </w:tc>
        <w:tc>
          <w:tcPr>
            <w:tcW w:w="795" w:type="dxa"/>
          </w:tcPr>
          <w:p w14:paraId="2B0BCE6B">
            <w:pPr>
              <w:pStyle w:val="545"/>
              <w:jc w:val="left"/>
            </w:pPr>
          </w:p>
        </w:tc>
        <w:tc>
          <w:tcPr>
            <w:tcW w:w="645" w:type="dxa"/>
          </w:tcPr>
          <w:p w14:paraId="21AEFCEB">
            <w:pPr>
              <w:pStyle w:val="545"/>
              <w:jc w:val="left"/>
            </w:pPr>
          </w:p>
        </w:tc>
        <w:tc>
          <w:tcPr>
            <w:tcW w:w="675" w:type="dxa"/>
          </w:tcPr>
          <w:p w14:paraId="02916CD8">
            <w:pPr>
              <w:pStyle w:val="545"/>
              <w:jc w:val="left"/>
            </w:pPr>
          </w:p>
        </w:tc>
        <w:tc>
          <w:tcPr>
            <w:tcW w:w="645" w:type="dxa"/>
          </w:tcPr>
          <w:p w14:paraId="6C267FDC">
            <w:pPr>
              <w:pStyle w:val="545"/>
              <w:jc w:val="left"/>
            </w:pPr>
          </w:p>
        </w:tc>
        <w:tc>
          <w:tcPr>
            <w:tcW w:w="975" w:type="dxa"/>
          </w:tcPr>
          <w:p w14:paraId="6E0C4F07">
            <w:pPr>
              <w:pStyle w:val="545"/>
              <w:jc w:val="left"/>
            </w:pPr>
          </w:p>
        </w:tc>
        <w:tc>
          <w:tcPr>
            <w:tcW w:w="750" w:type="dxa"/>
          </w:tcPr>
          <w:p w14:paraId="6F56F198">
            <w:pPr>
              <w:pStyle w:val="545"/>
              <w:jc w:val="left"/>
            </w:pPr>
          </w:p>
        </w:tc>
        <w:tc>
          <w:tcPr>
            <w:tcW w:w="1033" w:type="dxa"/>
          </w:tcPr>
          <w:p w14:paraId="1DAF49DF">
            <w:pPr>
              <w:pStyle w:val="545"/>
              <w:jc w:val="left"/>
            </w:pPr>
          </w:p>
        </w:tc>
        <w:tc>
          <w:tcPr>
            <w:tcW w:w="975" w:type="dxa"/>
          </w:tcPr>
          <w:p w14:paraId="5BE56050">
            <w:pPr>
              <w:pStyle w:val="545"/>
              <w:jc w:val="left"/>
            </w:pPr>
          </w:p>
        </w:tc>
        <w:tc>
          <w:tcPr>
            <w:tcW w:w="846" w:type="dxa"/>
          </w:tcPr>
          <w:p w14:paraId="03385A75">
            <w:pPr>
              <w:pStyle w:val="545"/>
              <w:jc w:val="left"/>
            </w:pPr>
          </w:p>
        </w:tc>
      </w:tr>
      <w:tr w14:paraId="15D1C8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610" w:type="dxa"/>
          </w:tcPr>
          <w:p w14:paraId="36766202">
            <w:pPr>
              <w:pStyle w:val="545"/>
              <w:jc w:val="left"/>
            </w:pPr>
          </w:p>
        </w:tc>
        <w:tc>
          <w:tcPr>
            <w:tcW w:w="810" w:type="dxa"/>
          </w:tcPr>
          <w:p w14:paraId="12D622AE">
            <w:pPr>
              <w:pStyle w:val="545"/>
              <w:jc w:val="left"/>
            </w:pPr>
          </w:p>
        </w:tc>
        <w:tc>
          <w:tcPr>
            <w:tcW w:w="795" w:type="dxa"/>
          </w:tcPr>
          <w:p w14:paraId="16A7272B">
            <w:pPr>
              <w:pStyle w:val="545"/>
              <w:jc w:val="left"/>
            </w:pPr>
          </w:p>
        </w:tc>
        <w:tc>
          <w:tcPr>
            <w:tcW w:w="645" w:type="dxa"/>
          </w:tcPr>
          <w:p w14:paraId="069AD01F">
            <w:pPr>
              <w:pStyle w:val="545"/>
              <w:jc w:val="left"/>
            </w:pPr>
          </w:p>
        </w:tc>
        <w:tc>
          <w:tcPr>
            <w:tcW w:w="675" w:type="dxa"/>
          </w:tcPr>
          <w:p w14:paraId="30EF1A20">
            <w:pPr>
              <w:pStyle w:val="545"/>
              <w:jc w:val="left"/>
            </w:pPr>
          </w:p>
        </w:tc>
        <w:tc>
          <w:tcPr>
            <w:tcW w:w="645" w:type="dxa"/>
          </w:tcPr>
          <w:p w14:paraId="5737F967">
            <w:pPr>
              <w:pStyle w:val="545"/>
              <w:jc w:val="left"/>
            </w:pPr>
          </w:p>
        </w:tc>
        <w:tc>
          <w:tcPr>
            <w:tcW w:w="975" w:type="dxa"/>
          </w:tcPr>
          <w:p w14:paraId="79B1C3B4">
            <w:pPr>
              <w:pStyle w:val="545"/>
              <w:jc w:val="left"/>
            </w:pPr>
          </w:p>
        </w:tc>
        <w:tc>
          <w:tcPr>
            <w:tcW w:w="750" w:type="dxa"/>
          </w:tcPr>
          <w:p w14:paraId="312EB4C4">
            <w:pPr>
              <w:pStyle w:val="545"/>
              <w:jc w:val="left"/>
            </w:pPr>
          </w:p>
        </w:tc>
        <w:tc>
          <w:tcPr>
            <w:tcW w:w="1033" w:type="dxa"/>
          </w:tcPr>
          <w:p w14:paraId="179982CA">
            <w:pPr>
              <w:pStyle w:val="545"/>
              <w:jc w:val="left"/>
            </w:pPr>
          </w:p>
        </w:tc>
        <w:tc>
          <w:tcPr>
            <w:tcW w:w="975" w:type="dxa"/>
          </w:tcPr>
          <w:p w14:paraId="2179A701">
            <w:pPr>
              <w:pStyle w:val="545"/>
              <w:jc w:val="left"/>
            </w:pPr>
          </w:p>
        </w:tc>
        <w:tc>
          <w:tcPr>
            <w:tcW w:w="846" w:type="dxa"/>
          </w:tcPr>
          <w:p w14:paraId="11CF38B2">
            <w:pPr>
              <w:pStyle w:val="545"/>
              <w:jc w:val="left"/>
            </w:pPr>
          </w:p>
        </w:tc>
      </w:tr>
    </w:tbl>
    <w:p w14:paraId="4D068EFA">
      <w:pPr>
        <w:pStyle w:val="16"/>
        <w:tabs>
          <w:tab w:val="left" w:pos="2688"/>
        </w:tabs>
        <w:spacing w:before="1"/>
        <w:ind w:left="516"/>
        <w:rPr>
          <w:rFonts w:ascii="仿宋" w:hAnsi="仿宋" w:eastAsia="仿宋" w:cs="仿宋"/>
        </w:rPr>
      </w:pPr>
      <w:r>
        <w:rPr>
          <w:rFonts w:hint="eastAsia" w:ascii="仿宋" w:hAnsi="仿宋" w:eastAsia="仿宋" w:cs="仿宋"/>
        </w:rPr>
        <w:t>供应商名称：</w:t>
      </w:r>
      <w:r>
        <w:rPr>
          <w:rFonts w:hint="eastAsia" w:ascii="仿宋" w:hAnsi="仿宋" w:eastAsia="仿宋" w:cs="仿宋"/>
          <w:u w:val="single"/>
        </w:rPr>
        <w:t xml:space="preserve"> </w:t>
      </w:r>
      <w:r>
        <w:rPr>
          <w:rFonts w:hint="eastAsia" w:ascii="仿宋" w:hAnsi="仿宋" w:eastAsia="仿宋" w:cs="仿宋"/>
          <w:u w:val="single"/>
        </w:rPr>
        <w:tab/>
      </w:r>
      <w:r>
        <w:rPr>
          <w:rFonts w:hint="eastAsia" w:ascii="仿宋" w:hAnsi="仿宋" w:eastAsia="仿宋" w:cs="仿宋"/>
        </w:rPr>
        <w:t>（盖章）</w:t>
      </w:r>
    </w:p>
    <w:p w14:paraId="320684DD">
      <w:pPr>
        <w:pStyle w:val="16"/>
        <w:rPr>
          <w:rFonts w:ascii="仿宋" w:hAnsi="仿宋" w:eastAsia="仿宋" w:cs="仿宋"/>
          <w:sz w:val="26"/>
        </w:rPr>
      </w:pPr>
    </w:p>
    <w:p w14:paraId="795DA821">
      <w:pPr>
        <w:pStyle w:val="16"/>
        <w:rPr>
          <w:rFonts w:ascii="仿宋" w:hAnsi="仿宋" w:eastAsia="仿宋" w:cs="仿宋"/>
        </w:rPr>
      </w:pPr>
    </w:p>
    <w:p w14:paraId="3797958B">
      <w:pPr>
        <w:pStyle w:val="16"/>
        <w:ind w:left="516"/>
        <w:rPr>
          <w:rFonts w:ascii="仿宋" w:hAnsi="仿宋" w:eastAsia="仿宋" w:cs="仿宋"/>
        </w:rPr>
      </w:pPr>
      <w:r>
        <w:rPr>
          <w:rFonts w:hint="eastAsia" w:ascii="仿宋" w:hAnsi="仿宋" w:eastAsia="仿宋" w:cs="仿宋"/>
        </w:rPr>
        <w:t>说明</w:t>
      </w:r>
    </w:p>
    <w:p w14:paraId="1DC0A91A">
      <w:pPr>
        <w:spacing w:before="2"/>
        <w:ind w:left="516"/>
        <w:rPr>
          <w:rFonts w:ascii="仿宋" w:hAnsi="仿宋" w:eastAsia="仿宋" w:cs="仿宋"/>
        </w:rPr>
      </w:pPr>
      <w:r>
        <w:rPr>
          <w:rFonts w:hint="eastAsia" w:ascii="仿宋" w:hAnsi="仿宋" w:eastAsia="仿宋" w:cs="仿宋"/>
        </w:rPr>
        <w:t>1、“备注”栏，可填写该人员擅长的工作种类；</w:t>
      </w:r>
    </w:p>
    <w:p w14:paraId="1466C4E3">
      <w:pPr>
        <w:pStyle w:val="16"/>
        <w:spacing w:before="5"/>
        <w:ind w:left="516"/>
        <w:rPr>
          <w:rFonts w:ascii="仿宋" w:hAnsi="仿宋" w:eastAsia="仿宋" w:cs="仿宋"/>
        </w:rPr>
      </w:pPr>
      <w:r>
        <w:rPr>
          <w:rFonts w:hint="eastAsia" w:ascii="仿宋" w:hAnsi="仿宋" w:eastAsia="仿宋" w:cs="仿宋"/>
        </w:rPr>
        <w:t>2、如果行数不够，请自行增加。</w:t>
      </w:r>
    </w:p>
    <w:p w14:paraId="1308019A">
      <w:pPr>
        <w:pStyle w:val="16"/>
        <w:spacing w:before="4"/>
        <w:ind w:left="516"/>
        <w:rPr>
          <w:rFonts w:ascii="仿宋" w:hAnsi="仿宋" w:eastAsia="仿宋" w:cs="仿宋"/>
        </w:rPr>
      </w:pPr>
      <w:r>
        <w:rPr>
          <w:rFonts w:hint="eastAsia" w:ascii="仿宋" w:hAnsi="仿宋" w:eastAsia="仿宋" w:cs="仿宋"/>
        </w:rPr>
        <w:t>3、所有职称、证明均需要提供有效的复印件（扫描件）。</w:t>
      </w:r>
    </w:p>
    <w:p w14:paraId="489F7D83">
      <w:pPr>
        <w:ind w:left="516"/>
        <w:jc w:val="left"/>
        <w:rPr>
          <w:rFonts w:ascii="仿宋" w:hAnsi="仿宋" w:eastAsia="仿宋" w:cs="仿宋"/>
          <w:b/>
        </w:rPr>
      </w:pPr>
    </w:p>
    <w:p w14:paraId="23AE4DC0">
      <w:pPr>
        <w:spacing w:line="360" w:lineRule="auto"/>
        <w:rPr>
          <w:rFonts w:ascii="仿宋" w:hAnsi="仿宋" w:eastAsia="仿宋" w:cs="仿宋"/>
          <w:color w:val="000000"/>
        </w:rPr>
      </w:pPr>
    </w:p>
    <w:p w14:paraId="1F621741">
      <w:pPr>
        <w:spacing w:line="360" w:lineRule="auto"/>
        <w:rPr>
          <w:rFonts w:ascii="仿宋" w:hAnsi="仿宋" w:eastAsia="仿宋" w:cs="仿宋"/>
          <w:color w:val="000000"/>
        </w:rPr>
      </w:pPr>
    </w:p>
    <w:p w14:paraId="7C7E881E">
      <w:pPr>
        <w:spacing w:line="360" w:lineRule="auto"/>
        <w:rPr>
          <w:rFonts w:ascii="仿宋" w:hAnsi="仿宋" w:eastAsia="仿宋" w:cs="仿宋"/>
          <w:color w:val="000000"/>
        </w:rPr>
      </w:pPr>
    </w:p>
    <w:p w14:paraId="5184F14A">
      <w:pPr>
        <w:ind w:left="516"/>
        <w:jc w:val="left"/>
        <w:outlineLvl w:val="0"/>
        <w:rPr>
          <w:rFonts w:ascii="仿宋" w:hAnsi="仿宋" w:eastAsia="仿宋" w:cs="仿宋"/>
          <w:b/>
          <w:sz w:val="22"/>
        </w:rPr>
      </w:pPr>
      <w:r>
        <w:rPr>
          <w:rFonts w:hint="eastAsia" w:ascii="仿宋" w:hAnsi="仿宋" w:eastAsia="仿宋" w:cs="仿宋"/>
          <w:color w:val="000000"/>
        </w:rPr>
        <w:br w:type="page" w:clear="all"/>
      </w:r>
      <w:bookmarkStart w:id="55" w:name="_Toc5714"/>
      <w:r>
        <w:rPr>
          <w:rFonts w:hint="eastAsia" w:ascii="仿宋" w:hAnsi="仿宋" w:eastAsia="仿宋" w:cs="仿宋"/>
          <w:color w:val="000000"/>
          <w:sz w:val="32"/>
          <w:szCs w:val="32"/>
        </w:rPr>
        <w:t>八、</w:t>
      </w:r>
      <w:r>
        <w:rPr>
          <w:rFonts w:hint="eastAsia" w:ascii="仿宋" w:hAnsi="仿宋" w:eastAsia="仿宋" w:cs="仿宋"/>
          <w:b/>
          <w:sz w:val="28"/>
          <w:szCs w:val="22"/>
        </w:rPr>
        <w:t>供应商类似业绩情况表</w:t>
      </w:r>
      <w:bookmarkEnd w:id="55"/>
    </w:p>
    <w:p w14:paraId="0309BF7B">
      <w:pPr>
        <w:spacing w:before="146"/>
        <w:ind w:right="655"/>
        <w:jc w:val="center"/>
        <w:rPr>
          <w:rFonts w:ascii="仿宋" w:hAnsi="仿宋" w:eastAsia="仿宋" w:cs="仿宋"/>
          <w:b/>
          <w:sz w:val="32"/>
        </w:rPr>
      </w:pPr>
      <w:r>
        <w:rPr>
          <w:rFonts w:hint="eastAsia" w:ascii="仿宋" w:hAnsi="仿宋" w:eastAsia="仿宋" w:cs="仿宋"/>
          <w:b/>
          <w:sz w:val="32"/>
        </w:rPr>
        <w:t>供应商类似业绩情况表</w:t>
      </w:r>
    </w:p>
    <w:p w14:paraId="52E8CF4A">
      <w:pPr>
        <w:pStyle w:val="16"/>
        <w:tabs>
          <w:tab w:val="left" w:pos="6516"/>
        </w:tabs>
        <w:spacing w:before="4"/>
        <w:ind w:left="516"/>
        <w:rPr>
          <w:rFonts w:ascii="仿宋" w:hAnsi="仿宋" w:eastAsia="仿宋" w:cs="仿宋"/>
        </w:rPr>
      </w:pPr>
      <w:r>
        <w:rPr>
          <w:rFonts w:hint="eastAsia" w:ascii="仿宋" w:hAnsi="仿宋" w:eastAsia="仿宋" w:cs="仿宋"/>
        </w:rPr>
        <w:t>项目名称：</w:t>
      </w:r>
      <w:r>
        <w:rPr>
          <w:rFonts w:hint="eastAsia" w:ascii="仿宋" w:hAnsi="仿宋" w:eastAsia="仿宋" w:cs="仿宋"/>
        </w:rPr>
        <w:tab/>
      </w:r>
      <w:r>
        <w:rPr>
          <w:rFonts w:hint="eastAsia" w:ascii="仿宋" w:hAnsi="仿宋" w:eastAsia="仿宋" w:cs="仿宋"/>
        </w:rPr>
        <w:t>项目编号：</w:t>
      </w:r>
    </w:p>
    <w:p w14:paraId="1CD0AD81">
      <w:pPr>
        <w:pStyle w:val="16"/>
        <w:spacing w:before="8"/>
        <w:rPr>
          <w:rFonts w:ascii="仿宋" w:hAnsi="仿宋" w:eastAsia="仿宋" w:cs="仿宋"/>
          <w:sz w:val="9"/>
        </w:rPr>
      </w:pPr>
    </w:p>
    <w:tbl>
      <w:tblPr>
        <w:tblStyle w:val="34"/>
        <w:tblW w:w="0" w:type="auto"/>
        <w:tblInd w:w="41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75"/>
        <w:gridCol w:w="1075"/>
        <w:gridCol w:w="1076"/>
        <w:gridCol w:w="1076"/>
        <w:gridCol w:w="1076"/>
        <w:gridCol w:w="1076"/>
        <w:gridCol w:w="1077"/>
        <w:gridCol w:w="1077"/>
      </w:tblGrid>
      <w:tr w14:paraId="220693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5" w:hRule="atLeast"/>
        </w:trPr>
        <w:tc>
          <w:tcPr>
            <w:tcW w:w="1075" w:type="dxa"/>
          </w:tcPr>
          <w:p w14:paraId="58C38843">
            <w:pPr>
              <w:pStyle w:val="545"/>
              <w:spacing w:before="136"/>
              <w:ind w:left="325"/>
              <w:jc w:val="left"/>
              <w:rPr>
                <w:b/>
                <w:sz w:val="21"/>
              </w:rPr>
            </w:pPr>
            <w:r>
              <w:rPr>
                <w:rFonts w:hint="eastAsia"/>
                <w:b/>
                <w:sz w:val="21"/>
              </w:rPr>
              <w:t>序号</w:t>
            </w:r>
          </w:p>
        </w:tc>
        <w:tc>
          <w:tcPr>
            <w:tcW w:w="1075" w:type="dxa"/>
          </w:tcPr>
          <w:p w14:paraId="72EB7229">
            <w:pPr>
              <w:pStyle w:val="545"/>
              <w:spacing w:before="136"/>
              <w:ind w:left="117"/>
              <w:jc w:val="left"/>
              <w:rPr>
                <w:b/>
                <w:sz w:val="21"/>
              </w:rPr>
            </w:pPr>
            <w:r>
              <w:rPr>
                <w:rFonts w:hint="eastAsia"/>
                <w:b/>
                <w:sz w:val="21"/>
              </w:rPr>
              <w:t>项目名称</w:t>
            </w:r>
          </w:p>
        </w:tc>
        <w:tc>
          <w:tcPr>
            <w:tcW w:w="1076" w:type="dxa"/>
          </w:tcPr>
          <w:p w14:paraId="0A23D97D">
            <w:pPr>
              <w:pStyle w:val="545"/>
              <w:spacing w:before="136"/>
              <w:ind w:left="117"/>
              <w:jc w:val="left"/>
              <w:rPr>
                <w:b/>
                <w:sz w:val="21"/>
              </w:rPr>
            </w:pPr>
            <w:r>
              <w:rPr>
                <w:rFonts w:hint="eastAsia"/>
                <w:b/>
                <w:sz w:val="21"/>
              </w:rPr>
              <w:t>业主单位</w:t>
            </w:r>
          </w:p>
        </w:tc>
        <w:tc>
          <w:tcPr>
            <w:tcW w:w="1076" w:type="dxa"/>
          </w:tcPr>
          <w:p w14:paraId="52AC21BF">
            <w:pPr>
              <w:pStyle w:val="545"/>
              <w:spacing w:before="136"/>
              <w:ind w:left="116"/>
              <w:jc w:val="left"/>
              <w:rPr>
                <w:b/>
                <w:sz w:val="21"/>
              </w:rPr>
            </w:pPr>
            <w:r>
              <w:rPr>
                <w:rFonts w:hint="eastAsia"/>
                <w:b/>
                <w:sz w:val="21"/>
              </w:rPr>
              <w:t>项目规模</w:t>
            </w:r>
          </w:p>
        </w:tc>
        <w:tc>
          <w:tcPr>
            <w:tcW w:w="1076" w:type="dxa"/>
          </w:tcPr>
          <w:p w14:paraId="1844601C">
            <w:pPr>
              <w:pStyle w:val="545"/>
              <w:spacing w:before="136"/>
              <w:ind w:left="118"/>
              <w:jc w:val="left"/>
              <w:rPr>
                <w:b/>
                <w:sz w:val="21"/>
              </w:rPr>
            </w:pPr>
            <w:r>
              <w:rPr>
                <w:rFonts w:hint="eastAsia"/>
                <w:b/>
                <w:sz w:val="21"/>
              </w:rPr>
              <w:t>获奖情况</w:t>
            </w:r>
          </w:p>
        </w:tc>
        <w:tc>
          <w:tcPr>
            <w:tcW w:w="1076" w:type="dxa"/>
          </w:tcPr>
          <w:p w14:paraId="2A2CAC64">
            <w:pPr>
              <w:pStyle w:val="545"/>
              <w:spacing w:before="1" w:line="242" w:lineRule="auto"/>
              <w:ind w:left="223" w:right="103" w:hanging="106"/>
              <w:jc w:val="left"/>
              <w:rPr>
                <w:b/>
                <w:sz w:val="21"/>
              </w:rPr>
            </w:pPr>
            <w:r>
              <w:rPr>
                <w:rFonts w:hint="eastAsia"/>
                <w:b/>
                <w:sz w:val="21"/>
              </w:rPr>
              <w:t>签约及服务时间</w:t>
            </w:r>
          </w:p>
        </w:tc>
        <w:tc>
          <w:tcPr>
            <w:tcW w:w="1077" w:type="dxa"/>
          </w:tcPr>
          <w:p w14:paraId="1522A434">
            <w:pPr>
              <w:pStyle w:val="545"/>
              <w:spacing w:before="1" w:line="242" w:lineRule="auto"/>
              <w:ind w:left="327" w:right="105" w:hanging="212"/>
              <w:jc w:val="left"/>
              <w:rPr>
                <w:b/>
                <w:sz w:val="21"/>
              </w:rPr>
            </w:pPr>
            <w:r>
              <w:rPr>
                <w:rFonts w:hint="eastAsia"/>
                <w:b/>
                <w:sz w:val="21"/>
              </w:rPr>
              <w:t>联系人及电话</w:t>
            </w:r>
          </w:p>
        </w:tc>
        <w:tc>
          <w:tcPr>
            <w:tcW w:w="1077" w:type="dxa"/>
          </w:tcPr>
          <w:p w14:paraId="71864CC1">
            <w:pPr>
              <w:pStyle w:val="545"/>
              <w:spacing w:before="136"/>
              <w:ind w:left="328"/>
              <w:jc w:val="left"/>
              <w:rPr>
                <w:b/>
                <w:sz w:val="21"/>
              </w:rPr>
            </w:pPr>
            <w:r>
              <w:rPr>
                <w:rFonts w:hint="eastAsia"/>
                <w:b/>
                <w:sz w:val="21"/>
              </w:rPr>
              <w:t>备注</w:t>
            </w:r>
          </w:p>
        </w:tc>
      </w:tr>
      <w:tr w14:paraId="19366D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075" w:type="dxa"/>
          </w:tcPr>
          <w:p w14:paraId="77C80E7A">
            <w:pPr>
              <w:pStyle w:val="545"/>
              <w:jc w:val="left"/>
            </w:pPr>
          </w:p>
        </w:tc>
        <w:tc>
          <w:tcPr>
            <w:tcW w:w="1075" w:type="dxa"/>
          </w:tcPr>
          <w:p w14:paraId="51246090">
            <w:pPr>
              <w:pStyle w:val="545"/>
              <w:jc w:val="left"/>
            </w:pPr>
          </w:p>
        </w:tc>
        <w:tc>
          <w:tcPr>
            <w:tcW w:w="1076" w:type="dxa"/>
          </w:tcPr>
          <w:p w14:paraId="5672E02C">
            <w:pPr>
              <w:pStyle w:val="545"/>
              <w:jc w:val="left"/>
            </w:pPr>
          </w:p>
        </w:tc>
        <w:tc>
          <w:tcPr>
            <w:tcW w:w="1076" w:type="dxa"/>
          </w:tcPr>
          <w:p w14:paraId="334B5567">
            <w:pPr>
              <w:pStyle w:val="545"/>
              <w:jc w:val="left"/>
            </w:pPr>
          </w:p>
        </w:tc>
        <w:tc>
          <w:tcPr>
            <w:tcW w:w="1076" w:type="dxa"/>
          </w:tcPr>
          <w:p w14:paraId="0D0DB474">
            <w:pPr>
              <w:pStyle w:val="545"/>
              <w:jc w:val="left"/>
            </w:pPr>
          </w:p>
        </w:tc>
        <w:tc>
          <w:tcPr>
            <w:tcW w:w="1076" w:type="dxa"/>
          </w:tcPr>
          <w:p w14:paraId="2C89BC71">
            <w:pPr>
              <w:pStyle w:val="545"/>
              <w:jc w:val="left"/>
            </w:pPr>
          </w:p>
        </w:tc>
        <w:tc>
          <w:tcPr>
            <w:tcW w:w="1077" w:type="dxa"/>
          </w:tcPr>
          <w:p w14:paraId="0DAC8847">
            <w:pPr>
              <w:pStyle w:val="545"/>
              <w:jc w:val="left"/>
            </w:pPr>
          </w:p>
        </w:tc>
        <w:tc>
          <w:tcPr>
            <w:tcW w:w="1077" w:type="dxa"/>
          </w:tcPr>
          <w:p w14:paraId="0BA0AAAA">
            <w:pPr>
              <w:pStyle w:val="545"/>
              <w:jc w:val="left"/>
            </w:pPr>
          </w:p>
        </w:tc>
      </w:tr>
      <w:tr w14:paraId="2966BE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1075" w:type="dxa"/>
          </w:tcPr>
          <w:p w14:paraId="68B185C7">
            <w:pPr>
              <w:pStyle w:val="545"/>
              <w:jc w:val="left"/>
            </w:pPr>
          </w:p>
        </w:tc>
        <w:tc>
          <w:tcPr>
            <w:tcW w:w="1075" w:type="dxa"/>
          </w:tcPr>
          <w:p w14:paraId="781E6BA2">
            <w:pPr>
              <w:pStyle w:val="545"/>
              <w:jc w:val="left"/>
            </w:pPr>
          </w:p>
        </w:tc>
        <w:tc>
          <w:tcPr>
            <w:tcW w:w="1076" w:type="dxa"/>
          </w:tcPr>
          <w:p w14:paraId="2FE102E1">
            <w:pPr>
              <w:pStyle w:val="545"/>
              <w:jc w:val="left"/>
            </w:pPr>
          </w:p>
        </w:tc>
        <w:tc>
          <w:tcPr>
            <w:tcW w:w="1076" w:type="dxa"/>
          </w:tcPr>
          <w:p w14:paraId="0A35D530">
            <w:pPr>
              <w:pStyle w:val="545"/>
              <w:jc w:val="left"/>
            </w:pPr>
          </w:p>
        </w:tc>
        <w:tc>
          <w:tcPr>
            <w:tcW w:w="1076" w:type="dxa"/>
          </w:tcPr>
          <w:p w14:paraId="55204C45">
            <w:pPr>
              <w:pStyle w:val="545"/>
              <w:jc w:val="left"/>
            </w:pPr>
          </w:p>
        </w:tc>
        <w:tc>
          <w:tcPr>
            <w:tcW w:w="1076" w:type="dxa"/>
          </w:tcPr>
          <w:p w14:paraId="7C048086">
            <w:pPr>
              <w:pStyle w:val="545"/>
              <w:jc w:val="left"/>
            </w:pPr>
          </w:p>
        </w:tc>
        <w:tc>
          <w:tcPr>
            <w:tcW w:w="1077" w:type="dxa"/>
          </w:tcPr>
          <w:p w14:paraId="5469BBB0">
            <w:pPr>
              <w:pStyle w:val="545"/>
              <w:jc w:val="left"/>
            </w:pPr>
          </w:p>
        </w:tc>
        <w:tc>
          <w:tcPr>
            <w:tcW w:w="1077" w:type="dxa"/>
          </w:tcPr>
          <w:p w14:paraId="26786EEF">
            <w:pPr>
              <w:pStyle w:val="545"/>
              <w:jc w:val="left"/>
            </w:pPr>
          </w:p>
        </w:tc>
      </w:tr>
      <w:tr w14:paraId="744774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1075" w:type="dxa"/>
          </w:tcPr>
          <w:p w14:paraId="72AF822A">
            <w:pPr>
              <w:pStyle w:val="545"/>
              <w:jc w:val="left"/>
            </w:pPr>
          </w:p>
        </w:tc>
        <w:tc>
          <w:tcPr>
            <w:tcW w:w="1075" w:type="dxa"/>
          </w:tcPr>
          <w:p w14:paraId="0A0B5B45">
            <w:pPr>
              <w:pStyle w:val="545"/>
              <w:jc w:val="left"/>
            </w:pPr>
          </w:p>
        </w:tc>
        <w:tc>
          <w:tcPr>
            <w:tcW w:w="1076" w:type="dxa"/>
          </w:tcPr>
          <w:p w14:paraId="47BF1415">
            <w:pPr>
              <w:pStyle w:val="545"/>
              <w:jc w:val="left"/>
            </w:pPr>
          </w:p>
        </w:tc>
        <w:tc>
          <w:tcPr>
            <w:tcW w:w="1076" w:type="dxa"/>
          </w:tcPr>
          <w:p w14:paraId="288EBF51">
            <w:pPr>
              <w:pStyle w:val="545"/>
              <w:jc w:val="left"/>
            </w:pPr>
          </w:p>
        </w:tc>
        <w:tc>
          <w:tcPr>
            <w:tcW w:w="1076" w:type="dxa"/>
          </w:tcPr>
          <w:p w14:paraId="2AA5EA24">
            <w:pPr>
              <w:pStyle w:val="545"/>
              <w:jc w:val="left"/>
            </w:pPr>
          </w:p>
        </w:tc>
        <w:tc>
          <w:tcPr>
            <w:tcW w:w="1076" w:type="dxa"/>
          </w:tcPr>
          <w:p w14:paraId="0790F95D">
            <w:pPr>
              <w:pStyle w:val="545"/>
              <w:jc w:val="left"/>
            </w:pPr>
          </w:p>
        </w:tc>
        <w:tc>
          <w:tcPr>
            <w:tcW w:w="1077" w:type="dxa"/>
          </w:tcPr>
          <w:p w14:paraId="370BA14E">
            <w:pPr>
              <w:pStyle w:val="545"/>
              <w:jc w:val="left"/>
            </w:pPr>
          </w:p>
        </w:tc>
        <w:tc>
          <w:tcPr>
            <w:tcW w:w="1077" w:type="dxa"/>
          </w:tcPr>
          <w:p w14:paraId="0B706C6B">
            <w:pPr>
              <w:pStyle w:val="545"/>
              <w:jc w:val="left"/>
            </w:pPr>
          </w:p>
        </w:tc>
      </w:tr>
      <w:tr w14:paraId="14904C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1075" w:type="dxa"/>
          </w:tcPr>
          <w:p w14:paraId="6CD26837">
            <w:pPr>
              <w:pStyle w:val="545"/>
              <w:jc w:val="left"/>
            </w:pPr>
          </w:p>
        </w:tc>
        <w:tc>
          <w:tcPr>
            <w:tcW w:w="1075" w:type="dxa"/>
          </w:tcPr>
          <w:p w14:paraId="706CAE51">
            <w:pPr>
              <w:pStyle w:val="545"/>
              <w:jc w:val="left"/>
            </w:pPr>
          </w:p>
        </w:tc>
        <w:tc>
          <w:tcPr>
            <w:tcW w:w="1076" w:type="dxa"/>
          </w:tcPr>
          <w:p w14:paraId="78BB85CF">
            <w:pPr>
              <w:pStyle w:val="545"/>
              <w:jc w:val="left"/>
            </w:pPr>
          </w:p>
        </w:tc>
        <w:tc>
          <w:tcPr>
            <w:tcW w:w="1076" w:type="dxa"/>
          </w:tcPr>
          <w:p w14:paraId="18688FDF">
            <w:pPr>
              <w:pStyle w:val="545"/>
              <w:jc w:val="left"/>
            </w:pPr>
          </w:p>
        </w:tc>
        <w:tc>
          <w:tcPr>
            <w:tcW w:w="1076" w:type="dxa"/>
          </w:tcPr>
          <w:p w14:paraId="718B49F4">
            <w:pPr>
              <w:pStyle w:val="545"/>
              <w:jc w:val="left"/>
            </w:pPr>
          </w:p>
        </w:tc>
        <w:tc>
          <w:tcPr>
            <w:tcW w:w="1076" w:type="dxa"/>
          </w:tcPr>
          <w:p w14:paraId="292D8401">
            <w:pPr>
              <w:pStyle w:val="545"/>
              <w:jc w:val="left"/>
            </w:pPr>
          </w:p>
        </w:tc>
        <w:tc>
          <w:tcPr>
            <w:tcW w:w="1077" w:type="dxa"/>
          </w:tcPr>
          <w:p w14:paraId="10DA3B85">
            <w:pPr>
              <w:pStyle w:val="545"/>
              <w:jc w:val="left"/>
            </w:pPr>
          </w:p>
        </w:tc>
        <w:tc>
          <w:tcPr>
            <w:tcW w:w="1077" w:type="dxa"/>
          </w:tcPr>
          <w:p w14:paraId="1FC7487E">
            <w:pPr>
              <w:pStyle w:val="545"/>
              <w:jc w:val="left"/>
            </w:pPr>
          </w:p>
        </w:tc>
      </w:tr>
      <w:tr w14:paraId="6DF32E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075" w:type="dxa"/>
          </w:tcPr>
          <w:p w14:paraId="2003B869">
            <w:pPr>
              <w:pStyle w:val="545"/>
              <w:jc w:val="left"/>
            </w:pPr>
          </w:p>
        </w:tc>
        <w:tc>
          <w:tcPr>
            <w:tcW w:w="1075" w:type="dxa"/>
          </w:tcPr>
          <w:p w14:paraId="1EA03C45">
            <w:pPr>
              <w:pStyle w:val="545"/>
              <w:jc w:val="left"/>
            </w:pPr>
          </w:p>
        </w:tc>
        <w:tc>
          <w:tcPr>
            <w:tcW w:w="1076" w:type="dxa"/>
          </w:tcPr>
          <w:p w14:paraId="215B1EBC">
            <w:pPr>
              <w:pStyle w:val="545"/>
              <w:jc w:val="left"/>
            </w:pPr>
          </w:p>
        </w:tc>
        <w:tc>
          <w:tcPr>
            <w:tcW w:w="1076" w:type="dxa"/>
          </w:tcPr>
          <w:p w14:paraId="06CEA337">
            <w:pPr>
              <w:pStyle w:val="545"/>
              <w:jc w:val="left"/>
            </w:pPr>
          </w:p>
        </w:tc>
        <w:tc>
          <w:tcPr>
            <w:tcW w:w="1076" w:type="dxa"/>
          </w:tcPr>
          <w:p w14:paraId="4E88C19A">
            <w:pPr>
              <w:pStyle w:val="545"/>
              <w:jc w:val="left"/>
            </w:pPr>
          </w:p>
        </w:tc>
        <w:tc>
          <w:tcPr>
            <w:tcW w:w="1076" w:type="dxa"/>
          </w:tcPr>
          <w:p w14:paraId="2C82D29F">
            <w:pPr>
              <w:pStyle w:val="545"/>
              <w:jc w:val="left"/>
            </w:pPr>
          </w:p>
        </w:tc>
        <w:tc>
          <w:tcPr>
            <w:tcW w:w="1077" w:type="dxa"/>
          </w:tcPr>
          <w:p w14:paraId="1DAE3937">
            <w:pPr>
              <w:pStyle w:val="545"/>
              <w:jc w:val="left"/>
            </w:pPr>
          </w:p>
        </w:tc>
        <w:tc>
          <w:tcPr>
            <w:tcW w:w="1077" w:type="dxa"/>
          </w:tcPr>
          <w:p w14:paraId="7509C4F0">
            <w:pPr>
              <w:pStyle w:val="545"/>
              <w:jc w:val="left"/>
            </w:pPr>
          </w:p>
        </w:tc>
      </w:tr>
      <w:tr w14:paraId="7CBFA1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1075" w:type="dxa"/>
          </w:tcPr>
          <w:p w14:paraId="33A90F54">
            <w:pPr>
              <w:pStyle w:val="545"/>
              <w:jc w:val="left"/>
            </w:pPr>
          </w:p>
        </w:tc>
        <w:tc>
          <w:tcPr>
            <w:tcW w:w="1075" w:type="dxa"/>
          </w:tcPr>
          <w:p w14:paraId="6BD6D327">
            <w:pPr>
              <w:pStyle w:val="545"/>
              <w:jc w:val="left"/>
            </w:pPr>
          </w:p>
        </w:tc>
        <w:tc>
          <w:tcPr>
            <w:tcW w:w="1076" w:type="dxa"/>
          </w:tcPr>
          <w:p w14:paraId="33B1203C">
            <w:pPr>
              <w:pStyle w:val="545"/>
              <w:jc w:val="left"/>
            </w:pPr>
          </w:p>
        </w:tc>
        <w:tc>
          <w:tcPr>
            <w:tcW w:w="1076" w:type="dxa"/>
          </w:tcPr>
          <w:p w14:paraId="5CAF135C">
            <w:pPr>
              <w:pStyle w:val="545"/>
              <w:jc w:val="left"/>
            </w:pPr>
          </w:p>
        </w:tc>
        <w:tc>
          <w:tcPr>
            <w:tcW w:w="1076" w:type="dxa"/>
          </w:tcPr>
          <w:p w14:paraId="12A939C6">
            <w:pPr>
              <w:pStyle w:val="545"/>
              <w:jc w:val="left"/>
            </w:pPr>
          </w:p>
        </w:tc>
        <w:tc>
          <w:tcPr>
            <w:tcW w:w="1076" w:type="dxa"/>
          </w:tcPr>
          <w:p w14:paraId="1D4C4953">
            <w:pPr>
              <w:pStyle w:val="545"/>
              <w:jc w:val="left"/>
            </w:pPr>
          </w:p>
        </w:tc>
        <w:tc>
          <w:tcPr>
            <w:tcW w:w="1077" w:type="dxa"/>
          </w:tcPr>
          <w:p w14:paraId="1001927B">
            <w:pPr>
              <w:pStyle w:val="545"/>
              <w:jc w:val="left"/>
            </w:pPr>
          </w:p>
        </w:tc>
        <w:tc>
          <w:tcPr>
            <w:tcW w:w="1077" w:type="dxa"/>
          </w:tcPr>
          <w:p w14:paraId="7DFE1294">
            <w:pPr>
              <w:pStyle w:val="545"/>
              <w:jc w:val="left"/>
            </w:pPr>
          </w:p>
        </w:tc>
      </w:tr>
    </w:tbl>
    <w:p w14:paraId="7BDB8C30">
      <w:pPr>
        <w:pStyle w:val="16"/>
        <w:tabs>
          <w:tab w:val="left" w:pos="2688"/>
        </w:tabs>
        <w:spacing w:before="3" w:line="242" w:lineRule="auto"/>
        <w:ind w:left="516" w:right="6435"/>
        <w:rPr>
          <w:rFonts w:ascii="仿宋" w:hAnsi="仿宋" w:eastAsia="仿宋" w:cs="仿宋"/>
        </w:rPr>
      </w:pPr>
      <w:r>
        <w:rPr>
          <w:rFonts w:hint="eastAsia" w:ascii="仿宋" w:hAnsi="仿宋" w:eastAsia="仿宋" w:cs="仿宋"/>
        </w:rPr>
        <w:t>供应商名称：</w:t>
      </w:r>
      <w:r>
        <w:rPr>
          <w:rFonts w:hint="eastAsia" w:ascii="仿宋" w:hAnsi="仿宋" w:eastAsia="仿宋" w:cs="仿宋"/>
          <w:u w:val="single"/>
        </w:rPr>
        <w:t xml:space="preserve"> </w:t>
      </w:r>
      <w:r>
        <w:rPr>
          <w:rFonts w:hint="eastAsia" w:ascii="仿宋" w:hAnsi="仿宋" w:eastAsia="仿宋" w:cs="仿宋"/>
          <w:u w:val="single"/>
        </w:rPr>
        <w:tab/>
      </w:r>
      <w:r>
        <w:rPr>
          <w:rFonts w:hint="eastAsia" w:ascii="仿宋" w:hAnsi="仿宋" w:eastAsia="仿宋" w:cs="仿宋"/>
        </w:rPr>
        <w:t>（盖章</w:t>
      </w:r>
      <w:r>
        <w:rPr>
          <w:rFonts w:hint="eastAsia" w:ascii="仿宋" w:hAnsi="仿宋" w:eastAsia="仿宋" w:cs="仿宋"/>
          <w:spacing w:val="-17"/>
        </w:rPr>
        <w:t xml:space="preserve">） </w:t>
      </w:r>
      <w:r>
        <w:rPr>
          <w:rFonts w:hint="eastAsia" w:ascii="仿宋" w:hAnsi="仿宋" w:eastAsia="仿宋" w:cs="仿宋"/>
        </w:rPr>
        <w:t>说明：</w:t>
      </w:r>
    </w:p>
    <w:p w14:paraId="3A5DFD1A">
      <w:pPr>
        <w:pStyle w:val="16"/>
        <w:ind w:left="516"/>
        <w:rPr>
          <w:rFonts w:ascii="仿宋" w:hAnsi="仿宋" w:eastAsia="仿宋" w:cs="仿宋"/>
        </w:rPr>
      </w:pPr>
      <w:r>
        <w:rPr>
          <w:rFonts w:hint="eastAsia" w:ascii="仿宋" w:hAnsi="仿宋" w:eastAsia="仿宋" w:cs="仿宋"/>
        </w:rPr>
        <w:t>1、如果行数不够，请自行增加。</w:t>
      </w:r>
    </w:p>
    <w:p w14:paraId="2287AB6B">
      <w:pPr>
        <w:pStyle w:val="16"/>
        <w:spacing w:before="4"/>
        <w:ind w:left="516"/>
        <w:rPr>
          <w:rFonts w:ascii="仿宋" w:hAnsi="仿宋" w:eastAsia="仿宋" w:cs="仿宋"/>
        </w:rPr>
      </w:pPr>
      <w:r>
        <w:rPr>
          <w:rFonts w:hint="eastAsia" w:ascii="仿宋" w:hAnsi="仿宋" w:eastAsia="仿宋" w:cs="仿宋"/>
        </w:rPr>
        <w:t>2、所有业绩均需要提供有效的复印件（扫描件）。</w:t>
      </w:r>
    </w:p>
    <w:p w14:paraId="7D14133E">
      <w:pPr>
        <w:spacing w:line="360" w:lineRule="auto"/>
        <w:rPr>
          <w:rFonts w:ascii="仿宋" w:hAnsi="仿宋" w:eastAsia="仿宋" w:cs="仿宋"/>
          <w:color w:val="000000"/>
        </w:rPr>
      </w:pPr>
    </w:p>
    <w:p w14:paraId="2B789A74">
      <w:pPr>
        <w:widowControl/>
        <w:tabs>
          <w:tab w:val="left" w:pos="3105"/>
          <w:tab w:val="center" w:pos="4745"/>
        </w:tabs>
        <w:spacing w:line="360" w:lineRule="auto"/>
        <w:jc w:val="center"/>
        <w:outlineLvl w:val="0"/>
        <w:rPr>
          <w:rFonts w:ascii="仿宋" w:hAnsi="仿宋" w:eastAsia="仿宋" w:cs="仿宋"/>
          <w:b/>
          <w:color w:val="000000"/>
          <w:sz w:val="32"/>
          <w:szCs w:val="32"/>
        </w:rPr>
      </w:pPr>
      <w:r>
        <w:rPr>
          <w:rFonts w:hint="eastAsia" w:ascii="仿宋" w:hAnsi="仿宋" w:eastAsia="仿宋" w:cs="仿宋"/>
          <w:color w:val="000000"/>
        </w:rPr>
        <w:br w:type="page" w:clear="all"/>
      </w:r>
      <w:bookmarkStart w:id="56" w:name="_Toc15284"/>
      <w:r>
        <w:rPr>
          <w:rFonts w:hint="eastAsia" w:ascii="仿宋" w:hAnsi="仿宋" w:eastAsia="仿宋" w:cs="仿宋"/>
          <w:b/>
          <w:color w:val="000000"/>
          <w:sz w:val="32"/>
          <w:szCs w:val="32"/>
        </w:rPr>
        <w:t>九、项目实施方案</w:t>
      </w:r>
      <w:bookmarkEnd w:id="56"/>
    </w:p>
    <w:p w14:paraId="4F7C8DA4">
      <w:pPr>
        <w:spacing w:line="360" w:lineRule="auto"/>
        <w:jc w:val="left"/>
        <w:rPr>
          <w:rFonts w:ascii="仿宋" w:hAnsi="仿宋" w:eastAsia="仿宋" w:cs="仿宋"/>
          <w:b/>
          <w:color w:val="000000"/>
          <w:sz w:val="32"/>
          <w:szCs w:val="32"/>
        </w:rPr>
      </w:pPr>
      <w:r>
        <w:rPr>
          <w:rFonts w:hint="eastAsia" w:ascii="仿宋" w:hAnsi="仿宋" w:eastAsia="仿宋" w:cs="仿宋"/>
          <w:b/>
          <w:color w:val="000000"/>
          <w:sz w:val="32"/>
          <w:szCs w:val="32"/>
        </w:rPr>
        <w:t>（</w:t>
      </w:r>
      <w:r>
        <w:rPr>
          <w:rFonts w:hint="eastAsia" w:ascii="仿宋" w:hAnsi="仿宋" w:eastAsia="仿宋" w:cs="仿宋"/>
          <w:color w:val="000000"/>
          <w:sz w:val="32"/>
          <w:szCs w:val="32"/>
        </w:rPr>
        <w:t>自行编制，格式自拟</w:t>
      </w:r>
      <w:r>
        <w:rPr>
          <w:rFonts w:hint="eastAsia" w:ascii="仿宋" w:hAnsi="仿宋" w:eastAsia="仿宋" w:cs="仿宋"/>
          <w:b/>
          <w:color w:val="000000"/>
          <w:sz w:val="32"/>
          <w:szCs w:val="32"/>
        </w:rPr>
        <w:t>）</w:t>
      </w:r>
    </w:p>
    <w:p w14:paraId="4AFFE95F">
      <w:pPr>
        <w:spacing w:line="360" w:lineRule="auto"/>
        <w:rPr>
          <w:rFonts w:ascii="仿宋" w:hAnsi="仿宋" w:eastAsia="仿宋" w:cs="仿宋"/>
          <w:color w:val="000000"/>
        </w:rPr>
      </w:pPr>
    </w:p>
    <w:p w14:paraId="088D5BF5">
      <w:pPr>
        <w:spacing w:line="360" w:lineRule="auto"/>
        <w:rPr>
          <w:rFonts w:ascii="仿宋" w:hAnsi="仿宋" w:eastAsia="仿宋" w:cs="仿宋"/>
          <w:color w:val="000000"/>
        </w:rPr>
      </w:pPr>
    </w:p>
    <w:p w14:paraId="7839940E">
      <w:pPr>
        <w:pStyle w:val="199"/>
        <w:rPr>
          <w:rFonts w:ascii="仿宋" w:hAnsi="仿宋" w:eastAsia="仿宋" w:cs="仿宋"/>
          <w:lang w:val="zh-CN"/>
        </w:rPr>
      </w:pPr>
    </w:p>
    <w:p w14:paraId="476E6C56">
      <w:pPr>
        <w:spacing w:line="360" w:lineRule="auto"/>
        <w:rPr>
          <w:rFonts w:ascii="仿宋" w:hAnsi="仿宋" w:eastAsia="仿宋" w:cs="仿宋"/>
          <w:color w:val="000000"/>
          <w:sz w:val="28"/>
          <w:szCs w:val="28"/>
          <w:lang w:val="zh-CN"/>
        </w:rPr>
      </w:pPr>
    </w:p>
    <w:p w14:paraId="53029E28">
      <w:pPr>
        <w:pStyle w:val="199"/>
        <w:rPr>
          <w:rFonts w:ascii="仿宋" w:hAnsi="仿宋" w:eastAsia="仿宋" w:cs="仿宋"/>
          <w:lang w:val="zh-CN"/>
        </w:rPr>
      </w:pPr>
    </w:p>
    <w:p w14:paraId="6D174B6D">
      <w:pPr>
        <w:pStyle w:val="199"/>
        <w:rPr>
          <w:rFonts w:ascii="仿宋" w:hAnsi="仿宋" w:eastAsia="仿宋" w:cs="仿宋"/>
          <w:lang w:val="zh-CN"/>
        </w:rPr>
      </w:pPr>
    </w:p>
    <w:p w14:paraId="2326C609">
      <w:pPr>
        <w:pStyle w:val="199"/>
        <w:rPr>
          <w:rFonts w:ascii="仿宋" w:hAnsi="仿宋" w:eastAsia="仿宋" w:cs="仿宋"/>
          <w:lang w:val="zh-CN"/>
        </w:rPr>
      </w:pPr>
    </w:p>
    <w:p w14:paraId="1AB34D0A">
      <w:pPr>
        <w:pStyle w:val="199"/>
        <w:rPr>
          <w:rFonts w:ascii="仿宋" w:hAnsi="仿宋" w:eastAsia="仿宋" w:cs="仿宋"/>
          <w:lang w:val="zh-CN"/>
        </w:rPr>
      </w:pPr>
    </w:p>
    <w:p w14:paraId="7B98A7EF">
      <w:pPr>
        <w:pStyle w:val="199"/>
        <w:rPr>
          <w:rFonts w:ascii="仿宋" w:hAnsi="仿宋" w:eastAsia="仿宋" w:cs="仿宋"/>
          <w:lang w:val="zh-CN"/>
        </w:rPr>
      </w:pPr>
    </w:p>
    <w:p w14:paraId="137797BA">
      <w:pPr>
        <w:pStyle w:val="199"/>
        <w:rPr>
          <w:rFonts w:ascii="仿宋" w:hAnsi="仿宋" w:eastAsia="仿宋" w:cs="仿宋"/>
          <w:lang w:val="zh-CN"/>
        </w:rPr>
      </w:pPr>
    </w:p>
    <w:p w14:paraId="4600A851">
      <w:pPr>
        <w:pStyle w:val="199"/>
        <w:rPr>
          <w:rFonts w:ascii="仿宋" w:hAnsi="仿宋" w:eastAsia="仿宋" w:cs="仿宋"/>
          <w:lang w:val="zh-CN"/>
        </w:rPr>
      </w:pPr>
    </w:p>
    <w:p w14:paraId="0CB6B8BA">
      <w:pPr>
        <w:pStyle w:val="199"/>
        <w:rPr>
          <w:rFonts w:ascii="仿宋" w:hAnsi="仿宋" w:eastAsia="仿宋" w:cs="仿宋"/>
          <w:lang w:val="zh-CN"/>
        </w:rPr>
      </w:pPr>
    </w:p>
    <w:p w14:paraId="67C28B4C">
      <w:pPr>
        <w:pStyle w:val="199"/>
        <w:rPr>
          <w:rFonts w:ascii="仿宋" w:hAnsi="仿宋" w:eastAsia="仿宋" w:cs="仿宋"/>
          <w:lang w:val="zh-CN"/>
        </w:rPr>
      </w:pPr>
    </w:p>
    <w:p w14:paraId="4CA6E26F">
      <w:pPr>
        <w:pStyle w:val="199"/>
        <w:rPr>
          <w:rFonts w:ascii="仿宋" w:hAnsi="仿宋" w:eastAsia="仿宋" w:cs="仿宋"/>
          <w:lang w:val="zh-CN"/>
        </w:rPr>
      </w:pPr>
    </w:p>
    <w:p w14:paraId="77D4E302">
      <w:pPr>
        <w:pStyle w:val="199"/>
        <w:rPr>
          <w:rFonts w:ascii="仿宋" w:hAnsi="仿宋" w:eastAsia="仿宋" w:cs="仿宋"/>
          <w:lang w:val="zh-CN"/>
        </w:rPr>
      </w:pPr>
    </w:p>
    <w:p w14:paraId="14CE2CED">
      <w:pPr>
        <w:spacing w:line="360" w:lineRule="auto"/>
        <w:jc w:val="center"/>
        <w:outlineLvl w:val="0"/>
        <w:rPr>
          <w:rFonts w:ascii="仿宋" w:hAnsi="仿宋" w:eastAsia="仿宋" w:cs="仿宋"/>
          <w:b/>
          <w:color w:val="000000"/>
          <w:sz w:val="32"/>
          <w:szCs w:val="32"/>
        </w:rPr>
      </w:pPr>
      <w:bookmarkStart w:id="57" w:name="_Toc30109"/>
      <w:r>
        <w:rPr>
          <w:rFonts w:hint="eastAsia" w:ascii="仿宋" w:hAnsi="仿宋" w:eastAsia="仿宋" w:cs="仿宋"/>
          <w:b/>
          <w:color w:val="000000"/>
          <w:sz w:val="32"/>
          <w:szCs w:val="32"/>
        </w:rPr>
        <w:t>十、竞争性磋商需要的其他证明文件及材料</w:t>
      </w:r>
      <w:bookmarkEnd w:id="57"/>
    </w:p>
    <w:p w14:paraId="08F41A84">
      <w:pPr>
        <w:spacing w:line="360" w:lineRule="auto"/>
        <w:rPr>
          <w:rFonts w:ascii="仿宋" w:hAnsi="仿宋" w:eastAsia="仿宋" w:cs="仿宋"/>
          <w:b/>
          <w:color w:val="000000"/>
          <w:sz w:val="28"/>
          <w:szCs w:val="28"/>
        </w:rPr>
      </w:pPr>
    </w:p>
    <w:p w14:paraId="449B4E50">
      <w:pPr>
        <w:spacing w:line="360" w:lineRule="auto"/>
        <w:rPr>
          <w:rFonts w:ascii="仿宋" w:hAnsi="仿宋" w:eastAsia="仿宋" w:cs="仿宋"/>
          <w:b/>
          <w:color w:val="000000"/>
          <w:sz w:val="28"/>
          <w:szCs w:val="28"/>
        </w:rPr>
      </w:pPr>
    </w:p>
    <w:p w14:paraId="4E8E9978">
      <w:pPr>
        <w:spacing w:line="360" w:lineRule="auto"/>
        <w:rPr>
          <w:rFonts w:ascii="仿宋" w:hAnsi="仿宋" w:eastAsia="仿宋" w:cs="仿宋"/>
          <w:color w:val="000000"/>
          <w:sz w:val="28"/>
          <w:szCs w:val="28"/>
          <w:lang w:val="zh-CN"/>
        </w:rPr>
      </w:pPr>
      <w:r>
        <w:rPr>
          <w:rFonts w:hint="eastAsia" w:ascii="仿宋" w:hAnsi="仿宋" w:eastAsia="仿宋" w:cs="仿宋"/>
          <w:color w:val="000000"/>
          <w:sz w:val="28"/>
          <w:szCs w:val="28"/>
          <w:lang w:val="zh-CN"/>
        </w:rPr>
        <w:t>竞争性磋商需要的其他证明文件及材料（若有）</w:t>
      </w:r>
    </w:p>
    <w:p w14:paraId="3F192DF3">
      <w:pPr>
        <w:pStyle w:val="199"/>
        <w:rPr>
          <w:rFonts w:ascii="仿宋" w:hAnsi="仿宋" w:eastAsia="仿宋" w:cs="仿宋"/>
          <w:lang w:val="zh-CN"/>
        </w:rPr>
      </w:pPr>
    </w:p>
    <w:p w14:paraId="10FAFD57">
      <w:pPr>
        <w:pStyle w:val="199"/>
        <w:rPr>
          <w:rFonts w:ascii="仿宋" w:hAnsi="仿宋" w:eastAsia="仿宋" w:cs="仿宋"/>
          <w:lang w:val="zh-CN"/>
        </w:rPr>
      </w:pPr>
    </w:p>
    <w:p w14:paraId="7CA6BEA2">
      <w:pPr>
        <w:pStyle w:val="199"/>
        <w:rPr>
          <w:rFonts w:ascii="仿宋" w:hAnsi="仿宋" w:eastAsia="仿宋" w:cs="仿宋"/>
          <w:lang w:val="zh-CN"/>
        </w:rPr>
      </w:pPr>
    </w:p>
    <w:p w14:paraId="42ABB4C3">
      <w:pPr>
        <w:pStyle w:val="199"/>
        <w:rPr>
          <w:rFonts w:ascii="仿宋" w:hAnsi="仿宋" w:eastAsia="仿宋" w:cs="仿宋"/>
          <w:lang w:val="zh-CN"/>
        </w:rPr>
      </w:pPr>
    </w:p>
    <w:p w14:paraId="3B576AD3">
      <w:pPr>
        <w:pStyle w:val="199"/>
        <w:rPr>
          <w:rFonts w:ascii="仿宋" w:hAnsi="仿宋" w:eastAsia="仿宋" w:cs="仿宋"/>
          <w:lang w:val="zh-CN"/>
        </w:rPr>
      </w:pPr>
    </w:p>
    <w:p w14:paraId="60B35133">
      <w:pPr>
        <w:pStyle w:val="199"/>
        <w:rPr>
          <w:rFonts w:ascii="仿宋" w:hAnsi="仿宋" w:eastAsia="仿宋" w:cs="仿宋"/>
          <w:lang w:val="zh-CN"/>
        </w:rPr>
      </w:pPr>
    </w:p>
    <w:p w14:paraId="3B8BF520">
      <w:pPr>
        <w:pStyle w:val="199"/>
        <w:rPr>
          <w:rFonts w:ascii="仿宋" w:hAnsi="仿宋" w:eastAsia="仿宋" w:cs="仿宋"/>
          <w:lang w:val="zh-CN"/>
        </w:rPr>
      </w:pPr>
    </w:p>
    <w:p w14:paraId="16D381AF">
      <w:pPr>
        <w:pStyle w:val="199"/>
        <w:rPr>
          <w:rFonts w:ascii="仿宋" w:hAnsi="仿宋" w:eastAsia="仿宋" w:cs="仿宋"/>
          <w:lang w:val="zh-CN"/>
        </w:rPr>
      </w:pPr>
    </w:p>
    <w:p w14:paraId="67F1B7CB">
      <w:pPr>
        <w:pStyle w:val="199"/>
        <w:rPr>
          <w:rFonts w:ascii="仿宋" w:hAnsi="仿宋" w:eastAsia="仿宋" w:cs="仿宋"/>
          <w:lang w:val="zh-CN"/>
        </w:rPr>
      </w:pPr>
    </w:p>
    <w:p w14:paraId="38D02E8E">
      <w:pPr>
        <w:pStyle w:val="199"/>
        <w:rPr>
          <w:rFonts w:ascii="仿宋" w:hAnsi="仿宋" w:eastAsia="仿宋" w:cs="仿宋"/>
          <w:lang w:val="zh-CN"/>
        </w:rPr>
      </w:pPr>
    </w:p>
    <w:p w14:paraId="72D51388">
      <w:pPr>
        <w:pStyle w:val="199"/>
        <w:rPr>
          <w:rFonts w:ascii="仿宋" w:hAnsi="仿宋" w:eastAsia="仿宋" w:cs="仿宋"/>
          <w:lang w:val="zh-CN"/>
        </w:rPr>
      </w:pPr>
    </w:p>
    <w:p w14:paraId="52E05BC8">
      <w:pPr>
        <w:pStyle w:val="199"/>
        <w:rPr>
          <w:rFonts w:ascii="仿宋" w:hAnsi="仿宋" w:eastAsia="仿宋" w:cs="仿宋"/>
          <w:lang w:val="zh-CN"/>
        </w:rPr>
      </w:pPr>
    </w:p>
    <w:p w14:paraId="14C3D8EB">
      <w:pPr>
        <w:pStyle w:val="199"/>
        <w:rPr>
          <w:rFonts w:ascii="仿宋" w:hAnsi="仿宋" w:eastAsia="仿宋" w:cs="仿宋"/>
          <w:lang w:val="zh-CN"/>
        </w:rPr>
      </w:pPr>
    </w:p>
    <w:p w14:paraId="24F3DBEB">
      <w:pPr>
        <w:pStyle w:val="199"/>
        <w:rPr>
          <w:rFonts w:ascii="仿宋" w:hAnsi="仿宋" w:eastAsia="仿宋" w:cs="仿宋"/>
          <w:lang w:val="zh-CN"/>
        </w:rPr>
      </w:pPr>
    </w:p>
    <w:p w14:paraId="6FD082F9">
      <w:pPr>
        <w:pStyle w:val="199"/>
        <w:rPr>
          <w:rFonts w:ascii="仿宋" w:hAnsi="仿宋" w:eastAsia="仿宋" w:cs="仿宋"/>
          <w:lang w:val="zh-CN"/>
        </w:rPr>
      </w:pPr>
    </w:p>
    <w:p w14:paraId="4B6A45BA">
      <w:pPr>
        <w:spacing w:line="360" w:lineRule="auto"/>
        <w:jc w:val="center"/>
        <w:outlineLvl w:val="0"/>
        <w:rPr>
          <w:rFonts w:ascii="仿宋" w:hAnsi="仿宋" w:eastAsia="仿宋" w:cs="仿宋"/>
          <w:b/>
          <w:color w:val="000000"/>
          <w:sz w:val="32"/>
          <w:szCs w:val="32"/>
        </w:rPr>
      </w:pPr>
      <w:bookmarkStart w:id="58" w:name="_Toc23847"/>
      <w:r>
        <w:rPr>
          <w:rFonts w:hint="eastAsia" w:ascii="仿宋" w:hAnsi="仿宋" w:eastAsia="仿宋" w:cs="仿宋"/>
          <w:b/>
          <w:color w:val="000000"/>
          <w:sz w:val="32"/>
          <w:szCs w:val="32"/>
        </w:rPr>
        <w:t>十一、最终报价一览表</w:t>
      </w:r>
      <w:bookmarkEnd w:id="58"/>
    </w:p>
    <w:p w14:paraId="1DCBDC22">
      <w:pPr>
        <w:pStyle w:val="199"/>
        <w:rPr>
          <w:rFonts w:ascii="仿宋" w:hAnsi="仿宋" w:eastAsia="仿宋" w:cs="仿宋"/>
          <w:lang w:val="zh-CN"/>
        </w:rPr>
      </w:pPr>
    </w:p>
    <w:tbl>
      <w:tblPr>
        <w:tblStyle w:val="34"/>
        <w:tblW w:w="987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54"/>
        <w:gridCol w:w="2725"/>
        <w:gridCol w:w="1275"/>
        <w:gridCol w:w="1559"/>
        <w:gridCol w:w="1756"/>
        <w:gridCol w:w="1701"/>
      </w:tblGrid>
      <w:tr w14:paraId="47F5AE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96" w:hRule="atLeast"/>
          <w:jc w:val="center"/>
        </w:trPr>
        <w:tc>
          <w:tcPr>
            <w:tcW w:w="854" w:type="dxa"/>
            <w:vAlign w:val="center"/>
          </w:tcPr>
          <w:p w14:paraId="22085B0C">
            <w:pPr>
              <w:pStyle w:val="231"/>
              <w:spacing w:line="360" w:lineRule="auto"/>
              <w:jc w:val="center"/>
              <w:rPr>
                <w:rFonts w:ascii="仿宋" w:hAnsi="仿宋" w:eastAsia="仿宋" w:cs="仿宋"/>
                <w:color w:val="000000"/>
                <w:szCs w:val="21"/>
              </w:rPr>
            </w:pPr>
            <w:r>
              <w:rPr>
                <w:rFonts w:hint="eastAsia" w:ascii="仿宋" w:hAnsi="仿宋" w:eastAsia="仿宋" w:cs="仿宋"/>
                <w:color w:val="000000"/>
                <w:szCs w:val="21"/>
              </w:rPr>
              <w:t>序号</w:t>
            </w:r>
          </w:p>
        </w:tc>
        <w:tc>
          <w:tcPr>
            <w:tcW w:w="2725" w:type="dxa"/>
            <w:vAlign w:val="center"/>
          </w:tcPr>
          <w:p w14:paraId="689AF836">
            <w:pPr>
              <w:pStyle w:val="231"/>
              <w:spacing w:line="360" w:lineRule="auto"/>
              <w:jc w:val="center"/>
              <w:rPr>
                <w:rFonts w:ascii="仿宋" w:hAnsi="仿宋" w:eastAsia="仿宋" w:cs="仿宋"/>
                <w:color w:val="000000"/>
                <w:szCs w:val="21"/>
              </w:rPr>
            </w:pPr>
            <w:r>
              <w:rPr>
                <w:rFonts w:hint="eastAsia" w:ascii="仿宋" w:hAnsi="仿宋" w:eastAsia="仿宋" w:cs="仿宋"/>
                <w:color w:val="000000"/>
                <w:szCs w:val="21"/>
              </w:rPr>
              <w:t>项目名称</w:t>
            </w:r>
          </w:p>
        </w:tc>
        <w:tc>
          <w:tcPr>
            <w:tcW w:w="1275" w:type="dxa"/>
            <w:vAlign w:val="center"/>
          </w:tcPr>
          <w:p w14:paraId="28EA48DA">
            <w:pPr>
              <w:pStyle w:val="231"/>
              <w:spacing w:line="360" w:lineRule="auto"/>
              <w:jc w:val="center"/>
              <w:rPr>
                <w:rFonts w:ascii="仿宋" w:hAnsi="仿宋" w:eastAsia="仿宋" w:cs="仿宋"/>
                <w:color w:val="000000"/>
                <w:szCs w:val="21"/>
              </w:rPr>
            </w:pPr>
            <w:r>
              <w:rPr>
                <w:rFonts w:hint="eastAsia" w:ascii="仿宋" w:hAnsi="仿宋" w:eastAsia="仿宋" w:cs="仿宋"/>
                <w:color w:val="000000"/>
                <w:szCs w:val="21"/>
              </w:rPr>
              <w:t>服务周期</w:t>
            </w:r>
          </w:p>
        </w:tc>
        <w:tc>
          <w:tcPr>
            <w:tcW w:w="1559" w:type="dxa"/>
            <w:vAlign w:val="center"/>
          </w:tcPr>
          <w:p w14:paraId="316571D4">
            <w:pPr>
              <w:pStyle w:val="231"/>
              <w:spacing w:line="360" w:lineRule="auto"/>
              <w:jc w:val="center"/>
              <w:rPr>
                <w:rFonts w:ascii="仿宋" w:hAnsi="仿宋" w:eastAsia="仿宋" w:cs="仿宋"/>
                <w:color w:val="000000"/>
                <w:szCs w:val="21"/>
              </w:rPr>
            </w:pPr>
            <w:r>
              <w:rPr>
                <w:rFonts w:hint="eastAsia" w:ascii="仿宋" w:hAnsi="仿宋" w:eastAsia="仿宋" w:cs="仿宋"/>
                <w:color w:val="000000"/>
                <w:szCs w:val="21"/>
              </w:rPr>
              <w:t>调整因素</w:t>
            </w:r>
          </w:p>
        </w:tc>
        <w:tc>
          <w:tcPr>
            <w:tcW w:w="1756" w:type="dxa"/>
            <w:vAlign w:val="center"/>
          </w:tcPr>
          <w:p w14:paraId="6539C386">
            <w:pPr>
              <w:pStyle w:val="231"/>
              <w:spacing w:line="360" w:lineRule="auto"/>
              <w:jc w:val="center"/>
              <w:rPr>
                <w:rFonts w:ascii="仿宋" w:hAnsi="仿宋" w:eastAsia="仿宋" w:cs="仿宋"/>
                <w:color w:val="000000"/>
                <w:szCs w:val="21"/>
              </w:rPr>
            </w:pPr>
            <w:r>
              <w:rPr>
                <w:rFonts w:hint="eastAsia" w:ascii="仿宋" w:hAnsi="仿宋" w:eastAsia="仿宋" w:cs="仿宋"/>
                <w:color w:val="000000"/>
                <w:szCs w:val="21"/>
              </w:rPr>
              <w:t xml:space="preserve">最初报价    </w:t>
            </w:r>
          </w:p>
        </w:tc>
        <w:tc>
          <w:tcPr>
            <w:tcW w:w="1701" w:type="dxa"/>
            <w:vAlign w:val="center"/>
          </w:tcPr>
          <w:p w14:paraId="2B37E552">
            <w:pPr>
              <w:pStyle w:val="231"/>
              <w:spacing w:line="360" w:lineRule="auto"/>
              <w:jc w:val="center"/>
              <w:rPr>
                <w:rFonts w:ascii="仿宋" w:hAnsi="仿宋" w:eastAsia="仿宋" w:cs="仿宋"/>
                <w:color w:val="000000"/>
                <w:szCs w:val="21"/>
              </w:rPr>
            </w:pPr>
            <w:r>
              <w:rPr>
                <w:rFonts w:hint="eastAsia" w:ascii="仿宋" w:hAnsi="仿宋" w:eastAsia="仿宋" w:cs="仿宋"/>
                <w:color w:val="000000"/>
                <w:szCs w:val="21"/>
              </w:rPr>
              <w:t xml:space="preserve">最终报价    </w:t>
            </w:r>
          </w:p>
        </w:tc>
      </w:tr>
      <w:tr w14:paraId="1BA330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020" w:hRule="atLeast"/>
          <w:jc w:val="center"/>
        </w:trPr>
        <w:tc>
          <w:tcPr>
            <w:tcW w:w="854" w:type="dxa"/>
            <w:vAlign w:val="center"/>
          </w:tcPr>
          <w:p w14:paraId="2F4801B4">
            <w:pPr>
              <w:pStyle w:val="231"/>
              <w:spacing w:line="360" w:lineRule="auto"/>
              <w:jc w:val="center"/>
              <w:rPr>
                <w:rFonts w:ascii="仿宋" w:hAnsi="仿宋" w:eastAsia="仿宋" w:cs="仿宋"/>
                <w:bCs/>
                <w:color w:val="000000"/>
                <w:szCs w:val="21"/>
              </w:rPr>
            </w:pPr>
          </w:p>
        </w:tc>
        <w:tc>
          <w:tcPr>
            <w:tcW w:w="2725" w:type="dxa"/>
            <w:vAlign w:val="center"/>
          </w:tcPr>
          <w:p w14:paraId="13F4E641">
            <w:pPr>
              <w:spacing w:line="240" w:lineRule="exact"/>
              <w:contextualSpacing/>
              <w:jc w:val="center"/>
              <w:rPr>
                <w:rFonts w:ascii="仿宋" w:hAnsi="仿宋" w:eastAsia="仿宋" w:cs="仿宋"/>
                <w:color w:val="000000"/>
                <w:szCs w:val="21"/>
              </w:rPr>
            </w:pPr>
          </w:p>
        </w:tc>
        <w:tc>
          <w:tcPr>
            <w:tcW w:w="1275" w:type="dxa"/>
            <w:vAlign w:val="center"/>
          </w:tcPr>
          <w:p w14:paraId="3B9AD5E1">
            <w:pPr>
              <w:pStyle w:val="231"/>
              <w:spacing w:line="360" w:lineRule="auto"/>
              <w:jc w:val="center"/>
              <w:rPr>
                <w:rFonts w:ascii="仿宋" w:hAnsi="仿宋" w:eastAsia="仿宋" w:cs="仿宋"/>
                <w:bCs/>
                <w:color w:val="000000"/>
                <w:szCs w:val="21"/>
              </w:rPr>
            </w:pPr>
          </w:p>
        </w:tc>
        <w:tc>
          <w:tcPr>
            <w:tcW w:w="1559" w:type="dxa"/>
            <w:vAlign w:val="center"/>
          </w:tcPr>
          <w:p w14:paraId="50EF7FDF">
            <w:pPr>
              <w:pStyle w:val="231"/>
              <w:spacing w:line="360" w:lineRule="auto"/>
              <w:jc w:val="center"/>
              <w:rPr>
                <w:rFonts w:ascii="仿宋" w:hAnsi="仿宋" w:eastAsia="仿宋" w:cs="仿宋"/>
                <w:bCs/>
                <w:color w:val="000000"/>
                <w:szCs w:val="21"/>
              </w:rPr>
            </w:pPr>
          </w:p>
        </w:tc>
        <w:tc>
          <w:tcPr>
            <w:tcW w:w="1756" w:type="dxa"/>
            <w:vAlign w:val="center"/>
          </w:tcPr>
          <w:p w14:paraId="2DDF24DC">
            <w:pPr>
              <w:spacing w:line="360" w:lineRule="auto"/>
              <w:jc w:val="center"/>
              <w:rPr>
                <w:rFonts w:ascii="仿宋" w:hAnsi="仿宋" w:eastAsia="仿宋" w:cs="仿宋"/>
                <w:color w:val="000000"/>
                <w:spacing w:val="-2"/>
                <w:szCs w:val="21"/>
              </w:rPr>
            </w:pPr>
          </w:p>
        </w:tc>
        <w:tc>
          <w:tcPr>
            <w:tcW w:w="1701" w:type="dxa"/>
            <w:vAlign w:val="center"/>
          </w:tcPr>
          <w:p w14:paraId="6DD5ECBC">
            <w:pPr>
              <w:spacing w:line="360" w:lineRule="auto"/>
              <w:jc w:val="center"/>
              <w:rPr>
                <w:rFonts w:ascii="仿宋" w:hAnsi="仿宋" w:eastAsia="仿宋" w:cs="仿宋"/>
                <w:color w:val="000000"/>
                <w:szCs w:val="21"/>
                <w:lang w:val="zh-CN"/>
              </w:rPr>
            </w:pPr>
          </w:p>
        </w:tc>
      </w:tr>
      <w:tr w14:paraId="64E589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539" w:hRule="atLeast"/>
          <w:jc w:val="center"/>
        </w:trPr>
        <w:tc>
          <w:tcPr>
            <w:tcW w:w="9870" w:type="dxa"/>
            <w:gridSpan w:val="6"/>
          </w:tcPr>
          <w:p w14:paraId="45602FB8">
            <w:pPr>
              <w:pStyle w:val="231"/>
              <w:spacing w:line="360" w:lineRule="auto"/>
              <w:rPr>
                <w:rFonts w:ascii="仿宋" w:hAnsi="仿宋" w:eastAsia="仿宋" w:cs="仿宋"/>
                <w:bCs/>
                <w:color w:val="000000"/>
                <w:szCs w:val="21"/>
              </w:rPr>
            </w:pPr>
            <w:r>
              <w:rPr>
                <w:rFonts w:hint="eastAsia" w:ascii="仿宋" w:hAnsi="仿宋" w:eastAsia="仿宋" w:cs="仿宋"/>
                <w:bCs/>
                <w:color w:val="000000"/>
                <w:szCs w:val="21"/>
              </w:rPr>
              <w:t>最终确定的质量保证及服务承诺（优惠条件）</w:t>
            </w:r>
          </w:p>
        </w:tc>
      </w:tr>
      <w:tr w14:paraId="23C80E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79" w:hRule="atLeast"/>
          <w:jc w:val="center"/>
        </w:trPr>
        <w:tc>
          <w:tcPr>
            <w:tcW w:w="9870" w:type="dxa"/>
            <w:gridSpan w:val="6"/>
            <w:vAlign w:val="center"/>
          </w:tcPr>
          <w:p w14:paraId="4C7F70CE">
            <w:pPr>
              <w:pStyle w:val="231"/>
              <w:spacing w:line="360" w:lineRule="auto"/>
              <w:jc w:val="left"/>
              <w:rPr>
                <w:rFonts w:ascii="仿宋" w:hAnsi="仿宋" w:eastAsia="仿宋" w:cs="仿宋"/>
                <w:color w:val="000000"/>
                <w:szCs w:val="21"/>
                <w:lang w:val="zh-CN"/>
              </w:rPr>
            </w:pPr>
            <w:r>
              <w:rPr>
                <w:rFonts w:hint="eastAsia" w:ascii="仿宋" w:hAnsi="仿宋" w:eastAsia="仿宋" w:cs="仿宋"/>
                <w:color w:val="000000"/>
                <w:szCs w:val="21"/>
                <w:lang w:val="zh-CN"/>
              </w:rPr>
              <w:t>供应商是否属于小微型企业        是          否</w:t>
            </w:r>
          </w:p>
          <w:p w14:paraId="5204CEC0">
            <w:pPr>
              <w:pStyle w:val="231"/>
              <w:spacing w:line="360" w:lineRule="auto"/>
              <w:jc w:val="left"/>
              <w:rPr>
                <w:rFonts w:ascii="仿宋" w:hAnsi="仿宋" w:eastAsia="仿宋" w:cs="仿宋"/>
                <w:color w:val="000000"/>
                <w:szCs w:val="21"/>
                <w:lang w:val="zh-CN"/>
              </w:rPr>
            </w:pPr>
            <w:r>
              <w:rPr>
                <w:rFonts w:hint="eastAsia" w:ascii="仿宋" w:hAnsi="仿宋" w:eastAsia="仿宋" w:cs="仿宋"/>
                <w:color w:val="000000"/>
                <w:szCs w:val="21"/>
              </w:rPr>
              <w:t xml:space="preserve">是否属于残疾人福利单位的服务    </w:t>
            </w:r>
            <w:r>
              <w:rPr>
                <w:rFonts w:hint="eastAsia" w:ascii="仿宋" w:hAnsi="仿宋" w:eastAsia="仿宋" w:cs="仿宋"/>
                <w:color w:val="000000"/>
                <w:szCs w:val="21"/>
                <w:lang w:val="zh-CN"/>
              </w:rPr>
              <w:t>是          否</w:t>
            </w:r>
          </w:p>
          <w:p w14:paraId="7C79E00D">
            <w:pPr>
              <w:pStyle w:val="231"/>
              <w:spacing w:line="360" w:lineRule="auto"/>
              <w:jc w:val="left"/>
              <w:rPr>
                <w:rFonts w:ascii="仿宋" w:hAnsi="仿宋" w:eastAsia="仿宋" w:cs="仿宋"/>
                <w:bCs/>
                <w:color w:val="000000"/>
                <w:szCs w:val="21"/>
              </w:rPr>
            </w:pPr>
            <w:r>
              <w:rPr>
                <w:rFonts w:hint="eastAsia" w:ascii="仿宋" w:hAnsi="仿宋" w:eastAsia="仿宋" w:cs="仿宋"/>
                <w:color w:val="000000"/>
                <w:szCs w:val="21"/>
              </w:rPr>
              <w:t xml:space="preserve">是否属于监狱企业型企业的服务    </w:t>
            </w:r>
            <w:r>
              <w:rPr>
                <w:rFonts w:hint="eastAsia" w:ascii="仿宋" w:hAnsi="仿宋" w:eastAsia="仿宋" w:cs="仿宋"/>
                <w:color w:val="000000"/>
                <w:szCs w:val="21"/>
                <w:lang w:val="zh-CN"/>
              </w:rPr>
              <w:t>是          否</w:t>
            </w:r>
          </w:p>
        </w:tc>
      </w:tr>
    </w:tbl>
    <w:p w14:paraId="36ECA9EC">
      <w:pPr>
        <w:tabs>
          <w:tab w:val="left" w:pos="426"/>
        </w:tabs>
        <w:spacing w:line="360" w:lineRule="auto"/>
        <w:rPr>
          <w:rFonts w:ascii="仿宋" w:hAnsi="仿宋" w:eastAsia="仿宋" w:cs="仿宋"/>
          <w:color w:val="000000"/>
          <w:lang w:val="zh-CN"/>
        </w:rPr>
      </w:pPr>
      <w:r>
        <w:rPr>
          <w:rFonts w:hint="eastAsia" w:ascii="仿宋" w:hAnsi="仿宋" w:eastAsia="仿宋" w:cs="仿宋"/>
          <w:color w:val="000000"/>
          <w:lang w:val="zh-CN"/>
        </w:rPr>
        <w:t>注：1.填写此表时不得改变表格形式。</w:t>
      </w:r>
    </w:p>
    <w:p w14:paraId="52AEB0B0">
      <w:pPr>
        <w:tabs>
          <w:tab w:val="left" w:pos="426"/>
        </w:tabs>
        <w:spacing w:line="360" w:lineRule="auto"/>
        <w:ind w:firstLine="420"/>
        <w:rPr>
          <w:rFonts w:ascii="仿宋" w:hAnsi="仿宋" w:eastAsia="仿宋" w:cs="仿宋"/>
          <w:color w:val="000000"/>
          <w:lang w:val="zh-CN"/>
        </w:rPr>
      </w:pPr>
      <w:r>
        <w:rPr>
          <w:rFonts w:hint="eastAsia" w:ascii="仿宋" w:hAnsi="仿宋" w:eastAsia="仿宋" w:cs="仿宋"/>
          <w:color w:val="000000"/>
          <w:lang w:val="zh-CN"/>
        </w:rPr>
        <w:t>2.</w:t>
      </w:r>
      <w:r>
        <w:rPr>
          <w:rFonts w:hint="eastAsia" w:ascii="仿宋" w:hAnsi="仿宋" w:eastAsia="仿宋" w:cs="仿宋"/>
          <w:color w:val="000000"/>
        </w:rPr>
        <w:t xml:space="preserve"> </w:t>
      </w:r>
      <w:r>
        <w:rPr>
          <w:rFonts w:hint="eastAsia" w:ascii="仿宋" w:hAnsi="仿宋" w:eastAsia="仿宋" w:cs="仿宋"/>
          <w:color w:val="000000"/>
          <w:lang w:val="zh-CN"/>
        </w:rPr>
        <w:t>磋商文件所确定的招标范围、内容内全部工作内容的价格体现，包括人工工资、社保、管理费、交通费、利润、税金以及政策性风险、其它风险等一切费用。</w:t>
      </w:r>
    </w:p>
    <w:p w14:paraId="453E4B65">
      <w:pPr>
        <w:spacing w:line="360" w:lineRule="auto"/>
        <w:ind w:firstLine="422"/>
        <w:rPr>
          <w:rFonts w:ascii="仿宋" w:hAnsi="仿宋" w:eastAsia="仿宋" w:cs="仿宋"/>
          <w:b/>
          <w:color w:val="000000"/>
          <w:lang w:val="zh-CN"/>
        </w:rPr>
      </w:pPr>
      <w:r>
        <w:rPr>
          <w:rFonts w:hint="eastAsia" w:ascii="仿宋" w:hAnsi="仿宋" w:eastAsia="仿宋" w:cs="仿宋"/>
          <w:b/>
          <w:color w:val="000000"/>
          <w:lang w:val="zh-CN"/>
        </w:rPr>
        <w:t>3．</w:t>
      </w:r>
      <w:r>
        <w:rPr>
          <w:rFonts w:hint="eastAsia" w:ascii="仿宋" w:hAnsi="仿宋" w:eastAsia="仿宋" w:cs="仿宋"/>
          <w:b/>
          <w:color w:val="000000"/>
          <w:szCs w:val="21"/>
          <w:lang w:val="zh-CN"/>
        </w:rPr>
        <w:t>在“</w:t>
      </w:r>
      <w:r>
        <w:rPr>
          <w:rFonts w:hint="eastAsia" w:ascii="仿宋" w:hAnsi="仿宋" w:eastAsia="仿宋" w:cs="仿宋"/>
          <w:b/>
          <w:color w:val="000000"/>
          <w:szCs w:val="21"/>
        </w:rPr>
        <w:t>是否属于小、微型企业的服务</w:t>
      </w:r>
      <w:r>
        <w:rPr>
          <w:rFonts w:hint="eastAsia" w:ascii="仿宋" w:hAnsi="仿宋" w:eastAsia="仿宋" w:cs="仿宋"/>
          <w:b/>
          <w:color w:val="000000"/>
          <w:szCs w:val="21"/>
          <w:lang w:val="zh-CN"/>
        </w:rPr>
        <w:t>”、“</w:t>
      </w:r>
      <w:r>
        <w:rPr>
          <w:rFonts w:hint="eastAsia" w:ascii="仿宋" w:hAnsi="仿宋" w:eastAsia="仿宋" w:cs="仿宋"/>
          <w:b/>
          <w:color w:val="000000"/>
          <w:szCs w:val="21"/>
        </w:rPr>
        <w:t>是否属于残疾人福利单位的服务</w:t>
      </w:r>
      <w:r>
        <w:rPr>
          <w:rFonts w:hint="eastAsia" w:ascii="仿宋" w:hAnsi="仿宋" w:eastAsia="仿宋" w:cs="仿宋"/>
          <w:b/>
          <w:color w:val="000000"/>
          <w:szCs w:val="21"/>
          <w:lang w:val="zh-CN"/>
        </w:rPr>
        <w:t>”、“</w:t>
      </w:r>
      <w:r>
        <w:rPr>
          <w:rFonts w:hint="eastAsia" w:ascii="仿宋" w:hAnsi="仿宋" w:eastAsia="仿宋" w:cs="仿宋"/>
          <w:b/>
          <w:color w:val="000000"/>
          <w:szCs w:val="21"/>
        </w:rPr>
        <w:t>是否属于监狱企业型企业的服务</w:t>
      </w:r>
      <w:r>
        <w:rPr>
          <w:rFonts w:hint="eastAsia" w:ascii="仿宋" w:hAnsi="仿宋" w:eastAsia="仿宋" w:cs="仿宋"/>
          <w:b/>
          <w:color w:val="000000"/>
          <w:szCs w:val="21"/>
          <w:lang w:val="zh-CN"/>
        </w:rPr>
        <w:t>”栏内，填写“是”或“否”</w:t>
      </w:r>
      <w:r>
        <w:rPr>
          <w:rFonts w:hint="eastAsia" w:ascii="仿宋" w:hAnsi="仿宋" w:eastAsia="仿宋" w:cs="仿宋"/>
          <w:b/>
          <w:color w:val="000000"/>
          <w:szCs w:val="21"/>
        </w:rPr>
        <w:t>，如果小微型企业的服务报价无法划分计算的，谈判时将不予认可。小型和微型企业服务是指供应商为小企业，且符合中小企业划分标准，为采购项目提供本企业的服务，或者提供其他小企业的服务。</w:t>
      </w:r>
    </w:p>
    <w:p w14:paraId="0DFC3C5A">
      <w:pPr>
        <w:spacing w:line="360" w:lineRule="auto"/>
        <w:ind w:firstLine="422"/>
        <w:rPr>
          <w:rFonts w:ascii="仿宋" w:hAnsi="仿宋" w:eastAsia="仿宋" w:cs="仿宋"/>
          <w:b/>
          <w:color w:val="000000"/>
          <w:lang w:val="zh-CN"/>
        </w:rPr>
      </w:pPr>
      <w:r>
        <w:rPr>
          <w:rFonts w:hint="eastAsia" w:ascii="仿宋" w:hAnsi="仿宋" w:eastAsia="仿宋" w:cs="仿宋"/>
          <w:b/>
          <w:color w:val="000000"/>
          <w:lang w:val="zh-CN"/>
        </w:rPr>
        <w:t>4、此报价</w:t>
      </w:r>
      <w:r>
        <w:rPr>
          <w:rFonts w:hint="eastAsia" w:ascii="仿宋" w:hAnsi="仿宋" w:eastAsia="仿宋" w:cs="仿宋"/>
          <w:b/>
          <w:color w:val="000000"/>
          <w:lang w:val="en-US" w:eastAsia="zh-CN"/>
        </w:rPr>
        <w:t>一览表</w:t>
      </w:r>
      <w:r>
        <w:rPr>
          <w:rFonts w:hint="eastAsia" w:ascii="仿宋" w:hAnsi="仿宋" w:eastAsia="仿宋" w:cs="仿宋"/>
          <w:b/>
          <w:color w:val="000000"/>
          <w:lang w:val="zh-CN"/>
        </w:rPr>
        <w:t>可盖好公章现场填写或提前报价密封同响应文件一并递交，未携带</w:t>
      </w:r>
      <w:r>
        <w:rPr>
          <w:rFonts w:hint="eastAsia" w:ascii="仿宋" w:hAnsi="仿宋" w:eastAsia="仿宋" w:cs="仿宋"/>
          <w:b/>
          <w:color w:val="000000"/>
        </w:rPr>
        <w:t>最终</w:t>
      </w:r>
      <w:r>
        <w:rPr>
          <w:rFonts w:hint="eastAsia" w:ascii="仿宋" w:hAnsi="仿宋" w:eastAsia="仿宋" w:cs="仿宋"/>
          <w:b/>
          <w:color w:val="000000"/>
          <w:lang w:val="zh-CN"/>
        </w:rPr>
        <w:t>报价表或</w:t>
      </w:r>
      <w:r>
        <w:rPr>
          <w:rFonts w:hint="eastAsia" w:ascii="仿宋" w:hAnsi="仿宋" w:eastAsia="仿宋" w:cs="仿宋"/>
          <w:b/>
          <w:color w:val="000000"/>
        </w:rPr>
        <w:t>最终</w:t>
      </w:r>
      <w:r>
        <w:rPr>
          <w:rFonts w:hint="eastAsia" w:ascii="仿宋" w:hAnsi="仿宋" w:eastAsia="仿宋" w:cs="仿宋"/>
          <w:b/>
          <w:color w:val="000000"/>
          <w:lang w:val="zh-CN"/>
        </w:rPr>
        <w:t>报价表无公章，以第一轮报价为准。</w:t>
      </w:r>
    </w:p>
    <w:p w14:paraId="2F397D01">
      <w:pPr>
        <w:spacing w:line="360" w:lineRule="auto"/>
        <w:ind w:firstLine="422"/>
        <w:rPr>
          <w:rFonts w:ascii="仿宋" w:hAnsi="仿宋" w:eastAsia="仿宋" w:cs="仿宋"/>
          <w:b/>
          <w:color w:val="000000"/>
          <w:lang w:val="zh-CN"/>
        </w:rPr>
      </w:pPr>
      <w:r>
        <w:rPr>
          <w:rFonts w:hint="eastAsia" w:ascii="仿宋" w:hAnsi="仿宋" w:eastAsia="仿宋" w:cs="仿宋"/>
          <w:b/>
          <w:color w:val="000000"/>
          <w:lang w:val="zh-CN"/>
        </w:rPr>
        <w:t>5、经磋商后，如果成交价高于或低于供应商在响应文件首次报价的，分项报价同比例调整。</w:t>
      </w:r>
    </w:p>
    <w:p w14:paraId="585618B8">
      <w:pPr>
        <w:spacing w:line="360" w:lineRule="auto"/>
        <w:rPr>
          <w:rFonts w:ascii="仿宋" w:hAnsi="仿宋" w:eastAsia="仿宋" w:cs="仿宋"/>
          <w:bCs/>
          <w:color w:val="000000"/>
          <w:lang w:val="zh-CN"/>
        </w:rPr>
      </w:pPr>
    </w:p>
    <w:p w14:paraId="48329D52">
      <w:pPr>
        <w:spacing w:line="360" w:lineRule="auto"/>
        <w:rPr>
          <w:rFonts w:ascii="仿宋" w:hAnsi="仿宋" w:eastAsia="仿宋" w:cs="仿宋"/>
          <w:bCs/>
          <w:color w:val="000000"/>
          <w:lang w:val="zh-CN"/>
        </w:rPr>
      </w:pPr>
    </w:p>
    <w:p w14:paraId="7B98E54D">
      <w:pPr>
        <w:spacing w:line="360" w:lineRule="auto"/>
        <w:rPr>
          <w:rFonts w:ascii="仿宋" w:hAnsi="仿宋" w:eastAsia="仿宋" w:cs="仿宋"/>
          <w:bCs/>
          <w:color w:val="000000"/>
          <w:lang w:val="zh-CN"/>
        </w:rPr>
      </w:pPr>
      <w:r>
        <w:rPr>
          <w:rFonts w:hint="eastAsia" w:ascii="仿宋" w:hAnsi="仿宋" w:eastAsia="仿宋" w:cs="仿宋"/>
          <w:bCs/>
          <w:color w:val="000000"/>
          <w:lang w:val="zh-CN"/>
        </w:rPr>
        <w:t>供应商名称：（公章）</w:t>
      </w:r>
    </w:p>
    <w:p w14:paraId="4FA37549">
      <w:pPr>
        <w:spacing w:line="360" w:lineRule="auto"/>
        <w:rPr>
          <w:rFonts w:ascii="仿宋" w:hAnsi="仿宋" w:eastAsia="仿宋" w:cs="仿宋"/>
          <w:bCs/>
          <w:color w:val="000000"/>
          <w:lang w:val="zh-CN"/>
        </w:rPr>
      </w:pPr>
      <w:r>
        <w:rPr>
          <w:rFonts w:hint="eastAsia" w:ascii="仿宋" w:hAnsi="仿宋" w:eastAsia="仿宋" w:cs="仿宋"/>
          <w:bCs/>
          <w:color w:val="000000"/>
          <w:lang w:val="zh-CN"/>
        </w:rPr>
        <w:t>法定代表人或委托代理人：（签字）</w:t>
      </w:r>
    </w:p>
    <w:p w14:paraId="630A5455">
      <w:pPr>
        <w:spacing w:line="360" w:lineRule="auto"/>
        <w:rPr>
          <w:rFonts w:ascii="仿宋" w:hAnsi="仿宋" w:eastAsia="仿宋" w:cs="仿宋"/>
          <w:bCs/>
          <w:color w:val="000000"/>
          <w:lang w:val="zh-CN"/>
        </w:rPr>
      </w:pPr>
      <w:r>
        <w:rPr>
          <w:rFonts w:hint="eastAsia" w:ascii="仿宋" w:hAnsi="仿宋" w:eastAsia="仿宋" w:cs="仿宋"/>
          <w:bCs/>
          <w:color w:val="000000"/>
          <w:lang w:val="zh-CN"/>
        </w:rPr>
        <w:t>日期：</w:t>
      </w:r>
    </w:p>
    <w:p w14:paraId="7A9F9F9B">
      <w:pPr>
        <w:widowControl/>
        <w:spacing w:line="360" w:lineRule="auto"/>
        <w:outlineLvl w:val="1"/>
        <w:rPr>
          <w:rFonts w:ascii="仿宋" w:hAnsi="仿宋" w:eastAsia="仿宋" w:cs="仿宋"/>
          <w:b/>
          <w:color w:val="000000"/>
          <w:sz w:val="32"/>
          <w:szCs w:val="32"/>
        </w:rPr>
      </w:pPr>
      <w:r>
        <w:rPr>
          <w:rFonts w:hint="eastAsia" w:ascii="仿宋" w:hAnsi="仿宋" w:eastAsia="仿宋" w:cs="仿宋"/>
          <w:color w:val="000000"/>
          <w:szCs w:val="21"/>
        </w:rPr>
        <w:br w:type="page" w:clear="all"/>
      </w:r>
      <w:bookmarkStart w:id="59" w:name="_Toc27753"/>
      <w:r>
        <w:rPr>
          <w:rFonts w:hint="eastAsia" w:ascii="仿宋" w:hAnsi="仿宋" w:eastAsia="仿宋" w:cs="仿宋"/>
          <w:b/>
          <w:color w:val="000000"/>
          <w:sz w:val="32"/>
          <w:szCs w:val="32"/>
        </w:rPr>
        <w:t>附件一、相关声明函格式及其他证明材料</w:t>
      </w:r>
      <w:bookmarkEnd w:id="59"/>
    </w:p>
    <w:p w14:paraId="3B100A40">
      <w:pPr>
        <w:spacing w:line="360" w:lineRule="auto"/>
        <w:jc w:val="center"/>
        <w:rPr>
          <w:rFonts w:ascii="仿宋" w:hAnsi="仿宋" w:eastAsia="仿宋" w:cs="仿宋"/>
          <w:b/>
          <w:color w:val="000000"/>
          <w:sz w:val="32"/>
          <w:szCs w:val="32"/>
        </w:rPr>
      </w:pPr>
      <w:r>
        <w:rPr>
          <w:rFonts w:hint="eastAsia" w:ascii="仿宋" w:hAnsi="仿宋" w:eastAsia="仿宋" w:cs="仿宋"/>
          <w:b/>
          <w:color w:val="000000"/>
          <w:sz w:val="32"/>
          <w:szCs w:val="32"/>
        </w:rPr>
        <w:t>中小企业声明函（服务）</w:t>
      </w:r>
    </w:p>
    <w:p w14:paraId="547032C1">
      <w:pPr>
        <w:spacing w:line="360" w:lineRule="auto"/>
        <w:ind w:firstLine="420"/>
        <w:rPr>
          <w:rFonts w:ascii="仿宋" w:hAnsi="仿宋" w:eastAsia="仿宋" w:cs="仿宋"/>
          <w:color w:val="000000"/>
          <w:szCs w:val="21"/>
        </w:rPr>
      </w:pPr>
      <w:r>
        <w:rPr>
          <w:rFonts w:hint="eastAsia" w:ascii="仿宋" w:hAnsi="仿宋" w:eastAsia="仿宋" w:cs="仿宋"/>
          <w:color w:val="000000"/>
          <w:szCs w:val="21"/>
        </w:rPr>
        <w:t>本公司郑重声明，根据《政府采购促进中小企业发展管理办法》（财库﹝2020﹞46 号）的规定，本公司参加</w:t>
      </w:r>
      <w:r>
        <w:rPr>
          <w:rFonts w:hint="eastAsia" w:ascii="仿宋" w:hAnsi="仿宋" w:eastAsia="仿宋" w:cs="仿宋"/>
          <w:color w:val="000000"/>
          <w:szCs w:val="21"/>
          <w:u w:val="single"/>
        </w:rPr>
        <w:t>（单位名称）</w:t>
      </w:r>
      <w:r>
        <w:rPr>
          <w:rFonts w:hint="eastAsia" w:ascii="仿宋" w:hAnsi="仿宋" w:eastAsia="仿宋" w:cs="仿宋"/>
          <w:color w:val="000000"/>
          <w:szCs w:val="21"/>
        </w:rPr>
        <w:t xml:space="preserve">的 </w:t>
      </w:r>
      <w:r>
        <w:rPr>
          <w:rFonts w:hint="eastAsia" w:ascii="仿宋" w:hAnsi="仿宋" w:eastAsia="仿宋" w:cs="仿宋"/>
          <w:color w:val="000000"/>
          <w:szCs w:val="21"/>
          <w:u w:val="single"/>
        </w:rPr>
        <w:t>（项目名称）</w:t>
      </w:r>
      <w:r>
        <w:rPr>
          <w:rFonts w:hint="eastAsia" w:ascii="仿宋" w:hAnsi="仿宋" w:eastAsia="仿宋" w:cs="仿宋"/>
          <w:color w:val="000000"/>
          <w:szCs w:val="21"/>
        </w:rPr>
        <w:t>采购活动，服务全部由符合政策要求的中小企业承接。相关企业的具体情况如下：</w:t>
      </w:r>
    </w:p>
    <w:p w14:paraId="59781A33">
      <w:pPr>
        <w:spacing w:line="360" w:lineRule="auto"/>
        <w:ind w:firstLine="420"/>
        <w:rPr>
          <w:rFonts w:ascii="仿宋" w:hAnsi="仿宋" w:eastAsia="仿宋" w:cs="仿宋"/>
          <w:color w:val="000000"/>
          <w:szCs w:val="21"/>
          <w:u w:val="single"/>
        </w:rPr>
      </w:pPr>
      <w:r>
        <w:rPr>
          <w:rFonts w:hint="eastAsia" w:ascii="仿宋" w:hAnsi="仿宋" w:eastAsia="仿宋" w:cs="仿宋"/>
          <w:color w:val="000000"/>
          <w:szCs w:val="21"/>
          <w:u w:val="single"/>
        </w:rPr>
        <w:t>（标的名称）</w:t>
      </w:r>
      <w:r>
        <w:rPr>
          <w:rFonts w:hint="eastAsia" w:ascii="仿宋" w:hAnsi="仿宋" w:eastAsia="仿宋" w:cs="仿宋"/>
          <w:color w:val="000000"/>
          <w:szCs w:val="21"/>
        </w:rPr>
        <w:t xml:space="preserve"> ，属于</w:t>
      </w:r>
      <w:r>
        <w:rPr>
          <w:rFonts w:hint="eastAsia" w:ascii="仿宋" w:hAnsi="仿宋" w:eastAsia="仿宋" w:cs="仿宋"/>
          <w:color w:val="000000"/>
          <w:szCs w:val="21"/>
          <w:u w:val="single"/>
        </w:rPr>
        <w:t>（采购文件中明确的所属行业）</w:t>
      </w:r>
      <w:r>
        <w:rPr>
          <w:rFonts w:hint="eastAsia" w:ascii="仿宋" w:hAnsi="仿宋" w:eastAsia="仿宋" w:cs="仿宋"/>
          <w:color w:val="000000"/>
          <w:szCs w:val="21"/>
        </w:rPr>
        <w:t>行业；承接企业为</w:t>
      </w:r>
      <w:r>
        <w:rPr>
          <w:rFonts w:hint="eastAsia" w:ascii="仿宋" w:hAnsi="仿宋" w:eastAsia="仿宋" w:cs="仿宋"/>
          <w:color w:val="000000"/>
          <w:szCs w:val="21"/>
          <w:u w:val="single"/>
        </w:rPr>
        <w:t>（企业名称）</w:t>
      </w:r>
      <w:r>
        <w:rPr>
          <w:rFonts w:hint="eastAsia" w:ascii="仿宋" w:hAnsi="仿宋" w:eastAsia="仿宋" w:cs="仿宋"/>
          <w:color w:val="000000"/>
          <w:szCs w:val="21"/>
        </w:rPr>
        <w:t>，从业人员</w:t>
      </w:r>
      <w:r>
        <w:rPr>
          <w:rFonts w:hint="eastAsia" w:ascii="仿宋" w:hAnsi="仿宋" w:eastAsia="仿宋" w:cs="仿宋"/>
          <w:color w:val="000000"/>
          <w:szCs w:val="21"/>
          <w:u w:val="single"/>
        </w:rPr>
        <w:t xml:space="preserve">    </w:t>
      </w:r>
      <w:r>
        <w:rPr>
          <w:rFonts w:hint="eastAsia" w:ascii="仿宋" w:hAnsi="仿宋" w:eastAsia="仿宋" w:cs="仿宋"/>
          <w:color w:val="000000"/>
          <w:szCs w:val="21"/>
        </w:rPr>
        <w:t>人，营业收入为</w:t>
      </w:r>
      <w:r>
        <w:rPr>
          <w:rFonts w:hint="eastAsia" w:ascii="仿宋" w:hAnsi="仿宋" w:eastAsia="仿宋" w:cs="仿宋"/>
          <w:color w:val="000000"/>
          <w:szCs w:val="21"/>
          <w:u w:val="single"/>
        </w:rPr>
        <w:t xml:space="preserve">     </w:t>
      </w:r>
      <w:r>
        <w:rPr>
          <w:rFonts w:hint="eastAsia" w:ascii="仿宋" w:hAnsi="仿宋" w:eastAsia="仿宋" w:cs="仿宋"/>
          <w:color w:val="000000"/>
          <w:szCs w:val="21"/>
        </w:rPr>
        <w:t>万元，资产总额为</w:t>
      </w:r>
      <w:r>
        <w:rPr>
          <w:rFonts w:hint="eastAsia" w:ascii="仿宋" w:hAnsi="仿宋" w:eastAsia="仿宋" w:cs="仿宋"/>
          <w:color w:val="000000"/>
          <w:szCs w:val="21"/>
          <w:u w:val="single"/>
        </w:rPr>
        <w:t xml:space="preserve">     </w:t>
      </w:r>
      <w:r>
        <w:rPr>
          <w:rFonts w:hint="eastAsia" w:ascii="仿宋" w:hAnsi="仿宋" w:eastAsia="仿宋" w:cs="仿宋"/>
          <w:color w:val="000000"/>
          <w:szCs w:val="21"/>
        </w:rPr>
        <w:t>万元，属于（</w:t>
      </w:r>
      <w:r>
        <w:rPr>
          <w:rFonts w:hint="eastAsia" w:ascii="仿宋" w:hAnsi="仿宋" w:eastAsia="仿宋" w:cs="仿宋"/>
          <w:color w:val="000000"/>
          <w:szCs w:val="21"/>
          <w:u w:val="single"/>
        </w:rPr>
        <w:t>中型企业、小型企业、微型企业）；</w:t>
      </w:r>
    </w:p>
    <w:p w14:paraId="1D76F9EC">
      <w:pPr>
        <w:spacing w:line="360" w:lineRule="auto"/>
        <w:ind w:firstLine="420"/>
        <w:rPr>
          <w:rFonts w:ascii="仿宋" w:hAnsi="仿宋" w:eastAsia="仿宋" w:cs="仿宋"/>
          <w:color w:val="000000"/>
          <w:szCs w:val="21"/>
        </w:rPr>
      </w:pPr>
      <w:r>
        <w:rPr>
          <w:rFonts w:hint="eastAsia" w:ascii="仿宋" w:hAnsi="仿宋" w:eastAsia="仿宋" w:cs="仿宋"/>
          <w:color w:val="000000"/>
          <w:szCs w:val="21"/>
        </w:rPr>
        <w:t>以上企业，不属于大企业的分支机构，不存在控股股东为大企业的情形，也不存在与大企业的负责人为同一人的情形。</w:t>
      </w:r>
    </w:p>
    <w:p w14:paraId="009E5DA9">
      <w:pPr>
        <w:spacing w:line="360" w:lineRule="auto"/>
        <w:ind w:firstLine="420"/>
        <w:rPr>
          <w:rFonts w:ascii="仿宋" w:hAnsi="仿宋" w:eastAsia="仿宋" w:cs="仿宋"/>
          <w:color w:val="000000"/>
          <w:szCs w:val="21"/>
        </w:rPr>
      </w:pPr>
      <w:r>
        <w:rPr>
          <w:rFonts w:hint="eastAsia" w:ascii="仿宋" w:hAnsi="仿宋" w:eastAsia="仿宋" w:cs="仿宋"/>
          <w:color w:val="000000"/>
          <w:szCs w:val="21"/>
        </w:rPr>
        <w:t>本企业对上述声明内容的真实性负责。如有虚假，将依法承担相应责任。</w:t>
      </w:r>
    </w:p>
    <w:p w14:paraId="02422263">
      <w:pPr>
        <w:spacing w:line="360" w:lineRule="auto"/>
        <w:rPr>
          <w:rFonts w:ascii="仿宋" w:hAnsi="仿宋" w:eastAsia="仿宋" w:cs="仿宋"/>
          <w:color w:val="000000"/>
          <w:szCs w:val="21"/>
        </w:rPr>
      </w:pPr>
    </w:p>
    <w:p w14:paraId="54A5CEA8">
      <w:pPr>
        <w:spacing w:line="360" w:lineRule="auto"/>
        <w:rPr>
          <w:rFonts w:ascii="仿宋" w:hAnsi="仿宋" w:eastAsia="仿宋" w:cs="仿宋"/>
          <w:color w:val="000000"/>
          <w:szCs w:val="21"/>
        </w:rPr>
      </w:pPr>
    </w:p>
    <w:p w14:paraId="18CE8345">
      <w:pPr>
        <w:spacing w:line="360" w:lineRule="auto"/>
        <w:rPr>
          <w:rFonts w:ascii="仿宋" w:hAnsi="仿宋" w:eastAsia="仿宋" w:cs="仿宋"/>
          <w:color w:val="000000"/>
          <w:szCs w:val="21"/>
        </w:rPr>
      </w:pPr>
      <w:r>
        <w:rPr>
          <w:rFonts w:hint="eastAsia" w:ascii="仿宋" w:hAnsi="仿宋" w:eastAsia="仿宋" w:cs="仿宋"/>
          <w:color w:val="000000"/>
          <w:szCs w:val="21"/>
        </w:rPr>
        <w:t>供应商名称（盖章）：</w:t>
      </w:r>
    </w:p>
    <w:p w14:paraId="6D1D1E06">
      <w:pPr>
        <w:spacing w:line="360" w:lineRule="auto"/>
        <w:rPr>
          <w:rFonts w:ascii="仿宋" w:hAnsi="仿宋" w:eastAsia="仿宋" w:cs="仿宋"/>
          <w:color w:val="000000"/>
          <w:szCs w:val="21"/>
        </w:rPr>
      </w:pPr>
      <w:r>
        <w:rPr>
          <w:rFonts w:hint="eastAsia" w:ascii="仿宋" w:hAnsi="仿宋" w:eastAsia="仿宋" w:cs="仿宋"/>
          <w:color w:val="000000"/>
          <w:szCs w:val="21"/>
        </w:rPr>
        <w:t>日期：</w:t>
      </w:r>
    </w:p>
    <w:p w14:paraId="4A23A41D">
      <w:pPr>
        <w:spacing w:line="360" w:lineRule="auto"/>
        <w:rPr>
          <w:rFonts w:ascii="仿宋" w:hAnsi="仿宋" w:eastAsia="仿宋" w:cs="仿宋"/>
          <w:color w:val="000000"/>
          <w:szCs w:val="21"/>
        </w:rPr>
      </w:pPr>
      <w:r>
        <w:rPr>
          <w:rFonts w:hint="eastAsia" w:ascii="仿宋" w:hAnsi="仿宋" w:eastAsia="仿宋" w:cs="仿宋"/>
          <w:color w:val="000000"/>
          <w:szCs w:val="21"/>
        </w:rPr>
        <w:t xml:space="preserve"> </w:t>
      </w:r>
    </w:p>
    <w:p w14:paraId="7D53F61C">
      <w:pPr>
        <w:spacing w:line="360" w:lineRule="auto"/>
        <w:ind w:firstLine="420"/>
        <w:rPr>
          <w:rFonts w:ascii="仿宋" w:hAnsi="仿宋" w:eastAsia="仿宋" w:cs="仿宋"/>
          <w:color w:val="000000"/>
          <w:sz w:val="28"/>
          <w:szCs w:val="28"/>
        </w:rPr>
      </w:pPr>
    </w:p>
    <w:p w14:paraId="10457530">
      <w:pPr>
        <w:spacing w:line="360" w:lineRule="auto"/>
        <w:jc w:val="center"/>
        <w:rPr>
          <w:rFonts w:ascii="仿宋" w:hAnsi="仿宋" w:eastAsia="仿宋" w:cs="仿宋"/>
          <w:b/>
          <w:color w:val="000000"/>
          <w:sz w:val="32"/>
          <w:szCs w:val="32"/>
        </w:rPr>
      </w:pPr>
      <w:r>
        <w:rPr>
          <w:rFonts w:hint="eastAsia" w:ascii="仿宋" w:hAnsi="仿宋" w:eastAsia="仿宋" w:cs="仿宋"/>
          <w:b/>
          <w:color w:val="000000"/>
          <w:sz w:val="32"/>
          <w:szCs w:val="32"/>
        </w:rPr>
        <w:t>残疾人福利性单位声明函</w:t>
      </w:r>
    </w:p>
    <w:p w14:paraId="4E99CCB6">
      <w:pPr>
        <w:widowControl/>
        <w:spacing w:line="440" w:lineRule="exact"/>
        <w:ind w:firstLine="420"/>
        <w:jc w:val="left"/>
        <w:rPr>
          <w:rFonts w:ascii="仿宋" w:hAnsi="仿宋" w:eastAsia="仿宋" w:cs="仿宋"/>
          <w:color w:val="000000"/>
          <w:szCs w:val="21"/>
        </w:rPr>
      </w:pPr>
      <w:r>
        <w:rPr>
          <w:rFonts w:hint="eastAsia" w:ascii="仿宋" w:hAnsi="仿宋" w:eastAsia="仿宋" w:cs="仿宋"/>
          <w:color w:val="000000"/>
          <w:szCs w:val="21"/>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56DFA6A9">
      <w:pPr>
        <w:widowControl/>
        <w:spacing w:line="440" w:lineRule="exact"/>
        <w:ind w:firstLine="420"/>
        <w:jc w:val="left"/>
        <w:rPr>
          <w:rFonts w:ascii="仿宋" w:hAnsi="仿宋" w:eastAsia="仿宋" w:cs="仿宋"/>
          <w:color w:val="000000"/>
          <w:szCs w:val="21"/>
        </w:rPr>
      </w:pPr>
      <w:r>
        <w:rPr>
          <w:rFonts w:hint="eastAsia" w:ascii="仿宋" w:hAnsi="仿宋" w:eastAsia="仿宋" w:cs="仿宋"/>
          <w:color w:val="000000"/>
          <w:szCs w:val="21"/>
        </w:rPr>
        <w:t>本单位对上述声明的真实性负责。如有虚假，将依法承担相应责任。</w:t>
      </w:r>
    </w:p>
    <w:p w14:paraId="7A2732C9">
      <w:pPr>
        <w:widowControl/>
        <w:spacing w:line="440" w:lineRule="exact"/>
        <w:ind w:firstLine="420"/>
        <w:jc w:val="left"/>
        <w:rPr>
          <w:rFonts w:ascii="仿宋" w:hAnsi="仿宋" w:eastAsia="仿宋" w:cs="仿宋"/>
          <w:color w:val="000000"/>
          <w:szCs w:val="21"/>
        </w:rPr>
      </w:pPr>
      <w:r>
        <w:rPr>
          <w:rFonts w:hint="eastAsia" w:ascii="仿宋" w:hAnsi="仿宋" w:eastAsia="仿宋" w:cs="仿宋"/>
          <w:color w:val="000000"/>
          <w:szCs w:val="21"/>
        </w:rPr>
        <w:t>供应商名称（盖章）：</w:t>
      </w:r>
    </w:p>
    <w:p w14:paraId="4A581D60">
      <w:pPr>
        <w:widowControl/>
        <w:spacing w:line="440" w:lineRule="exact"/>
        <w:ind w:firstLine="420"/>
        <w:jc w:val="left"/>
        <w:rPr>
          <w:rFonts w:ascii="仿宋" w:hAnsi="仿宋" w:eastAsia="仿宋" w:cs="仿宋"/>
          <w:color w:val="000000"/>
          <w:szCs w:val="21"/>
        </w:rPr>
      </w:pPr>
      <w:r>
        <w:rPr>
          <w:rFonts w:hint="eastAsia" w:ascii="仿宋" w:hAnsi="仿宋" w:eastAsia="仿宋" w:cs="仿宋"/>
          <w:color w:val="000000"/>
          <w:szCs w:val="21"/>
        </w:rPr>
        <w:t>日  期：</w:t>
      </w:r>
    </w:p>
    <w:p w14:paraId="1FAA2F2E">
      <w:pPr>
        <w:spacing w:line="360" w:lineRule="auto"/>
        <w:ind w:firstLine="420"/>
        <w:rPr>
          <w:rFonts w:ascii="仿宋" w:hAnsi="仿宋" w:eastAsia="仿宋" w:cs="仿宋"/>
          <w:color w:val="000000"/>
          <w:sz w:val="28"/>
          <w:szCs w:val="28"/>
        </w:rPr>
      </w:pPr>
    </w:p>
    <w:p w14:paraId="1DD16EC0">
      <w:pPr>
        <w:spacing w:line="360" w:lineRule="auto"/>
        <w:ind w:firstLine="420"/>
        <w:rPr>
          <w:rFonts w:ascii="仿宋" w:hAnsi="仿宋" w:eastAsia="仿宋" w:cs="仿宋"/>
          <w:color w:val="000000"/>
          <w:sz w:val="28"/>
          <w:szCs w:val="28"/>
        </w:rPr>
      </w:pPr>
    </w:p>
    <w:p w14:paraId="1B3C3CA3">
      <w:pPr>
        <w:spacing w:line="360" w:lineRule="auto"/>
        <w:ind w:firstLine="420"/>
        <w:rPr>
          <w:rFonts w:ascii="仿宋" w:hAnsi="仿宋" w:eastAsia="仿宋" w:cs="仿宋"/>
          <w:color w:val="000000"/>
          <w:sz w:val="28"/>
          <w:szCs w:val="28"/>
        </w:rPr>
      </w:pPr>
    </w:p>
    <w:p w14:paraId="7421F68F">
      <w:pPr>
        <w:spacing w:line="360" w:lineRule="auto"/>
        <w:jc w:val="center"/>
        <w:rPr>
          <w:rFonts w:ascii="仿宋" w:hAnsi="仿宋" w:eastAsia="仿宋" w:cs="仿宋"/>
          <w:b/>
          <w:bCs/>
          <w:color w:val="000000"/>
          <w:sz w:val="28"/>
        </w:rPr>
      </w:pPr>
      <w:r>
        <w:rPr>
          <w:rFonts w:hint="eastAsia" w:ascii="仿宋" w:hAnsi="仿宋" w:eastAsia="仿宋" w:cs="仿宋"/>
          <w:b/>
          <w:bCs/>
          <w:color w:val="000000"/>
          <w:sz w:val="28"/>
        </w:rPr>
        <w:t>属于监狱企业的证明文件</w:t>
      </w:r>
    </w:p>
    <w:p w14:paraId="0EB86AB8">
      <w:pPr>
        <w:spacing w:line="360" w:lineRule="auto"/>
        <w:rPr>
          <w:rFonts w:ascii="仿宋" w:hAnsi="仿宋" w:eastAsia="仿宋" w:cs="仿宋"/>
          <w:color w:val="000000"/>
        </w:rPr>
      </w:pPr>
      <w:r>
        <w:rPr>
          <w:rFonts w:hint="eastAsia" w:ascii="仿宋" w:hAnsi="仿宋" w:eastAsia="仿宋" w:cs="仿宋"/>
          <w:color w:val="000000"/>
        </w:rPr>
        <w:t>（提供由省级以上监狱管理局、戒毒管理局(含新疆生产建设兵团)出具的属于监狱企业的证明文件）</w:t>
      </w:r>
    </w:p>
    <w:p w14:paraId="3F317631">
      <w:pPr>
        <w:spacing w:line="360" w:lineRule="auto"/>
        <w:rPr>
          <w:rFonts w:ascii="仿宋" w:hAnsi="仿宋" w:eastAsia="仿宋" w:cs="仿宋"/>
          <w:b/>
          <w:bCs/>
          <w:color w:val="000000"/>
        </w:rPr>
      </w:pPr>
    </w:p>
    <w:p w14:paraId="1F8E8D89">
      <w:pPr>
        <w:spacing w:line="360" w:lineRule="auto"/>
        <w:rPr>
          <w:rFonts w:ascii="仿宋" w:hAnsi="仿宋" w:eastAsia="仿宋" w:cs="仿宋"/>
          <w:b/>
          <w:bCs/>
          <w:color w:val="000000"/>
        </w:rPr>
      </w:pPr>
    </w:p>
    <w:p w14:paraId="481CB528">
      <w:pPr>
        <w:spacing w:line="360" w:lineRule="auto"/>
        <w:rPr>
          <w:rFonts w:ascii="仿宋" w:hAnsi="仿宋" w:eastAsia="仿宋" w:cs="仿宋"/>
          <w:b/>
          <w:bCs/>
          <w:color w:val="000000"/>
        </w:rPr>
      </w:pPr>
    </w:p>
    <w:p w14:paraId="2F71D5F1">
      <w:pPr>
        <w:spacing w:line="360" w:lineRule="auto"/>
        <w:rPr>
          <w:rFonts w:ascii="仿宋" w:hAnsi="仿宋" w:eastAsia="仿宋" w:cs="仿宋"/>
          <w:b/>
          <w:bCs/>
          <w:color w:val="000000"/>
        </w:rPr>
      </w:pPr>
    </w:p>
    <w:p w14:paraId="50F6856E">
      <w:pPr>
        <w:spacing w:line="360" w:lineRule="auto"/>
        <w:rPr>
          <w:rFonts w:ascii="仿宋" w:hAnsi="仿宋" w:eastAsia="仿宋" w:cs="仿宋"/>
          <w:b/>
          <w:bCs/>
          <w:color w:val="000000"/>
        </w:rPr>
      </w:pPr>
    </w:p>
    <w:p w14:paraId="534191DD">
      <w:pPr>
        <w:spacing w:line="360" w:lineRule="auto"/>
        <w:jc w:val="center"/>
        <w:rPr>
          <w:rFonts w:ascii="仿宋" w:hAnsi="仿宋" w:eastAsia="仿宋" w:cs="仿宋"/>
          <w:b/>
          <w:bCs/>
          <w:color w:val="000000"/>
        </w:rPr>
      </w:pPr>
      <w:r>
        <w:rPr>
          <w:rFonts w:hint="eastAsia" w:ascii="仿宋" w:hAnsi="仿宋" w:eastAsia="仿宋" w:cs="仿宋"/>
          <w:b/>
          <w:bCs/>
          <w:color w:val="000000"/>
          <w:sz w:val="28"/>
        </w:rPr>
        <w:t>节能产品认证证书</w:t>
      </w:r>
    </w:p>
    <w:p w14:paraId="4BF78BAB">
      <w:pPr>
        <w:spacing w:line="360" w:lineRule="auto"/>
        <w:rPr>
          <w:rFonts w:ascii="仿宋" w:hAnsi="仿宋" w:eastAsia="仿宋" w:cs="仿宋"/>
          <w:bCs/>
          <w:color w:val="000000"/>
        </w:rPr>
      </w:pPr>
      <w:r>
        <w:rPr>
          <w:rFonts w:hint="eastAsia" w:ascii="仿宋" w:hAnsi="仿宋" w:eastAsia="仿宋" w:cs="仿宋"/>
          <w:bCs/>
          <w:color w:val="000000"/>
        </w:rPr>
        <w:t>（提供国家确定的认证机构出具的、处于有效期之内的产品认证证书）</w:t>
      </w:r>
    </w:p>
    <w:p w14:paraId="0416761C">
      <w:pPr>
        <w:spacing w:line="360" w:lineRule="auto"/>
        <w:rPr>
          <w:rFonts w:ascii="仿宋" w:hAnsi="仿宋" w:eastAsia="仿宋" w:cs="仿宋"/>
          <w:b/>
          <w:bCs/>
          <w:color w:val="000000"/>
        </w:rPr>
      </w:pPr>
    </w:p>
    <w:p w14:paraId="309E9DD9">
      <w:pPr>
        <w:spacing w:line="360" w:lineRule="auto"/>
        <w:rPr>
          <w:rFonts w:ascii="仿宋" w:hAnsi="仿宋" w:eastAsia="仿宋" w:cs="仿宋"/>
          <w:b/>
          <w:bCs/>
          <w:color w:val="000000"/>
        </w:rPr>
      </w:pPr>
    </w:p>
    <w:p w14:paraId="1369974E">
      <w:pPr>
        <w:spacing w:line="360" w:lineRule="auto"/>
        <w:rPr>
          <w:rFonts w:ascii="仿宋" w:hAnsi="仿宋" w:eastAsia="仿宋" w:cs="仿宋"/>
          <w:b/>
          <w:bCs/>
          <w:color w:val="000000"/>
        </w:rPr>
      </w:pPr>
    </w:p>
    <w:p w14:paraId="3FB8097D">
      <w:pPr>
        <w:spacing w:line="360" w:lineRule="auto"/>
        <w:rPr>
          <w:rFonts w:ascii="仿宋" w:hAnsi="仿宋" w:eastAsia="仿宋" w:cs="仿宋"/>
          <w:b/>
          <w:bCs/>
          <w:color w:val="000000"/>
        </w:rPr>
      </w:pPr>
    </w:p>
    <w:p w14:paraId="2847663F">
      <w:pPr>
        <w:spacing w:line="360" w:lineRule="auto"/>
        <w:rPr>
          <w:rFonts w:ascii="仿宋" w:hAnsi="仿宋" w:eastAsia="仿宋" w:cs="仿宋"/>
          <w:b/>
          <w:bCs/>
          <w:color w:val="000000"/>
        </w:rPr>
      </w:pPr>
    </w:p>
    <w:p w14:paraId="37D5FF6E">
      <w:pPr>
        <w:spacing w:line="360" w:lineRule="auto"/>
        <w:jc w:val="center"/>
        <w:rPr>
          <w:rFonts w:ascii="仿宋" w:hAnsi="仿宋" w:eastAsia="仿宋" w:cs="仿宋"/>
          <w:b/>
          <w:bCs/>
          <w:color w:val="000000"/>
        </w:rPr>
      </w:pPr>
      <w:r>
        <w:rPr>
          <w:rFonts w:hint="eastAsia" w:ascii="仿宋" w:hAnsi="仿宋" w:eastAsia="仿宋" w:cs="仿宋"/>
          <w:b/>
          <w:bCs/>
          <w:color w:val="000000"/>
          <w:sz w:val="28"/>
        </w:rPr>
        <w:t>环境标志产品认证证书</w:t>
      </w:r>
    </w:p>
    <w:p w14:paraId="33D852F2">
      <w:pPr>
        <w:spacing w:line="360" w:lineRule="auto"/>
        <w:rPr>
          <w:rFonts w:ascii="仿宋" w:hAnsi="仿宋" w:eastAsia="仿宋" w:cs="仿宋"/>
          <w:color w:val="000000"/>
        </w:rPr>
      </w:pPr>
      <w:r>
        <w:rPr>
          <w:rFonts w:hint="eastAsia" w:ascii="仿宋" w:hAnsi="仿宋" w:eastAsia="仿宋" w:cs="仿宋"/>
          <w:bCs/>
          <w:color w:val="000000"/>
        </w:rPr>
        <w:t>（提供国家确定的认证机构出具的、处于有效期之内的产品认证证书）</w:t>
      </w:r>
    </w:p>
    <w:p w14:paraId="6FB2454E">
      <w:pPr>
        <w:spacing w:line="360" w:lineRule="auto"/>
        <w:rPr>
          <w:rFonts w:ascii="仿宋" w:hAnsi="仿宋" w:eastAsia="仿宋" w:cs="仿宋"/>
          <w:b/>
          <w:bCs/>
          <w:color w:val="000000"/>
        </w:rPr>
      </w:pPr>
    </w:p>
    <w:p w14:paraId="1E18A194">
      <w:pPr>
        <w:spacing w:line="360" w:lineRule="auto"/>
        <w:rPr>
          <w:rFonts w:ascii="仿宋" w:hAnsi="仿宋" w:eastAsia="仿宋" w:cs="仿宋"/>
          <w:b/>
          <w:bCs/>
          <w:color w:val="000000"/>
        </w:rPr>
      </w:pPr>
    </w:p>
    <w:p w14:paraId="2112CC10">
      <w:pPr>
        <w:spacing w:line="360" w:lineRule="auto"/>
        <w:rPr>
          <w:rFonts w:ascii="仿宋" w:hAnsi="仿宋" w:eastAsia="仿宋" w:cs="仿宋"/>
          <w:b/>
          <w:bCs/>
          <w:color w:val="000000"/>
        </w:rPr>
      </w:pPr>
    </w:p>
    <w:p w14:paraId="00190739">
      <w:pPr>
        <w:spacing w:line="360" w:lineRule="auto"/>
        <w:rPr>
          <w:rFonts w:ascii="仿宋" w:hAnsi="仿宋" w:eastAsia="仿宋" w:cs="仿宋"/>
          <w:b/>
          <w:bCs/>
          <w:color w:val="000000"/>
        </w:rPr>
      </w:pPr>
    </w:p>
    <w:p w14:paraId="3AB1B52D">
      <w:pPr>
        <w:spacing w:line="360" w:lineRule="auto"/>
        <w:rPr>
          <w:rFonts w:ascii="仿宋" w:hAnsi="仿宋" w:eastAsia="仿宋" w:cs="仿宋"/>
          <w:b/>
          <w:bCs/>
          <w:color w:val="000000"/>
        </w:rPr>
      </w:pPr>
    </w:p>
    <w:p w14:paraId="37A14EDD">
      <w:pPr>
        <w:spacing w:line="360" w:lineRule="auto"/>
        <w:jc w:val="center"/>
        <w:rPr>
          <w:rFonts w:ascii="仿宋" w:hAnsi="仿宋" w:eastAsia="仿宋" w:cs="仿宋"/>
          <w:b/>
          <w:bCs/>
          <w:color w:val="000000"/>
          <w:sz w:val="28"/>
        </w:rPr>
      </w:pPr>
      <w:r>
        <w:rPr>
          <w:rFonts w:hint="eastAsia" w:ascii="仿宋" w:hAnsi="仿宋" w:eastAsia="仿宋" w:cs="仿宋"/>
          <w:b/>
          <w:bCs/>
          <w:color w:val="000000"/>
          <w:sz w:val="28"/>
        </w:rPr>
        <w:t>进口产品转让技术、消化吸收再创新方案</w:t>
      </w:r>
    </w:p>
    <w:p w14:paraId="57E551AC">
      <w:pPr>
        <w:spacing w:line="360" w:lineRule="auto"/>
        <w:ind w:firstLine="420"/>
        <w:rPr>
          <w:rFonts w:ascii="仿宋" w:hAnsi="仿宋" w:eastAsia="仿宋" w:cs="仿宋"/>
          <w:color w:val="000000"/>
          <w:sz w:val="28"/>
          <w:szCs w:val="28"/>
        </w:rPr>
      </w:pPr>
      <w:r>
        <w:rPr>
          <w:rFonts w:hint="eastAsia" w:ascii="仿宋" w:hAnsi="仿宋" w:eastAsia="仿宋" w:cs="仿宋"/>
          <w:bCs/>
          <w:color w:val="000000"/>
        </w:rPr>
        <w:t>（对于允许进口产品参加的项目）</w:t>
      </w:r>
    </w:p>
    <w:p w14:paraId="61A8A314">
      <w:pPr>
        <w:spacing w:line="360" w:lineRule="auto"/>
        <w:ind w:firstLine="420"/>
        <w:rPr>
          <w:rFonts w:ascii="仿宋" w:hAnsi="仿宋" w:eastAsia="仿宋" w:cs="仿宋"/>
          <w:color w:val="000000"/>
          <w:sz w:val="28"/>
          <w:szCs w:val="28"/>
        </w:rPr>
      </w:pPr>
    </w:p>
    <w:p w14:paraId="208AC31B">
      <w:pPr>
        <w:spacing w:line="360" w:lineRule="auto"/>
        <w:ind w:firstLine="420"/>
        <w:rPr>
          <w:rFonts w:ascii="仿宋" w:hAnsi="仿宋" w:eastAsia="仿宋" w:cs="仿宋"/>
          <w:color w:val="000000"/>
          <w:sz w:val="28"/>
          <w:szCs w:val="28"/>
        </w:rPr>
      </w:pPr>
    </w:p>
    <w:p w14:paraId="2F4AA372">
      <w:pPr>
        <w:spacing w:line="360" w:lineRule="auto"/>
        <w:ind w:firstLine="420"/>
        <w:rPr>
          <w:rFonts w:ascii="仿宋" w:hAnsi="仿宋" w:eastAsia="仿宋" w:cs="仿宋"/>
          <w:color w:val="000000"/>
          <w:sz w:val="28"/>
          <w:szCs w:val="28"/>
        </w:rPr>
      </w:pPr>
    </w:p>
    <w:p w14:paraId="1F523DD0">
      <w:pPr>
        <w:spacing w:line="360" w:lineRule="auto"/>
        <w:ind w:firstLine="420"/>
        <w:rPr>
          <w:rFonts w:ascii="仿宋" w:hAnsi="仿宋" w:eastAsia="仿宋" w:cs="仿宋"/>
          <w:color w:val="000000"/>
          <w:sz w:val="28"/>
          <w:szCs w:val="28"/>
        </w:rPr>
      </w:pPr>
    </w:p>
    <w:p w14:paraId="6F1EB83A">
      <w:pPr>
        <w:pStyle w:val="199"/>
        <w:rPr>
          <w:rFonts w:ascii="仿宋" w:hAnsi="仿宋" w:eastAsia="仿宋" w:cs="仿宋"/>
        </w:rPr>
      </w:pPr>
    </w:p>
    <w:p w14:paraId="501A8558">
      <w:pPr>
        <w:widowControl/>
        <w:spacing w:line="360" w:lineRule="auto"/>
        <w:outlineLvl w:val="1"/>
        <w:rPr>
          <w:rFonts w:ascii="仿宋" w:hAnsi="仿宋" w:eastAsia="仿宋" w:cs="仿宋"/>
          <w:b/>
          <w:color w:val="000000"/>
          <w:sz w:val="32"/>
          <w:szCs w:val="32"/>
        </w:rPr>
      </w:pPr>
      <w:r>
        <w:rPr>
          <w:rFonts w:hint="eastAsia" w:ascii="仿宋" w:hAnsi="仿宋" w:eastAsia="仿宋" w:cs="仿宋"/>
          <w:b/>
          <w:color w:val="000000"/>
          <w:sz w:val="32"/>
          <w:szCs w:val="32"/>
        </w:rPr>
        <w:br w:type="page" w:clear="all"/>
      </w:r>
      <w:bookmarkStart w:id="60" w:name="_Toc7157"/>
      <w:r>
        <w:rPr>
          <w:rFonts w:hint="eastAsia" w:ascii="仿宋" w:hAnsi="仿宋" w:eastAsia="仿宋" w:cs="仿宋"/>
          <w:b/>
          <w:color w:val="000000"/>
          <w:sz w:val="32"/>
          <w:szCs w:val="32"/>
        </w:rPr>
        <w:t>附件二、信用查询</w:t>
      </w:r>
      <w:bookmarkEnd w:id="60"/>
    </w:p>
    <w:p w14:paraId="32F4516E">
      <w:pPr>
        <w:spacing w:line="360" w:lineRule="auto"/>
        <w:rPr>
          <w:rFonts w:ascii="仿宋" w:hAnsi="仿宋" w:eastAsia="仿宋" w:cs="仿宋"/>
          <w:color w:val="000000"/>
        </w:rPr>
      </w:pPr>
    </w:p>
    <w:p w14:paraId="17F76FB6">
      <w:pPr>
        <w:spacing w:line="360" w:lineRule="auto"/>
        <w:ind w:firstLine="420"/>
        <w:jc w:val="left"/>
        <w:rPr>
          <w:rFonts w:ascii="仿宋" w:hAnsi="仿宋" w:eastAsia="仿宋" w:cs="仿宋"/>
          <w:color w:val="000000"/>
        </w:rPr>
      </w:pPr>
    </w:p>
    <w:p w14:paraId="3B282E8B">
      <w:pPr>
        <w:spacing w:line="360" w:lineRule="auto"/>
        <w:ind w:firstLine="420"/>
        <w:jc w:val="left"/>
        <w:rPr>
          <w:rFonts w:ascii="仿宋" w:hAnsi="仿宋" w:eastAsia="仿宋" w:cs="仿宋"/>
          <w:b/>
          <w:color w:val="000000"/>
        </w:rPr>
      </w:pPr>
      <w:r>
        <w:rPr>
          <w:rFonts w:hint="eastAsia" w:ascii="仿宋" w:hAnsi="仿宋" w:eastAsia="仿宋" w:cs="仿宋"/>
          <w:color w:val="000000"/>
        </w:rPr>
        <w:t>供应商未被“信用中国”网站（www.creditchina.gov.cn）、“中国政府采购网”网站（www.ccgp.gov.cn）、列入失信被执行人、重大税收违法案件当事人名单、政府采购严重违法失信行为记录名单的。</w:t>
      </w:r>
      <w:r>
        <w:rPr>
          <w:rFonts w:hint="eastAsia" w:ascii="仿宋" w:hAnsi="仿宋" w:eastAsia="仿宋" w:cs="仿宋"/>
          <w:b/>
          <w:color w:val="000000"/>
        </w:rPr>
        <w:t>（提供查阅记录截图并加盖企业公章）</w:t>
      </w:r>
    </w:p>
    <w:p w14:paraId="13111AC3">
      <w:pPr>
        <w:pStyle w:val="199"/>
        <w:rPr>
          <w:rFonts w:ascii="仿宋" w:hAnsi="仿宋" w:eastAsia="仿宋" w:cs="仿宋"/>
        </w:rPr>
      </w:pPr>
      <w:r>
        <w:rPr>
          <w:rFonts w:hint="eastAsia" w:ascii="仿宋" w:hAnsi="仿宋" w:eastAsia="仿宋" w:cs="仿宋"/>
        </w:rPr>
        <w:br w:type="page" w:clear="all"/>
      </w:r>
    </w:p>
    <w:p w14:paraId="1FEECFCD">
      <w:pPr>
        <w:widowControl/>
        <w:spacing w:line="360" w:lineRule="auto"/>
        <w:outlineLvl w:val="1"/>
        <w:rPr>
          <w:rFonts w:ascii="仿宋" w:hAnsi="仿宋" w:eastAsia="仿宋" w:cs="仿宋"/>
          <w:b/>
          <w:color w:val="000000"/>
          <w:sz w:val="32"/>
          <w:szCs w:val="32"/>
        </w:rPr>
      </w:pPr>
      <w:bookmarkStart w:id="61" w:name="_Toc432230208"/>
      <w:bookmarkStart w:id="62" w:name="_Toc10375"/>
      <w:r>
        <w:rPr>
          <w:rFonts w:hint="eastAsia" w:ascii="仿宋" w:hAnsi="仿宋" w:eastAsia="仿宋" w:cs="仿宋"/>
          <w:b/>
          <w:color w:val="000000"/>
          <w:sz w:val="32"/>
          <w:szCs w:val="32"/>
        </w:rPr>
        <w:t>附件</w:t>
      </w:r>
      <w:bookmarkEnd w:id="61"/>
      <w:r>
        <w:rPr>
          <w:rFonts w:hint="eastAsia" w:ascii="仿宋" w:hAnsi="仿宋" w:eastAsia="仿宋" w:cs="仿宋"/>
          <w:b/>
          <w:color w:val="000000"/>
          <w:sz w:val="32"/>
          <w:szCs w:val="32"/>
        </w:rPr>
        <w:t>三、供应商诚信承诺书</w:t>
      </w:r>
      <w:bookmarkEnd w:id="62"/>
    </w:p>
    <w:p w14:paraId="409722B2">
      <w:pPr>
        <w:spacing w:after="120" w:line="360" w:lineRule="auto"/>
        <w:rPr>
          <w:rFonts w:ascii="仿宋" w:hAnsi="仿宋" w:eastAsia="仿宋" w:cs="仿宋"/>
          <w:bCs/>
          <w:color w:val="000000"/>
        </w:rPr>
      </w:pPr>
    </w:p>
    <w:p w14:paraId="5FEE26C1">
      <w:pPr>
        <w:spacing w:after="120" w:line="360" w:lineRule="auto"/>
        <w:rPr>
          <w:rFonts w:ascii="仿宋" w:hAnsi="仿宋" w:eastAsia="仿宋" w:cs="仿宋"/>
          <w:bCs/>
          <w:color w:val="000000"/>
        </w:rPr>
      </w:pPr>
      <w:r>
        <w:rPr>
          <w:rFonts w:hint="eastAsia" w:ascii="仿宋" w:hAnsi="仿宋" w:eastAsia="仿宋" w:cs="仿宋"/>
          <w:bCs/>
          <w:color w:val="000000"/>
        </w:rPr>
        <w:t>致：南京市浦口区人民政府顶山街道办事处</w:t>
      </w:r>
    </w:p>
    <w:p w14:paraId="5886CA97">
      <w:pPr>
        <w:spacing w:line="360" w:lineRule="auto"/>
        <w:ind w:firstLine="482"/>
        <w:rPr>
          <w:rFonts w:ascii="仿宋" w:hAnsi="仿宋" w:eastAsia="仿宋" w:cs="仿宋"/>
          <w:color w:val="000000"/>
        </w:rPr>
      </w:pPr>
      <w:r>
        <w:rPr>
          <w:rFonts w:hint="eastAsia" w:ascii="仿宋" w:hAnsi="仿宋" w:eastAsia="仿宋" w:cs="仿宋"/>
          <w:color w:val="000000"/>
        </w:rPr>
        <w:t>为了诚实、客观、有序地参与本项目政府采购活动，愿就以下内容作出承诺：</w:t>
      </w:r>
    </w:p>
    <w:p w14:paraId="0D119EBC">
      <w:pPr>
        <w:spacing w:line="360" w:lineRule="auto"/>
        <w:ind w:firstLine="482"/>
        <w:rPr>
          <w:rFonts w:ascii="仿宋" w:hAnsi="仿宋" w:eastAsia="仿宋" w:cs="仿宋"/>
          <w:color w:val="000000"/>
        </w:rPr>
      </w:pPr>
      <w:r>
        <w:rPr>
          <w:rFonts w:hint="eastAsia" w:ascii="仿宋" w:hAnsi="仿宋" w:eastAsia="仿宋" w:cs="仿宋"/>
          <w:color w:val="000000"/>
        </w:rPr>
        <w:t>一、自觉遵守各项法律、法规、规章、制度以及社会公德，维护廉洁环境，与同场竞争的供应商平等参加政府采购活动。</w:t>
      </w:r>
    </w:p>
    <w:p w14:paraId="3E2EF875">
      <w:pPr>
        <w:spacing w:line="360" w:lineRule="auto"/>
        <w:ind w:firstLine="482"/>
        <w:rPr>
          <w:rFonts w:ascii="仿宋" w:hAnsi="仿宋" w:eastAsia="仿宋" w:cs="仿宋"/>
          <w:color w:val="000000"/>
        </w:rPr>
      </w:pPr>
      <w:r>
        <w:rPr>
          <w:rFonts w:hint="eastAsia" w:ascii="仿宋" w:hAnsi="仿宋" w:eastAsia="仿宋" w:cs="仿宋"/>
          <w:color w:val="000000"/>
        </w:rPr>
        <w:t>二、参加本项目组织的政府采购活动时，严格按照磋商文件的规定和要求提供所需的相关材料，并对所提供的各类资料的真实性负责，不虚假应标，不虚列业绩。</w:t>
      </w:r>
    </w:p>
    <w:p w14:paraId="7EC319DE">
      <w:pPr>
        <w:spacing w:line="360" w:lineRule="auto"/>
        <w:ind w:firstLine="482"/>
        <w:rPr>
          <w:rFonts w:ascii="仿宋" w:hAnsi="仿宋" w:eastAsia="仿宋" w:cs="仿宋"/>
          <w:color w:val="000000"/>
        </w:rPr>
      </w:pPr>
      <w:r>
        <w:rPr>
          <w:rFonts w:hint="eastAsia" w:ascii="仿宋" w:hAnsi="仿宋" w:eastAsia="仿宋" w:cs="仿宋"/>
          <w:color w:val="000000"/>
        </w:rPr>
        <w:t>三、尊重参与政府采购活动各相关方的合法行为，接受政府采购活动依法形成的意见、结果。</w:t>
      </w:r>
    </w:p>
    <w:p w14:paraId="2110A7F7">
      <w:pPr>
        <w:spacing w:line="360" w:lineRule="auto"/>
        <w:ind w:firstLine="482"/>
        <w:rPr>
          <w:rFonts w:ascii="仿宋" w:hAnsi="仿宋" w:eastAsia="仿宋" w:cs="仿宋"/>
          <w:color w:val="000000"/>
        </w:rPr>
      </w:pPr>
      <w:r>
        <w:rPr>
          <w:rFonts w:hint="eastAsia" w:ascii="仿宋" w:hAnsi="仿宋" w:eastAsia="仿宋" w:cs="仿宋"/>
          <w:color w:val="000000"/>
        </w:rPr>
        <w:t>四、依法参加政府采购活动，不围标、串标，维护市场秩序，不提供“三无”产品、以次充好。</w:t>
      </w:r>
    </w:p>
    <w:p w14:paraId="128207EC">
      <w:pPr>
        <w:spacing w:line="360" w:lineRule="auto"/>
        <w:ind w:firstLine="482"/>
        <w:rPr>
          <w:rFonts w:ascii="仿宋" w:hAnsi="仿宋" w:eastAsia="仿宋" w:cs="仿宋"/>
          <w:color w:val="000000"/>
        </w:rPr>
      </w:pPr>
      <w:r>
        <w:rPr>
          <w:rFonts w:hint="eastAsia" w:ascii="仿宋" w:hAnsi="仿宋" w:eastAsia="仿宋" w:cs="仿宋"/>
          <w:color w:val="000000"/>
        </w:rPr>
        <w:t>五、积极推动政府采购活动健康开展，对采购活动有疑问、异议时，按法律规定的程序实名（加盖单位章和法定代表人签名）反映情况，不恶意中伤、无事生非，以和谐、平等的心态参加政府采购活动。</w:t>
      </w:r>
    </w:p>
    <w:p w14:paraId="041F9119">
      <w:pPr>
        <w:spacing w:line="360" w:lineRule="auto"/>
        <w:ind w:firstLine="482"/>
        <w:rPr>
          <w:rFonts w:ascii="仿宋" w:hAnsi="仿宋" w:eastAsia="仿宋" w:cs="仿宋"/>
          <w:color w:val="000000"/>
        </w:rPr>
      </w:pPr>
      <w:r>
        <w:rPr>
          <w:rFonts w:hint="eastAsia" w:ascii="仿宋" w:hAnsi="仿宋" w:eastAsia="仿宋" w:cs="仿宋"/>
          <w:color w:val="000000"/>
        </w:rPr>
        <w:t>六、认真履行成交供应商应承担的责任和义务，全面执行采购合同规定的各项内容，保质保量地按时提供采购物品。</w:t>
      </w:r>
    </w:p>
    <w:p w14:paraId="4FD5B1E4">
      <w:pPr>
        <w:spacing w:line="360" w:lineRule="auto"/>
        <w:ind w:firstLine="482"/>
        <w:rPr>
          <w:rFonts w:ascii="仿宋" w:hAnsi="仿宋" w:eastAsia="仿宋" w:cs="仿宋"/>
          <w:color w:val="000000"/>
        </w:rPr>
      </w:pPr>
      <w:r>
        <w:rPr>
          <w:rFonts w:hint="eastAsia" w:ascii="仿宋" w:hAnsi="仿宋" w:eastAsia="仿宋" w:cs="仿宋"/>
          <w:color w:val="000000"/>
        </w:rPr>
        <w:t>七、我司不存在下列情形之一：</w:t>
      </w:r>
    </w:p>
    <w:p w14:paraId="6CE32ABF">
      <w:pPr>
        <w:spacing w:line="360" w:lineRule="auto"/>
        <w:ind w:firstLine="482"/>
        <w:rPr>
          <w:rFonts w:ascii="仿宋" w:hAnsi="仿宋" w:eastAsia="仿宋" w:cs="仿宋"/>
          <w:color w:val="000000"/>
        </w:rPr>
      </w:pPr>
      <w:r>
        <w:rPr>
          <w:rFonts w:hint="eastAsia" w:ascii="仿宋" w:hAnsi="仿宋" w:eastAsia="仿宋" w:cs="仿宋"/>
          <w:color w:val="000000"/>
        </w:rPr>
        <w:t>（1）供应商单位负责人为同一人或者存在直接控股、管理关系的不同供应商，不得参加同一合同项下的采购活动。</w:t>
      </w:r>
    </w:p>
    <w:p w14:paraId="71C598DD">
      <w:pPr>
        <w:spacing w:line="360" w:lineRule="auto"/>
        <w:ind w:firstLine="482"/>
        <w:rPr>
          <w:rFonts w:ascii="仿宋" w:hAnsi="仿宋" w:eastAsia="仿宋" w:cs="仿宋"/>
          <w:color w:val="000000"/>
        </w:rPr>
      </w:pPr>
      <w:r>
        <w:rPr>
          <w:rFonts w:hint="eastAsia" w:ascii="仿宋" w:hAnsi="仿宋" w:eastAsia="仿宋" w:cs="仿宋"/>
          <w:color w:val="000000"/>
        </w:rPr>
        <w:t>（2）凡为采购项目提供整体设计、规范编制或者项目管理、监理、检测等服务的供应商，不得再参加本项目的采购活动。</w:t>
      </w:r>
    </w:p>
    <w:p w14:paraId="656F9084">
      <w:pPr>
        <w:spacing w:line="360" w:lineRule="auto"/>
        <w:rPr>
          <w:rFonts w:ascii="仿宋" w:hAnsi="仿宋" w:eastAsia="仿宋" w:cs="仿宋"/>
          <w:color w:val="000000"/>
        </w:rPr>
      </w:pPr>
    </w:p>
    <w:p w14:paraId="2857638B">
      <w:pPr>
        <w:pStyle w:val="199"/>
        <w:rPr>
          <w:rFonts w:ascii="仿宋" w:hAnsi="仿宋" w:eastAsia="仿宋" w:cs="仿宋"/>
        </w:rPr>
      </w:pPr>
    </w:p>
    <w:p w14:paraId="6CAB5E25">
      <w:pPr>
        <w:spacing w:line="360" w:lineRule="auto"/>
        <w:ind w:firstLine="482"/>
        <w:rPr>
          <w:rFonts w:ascii="仿宋" w:hAnsi="仿宋" w:eastAsia="仿宋" w:cs="仿宋"/>
          <w:color w:val="000000"/>
        </w:rPr>
      </w:pPr>
      <w:r>
        <w:rPr>
          <w:rFonts w:hint="eastAsia" w:ascii="仿宋" w:hAnsi="仿宋" w:eastAsia="仿宋" w:cs="仿宋"/>
          <w:color w:val="000000"/>
        </w:rPr>
        <w:t>若本企业（单位）发生有悖于上述承诺的行为，愿意接受《中华人民共和国政府采购法》和《政府采购法实施条例》中对供应商的相关处理。</w:t>
      </w:r>
    </w:p>
    <w:p w14:paraId="2E729BD2">
      <w:pPr>
        <w:spacing w:line="360" w:lineRule="auto"/>
        <w:ind w:firstLine="482"/>
        <w:rPr>
          <w:rFonts w:ascii="仿宋" w:hAnsi="仿宋" w:eastAsia="仿宋" w:cs="仿宋"/>
          <w:color w:val="000000"/>
        </w:rPr>
      </w:pPr>
      <w:r>
        <w:rPr>
          <w:rFonts w:hint="eastAsia" w:ascii="仿宋" w:hAnsi="仿宋" w:eastAsia="仿宋" w:cs="仿宋"/>
          <w:color w:val="000000"/>
        </w:rPr>
        <w:t>本承诺是采购项目响应文件的组成部分。</w:t>
      </w:r>
    </w:p>
    <w:p w14:paraId="7AC1BCDD">
      <w:pPr>
        <w:spacing w:line="360" w:lineRule="auto"/>
        <w:ind w:firstLine="560"/>
        <w:rPr>
          <w:rFonts w:ascii="仿宋" w:hAnsi="仿宋" w:eastAsia="仿宋" w:cs="仿宋"/>
          <w:color w:val="000000"/>
          <w:sz w:val="28"/>
        </w:rPr>
      </w:pPr>
    </w:p>
    <w:p w14:paraId="2407F19D">
      <w:pPr>
        <w:spacing w:line="360" w:lineRule="auto"/>
        <w:rPr>
          <w:rFonts w:ascii="仿宋" w:hAnsi="仿宋" w:eastAsia="仿宋" w:cs="仿宋"/>
          <w:color w:val="000000"/>
          <w:szCs w:val="21"/>
        </w:rPr>
      </w:pPr>
      <w:r>
        <w:rPr>
          <w:rFonts w:hint="eastAsia" w:ascii="仿宋" w:hAnsi="仿宋" w:eastAsia="仿宋" w:cs="仿宋"/>
          <w:color w:val="000000"/>
          <w:szCs w:val="21"/>
        </w:rPr>
        <w:t>供应商名称：（公章）</w:t>
      </w:r>
    </w:p>
    <w:p w14:paraId="3DF9925B">
      <w:pPr>
        <w:spacing w:line="360" w:lineRule="auto"/>
        <w:rPr>
          <w:rFonts w:ascii="仿宋" w:hAnsi="仿宋" w:eastAsia="仿宋" w:cs="仿宋"/>
          <w:color w:val="000000"/>
          <w:szCs w:val="21"/>
        </w:rPr>
      </w:pPr>
      <w:r>
        <w:rPr>
          <w:rFonts w:hint="eastAsia" w:ascii="仿宋" w:hAnsi="仿宋" w:eastAsia="仿宋" w:cs="仿宋"/>
          <w:color w:val="000000"/>
          <w:szCs w:val="21"/>
        </w:rPr>
        <w:t xml:space="preserve">日期： </w:t>
      </w:r>
    </w:p>
    <w:sectPr>
      <w:pgSz w:w="11906" w:h="16838"/>
      <w:pgMar w:top="1560" w:right="1588" w:bottom="1701" w:left="1588" w:header="851" w:footer="1134"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1F00FF" w:csb1="FFFF0000"/>
  </w:font>
  <w:font w:name="TimesNewRomanPSMT">
    <w:altName w:val="Times New Roman"/>
    <w:panose1 w:val="00000000000000000000"/>
    <w:charset w:val="00"/>
    <w:family w:val="auto"/>
    <w:pitch w:val="default"/>
    <w:sig w:usb0="00000000" w:usb1="00000000" w:usb2="00000000" w:usb3="00000000" w:csb0="00000000" w:csb1="00000000"/>
  </w:font>
  <w:font w:name="ˎ̥">
    <w:altName w:val="AMGDT"/>
    <w:panose1 w:val="00000000000000000000"/>
    <w:charset w:val="00"/>
    <w:family w:val="auto"/>
    <w:pitch w:val="default"/>
    <w:sig w:usb0="00000000" w:usb1="00000000" w:usb2="00000000" w:usb3="00000000" w:csb0="00000000" w:csb1="00000000"/>
  </w:font>
  <w:font w:name="AMGDT">
    <w:panose1 w:val="02000400000000000000"/>
    <w:charset w:val="00"/>
    <w:family w:val="auto"/>
    <w:pitch w:val="default"/>
    <w:sig w:usb0="80000003" w:usb1="10000000" w:usb2="00000000" w:usb3="00000000" w:csb0="00000001" w:csb1="00000000"/>
  </w:font>
  <w:font w:name="Helvetica">
    <w:panose1 w:val="020B0504020202030204"/>
    <w:charset w:val="00"/>
    <w:family w:val="auto"/>
    <w:pitch w:val="default"/>
    <w:sig w:usb0="00000007" w:usb1="00000000" w:usb2="00000000" w:usb3="00000000" w:csb0="00000093" w:csb1="00000000"/>
  </w:font>
  <w:font w:name="微软雅黑">
    <w:panose1 w:val="020B0503020204020204"/>
    <w:charset w:val="86"/>
    <w:family w:val="swiss"/>
    <w:pitch w:val="default"/>
    <w:sig w:usb0="80000287" w:usb1="2ACF3C50" w:usb2="00000016" w:usb3="00000000" w:csb0="0004001F" w:csb1="00000000"/>
  </w:font>
  <w:font w:name="Georgia">
    <w:panose1 w:val="02040502050405020303"/>
    <w:charset w:val="00"/>
    <w:family w:val="roman"/>
    <w:pitch w:val="default"/>
    <w:sig w:usb0="00000287" w:usb1="00000000" w:usb2="00000000" w:usb3="00000000" w:csb0="2000009F" w:csb1="00000000"/>
  </w:font>
  <w:font w:name="Tahoma">
    <w:panose1 w:val="020B0604030504040204"/>
    <w:charset w:val="00"/>
    <w:family w:val="swiss"/>
    <w:pitch w:val="default"/>
    <w:sig w:usb0="E1002EFF" w:usb1="C000605B" w:usb2="00000029" w:usb3="00000000" w:csb0="200101FF" w:csb1="20280000"/>
  </w:font>
  <w:font w:name="HYDaHeiJ">
    <w:altName w:val="AMGDT"/>
    <w:panose1 w:val="00000000000000000000"/>
    <w:charset w:val="00"/>
    <w:family w:val="auto"/>
    <w:pitch w:val="default"/>
    <w:sig w:usb0="00000000" w:usb1="00000000" w:usb2="00000000" w:usb3="00000000" w:csb0="00000000" w:csb1="00000000"/>
  </w:font>
  <w:font w:name="Verdana">
    <w:panose1 w:val="020B0604030504040204"/>
    <w:charset w:val="00"/>
    <w:family w:val="swiss"/>
    <w:pitch w:val="default"/>
    <w:sig w:usb0="A00006FF" w:usb1="4000205B" w:usb2="00000010" w:usb3="00000000" w:csb0="2000019F" w:csb1="00000000"/>
  </w:font>
  <w:font w:name="华文细黑">
    <w:panose1 w:val="02010600040101010101"/>
    <w:charset w:val="86"/>
    <w:family w:val="auto"/>
    <w:pitch w:val="default"/>
    <w:sig w:usb0="00000287" w:usb1="080F0000" w:usb2="00000000" w:usb3="00000000" w:csb0="0004009F" w:csb1="DFD70000"/>
  </w:font>
  <w:font w:name="华文楷体">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NDVPKN">
    <w:altName w:val="AMGDT"/>
    <w:panose1 w:val="00000000000000000000"/>
    <w:charset w:val="00"/>
    <w:family w:val="auto"/>
    <w:pitch w:val="default"/>
    <w:sig w:usb0="00000000" w:usb1="00000000" w:usb2="00000000" w:usb3="00000000" w:csb0="00000000" w:csb1="00000000"/>
  </w:font>
  <w:font w:name="KNLe">
    <w:altName w:val="AMGDT"/>
    <w:panose1 w:val="00000000000000000000"/>
    <w:charset w:val="00"/>
    <w:family w:val="auto"/>
    <w:pitch w:val="default"/>
    <w:sig w:usb0="00000000" w:usb1="00000000" w:usb2="00000000" w:usb3="00000000" w:csb0="00000000" w:csb1="00000000"/>
  </w:font>
  <w:font w:name="7BKN_gb2312">
    <w:altName w:val="AMGDT"/>
    <w:panose1 w:val="00000000000000000000"/>
    <w:charset w:val="00"/>
    <w:family w:val="auto"/>
    <w:pitch w:val="default"/>
    <w:sig w:usb0="00000000" w:usb1="00000000" w:usb2="00000000" w:usb3="00000000" w:csb0="00000000" w:csb1="00000000"/>
  </w:font>
  <w:font w:name="MingLiU_HKSCS">
    <w:panose1 w:val="02020500000000000000"/>
    <w:charset w:val="88"/>
    <w:family w:val="auto"/>
    <w:pitch w:val="default"/>
    <w:sig w:usb0="A00002FF" w:usb1="38CFFCFA" w:usb2="00000016" w:usb3="00000000" w:csb0="00100001" w:csb1="00000000"/>
  </w:font>
  <w:font w:name=":ZLe">
    <w:altName w:val="AMGDT"/>
    <w:panose1 w:val="00000000000000000000"/>
    <w:charset w:val="00"/>
    <w:family w:val="auto"/>
    <w:pitch w:val="default"/>
    <w:sig w:usb0="00000000" w:usb1="00000000" w:usb2="00000000" w:usb3="00000000" w:csb0="00000000"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A9395C">
    <w:pPr>
      <w:pStyle w:val="2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Text Box 1025"/>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14:paraId="29F76974">
                          <w:pPr>
                            <w:pStyle w:val="22"/>
                          </w:pPr>
                          <w:r>
                            <w:fldChar w:fldCharType="begin"/>
                          </w:r>
                          <w:r>
                            <w:instrText xml:space="preserve"> PAGE  \* MERGEFORMAT </w:instrText>
                          </w:r>
                          <w:r>
                            <w:fldChar w:fldCharType="separate"/>
                          </w:r>
                          <w:r>
                            <w:t>25</w:t>
                          </w:r>
                          <w:r>
                            <w:fldChar w:fldCharType="end"/>
                          </w:r>
                        </w:p>
                      </w:txbxContent>
                    </wps:txbx>
                    <wps:bodyPr rot="0" vert="horz" wrap="none" lIns="0" tIns="0" rIns="0" bIns="0" anchor="t" anchorCtr="0" upright="1">
                      <a:spAutoFit/>
                    </wps:bodyPr>
                  </wps:wsp>
                </a:graphicData>
              </a:graphic>
            </wp:anchor>
          </w:drawing>
        </mc:Choice>
        <mc:Fallback>
          <w:pict>
            <v:shape id="Text Box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OqXm5zwAAAAUBAAAPAAAAAAAAAAEAIAAAACIAAABkcnMvZG93bnJldi54bWxQSwECFAAUAAAA&#10;CACHTuJAZRqtIvcBAAAGBAAADgAAAAAAAAABACAAAAAeAQAAZHJzL2Uyb0RvYy54bWxQSwUGAAAA&#10;AAYABgBZAQAAhwUAAAAA&#10;">
              <v:fill on="f" focussize="0,0"/>
              <v:stroke on="f"/>
              <v:imagedata o:title=""/>
              <o:lock v:ext="edit" aspectratio="f"/>
              <v:textbox inset="0mm,0mm,0mm,0mm" style="mso-fit-shape-to-text:t;">
                <w:txbxContent>
                  <w:p w14:paraId="29F76974">
                    <w:pPr>
                      <w:pStyle w:val="22"/>
                    </w:pPr>
                    <w:r>
                      <w:fldChar w:fldCharType="begin"/>
                    </w:r>
                    <w:r>
                      <w:instrText xml:space="preserve"> PAGE  \* MERGEFORMAT </w:instrText>
                    </w:r>
                    <w:r>
                      <w:fldChar w:fldCharType="separate"/>
                    </w:r>
                    <w:r>
                      <w:t>25</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44AAC1">
    <w:pPr>
      <w:pStyle w:val="24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Text Box 1026"/>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14:paraId="75A08452">
                          <w:pPr>
                            <w:pStyle w:val="22"/>
                          </w:pPr>
                          <w:r>
                            <w:fldChar w:fldCharType="begin"/>
                          </w:r>
                          <w:r>
                            <w:instrText xml:space="preserve"> PAGE  \* MERGEFORMAT </w:instrText>
                          </w:r>
                          <w:r>
                            <w:fldChar w:fldCharType="separate"/>
                          </w:r>
                          <w:r>
                            <w:t>40</w:t>
                          </w:r>
                          <w:r>
                            <w:fldChar w:fldCharType="end"/>
                          </w:r>
                        </w:p>
                      </w:txbxContent>
                    </wps:txbx>
                    <wps:bodyPr rot="0" vert="horz" wrap="none" lIns="0" tIns="0" rIns="0" bIns="0" anchor="t" anchorCtr="0" upright="1">
                      <a:spAutoFit/>
                    </wps:bodyPr>
                  </wps:wsp>
                </a:graphicData>
              </a:graphic>
            </wp:anchor>
          </w:drawing>
        </mc:Choice>
        <mc:Fallback>
          <w:pict>
            <v:shape id="Text Box 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zql5uc8AAAAFAQAADwAAAAAAAAABACAAAAAiAAAAZHJzL2Rvd25yZXYueG1sUEsBAhQAFAAAAAgA&#10;h07iQGTLgLH1AQAABgQAAA4AAAAAAAAAAQAgAAAAHgEAAGRycy9lMm9Eb2MueG1sUEsFBgAAAAAG&#10;AAYAWQEAAIUFAAAAAA==&#10;">
              <v:fill on="f" focussize="0,0"/>
              <v:stroke on="f"/>
              <v:imagedata o:title=""/>
              <o:lock v:ext="edit" aspectratio="f"/>
              <v:textbox inset="0mm,0mm,0mm,0mm" style="mso-fit-shape-to-text:t;">
                <w:txbxContent>
                  <w:p w14:paraId="75A08452">
                    <w:pPr>
                      <w:pStyle w:val="22"/>
                    </w:pPr>
                    <w:r>
                      <w:fldChar w:fldCharType="begin"/>
                    </w:r>
                    <w:r>
                      <w:instrText xml:space="preserve"> PAGE  \* MERGEFORMAT </w:instrText>
                    </w:r>
                    <w:r>
                      <w:fldChar w:fldCharType="separate"/>
                    </w:r>
                    <w:r>
                      <w:t>40</w:t>
                    </w:r>
                    <w:r>
                      <w:fldChar w:fldCharType="end"/>
                    </w:r>
                  </w:p>
                </w:txbxContent>
              </v:textbox>
            </v:shape>
          </w:pict>
        </mc:Fallback>
      </mc:AlternateContent>
    </w:r>
  </w:p>
  <w:p w14:paraId="362D5CCC"/>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3A3D25">
    <w:pPr>
      <w:pStyle w:val="242"/>
      <w:framePr w:wrap="around" w:vAnchor="text" w:hAnchor="margin" w:xAlign="center" w:y="1"/>
      <w:rPr>
        <w:rStyle w:val="274"/>
      </w:rPr>
    </w:pPr>
    <w:r>
      <w:fldChar w:fldCharType="begin"/>
    </w:r>
    <w:r>
      <w:rPr>
        <w:rStyle w:val="274"/>
      </w:rPr>
      <w:instrText xml:space="preserve">PAGE  </w:instrText>
    </w:r>
    <w:r>
      <w:fldChar w:fldCharType="separate"/>
    </w:r>
    <w:r>
      <w:rPr>
        <w:rStyle w:val="274"/>
      </w:rPr>
      <w:t>1</w:t>
    </w:r>
    <w:r>
      <w:fldChar w:fldCharType="end"/>
    </w:r>
  </w:p>
  <w:p w14:paraId="3E7FA331">
    <w:pPr>
      <w:pStyle w:val="242"/>
    </w:pPr>
  </w:p>
  <w:p w14:paraId="2BED3866"/>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C6892C">
    <w:pPr>
      <w:pStyle w:val="244"/>
      <w:pBdr>
        <w:bottom w:val="none" w:color="000000" w:sz="0" w:space="0"/>
      </w:pBdr>
      <w:jc w:val="both"/>
    </w:pPr>
  </w:p>
  <w:p w14:paraId="6F15B5B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F9E972"/>
    <w:multiLevelType w:val="singleLevel"/>
    <w:tmpl w:val="A0F9E972"/>
    <w:lvl w:ilvl="0" w:tentative="0">
      <w:start w:val="1"/>
      <w:numFmt w:val="decimal"/>
      <w:suff w:val="nothing"/>
      <w:lvlText w:val="%1、"/>
      <w:lvlJc w:val="left"/>
    </w:lvl>
  </w:abstractNum>
  <w:abstractNum w:abstractNumId="1">
    <w:nsid w:val="BF205925"/>
    <w:multiLevelType w:val="multilevel"/>
    <w:tmpl w:val="BF205925"/>
    <w:lvl w:ilvl="0" w:tentative="0">
      <w:start w:val="1"/>
      <w:numFmt w:val="bullet"/>
      <w:pStyle w:val="588"/>
      <w:lvlText w:val=""/>
      <w:lvlJc w:val="left"/>
      <w:pPr>
        <w:tabs>
          <w:tab w:val="left" w:pos="360"/>
        </w:tabs>
        <w:ind w:left="360" w:hanging="360"/>
      </w:pPr>
      <w:rPr>
        <w:rFonts w:ascii="Symbol" w:hAnsi="Symbol"/>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2">
    <w:nsid w:val="C6264A4D"/>
    <w:multiLevelType w:val="singleLevel"/>
    <w:tmpl w:val="C6264A4D"/>
    <w:lvl w:ilvl="0" w:tentative="0">
      <w:start w:val="3"/>
      <w:numFmt w:val="decimal"/>
      <w:suff w:val="nothing"/>
      <w:lvlText w:val="%1、"/>
      <w:lvlJc w:val="left"/>
    </w:lvl>
  </w:abstractNum>
  <w:abstractNum w:abstractNumId="3">
    <w:nsid w:val="CF092B84"/>
    <w:multiLevelType w:val="multilevel"/>
    <w:tmpl w:val="CF092B84"/>
    <w:lvl w:ilvl="0" w:tentative="0">
      <w:start w:val="1"/>
      <w:numFmt w:val="bullet"/>
      <w:pStyle w:val="437"/>
      <w:lvlText w:val=""/>
      <w:lvlJc w:val="left"/>
      <w:pPr>
        <w:tabs>
          <w:tab w:val="left" w:pos="420"/>
        </w:tabs>
        <w:ind w:left="420" w:hanging="420"/>
      </w:pPr>
      <w:rPr>
        <w:rFonts w:ascii="Wingdings" w:hAnsi="Wingdings"/>
      </w:rPr>
    </w:lvl>
    <w:lvl w:ilvl="1" w:tentative="0">
      <w:start w:val="1"/>
      <w:numFmt w:val="decimal"/>
      <w:lvlText w:val="（%2）"/>
      <w:lvlJc w:val="left"/>
      <w:pPr>
        <w:tabs>
          <w:tab w:val="left" w:pos="1500"/>
        </w:tabs>
        <w:ind w:left="1500" w:hanging="1080"/>
      </w:pPr>
      <w:rPr>
        <w:rFonts w:hint="eastAsia"/>
      </w:rPr>
    </w:lvl>
    <w:lvl w:ilvl="2" w:tentative="0">
      <w:start w:val="1"/>
      <w:numFmt w:val="decimal"/>
      <w:lvlText w:val="（%3）"/>
      <w:lvlJc w:val="left"/>
      <w:pPr>
        <w:tabs>
          <w:tab w:val="left" w:pos="1560"/>
        </w:tabs>
        <w:ind w:left="1560" w:hanging="72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0053208E"/>
    <w:multiLevelType w:val="multilevel"/>
    <w:tmpl w:val="0053208E"/>
    <w:lvl w:ilvl="0" w:tentative="0">
      <w:start w:val="1"/>
      <w:numFmt w:val="decimal"/>
      <w:pStyle w:val="410"/>
      <w:lvlText w:val="(%1)"/>
      <w:lvlJc w:val="left"/>
      <w:pPr>
        <w:tabs>
          <w:tab w:val="left" w:pos="397"/>
        </w:tabs>
        <w:ind w:left="397" w:hanging="397"/>
      </w:pPr>
      <w:rPr>
        <w:rFonts w:ascii="Arial" w:hAnsi="Arial" w:eastAsia="宋体"/>
        <w:b w:val="0"/>
        <w:i w:val="0"/>
        <w:color w:val="000000"/>
        <w:sz w:val="18"/>
        <w:szCs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pStyle w:val="505"/>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59ADCABA"/>
    <w:multiLevelType w:val="multilevel"/>
    <w:tmpl w:val="59ADCABA"/>
    <w:lvl w:ilvl="0" w:tentative="0">
      <w:start w:val="1"/>
      <w:numFmt w:val="decimal"/>
      <w:pStyle w:val="508"/>
      <w:lvlText w:val="%1"/>
      <w:lvlJc w:val="left"/>
      <w:pPr>
        <w:tabs>
          <w:tab w:val="left" w:pos="567"/>
        </w:tabs>
        <w:ind w:left="567" w:hanging="567"/>
      </w:pPr>
      <w:rPr>
        <w:rFonts w:hint="eastAsia"/>
      </w:rPr>
    </w:lvl>
    <w:lvl w:ilvl="1" w:tentative="0">
      <w:start w:val="1"/>
      <w:numFmt w:val="decimal"/>
      <w:pStyle w:val="456"/>
      <w:lvlText w:val="%1.%2"/>
      <w:lvlJc w:val="left"/>
      <w:pPr>
        <w:tabs>
          <w:tab w:val="left" w:pos="1004"/>
        </w:tabs>
        <w:ind w:left="567" w:hanging="283"/>
      </w:pPr>
      <w:rPr>
        <w:rFonts w:hint="eastAsia"/>
      </w:rPr>
    </w:lvl>
    <w:lvl w:ilvl="2" w:tentative="0">
      <w:start w:val="1"/>
      <w:numFmt w:val="decimal"/>
      <w:pStyle w:val="482"/>
      <w:lvlText w:val="%1.%2.%3"/>
      <w:lvlJc w:val="left"/>
      <w:pPr>
        <w:tabs>
          <w:tab w:val="left" w:pos="1647"/>
        </w:tabs>
        <w:ind w:left="1134" w:hanging="567"/>
      </w:pPr>
      <w:rPr>
        <w:rFonts w:hint="eastAsia"/>
      </w:rPr>
    </w:lvl>
    <w:lvl w:ilvl="3" w:tentative="0">
      <w:start w:val="1"/>
      <w:numFmt w:val="decimal"/>
      <w:lvlText w:val="%1.%2.%3.%4"/>
      <w:lvlJc w:val="left"/>
      <w:pPr>
        <w:tabs>
          <w:tab w:val="left" w:pos="3223"/>
        </w:tabs>
        <w:ind w:left="2851" w:hanging="708"/>
      </w:pPr>
      <w:rPr>
        <w:rFonts w:hint="eastAsia"/>
      </w:rPr>
    </w:lvl>
    <w:lvl w:ilvl="4" w:tentative="0">
      <w:start w:val="1"/>
      <w:numFmt w:val="decimal"/>
      <w:lvlText w:val="%1.%2.%3.%4.%5"/>
      <w:lvlJc w:val="left"/>
      <w:pPr>
        <w:tabs>
          <w:tab w:val="left" w:pos="3648"/>
        </w:tabs>
        <w:ind w:left="3418" w:hanging="850"/>
      </w:pPr>
      <w:rPr>
        <w:rFonts w:hint="eastAsia"/>
      </w:rPr>
    </w:lvl>
    <w:lvl w:ilvl="5" w:tentative="0">
      <w:start w:val="1"/>
      <w:numFmt w:val="decimal"/>
      <w:lvlText w:val="%1.%2.%3.%4.%5.%6"/>
      <w:lvlJc w:val="left"/>
      <w:pPr>
        <w:tabs>
          <w:tab w:val="left" w:pos="4433"/>
        </w:tabs>
        <w:ind w:left="4127" w:hanging="1134"/>
      </w:pPr>
      <w:rPr>
        <w:rFonts w:hint="eastAsia"/>
      </w:rPr>
    </w:lvl>
    <w:lvl w:ilvl="6" w:tentative="0">
      <w:start w:val="1"/>
      <w:numFmt w:val="decimal"/>
      <w:lvlText w:val="%1.%2.%3.%4.%5.%6.%7"/>
      <w:lvlJc w:val="left"/>
      <w:pPr>
        <w:tabs>
          <w:tab w:val="left" w:pos="4858"/>
        </w:tabs>
        <w:ind w:left="4694" w:hanging="1276"/>
      </w:pPr>
      <w:rPr>
        <w:rFonts w:hint="eastAsia"/>
      </w:rPr>
    </w:lvl>
    <w:lvl w:ilvl="7" w:tentative="0">
      <w:start w:val="1"/>
      <w:numFmt w:val="decimal"/>
      <w:lvlText w:val="%1.%2.%3.%4.%5.%6.%7.%8"/>
      <w:lvlJc w:val="left"/>
      <w:pPr>
        <w:tabs>
          <w:tab w:val="left" w:pos="5643"/>
        </w:tabs>
        <w:ind w:left="5261" w:hanging="1418"/>
      </w:pPr>
      <w:rPr>
        <w:rFonts w:hint="eastAsia"/>
      </w:rPr>
    </w:lvl>
    <w:lvl w:ilvl="8" w:tentative="0">
      <w:start w:val="1"/>
      <w:numFmt w:val="decimal"/>
      <w:lvlText w:val="%1.%2.%3.%4.%5.%6.%7.%8.%9"/>
      <w:lvlJc w:val="left"/>
      <w:pPr>
        <w:tabs>
          <w:tab w:val="left" w:pos="6429"/>
        </w:tabs>
        <w:ind w:left="5969" w:hanging="1700"/>
      </w:pPr>
      <w:rPr>
        <w:rFonts w:hint="eastAsia"/>
      </w:rPr>
    </w:lvl>
  </w:abstractNum>
  <w:num w:numId="1">
    <w:abstractNumId w:val="4"/>
  </w:num>
  <w:num w:numId="2">
    <w:abstractNumId w:val="3"/>
  </w:num>
  <w:num w:numId="3">
    <w:abstractNumId w:val="5"/>
  </w:num>
  <w:num w:numId="4">
    <w:abstractNumId w:val="1"/>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bordersDoNotSurroundHeader w:val="0"/>
  <w:bordersDoNotSurroundFooter w:val="0"/>
  <w:documentProtection w:enforcement="0"/>
  <w:defaultTabStop w:val="425"/>
  <w:displayHorizontalDrawingGridEvery w:val="1"/>
  <w:displayVerticalDrawingGridEvery w:val="1"/>
  <w:noPunctuationKerning w:val="1"/>
  <w:characterSpacingControl w:val="doNotCompress"/>
  <w:compat>
    <w:balanceSingleByteDoubleByteWidth/>
    <w:ulTrailSpace/>
    <w:doNotExpandShiftReturn/>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C1DA1"/>
    <w:rsid w:val="0042602A"/>
    <w:rsid w:val="004C5520"/>
    <w:rsid w:val="005211DD"/>
    <w:rsid w:val="00597AD6"/>
    <w:rsid w:val="006516D6"/>
    <w:rsid w:val="00846CFC"/>
    <w:rsid w:val="00856346"/>
    <w:rsid w:val="008C6DE9"/>
    <w:rsid w:val="00936276"/>
    <w:rsid w:val="009929B4"/>
    <w:rsid w:val="009948B8"/>
    <w:rsid w:val="009D0A09"/>
    <w:rsid w:val="00A77AA2"/>
    <w:rsid w:val="00A8065E"/>
    <w:rsid w:val="00DB460C"/>
    <w:rsid w:val="00EF4251"/>
    <w:rsid w:val="0167398B"/>
    <w:rsid w:val="03E301E0"/>
    <w:rsid w:val="04696D27"/>
    <w:rsid w:val="04812FB5"/>
    <w:rsid w:val="04D1466B"/>
    <w:rsid w:val="07C05BA3"/>
    <w:rsid w:val="07CA3684"/>
    <w:rsid w:val="08CA47F5"/>
    <w:rsid w:val="0A782765"/>
    <w:rsid w:val="0A8D7055"/>
    <w:rsid w:val="0ABA0FCF"/>
    <w:rsid w:val="0BDB744F"/>
    <w:rsid w:val="0C2F779B"/>
    <w:rsid w:val="0DC4484E"/>
    <w:rsid w:val="0E6D6359"/>
    <w:rsid w:val="0E6F3E7F"/>
    <w:rsid w:val="10063231"/>
    <w:rsid w:val="101C52D6"/>
    <w:rsid w:val="10A83678"/>
    <w:rsid w:val="11494223"/>
    <w:rsid w:val="137E1F6B"/>
    <w:rsid w:val="14626338"/>
    <w:rsid w:val="15993D21"/>
    <w:rsid w:val="17546682"/>
    <w:rsid w:val="17A74689"/>
    <w:rsid w:val="1B3E503B"/>
    <w:rsid w:val="1B57294F"/>
    <w:rsid w:val="1CF24FB3"/>
    <w:rsid w:val="1D364F85"/>
    <w:rsid w:val="1FCA360B"/>
    <w:rsid w:val="200308CB"/>
    <w:rsid w:val="20AE75E0"/>
    <w:rsid w:val="20F12E19"/>
    <w:rsid w:val="212B632B"/>
    <w:rsid w:val="21357B89"/>
    <w:rsid w:val="223D6B64"/>
    <w:rsid w:val="24092722"/>
    <w:rsid w:val="24A87C93"/>
    <w:rsid w:val="2532545C"/>
    <w:rsid w:val="27934C2A"/>
    <w:rsid w:val="27F31236"/>
    <w:rsid w:val="29373393"/>
    <w:rsid w:val="29437F8A"/>
    <w:rsid w:val="2AA60E74"/>
    <w:rsid w:val="2C3D76D9"/>
    <w:rsid w:val="2DBB5542"/>
    <w:rsid w:val="2DE22CCC"/>
    <w:rsid w:val="2E580034"/>
    <w:rsid w:val="2E5F1C6C"/>
    <w:rsid w:val="30C16364"/>
    <w:rsid w:val="30C45E54"/>
    <w:rsid w:val="31DD71CE"/>
    <w:rsid w:val="32B45DAE"/>
    <w:rsid w:val="34C95288"/>
    <w:rsid w:val="355377A7"/>
    <w:rsid w:val="37AF0682"/>
    <w:rsid w:val="38415FDC"/>
    <w:rsid w:val="398001C2"/>
    <w:rsid w:val="3D567707"/>
    <w:rsid w:val="3E1877DF"/>
    <w:rsid w:val="3EDE27D7"/>
    <w:rsid w:val="3F7238F0"/>
    <w:rsid w:val="3F7D78FA"/>
    <w:rsid w:val="3F9A222F"/>
    <w:rsid w:val="40113568"/>
    <w:rsid w:val="4125293A"/>
    <w:rsid w:val="414D6777"/>
    <w:rsid w:val="437844B3"/>
    <w:rsid w:val="440C52C6"/>
    <w:rsid w:val="45E701C3"/>
    <w:rsid w:val="47AA76FA"/>
    <w:rsid w:val="481E3C44"/>
    <w:rsid w:val="48A40E9F"/>
    <w:rsid w:val="4998061D"/>
    <w:rsid w:val="4ADD69A0"/>
    <w:rsid w:val="4B242B32"/>
    <w:rsid w:val="4E4D2ADE"/>
    <w:rsid w:val="4E766588"/>
    <w:rsid w:val="50AC75B7"/>
    <w:rsid w:val="5174080D"/>
    <w:rsid w:val="51DD376A"/>
    <w:rsid w:val="52065DD5"/>
    <w:rsid w:val="54325FD9"/>
    <w:rsid w:val="54422A6C"/>
    <w:rsid w:val="56B00AA9"/>
    <w:rsid w:val="56DB19DC"/>
    <w:rsid w:val="57CC1893"/>
    <w:rsid w:val="592340EB"/>
    <w:rsid w:val="59470A52"/>
    <w:rsid w:val="59C4289D"/>
    <w:rsid w:val="5A252C10"/>
    <w:rsid w:val="5B0E18F6"/>
    <w:rsid w:val="5CFE60C6"/>
    <w:rsid w:val="5D99435E"/>
    <w:rsid w:val="5DE03A1E"/>
    <w:rsid w:val="602B6AA7"/>
    <w:rsid w:val="614C4F26"/>
    <w:rsid w:val="616D381B"/>
    <w:rsid w:val="637745F8"/>
    <w:rsid w:val="6441646B"/>
    <w:rsid w:val="66C341C3"/>
    <w:rsid w:val="670B5BBC"/>
    <w:rsid w:val="67F81964"/>
    <w:rsid w:val="687F5BE1"/>
    <w:rsid w:val="69BC0531"/>
    <w:rsid w:val="6A577666"/>
    <w:rsid w:val="6AFE28BF"/>
    <w:rsid w:val="6B232928"/>
    <w:rsid w:val="6D363D23"/>
    <w:rsid w:val="6E7B0DE6"/>
    <w:rsid w:val="6F466171"/>
    <w:rsid w:val="70361AE0"/>
    <w:rsid w:val="72D1172F"/>
    <w:rsid w:val="72F80E2D"/>
    <w:rsid w:val="739509AF"/>
    <w:rsid w:val="73AB1BA2"/>
    <w:rsid w:val="74347A3E"/>
    <w:rsid w:val="74512A0F"/>
    <w:rsid w:val="753529A3"/>
    <w:rsid w:val="754E7067"/>
    <w:rsid w:val="7634762B"/>
    <w:rsid w:val="782B1369"/>
    <w:rsid w:val="78A0729B"/>
    <w:rsid w:val="78BE2756"/>
    <w:rsid w:val="7AA94231"/>
    <w:rsid w:val="7B79088B"/>
    <w:rsid w:val="7BBF1AC8"/>
    <w:rsid w:val="7C9732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nhideWhenUsed="0" w:uiPriority="0" w:semiHidden="0" w:name="heading 4"/>
    <w:lsdException w:qFormat="1" w:unhideWhenUsed="0" w:uiPriority="0"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qFormat="1" w:uiPriority="99" w:semiHidden="0"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sz w:val="21"/>
      <w:lang w:val="en-US" w:eastAsia="zh-CN" w:bidi="ar-SA"/>
    </w:rPr>
  </w:style>
  <w:style w:type="paragraph" w:styleId="3">
    <w:name w:val="heading 1"/>
    <w:basedOn w:val="1"/>
    <w:next w:val="1"/>
    <w:link w:val="41"/>
    <w:qFormat/>
    <w:uiPriority w:val="9"/>
    <w:pPr>
      <w:keepNext/>
      <w:keepLines/>
      <w:spacing w:before="480" w:after="200"/>
      <w:outlineLvl w:val="0"/>
    </w:pPr>
    <w:rPr>
      <w:rFonts w:ascii="Arial" w:hAnsi="Arial" w:eastAsia="Arial" w:cs="Arial"/>
      <w:sz w:val="40"/>
      <w:szCs w:val="40"/>
    </w:rPr>
  </w:style>
  <w:style w:type="paragraph" w:styleId="4">
    <w:name w:val="heading 2"/>
    <w:basedOn w:val="1"/>
    <w:next w:val="1"/>
    <w:link w:val="42"/>
    <w:unhideWhenUsed/>
    <w:qFormat/>
    <w:uiPriority w:val="9"/>
    <w:pPr>
      <w:keepNext/>
      <w:keepLines/>
      <w:spacing w:before="360" w:after="200"/>
      <w:outlineLvl w:val="1"/>
    </w:pPr>
    <w:rPr>
      <w:rFonts w:ascii="Arial" w:hAnsi="Arial" w:eastAsia="Arial" w:cs="Arial"/>
      <w:sz w:val="34"/>
    </w:rPr>
  </w:style>
  <w:style w:type="paragraph" w:styleId="5">
    <w:name w:val="heading 3"/>
    <w:basedOn w:val="1"/>
    <w:next w:val="1"/>
    <w:link w:val="43"/>
    <w:unhideWhenUsed/>
    <w:qFormat/>
    <w:uiPriority w:val="9"/>
    <w:pPr>
      <w:keepNext/>
      <w:keepLines/>
      <w:spacing w:before="320" w:after="200"/>
      <w:outlineLvl w:val="2"/>
    </w:pPr>
    <w:rPr>
      <w:rFonts w:ascii="Arial" w:hAnsi="Arial" w:eastAsia="Arial" w:cs="Arial"/>
      <w:sz w:val="30"/>
      <w:szCs w:val="30"/>
    </w:rPr>
  </w:style>
  <w:style w:type="paragraph" w:styleId="2">
    <w:name w:val="heading 4"/>
    <w:basedOn w:val="1"/>
    <w:next w:val="1"/>
    <w:link w:val="647"/>
    <w:qFormat/>
    <w:uiPriority w:val="0"/>
    <w:pPr>
      <w:keepNext/>
      <w:keepLines/>
      <w:spacing w:before="280" w:after="290" w:line="372" w:lineRule="auto"/>
      <w:outlineLvl w:val="3"/>
    </w:pPr>
    <w:rPr>
      <w:rFonts w:ascii="Arial" w:hAnsi="Arial" w:eastAsia="黑体" w:cs="Times New Roman"/>
      <w:b/>
      <w:sz w:val="28"/>
    </w:rPr>
  </w:style>
  <w:style w:type="paragraph" w:styleId="6">
    <w:name w:val="heading 5"/>
    <w:basedOn w:val="7"/>
    <w:next w:val="7"/>
    <w:link w:val="604"/>
    <w:qFormat/>
    <w:uiPriority w:val="0"/>
    <w:pPr>
      <w:keepNext/>
      <w:keepLines/>
      <w:spacing w:before="280" w:after="290" w:line="372" w:lineRule="auto"/>
      <w:outlineLvl w:val="4"/>
    </w:pPr>
    <w:rPr>
      <w:rFonts w:ascii="Times New Roman" w:hAnsi="Times New Roman" w:eastAsia="宋体" w:cs="Times New Roman"/>
      <w:b/>
      <w:bCs/>
      <w:sz w:val="28"/>
      <w:szCs w:val="28"/>
    </w:rPr>
  </w:style>
  <w:style w:type="paragraph" w:styleId="8">
    <w:name w:val="heading 6"/>
    <w:basedOn w:val="1"/>
    <w:next w:val="1"/>
    <w:link w:val="46"/>
    <w:unhideWhenUsed/>
    <w:qFormat/>
    <w:uiPriority w:val="9"/>
    <w:pPr>
      <w:keepNext/>
      <w:keepLines/>
      <w:spacing w:before="320" w:after="200"/>
      <w:outlineLvl w:val="5"/>
    </w:pPr>
    <w:rPr>
      <w:rFonts w:ascii="Arial" w:hAnsi="Arial" w:eastAsia="Arial" w:cs="Arial"/>
      <w:b/>
      <w:bCs/>
      <w:sz w:val="22"/>
      <w:szCs w:val="22"/>
    </w:rPr>
  </w:style>
  <w:style w:type="paragraph" w:styleId="9">
    <w:name w:val="heading 7"/>
    <w:basedOn w:val="1"/>
    <w:next w:val="1"/>
    <w:link w:val="47"/>
    <w:unhideWhenUsed/>
    <w:qFormat/>
    <w:uiPriority w:val="9"/>
    <w:pPr>
      <w:keepNext/>
      <w:keepLines/>
      <w:spacing w:before="320" w:after="200"/>
      <w:outlineLvl w:val="6"/>
    </w:pPr>
    <w:rPr>
      <w:rFonts w:ascii="Arial" w:hAnsi="Arial" w:eastAsia="Arial" w:cs="Arial"/>
      <w:b/>
      <w:bCs/>
      <w:i/>
      <w:iCs/>
      <w:sz w:val="22"/>
      <w:szCs w:val="22"/>
    </w:rPr>
  </w:style>
  <w:style w:type="paragraph" w:styleId="10">
    <w:name w:val="heading 8"/>
    <w:basedOn w:val="1"/>
    <w:next w:val="1"/>
    <w:link w:val="48"/>
    <w:unhideWhenUsed/>
    <w:qFormat/>
    <w:uiPriority w:val="9"/>
    <w:pPr>
      <w:keepNext/>
      <w:keepLines/>
      <w:spacing w:before="320" w:after="200"/>
      <w:outlineLvl w:val="7"/>
    </w:pPr>
    <w:rPr>
      <w:rFonts w:ascii="Arial" w:hAnsi="Arial" w:eastAsia="Arial" w:cs="Arial"/>
      <w:i/>
      <w:iCs/>
      <w:sz w:val="22"/>
      <w:szCs w:val="22"/>
    </w:rPr>
  </w:style>
  <w:style w:type="paragraph" w:styleId="11">
    <w:name w:val="heading 9"/>
    <w:basedOn w:val="1"/>
    <w:next w:val="1"/>
    <w:link w:val="49"/>
    <w:unhideWhenUsed/>
    <w:qFormat/>
    <w:uiPriority w:val="9"/>
    <w:pPr>
      <w:keepNext/>
      <w:keepLines/>
      <w:spacing w:before="320" w:after="200"/>
      <w:outlineLvl w:val="8"/>
    </w:pPr>
    <w:rPr>
      <w:rFonts w:ascii="Arial" w:hAnsi="Arial" w:eastAsia="Arial" w:cs="Arial"/>
      <w:i/>
      <w:iCs/>
      <w:szCs w:val="21"/>
    </w:rPr>
  </w:style>
  <w:style w:type="character" w:default="1" w:styleId="36">
    <w:name w:val="Default Paragraph Font"/>
    <w:semiHidden/>
    <w:unhideWhenUsed/>
    <w:qFormat/>
    <w:uiPriority w:val="1"/>
  </w:style>
  <w:style w:type="table" w:default="1" w:styleId="34">
    <w:name w:val="Normal Table"/>
    <w:semiHidden/>
    <w:unhideWhenUsed/>
    <w:qFormat/>
    <w:uiPriority w:val="99"/>
    <w:tblPr>
      <w:tblCellMar>
        <w:top w:w="0" w:type="dxa"/>
        <w:left w:w="108" w:type="dxa"/>
        <w:bottom w:w="0" w:type="dxa"/>
        <w:right w:w="108" w:type="dxa"/>
      </w:tblCellMar>
    </w:tblPr>
  </w:style>
  <w:style w:type="paragraph" w:customStyle="1" w:styleId="7">
    <w:name w:val="Normal1"/>
    <w:basedOn w:val="1"/>
    <w:qFormat/>
    <w:uiPriority w:val="0"/>
    <w:rPr>
      <w:rFonts w:ascii="Calibri" w:hAnsi="Calibri" w:eastAsia="Calibri" w:cs="宋体"/>
      <w:lang w:val="zh-CN"/>
    </w:rPr>
  </w:style>
  <w:style w:type="paragraph" w:styleId="12">
    <w:name w:val="toc 7"/>
    <w:basedOn w:val="1"/>
    <w:next w:val="1"/>
    <w:qFormat/>
    <w:uiPriority w:val="0"/>
    <w:pPr>
      <w:ind w:left="1260"/>
      <w:jc w:val="left"/>
    </w:pPr>
    <w:rPr>
      <w:sz w:val="18"/>
    </w:rPr>
  </w:style>
  <w:style w:type="paragraph" w:styleId="13">
    <w:name w:val="Normal Indent"/>
    <w:basedOn w:val="1"/>
    <w:next w:val="1"/>
    <w:link w:val="354"/>
    <w:qFormat/>
    <w:uiPriority w:val="0"/>
    <w:pPr>
      <w:ind w:firstLine="420"/>
    </w:pPr>
    <w:rPr>
      <w:sz w:val="20"/>
    </w:rPr>
  </w:style>
  <w:style w:type="paragraph" w:styleId="14">
    <w:name w:val="caption"/>
    <w:basedOn w:val="1"/>
    <w:next w:val="1"/>
    <w:semiHidden/>
    <w:unhideWhenUsed/>
    <w:qFormat/>
    <w:uiPriority w:val="35"/>
    <w:pPr>
      <w:spacing w:line="276" w:lineRule="auto"/>
    </w:pPr>
    <w:rPr>
      <w:b/>
      <w:bCs/>
      <w:color w:val="4F81BD" w:themeColor="accent1"/>
      <w:sz w:val="18"/>
      <w:szCs w:val="18"/>
      <w14:textFill>
        <w14:solidFill>
          <w14:schemeClr w14:val="accent1"/>
        </w14:solidFill>
      </w14:textFill>
    </w:rPr>
  </w:style>
  <w:style w:type="paragraph" w:styleId="15">
    <w:name w:val="annotation text"/>
    <w:unhideWhenUsed/>
    <w:qFormat/>
    <w:uiPriority w:val="99"/>
    <w:pPr>
      <w:spacing w:beforeLines="0" w:afterLines="0"/>
    </w:pPr>
    <w:rPr>
      <w:rFonts w:hint="default" w:ascii="Times New Roman" w:hAnsi="Times New Roman" w:eastAsia="宋体" w:cs="Times New Roman"/>
      <w:sz w:val="24"/>
      <w:szCs w:val="24"/>
    </w:rPr>
  </w:style>
  <w:style w:type="paragraph" w:styleId="16">
    <w:name w:val="Body Text"/>
    <w:basedOn w:val="1"/>
    <w:next w:val="13"/>
    <w:link w:val="643"/>
    <w:qFormat/>
    <w:uiPriority w:val="0"/>
    <w:pPr>
      <w:spacing w:after="120"/>
    </w:pPr>
    <w:rPr>
      <w:sz w:val="20"/>
    </w:rPr>
  </w:style>
  <w:style w:type="paragraph" w:styleId="17">
    <w:name w:val="toc 5"/>
    <w:basedOn w:val="1"/>
    <w:next w:val="1"/>
    <w:qFormat/>
    <w:uiPriority w:val="0"/>
    <w:pPr>
      <w:ind w:left="840"/>
      <w:jc w:val="left"/>
    </w:pPr>
    <w:rPr>
      <w:sz w:val="18"/>
    </w:rPr>
  </w:style>
  <w:style w:type="paragraph" w:styleId="18">
    <w:name w:val="toc 3"/>
    <w:basedOn w:val="1"/>
    <w:next w:val="1"/>
    <w:qFormat/>
    <w:uiPriority w:val="0"/>
    <w:pPr>
      <w:ind w:left="420"/>
      <w:jc w:val="left"/>
    </w:pPr>
    <w:rPr>
      <w:i/>
      <w:sz w:val="20"/>
    </w:rPr>
  </w:style>
  <w:style w:type="paragraph" w:styleId="19">
    <w:name w:val="Plain Text"/>
    <w:basedOn w:val="1"/>
    <w:link w:val="309"/>
    <w:qFormat/>
    <w:uiPriority w:val="0"/>
    <w:rPr>
      <w:rFonts w:ascii="宋体" w:hAnsi="Courier New" w:eastAsia="楷体_GB2312"/>
      <w:sz w:val="26"/>
    </w:rPr>
  </w:style>
  <w:style w:type="paragraph" w:styleId="20">
    <w:name w:val="toc 8"/>
    <w:basedOn w:val="1"/>
    <w:next w:val="1"/>
    <w:qFormat/>
    <w:uiPriority w:val="0"/>
    <w:pPr>
      <w:ind w:left="1470"/>
      <w:jc w:val="left"/>
    </w:pPr>
    <w:rPr>
      <w:sz w:val="18"/>
    </w:rPr>
  </w:style>
  <w:style w:type="paragraph" w:styleId="21">
    <w:name w:val="endnote text"/>
    <w:basedOn w:val="1"/>
    <w:link w:val="185"/>
    <w:semiHidden/>
    <w:unhideWhenUsed/>
    <w:qFormat/>
    <w:uiPriority w:val="99"/>
    <w:rPr>
      <w:sz w:val="20"/>
    </w:rPr>
  </w:style>
  <w:style w:type="paragraph" w:styleId="22">
    <w:name w:val="footer"/>
    <w:basedOn w:val="1"/>
    <w:link w:val="58"/>
    <w:unhideWhenUsed/>
    <w:qFormat/>
    <w:uiPriority w:val="99"/>
    <w:pPr>
      <w:tabs>
        <w:tab w:val="center" w:pos="7143"/>
        <w:tab w:val="right" w:pos="14287"/>
      </w:tabs>
    </w:pPr>
  </w:style>
  <w:style w:type="paragraph" w:styleId="23">
    <w:name w:val="header"/>
    <w:basedOn w:val="1"/>
    <w:link w:val="56"/>
    <w:unhideWhenUsed/>
    <w:qFormat/>
    <w:uiPriority w:val="99"/>
    <w:pPr>
      <w:tabs>
        <w:tab w:val="center" w:pos="7143"/>
        <w:tab w:val="right" w:pos="14287"/>
      </w:tabs>
    </w:pPr>
  </w:style>
  <w:style w:type="paragraph" w:styleId="24">
    <w:name w:val="toc 1"/>
    <w:basedOn w:val="1"/>
    <w:next w:val="1"/>
    <w:qFormat/>
    <w:uiPriority w:val="0"/>
    <w:pPr>
      <w:spacing w:before="120" w:after="120"/>
      <w:jc w:val="left"/>
    </w:pPr>
    <w:rPr>
      <w:b/>
      <w:caps/>
      <w:sz w:val="20"/>
    </w:rPr>
  </w:style>
  <w:style w:type="paragraph" w:styleId="25">
    <w:name w:val="toc 4"/>
    <w:basedOn w:val="1"/>
    <w:next w:val="1"/>
    <w:qFormat/>
    <w:uiPriority w:val="0"/>
    <w:pPr>
      <w:ind w:left="630"/>
      <w:jc w:val="left"/>
    </w:pPr>
    <w:rPr>
      <w:sz w:val="18"/>
    </w:rPr>
  </w:style>
  <w:style w:type="paragraph" w:styleId="26">
    <w:name w:val="Subtitle"/>
    <w:basedOn w:val="1"/>
    <w:next w:val="1"/>
    <w:link w:val="51"/>
    <w:qFormat/>
    <w:uiPriority w:val="11"/>
    <w:pPr>
      <w:spacing w:before="200" w:after="200"/>
    </w:pPr>
    <w:rPr>
      <w:sz w:val="24"/>
      <w:szCs w:val="24"/>
    </w:rPr>
  </w:style>
  <w:style w:type="paragraph" w:styleId="27">
    <w:name w:val="footnote text"/>
    <w:basedOn w:val="1"/>
    <w:link w:val="184"/>
    <w:semiHidden/>
    <w:unhideWhenUsed/>
    <w:qFormat/>
    <w:uiPriority w:val="99"/>
    <w:pPr>
      <w:spacing w:after="40"/>
    </w:pPr>
    <w:rPr>
      <w:sz w:val="18"/>
    </w:rPr>
  </w:style>
  <w:style w:type="paragraph" w:styleId="28">
    <w:name w:val="toc 6"/>
    <w:basedOn w:val="1"/>
    <w:next w:val="1"/>
    <w:qFormat/>
    <w:uiPriority w:val="0"/>
    <w:pPr>
      <w:ind w:left="1050"/>
      <w:jc w:val="left"/>
    </w:pPr>
    <w:rPr>
      <w:sz w:val="18"/>
    </w:rPr>
  </w:style>
  <w:style w:type="paragraph" w:styleId="29">
    <w:name w:val="table of figures"/>
    <w:basedOn w:val="1"/>
    <w:next w:val="1"/>
    <w:unhideWhenUsed/>
    <w:qFormat/>
    <w:uiPriority w:val="99"/>
  </w:style>
  <w:style w:type="paragraph" w:styleId="30">
    <w:name w:val="toc 2"/>
    <w:basedOn w:val="1"/>
    <w:next w:val="1"/>
    <w:qFormat/>
    <w:uiPriority w:val="0"/>
    <w:pPr>
      <w:ind w:left="210"/>
      <w:jc w:val="left"/>
    </w:pPr>
    <w:rPr>
      <w:smallCaps/>
      <w:sz w:val="20"/>
    </w:rPr>
  </w:style>
  <w:style w:type="paragraph" w:styleId="31">
    <w:name w:val="toc 9"/>
    <w:basedOn w:val="1"/>
    <w:next w:val="1"/>
    <w:qFormat/>
    <w:uiPriority w:val="0"/>
    <w:pPr>
      <w:ind w:left="1680"/>
      <w:jc w:val="left"/>
    </w:pPr>
    <w:rPr>
      <w:sz w:val="18"/>
    </w:rPr>
  </w:style>
  <w:style w:type="paragraph" w:styleId="32">
    <w:name w:val="Body Text 2"/>
    <w:basedOn w:val="1"/>
    <w:qFormat/>
    <w:uiPriority w:val="0"/>
    <w:pPr>
      <w:widowControl/>
      <w:ind w:left="720" w:hanging="720"/>
    </w:pPr>
    <w:rPr>
      <w:sz w:val="24"/>
      <w:lang w:val="en-GB"/>
    </w:rPr>
  </w:style>
  <w:style w:type="paragraph" w:styleId="33">
    <w:name w:val="Title"/>
    <w:basedOn w:val="1"/>
    <w:next w:val="1"/>
    <w:link w:val="50"/>
    <w:qFormat/>
    <w:uiPriority w:val="10"/>
    <w:pPr>
      <w:spacing w:before="300" w:after="200"/>
      <w:contextualSpacing/>
    </w:pPr>
    <w:rPr>
      <w:sz w:val="48"/>
      <w:szCs w:val="48"/>
    </w:rPr>
  </w:style>
  <w:style w:type="table" w:styleId="35">
    <w:name w:val="Table Grid"/>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37">
    <w:name w:val="endnote reference"/>
    <w:semiHidden/>
    <w:unhideWhenUsed/>
    <w:qFormat/>
    <w:uiPriority w:val="99"/>
    <w:rPr>
      <w:vertAlign w:val="superscript"/>
    </w:rPr>
  </w:style>
  <w:style w:type="character" w:styleId="38">
    <w:name w:val="Hyperlink"/>
    <w:unhideWhenUsed/>
    <w:qFormat/>
    <w:uiPriority w:val="99"/>
    <w:rPr>
      <w:color w:val="0000FF" w:themeColor="hyperlink"/>
      <w:u w:val="single"/>
      <w14:textFill>
        <w14:solidFill>
          <w14:schemeClr w14:val="hlink"/>
        </w14:solidFill>
      </w14:textFill>
    </w:rPr>
  </w:style>
  <w:style w:type="character" w:styleId="39">
    <w:name w:val="footnote reference"/>
    <w:unhideWhenUsed/>
    <w:qFormat/>
    <w:uiPriority w:val="99"/>
    <w:rPr>
      <w:vertAlign w:val="superscript"/>
    </w:rPr>
  </w:style>
  <w:style w:type="paragraph" w:styleId="40">
    <w:name w:val="List Paragraph"/>
    <w:basedOn w:val="1"/>
    <w:qFormat/>
    <w:uiPriority w:val="0"/>
    <w:pPr>
      <w:widowControl/>
      <w:ind w:left="720"/>
      <w:contextualSpacing/>
      <w:jc w:val="left"/>
    </w:pPr>
    <w:rPr>
      <w:rFonts w:ascii="Arial" w:hAnsi="Arial" w:eastAsia="黑体"/>
      <w:sz w:val="24"/>
      <w:szCs w:val="24"/>
      <w:lang w:eastAsia="en-US"/>
    </w:rPr>
  </w:style>
  <w:style w:type="character" w:customStyle="1" w:styleId="41">
    <w:name w:val="标题 1 字符3"/>
    <w:link w:val="3"/>
    <w:qFormat/>
    <w:uiPriority w:val="9"/>
    <w:rPr>
      <w:rFonts w:ascii="Arial" w:hAnsi="Arial" w:eastAsia="Arial" w:cs="Arial"/>
      <w:sz w:val="40"/>
      <w:szCs w:val="40"/>
    </w:rPr>
  </w:style>
  <w:style w:type="character" w:customStyle="1" w:styleId="42">
    <w:name w:val="标题 2 字符3"/>
    <w:link w:val="4"/>
    <w:qFormat/>
    <w:uiPriority w:val="9"/>
    <w:rPr>
      <w:rFonts w:ascii="Arial" w:hAnsi="Arial" w:eastAsia="Arial" w:cs="Arial"/>
      <w:sz w:val="34"/>
    </w:rPr>
  </w:style>
  <w:style w:type="character" w:customStyle="1" w:styleId="43">
    <w:name w:val="标题 3 字符3"/>
    <w:link w:val="5"/>
    <w:qFormat/>
    <w:uiPriority w:val="9"/>
    <w:rPr>
      <w:rFonts w:ascii="Arial" w:hAnsi="Arial" w:eastAsia="Arial" w:cs="Arial"/>
      <w:sz w:val="30"/>
      <w:szCs w:val="30"/>
    </w:rPr>
  </w:style>
  <w:style w:type="character" w:customStyle="1" w:styleId="44">
    <w:name w:val="Heading 4 Char"/>
    <w:qFormat/>
    <w:uiPriority w:val="9"/>
    <w:rPr>
      <w:rFonts w:ascii="Arial" w:hAnsi="Arial" w:eastAsia="Arial" w:cs="Arial"/>
      <w:b/>
      <w:bCs/>
      <w:sz w:val="26"/>
      <w:szCs w:val="26"/>
    </w:rPr>
  </w:style>
  <w:style w:type="character" w:customStyle="1" w:styleId="45">
    <w:name w:val="Heading 5 Char"/>
    <w:qFormat/>
    <w:uiPriority w:val="9"/>
    <w:rPr>
      <w:rFonts w:ascii="Arial" w:hAnsi="Arial" w:eastAsia="Arial" w:cs="Arial"/>
      <w:b/>
      <w:bCs/>
      <w:sz w:val="24"/>
      <w:szCs w:val="24"/>
    </w:rPr>
  </w:style>
  <w:style w:type="character" w:customStyle="1" w:styleId="46">
    <w:name w:val="标题 6 字符3"/>
    <w:link w:val="8"/>
    <w:qFormat/>
    <w:uiPriority w:val="9"/>
    <w:rPr>
      <w:rFonts w:ascii="Arial" w:hAnsi="Arial" w:eastAsia="Arial" w:cs="Arial"/>
      <w:b/>
      <w:bCs/>
      <w:sz w:val="22"/>
      <w:szCs w:val="22"/>
    </w:rPr>
  </w:style>
  <w:style w:type="character" w:customStyle="1" w:styleId="47">
    <w:name w:val="标题 7 字符3"/>
    <w:link w:val="9"/>
    <w:qFormat/>
    <w:uiPriority w:val="9"/>
    <w:rPr>
      <w:rFonts w:ascii="Arial" w:hAnsi="Arial" w:eastAsia="Arial" w:cs="Arial"/>
      <w:b/>
      <w:bCs/>
      <w:i/>
      <w:iCs/>
      <w:sz w:val="22"/>
      <w:szCs w:val="22"/>
    </w:rPr>
  </w:style>
  <w:style w:type="character" w:customStyle="1" w:styleId="48">
    <w:name w:val="标题 8 字符3"/>
    <w:link w:val="10"/>
    <w:qFormat/>
    <w:uiPriority w:val="9"/>
    <w:rPr>
      <w:rFonts w:ascii="Arial" w:hAnsi="Arial" w:eastAsia="Arial" w:cs="Arial"/>
      <w:i/>
      <w:iCs/>
      <w:sz w:val="22"/>
      <w:szCs w:val="22"/>
    </w:rPr>
  </w:style>
  <w:style w:type="character" w:customStyle="1" w:styleId="49">
    <w:name w:val="标题 9 字符3"/>
    <w:link w:val="11"/>
    <w:qFormat/>
    <w:uiPriority w:val="9"/>
    <w:rPr>
      <w:rFonts w:ascii="Arial" w:hAnsi="Arial" w:eastAsia="Arial" w:cs="Arial"/>
      <w:i/>
      <w:iCs/>
      <w:sz w:val="21"/>
      <w:szCs w:val="21"/>
    </w:rPr>
  </w:style>
  <w:style w:type="character" w:customStyle="1" w:styleId="50">
    <w:name w:val="标题 字符3"/>
    <w:link w:val="33"/>
    <w:qFormat/>
    <w:uiPriority w:val="10"/>
    <w:rPr>
      <w:sz w:val="48"/>
      <w:szCs w:val="48"/>
    </w:rPr>
  </w:style>
  <w:style w:type="character" w:customStyle="1" w:styleId="51">
    <w:name w:val="副标题 字符3"/>
    <w:link w:val="26"/>
    <w:qFormat/>
    <w:uiPriority w:val="11"/>
    <w:rPr>
      <w:sz w:val="24"/>
      <w:szCs w:val="24"/>
    </w:rPr>
  </w:style>
  <w:style w:type="paragraph" w:styleId="52">
    <w:name w:val="Quote"/>
    <w:basedOn w:val="1"/>
    <w:next w:val="1"/>
    <w:link w:val="53"/>
    <w:qFormat/>
    <w:uiPriority w:val="29"/>
    <w:pPr>
      <w:ind w:left="720" w:right="720"/>
    </w:pPr>
    <w:rPr>
      <w:i/>
    </w:rPr>
  </w:style>
  <w:style w:type="character" w:customStyle="1" w:styleId="53">
    <w:name w:val="引用 字符3"/>
    <w:link w:val="52"/>
    <w:qFormat/>
    <w:uiPriority w:val="29"/>
    <w:rPr>
      <w:i/>
    </w:rPr>
  </w:style>
  <w:style w:type="paragraph" w:styleId="54">
    <w:name w:val="Intense Quote"/>
    <w:basedOn w:val="1"/>
    <w:next w:val="1"/>
    <w:link w:val="55"/>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pPr>
    <w:rPr>
      <w:i/>
    </w:rPr>
  </w:style>
  <w:style w:type="character" w:customStyle="1" w:styleId="55">
    <w:name w:val="明显引用 字符3"/>
    <w:link w:val="54"/>
    <w:qFormat/>
    <w:uiPriority w:val="30"/>
    <w:rPr>
      <w:i/>
    </w:rPr>
  </w:style>
  <w:style w:type="character" w:customStyle="1" w:styleId="56">
    <w:name w:val="页眉 字符3"/>
    <w:link w:val="23"/>
    <w:qFormat/>
    <w:uiPriority w:val="99"/>
  </w:style>
  <w:style w:type="character" w:customStyle="1" w:styleId="57">
    <w:name w:val="Footer Char"/>
    <w:qFormat/>
    <w:uiPriority w:val="99"/>
  </w:style>
  <w:style w:type="character" w:customStyle="1" w:styleId="58">
    <w:name w:val="页脚 字符3"/>
    <w:link w:val="22"/>
    <w:qFormat/>
    <w:uiPriority w:val="99"/>
  </w:style>
  <w:style w:type="table" w:customStyle="1" w:styleId="59">
    <w:name w:val="Table Grid Light"/>
    <w:qFormat/>
    <w:uiPriority w:val="59"/>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style>
  <w:style w:type="table" w:customStyle="1" w:styleId="60">
    <w:name w:val="无格式表格 11"/>
    <w:qFormat/>
    <w:uiPriority w:val="59"/>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1Horz">
      <w:tcPr>
        <w:shd w:val="clear" w:color="F1F1F1" w:themeColor="text1" w:themeTint="0D" w:fill="F1F1F1" w:themeFill="text1" w:themeFillTint="0D"/>
      </w:tcPr>
    </w:tblStylePr>
  </w:style>
  <w:style w:type="table" w:customStyle="1" w:styleId="61">
    <w:name w:val="无格式表格 21"/>
    <w:qFormat/>
    <w:uiPriority w:val="59"/>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customStyle="1" w:styleId="62">
    <w:name w:val="无格式表格 31"/>
    <w:qFormat/>
    <w:uiPriority w:val="99"/>
    <w:tblPr>
      <w:tblCellMar>
        <w:top w:w="0" w:type="dxa"/>
        <w:left w:w="0" w:type="dxa"/>
        <w:bottom w:w="0" w:type="dxa"/>
        <w:right w:w="0" w:type="dxa"/>
      </w:tblCellMar>
    </w:tbl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3">
    <w:name w:val="无格式表格 41"/>
    <w:qFormat/>
    <w:uiPriority w:val="99"/>
    <w:tblPr>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4">
    <w:name w:val="无格式表格 51"/>
    <w:qFormat/>
    <w:uiPriority w:val="99"/>
    <w:tblPr>
      <w:tblCellMar>
        <w:top w:w="0" w:type="dxa"/>
        <w:left w:w="0" w:type="dxa"/>
        <w:bottom w:w="0" w:type="dxa"/>
        <w:right w:w="0" w:type="dxa"/>
      </w:tblCellMar>
    </w:tbl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5">
    <w:name w:val="网格表 1 浅色1"/>
    <w:qFormat/>
    <w:uiPriority w:val="99"/>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CellMar>
        <w:top w:w="0" w:type="dxa"/>
        <w:left w:w="0" w:type="dxa"/>
        <w:bottom w:w="0" w:type="dxa"/>
        <w:right w:w="0" w:type="dxa"/>
      </w:tblCellMar>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style>
  <w:style w:type="table" w:customStyle="1" w:styleId="66">
    <w:name w:val="Grid Table 1 Light - Accent 1"/>
    <w:qFormat/>
    <w:uiPriority w:val="99"/>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CellMar>
        <w:top w:w="0" w:type="dxa"/>
        <w:left w:w="0" w:type="dxa"/>
        <w:bottom w:w="0" w:type="dxa"/>
        <w:right w:w="0" w:type="dxa"/>
      </w:tblCellMar>
    </w:tblPr>
    <w:tblStylePr w:type="firstRow">
      <w:rPr>
        <w:b/>
        <w:color w:val="404040"/>
      </w:rPr>
      <w:tcPr>
        <w:tcBorders>
          <w:bottom w:val="single" w:color="98B5D8"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67">
    <w:name w:val="Grid Table 1 Light - Accent 2"/>
    <w:qFormat/>
    <w:uiPriority w:val="99"/>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CellMar>
        <w:top w:w="0" w:type="dxa"/>
        <w:left w:w="0" w:type="dxa"/>
        <w:bottom w:w="0" w:type="dxa"/>
        <w:right w:w="0" w:type="dxa"/>
      </w:tblCellMar>
    </w:tblPr>
    <w:tblStylePr w:type="firstRow">
      <w:rPr>
        <w:b/>
        <w:color w:val="404040"/>
      </w:rPr>
      <w:tcPr>
        <w:tcBorders>
          <w:bottom w:val="single" w:color="DA989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68">
    <w:name w:val="Grid Table 1 Light - Accent 3"/>
    <w:qFormat/>
    <w:uiPriority w:val="99"/>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CellMar>
        <w:top w:w="0" w:type="dxa"/>
        <w:left w:w="0" w:type="dxa"/>
        <w:bottom w:w="0" w:type="dxa"/>
        <w:right w:w="0" w:type="dxa"/>
      </w:tblCellMar>
    </w:tblPr>
    <w:tblStylePr w:type="firstRow">
      <w:rPr>
        <w:b/>
        <w:color w:val="404040"/>
      </w:rPr>
      <w:tcPr>
        <w:tcBorders>
          <w:bottom w:val="single" w:color="C4D79E"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69">
    <w:name w:val="Grid Table 1 Light - Accent 4"/>
    <w:qFormat/>
    <w:uiPriority w:val="99"/>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CellMar>
        <w:top w:w="0" w:type="dxa"/>
        <w:left w:w="0" w:type="dxa"/>
        <w:bottom w:w="0" w:type="dxa"/>
        <w:right w:w="0" w:type="dxa"/>
      </w:tblCellMar>
    </w:tblPr>
    <w:tblStylePr w:type="firstRow">
      <w:rPr>
        <w:b/>
        <w:color w:val="404040"/>
      </w:rPr>
      <w:tcPr>
        <w:tcBorders>
          <w:bottom w:val="single" w:color="B4A4C8"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70">
    <w:name w:val="Grid Table 1 Light - Accent 5"/>
    <w:qFormat/>
    <w:uiPriority w:val="99"/>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CellMar>
        <w:top w:w="0" w:type="dxa"/>
        <w:left w:w="0" w:type="dxa"/>
        <w:bottom w:w="0" w:type="dxa"/>
        <w:right w:w="0" w:type="dxa"/>
      </w:tblCellMar>
    </w:tblPr>
    <w:tblStylePr w:type="firstRow">
      <w:rPr>
        <w:b/>
        <w:color w:val="404040"/>
      </w:rPr>
      <w:tcPr>
        <w:tcBorders>
          <w:bottom w:val="single" w:color="95CEDD"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71">
    <w:name w:val="Grid Table 1 Light - Accent 6"/>
    <w:qFormat/>
    <w:uiPriority w:val="99"/>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CellMar>
        <w:top w:w="0" w:type="dxa"/>
        <w:left w:w="0" w:type="dxa"/>
        <w:bottom w:w="0" w:type="dxa"/>
        <w:right w:w="0" w:type="dxa"/>
      </w:tblCellMar>
    </w:tblPr>
    <w:tblStylePr w:type="firstRow">
      <w:rPr>
        <w:b/>
        <w:color w:val="404040"/>
      </w:rPr>
      <w:tcPr>
        <w:tcBorders>
          <w:bottom w:val="single" w:color="FAC192"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table" w:customStyle="1" w:styleId="72">
    <w:name w:val="网格表 21"/>
    <w:qFormat/>
    <w:uiPriority w:val="99"/>
    <w:tblPr>
      <w:tblBorders>
        <w:bottom w:val="single" w:color="696969" w:themeColor="text1" w:themeTint="95" w:sz="4" w:space="0"/>
        <w:insideH w:val="single" w:color="696969" w:themeColor="text1" w:themeTint="95" w:sz="4" w:space="0"/>
        <w:insideV w:val="single" w:color="696969" w:themeColor="text1" w:themeTint="95" w:sz="4" w:space="0"/>
      </w:tblBorders>
      <w:tblCellMar>
        <w:top w:w="0" w:type="dxa"/>
        <w:left w:w="0" w:type="dxa"/>
        <w:bottom w:w="0" w:type="dxa"/>
        <w:right w:w="0" w:type="dxa"/>
      </w:tblCellMar>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73">
    <w:name w:val="Grid Table 2 - Accent 1"/>
    <w:qFormat/>
    <w:uiPriority w:val="99"/>
    <w:tblPr>
      <w:tblBorders>
        <w:bottom w:val="single" w:color="5D8BC2" w:themeColor="accent1" w:themeTint="EA" w:sz="4" w:space="0"/>
        <w:insideH w:val="single" w:color="5D8BC2" w:themeColor="accent1" w:themeTint="EA" w:sz="4" w:space="0"/>
        <w:insideV w:val="single" w:color="5D8BC2" w:themeColor="accent1" w:themeTint="EA" w:sz="4" w:space="0"/>
      </w:tblBorders>
      <w:tblCellMar>
        <w:top w:w="0" w:type="dxa"/>
        <w:left w:w="0" w:type="dxa"/>
        <w:bottom w:w="0" w:type="dxa"/>
        <w:right w:w="0" w:type="dxa"/>
      </w:tblCellMar>
    </w:tblPr>
    <w:tblStylePr w:type="firstRow">
      <w:rPr>
        <w:b/>
        <w:color w:val="404040"/>
      </w:rPr>
      <w:tcPr>
        <w:tcBorders>
          <w:top w:val="nil"/>
          <w:left w:val="nil"/>
          <w:bottom w:val="single" w:color="5D8BC2" w:themeColor="accent1" w:themeTint="EA" w:sz="12" w:space="0"/>
          <w:right w:val="nil"/>
        </w:tcBorders>
        <w:shd w:val="clear" w:color="FFFFFF" w:fill="auto"/>
      </w:tcPr>
    </w:tblStylePr>
    <w:tblStylePr w:type="lastRow">
      <w:rPr>
        <w:b/>
        <w:color w:val="404040"/>
      </w:rPr>
      <w:tcPr>
        <w:tcBorders>
          <w:top w:val="single" w:color="5D8BC2"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BE5F1" w:themeColor="accent1" w:themeTint="34" w:fill="DBE5F1" w:themeFill="accent1" w:themeFillTint="34"/>
      </w:tcPr>
    </w:tblStylePr>
    <w:tblStylePr w:type="band1Horz">
      <w:rPr>
        <w:rFonts w:ascii="Arial" w:hAnsi="Arial"/>
        <w:color w:val="404040"/>
        <w:sz w:val="22"/>
      </w:rPr>
      <w:tcPr>
        <w:shd w:val="clear" w:color="DBE5F1" w:themeColor="accent1" w:themeTint="34" w:fill="DBE5F1" w:themeFill="accent1" w:themeFillTint="34"/>
      </w:tcPr>
    </w:tblStylePr>
  </w:style>
  <w:style w:type="table" w:customStyle="1" w:styleId="74">
    <w:name w:val="Grid Table 2 - Accent 2"/>
    <w:qFormat/>
    <w:uiPriority w:val="99"/>
    <w:tblPr>
      <w:tblBorders>
        <w:bottom w:val="single" w:color="D99795" w:themeColor="accent2" w:themeTint="97" w:sz="4" w:space="0"/>
        <w:insideH w:val="single" w:color="D99795" w:themeColor="accent2" w:themeTint="97" w:sz="4" w:space="0"/>
        <w:insideV w:val="single" w:color="D99795" w:themeColor="accent2" w:themeTint="97" w:sz="4" w:space="0"/>
      </w:tblBorders>
      <w:tblCellMar>
        <w:top w:w="0" w:type="dxa"/>
        <w:left w:w="0" w:type="dxa"/>
        <w:bottom w:w="0" w:type="dxa"/>
        <w:right w:w="0" w:type="dxa"/>
      </w:tblCellMar>
    </w:tblPr>
    <w:tblStylePr w:type="firstRow">
      <w:rPr>
        <w:b/>
        <w:color w:val="404040"/>
      </w:rPr>
      <w:tcPr>
        <w:tcBorders>
          <w:top w:val="nil"/>
          <w:left w:val="nil"/>
          <w:bottom w:val="single" w:color="D99795" w:themeColor="accent2" w:themeTint="97" w:sz="12" w:space="0"/>
          <w:right w:val="nil"/>
        </w:tcBorders>
        <w:shd w:val="clear" w:color="FFFFFF" w:fill="auto"/>
      </w:tcPr>
    </w:tblStylePr>
    <w:tblStylePr w:type="lastRow">
      <w:rPr>
        <w:b/>
        <w:color w:val="404040"/>
      </w:rPr>
      <w:tcPr>
        <w:tcBorders>
          <w:top w:val="single" w:color="D99795"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75">
    <w:name w:val="Grid Table 2 - Accent 3"/>
    <w:qFormat/>
    <w:uiPriority w:val="99"/>
    <w:tblPr>
      <w:tblBorders>
        <w:bottom w:val="single" w:color="9BBB59" w:themeColor="accent3" w:themeTint="FE" w:sz="4" w:space="0"/>
        <w:insideH w:val="single" w:color="9BBB59" w:themeColor="accent3" w:themeTint="FE" w:sz="4" w:space="0"/>
        <w:insideV w:val="single" w:color="9BBB59" w:themeColor="accent3" w:themeTint="FE" w:sz="4" w:space="0"/>
      </w:tblBorders>
      <w:tblCellMar>
        <w:top w:w="0" w:type="dxa"/>
        <w:left w:w="0" w:type="dxa"/>
        <w:bottom w:w="0" w:type="dxa"/>
        <w:right w:w="0" w:type="dxa"/>
      </w:tblCellMar>
    </w:tblPr>
    <w:tblStylePr w:type="firstRow">
      <w:rPr>
        <w:b/>
        <w:color w:val="404040"/>
      </w:rPr>
      <w:tcPr>
        <w:tcBorders>
          <w:top w:val="nil"/>
          <w:left w:val="nil"/>
          <w:bottom w:val="single" w:color="9BBB59" w:themeColor="accent3" w:themeTint="FE" w:sz="12" w:space="0"/>
          <w:right w:val="nil"/>
        </w:tcBorders>
        <w:shd w:val="clear" w:color="FFFFFF" w:fill="auto"/>
      </w:tcPr>
    </w:tblStylePr>
    <w:tblStylePr w:type="lastRow">
      <w:rPr>
        <w:b/>
        <w:color w:val="404040"/>
      </w:rPr>
      <w:tcPr>
        <w:tcBorders>
          <w:top w:val="single" w:color="9BBB59"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76">
    <w:name w:val="Grid Table 2 - Accent 4"/>
    <w:qFormat/>
    <w:uiPriority w:val="99"/>
    <w:tblPr>
      <w:tblBorders>
        <w:bottom w:val="single" w:color="B2A1C6" w:themeColor="accent4" w:themeTint="9A" w:sz="4" w:space="0"/>
        <w:insideH w:val="single" w:color="B2A1C6" w:themeColor="accent4" w:themeTint="9A" w:sz="4" w:space="0"/>
        <w:insideV w:val="single" w:color="B2A1C6" w:themeColor="accent4" w:themeTint="9A" w:sz="4" w:space="0"/>
      </w:tblBorders>
      <w:tblCellMar>
        <w:top w:w="0" w:type="dxa"/>
        <w:left w:w="0" w:type="dxa"/>
        <w:bottom w:w="0" w:type="dxa"/>
        <w:right w:w="0" w:type="dxa"/>
      </w:tblCellMar>
    </w:tblPr>
    <w:tblStylePr w:type="firstRow">
      <w:rPr>
        <w:b/>
        <w:color w:val="404040"/>
      </w:rPr>
      <w:tcPr>
        <w:tcBorders>
          <w:top w:val="nil"/>
          <w:left w:val="nil"/>
          <w:bottom w:val="single" w:color="B2A1C6" w:themeColor="accent4" w:themeTint="9A" w:sz="12" w:space="0"/>
          <w:right w:val="nil"/>
        </w:tcBorders>
        <w:shd w:val="clear" w:color="FFFFFF" w:fill="auto"/>
      </w:tcPr>
    </w:tblStylePr>
    <w:tblStylePr w:type="lastRow">
      <w:rPr>
        <w:b/>
        <w:color w:val="404040"/>
      </w:rPr>
      <w:tcPr>
        <w:tcBorders>
          <w:top w:val="single" w:color="B2A1C6"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77">
    <w:name w:val="Grid Table 2 - Accent 5"/>
    <w:qFormat/>
    <w:uiPriority w:val="99"/>
    <w:tblPr>
      <w:tblBorders>
        <w:bottom w:val="single" w:color="4BACC6" w:themeColor="accent5" w:sz="4" w:space="0"/>
        <w:insideH w:val="single" w:color="4BACC6" w:themeColor="accent5" w:sz="4" w:space="0"/>
        <w:insideV w:val="single" w:color="4BACC6" w:themeColor="accent5" w:sz="4" w:space="0"/>
      </w:tblBorders>
      <w:tblCellMar>
        <w:top w:w="0" w:type="dxa"/>
        <w:left w:w="0" w:type="dxa"/>
        <w:bottom w:w="0" w:type="dxa"/>
        <w:right w:w="0" w:type="dxa"/>
      </w:tblCellMar>
    </w:tblPr>
    <w:tblStylePr w:type="firstRow">
      <w:rPr>
        <w:b/>
        <w:color w:val="404040"/>
      </w:rPr>
      <w:tcPr>
        <w:tcBorders>
          <w:top w:val="nil"/>
          <w:left w:val="nil"/>
          <w:bottom w:val="single" w:color="4BACC6" w:themeColor="accent5" w:sz="12" w:space="0"/>
          <w:right w:val="nil"/>
        </w:tcBorders>
        <w:shd w:val="clear" w:color="FFFFFF" w:fill="auto"/>
      </w:tcPr>
    </w:tblStylePr>
    <w:tblStylePr w:type="lastRow">
      <w:rPr>
        <w:b/>
        <w:color w:val="404040"/>
      </w:rPr>
      <w:tcPr>
        <w:tcBorders>
          <w:top w:val="single" w:color="4BACC6"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78">
    <w:name w:val="Grid Table 2 - Accent 6"/>
    <w:qFormat/>
    <w:uiPriority w:val="99"/>
    <w:tblPr>
      <w:tblBorders>
        <w:bottom w:val="single" w:color="F79646" w:themeColor="accent6" w:sz="4" w:space="0"/>
        <w:insideH w:val="single" w:color="F79646" w:themeColor="accent6" w:sz="4" w:space="0"/>
        <w:insideV w:val="single" w:color="F79646" w:themeColor="accent6" w:sz="4" w:space="0"/>
      </w:tblBorders>
      <w:tblCellMar>
        <w:top w:w="0" w:type="dxa"/>
        <w:left w:w="0" w:type="dxa"/>
        <w:bottom w:w="0" w:type="dxa"/>
        <w:right w:w="0" w:type="dxa"/>
      </w:tblCellMar>
    </w:tblPr>
    <w:tblStylePr w:type="firstRow">
      <w:rPr>
        <w:b/>
        <w:color w:val="404040"/>
      </w:rPr>
      <w:tcPr>
        <w:tcBorders>
          <w:top w:val="nil"/>
          <w:left w:val="nil"/>
          <w:bottom w:val="single" w:color="F79646" w:themeColor="accent6" w:sz="12" w:space="0"/>
          <w:right w:val="nil"/>
        </w:tcBorders>
        <w:shd w:val="clear" w:color="FFFFFF" w:fill="auto"/>
      </w:tcPr>
    </w:tblStylePr>
    <w:tblStylePr w:type="lastRow">
      <w:rPr>
        <w:b/>
        <w:color w:val="404040"/>
      </w:rPr>
      <w:tcPr>
        <w:tcBorders>
          <w:top w:val="single" w:color="F79646"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79">
    <w:name w:val="网格表 31"/>
    <w:qFormat/>
    <w:uiPriority w:val="99"/>
    <w:tblPr>
      <w:tblBorders>
        <w:bottom w:val="single" w:color="696969" w:themeColor="text1" w:themeTint="95" w:sz="4" w:space="0"/>
        <w:insideH w:val="single" w:color="696969" w:themeColor="text1" w:themeTint="95" w:sz="4" w:space="0"/>
        <w:insideV w:val="single" w:color="696969" w:themeColor="text1" w:themeTint="95" w:sz="4" w:space="0"/>
      </w:tblBorders>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80">
    <w:name w:val="Grid Table 3 - Accent 1"/>
    <w:qFormat/>
    <w:uiPriority w:val="99"/>
    <w:tblPr>
      <w:tblBorders>
        <w:bottom w:val="single" w:color="5D8BC2" w:themeColor="accent1" w:themeTint="EA" w:sz="4" w:space="0"/>
        <w:insideH w:val="single" w:color="5D8BC2" w:themeColor="accent1" w:themeTint="EA" w:sz="4" w:space="0"/>
        <w:insideV w:val="single" w:color="5D8BC2" w:themeColor="accent1" w:themeTint="EA" w:sz="4" w:space="0"/>
      </w:tblBorders>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BE5F1" w:themeColor="accent1" w:themeTint="34" w:fill="DBE5F1" w:themeFill="accent1" w:themeFillTint="34"/>
      </w:tcPr>
    </w:tblStylePr>
    <w:tblStylePr w:type="band1Horz">
      <w:rPr>
        <w:rFonts w:ascii="Arial" w:hAnsi="Arial"/>
        <w:color w:val="404040"/>
        <w:sz w:val="22"/>
      </w:rPr>
      <w:tcPr>
        <w:shd w:val="clear" w:color="DBE5F1" w:themeColor="accent1" w:themeTint="34" w:fill="DBE5F1" w:themeFill="accent1" w:themeFillTint="34"/>
      </w:tcPr>
    </w:tblStylePr>
  </w:style>
  <w:style w:type="table" w:customStyle="1" w:styleId="81">
    <w:name w:val="Grid Table 3 - Accent 2"/>
    <w:qFormat/>
    <w:uiPriority w:val="99"/>
    <w:tblPr>
      <w:tblBorders>
        <w:bottom w:val="single" w:color="D99795" w:themeColor="accent2" w:themeTint="97" w:sz="4" w:space="0"/>
        <w:insideH w:val="single" w:color="D99795" w:themeColor="accent2" w:themeTint="97" w:sz="4" w:space="0"/>
        <w:insideV w:val="single" w:color="D99795" w:themeColor="accent2" w:themeTint="97" w:sz="4" w:space="0"/>
      </w:tblBorders>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82">
    <w:name w:val="Grid Table 3 - Accent 3"/>
    <w:qFormat/>
    <w:uiPriority w:val="99"/>
    <w:tblPr>
      <w:tblBorders>
        <w:bottom w:val="single" w:color="9BBB59" w:themeColor="accent3" w:themeTint="FE" w:sz="4" w:space="0"/>
        <w:insideH w:val="single" w:color="9BBB59" w:themeColor="accent3" w:themeTint="FE" w:sz="4" w:space="0"/>
        <w:insideV w:val="single" w:color="9BBB59" w:themeColor="accent3" w:themeTint="FE" w:sz="4" w:space="0"/>
      </w:tblBorders>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83">
    <w:name w:val="Grid Table 3 - Accent 4"/>
    <w:qFormat/>
    <w:uiPriority w:val="99"/>
    <w:tblPr>
      <w:tblBorders>
        <w:bottom w:val="single" w:color="B2A1C6" w:themeColor="accent4" w:themeTint="9A" w:sz="4" w:space="0"/>
        <w:insideH w:val="single" w:color="B2A1C6" w:themeColor="accent4" w:themeTint="9A" w:sz="4" w:space="0"/>
        <w:insideV w:val="single" w:color="B2A1C6" w:themeColor="accent4" w:themeTint="9A" w:sz="4" w:space="0"/>
      </w:tblBorders>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84">
    <w:name w:val="Grid Table 3 - Accent 5"/>
    <w:qFormat/>
    <w:uiPriority w:val="99"/>
    <w:tblPr>
      <w:tblBorders>
        <w:bottom w:val="single" w:color="4BACC6" w:themeColor="accent5" w:sz="4" w:space="0"/>
        <w:insideH w:val="single" w:color="4BACC6" w:themeColor="accent5" w:sz="4" w:space="0"/>
        <w:insideV w:val="single" w:color="4BACC6" w:themeColor="accent5" w:sz="4" w:space="0"/>
      </w:tblBorders>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85">
    <w:name w:val="Grid Table 3 - Accent 6"/>
    <w:qFormat/>
    <w:uiPriority w:val="99"/>
    <w:tblPr>
      <w:tblBorders>
        <w:bottom w:val="single" w:color="F79646" w:themeColor="accent6" w:sz="4" w:space="0"/>
        <w:insideH w:val="single" w:color="F79646" w:themeColor="accent6" w:sz="4" w:space="0"/>
        <w:insideV w:val="single" w:color="F79646" w:themeColor="accent6" w:sz="4" w:space="0"/>
      </w:tblBorders>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86">
    <w:name w:val="网格表 41"/>
    <w:qFormat/>
    <w:uiPriority w:val="59"/>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CellMar>
        <w:top w:w="0" w:type="dxa"/>
        <w:left w:w="0" w:type="dxa"/>
        <w:bottom w:w="0" w:type="dxa"/>
        <w:right w:w="0" w:type="dxa"/>
      </w:tblCellMar>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87">
    <w:name w:val="Grid Table 4 - Accent 1"/>
    <w:qFormat/>
    <w:uiPriority w:val="59"/>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CellMar>
        <w:top w:w="0" w:type="dxa"/>
        <w:left w:w="0" w:type="dxa"/>
        <w:bottom w:w="0" w:type="dxa"/>
        <w:right w:w="0" w:type="dxa"/>
      </w:tblCellMar>
    </w:tblPr>
    <w:tblStylePr w:type="firstRow">
      <w:rPr>
        <w:rFonts w:ascii="Arial" w:hAnsi="Arial"/>
        <w:b/>
        <w:color w:val="FFFFFF"/>
        <w:sz w:val="22"/>
      </w:rPr>
      <w:tcPr>
        <w:tcBorders>
          <w:top w:val="single" w:color="5D8BC2" w:themeColor="accent1" w:themeTint="EA" w:sz="4" w:space="0"/>
          <w:left w:val="single" w:color="5D8BC2" w:themeColor="accent1" w:themeTint="EA" w:sz="4" w:space="0"/>
          <w:bottom w:val="single" w:color="5D8BC2" w:themeColor="accent1" w:themeTint="EA" w:sz="4" w:space="0"/>
          <w:right w:val="single" w:color="5D8BC2" w:themeColor="accent1" w:themeTint="EA" w:sz="4" w:space="0"/>
        </w:tcBorders>
        <w:shd w:val="clear" w:color="5D8BC2" w:themeColor="accent1" w:themeTint="EA" w:fill="5D8BC2" w:themeFill="accent1" w:themeFillTint="EA"/>
      </w:tcPr>
    </w:tblStylePr>
    <w:tblStylePr w:type="lastRow">
      <w:rPr>
        <w:b/>
        <w:color w:val="404040"/>
      </w:rPr>
      <w:tcPr>
        <w:tcBorders>
          <w:top w:val="single" w:color="5D8BC2"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CE6F2" w:themeColor="accent1" w:themeTint="32" w:fill="DCE6F2" w:themeFill="accent1" w:themeFillTint="32"/>
      </w:tcPr>
    </w:tblStylePr>
    <w:tblStylePr w:type="band1Horz">
      <w:rPr>
        <w:rFonts w:ascii="Arial" w:hAnsi="Arial"/>
        <w:color w:val="404040"/>
        <w:sz w:val="22"/>
      </w:rPr>
      <w:tcPr>
        <w:shd w:val="clear" w:color="DCE6F2" w:themeColor="accent1" w:themeTint="32" w:fill="DCE6F2" w:themeFill="accent1" w:themeFillTint="32"/>
      </w:tcPr>
    </w:tblStylePr>
  </w:style>
  <w:style w:type="table" w:customStyle="1" w:styleId="88">
    <w:name w:val="Grid Table 4 - Accent 2"/>
    <w:qFormat/>
    <w:uiPriority w:val="59"/>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insideV w:val="single" w:color="DB9C9A" w:themeColor="accent2" w:themeTint="90" w:sz="4" w:space="0"/>
      </w:tblBorders>
      <w:tblCellMar>
        <w:top w:w="0" w:type="dxa"/>
        <w:left w:w="0" w:type="dxa"/>
        <w:bottom w:w="0" w:type="dxa"/>
        <w:right w:w="0" w:type="dxa"/>
      </w:tblCellMar>
    </w:tblPr>
    <w:tblStylePr w:type="firstRow">
      <w:rPr>
        <w:rFonts w:ascii="Arial" w:hAnsi="Arial"/>
        <w:b/>
        <w:color w:val="FFFFFF"/>
        <w:sz w:val="22"/>
      </w:rPr>
      <w:tcPr>
        <w:tc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cBorders>
        <w:shd w:val="clear" w:color="D99795" w:themeColor="accent2" w:themeTint="97" w:fill="D99795" w:themeFill="accent2" w:themeFillTint="97"/>
      </w:tcPr>
    </w:tblStylePr>
    <w:tblStylePr w:type="lastRow">
      <w:rPr>
        <w:b/>
        <w:color w:val="404040"/>
      </w:rPr>
      <w:tcPr>
        <w:tcBorders>
          <w:top w:val="single" w:color="D9979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89">
    <w:name w:val="Grid Table 4 - Accent 3"/>
    <w:qFormat/>
    <w:uiPriority w:val="59"/>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CellMar>
        <w:top w:w="0" w:type="dxa"/>
        <w:left w:w="0" w:type="dxa"/>
        <w:bottom w:w="0" w:type="dxa"/>
        <w:right w:w="0" w:type="dxa"/>
      </w:tblCellMar>
    </w:tblPr>
    <w:tblStylePr w:type="firstRow">
      <w:rPr>
        <w:rFonts w:ascii="Arial" w:hAnsi="Arial"/>
        <w:b/>
        <w:color w:val="FFFFFF"/>
        <w:sz w:val="22"/>
      </w:rPr>
      <w:tcPr>
        <w:tc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tcBorders>
        <w:shd w:val="clear" w:color="9BBB59" w:themeColor="accent3" w:themeTint="FE" w:fill="9BBB59" w:themeFill="accent3" w:themeFillTint="FE"/>
      </w:tcPr>
    </w:tblStylePr>
    <w:tblStylePr w:type="lastRow">
      <w:rPr>
        <w:b/>
        <w:color w:val="404040"/>
      </w:rPr>
      <w:tcPr>
        <w:tcBorders>
          <w:top w:val="single" w:color="9BBB59"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90">
    <w:name w:val="Grid Table 4 - Accent 4"/>
    <w:qFormat/>
    <w:uiPriority w:val="59"/>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CellMar>
        <w:top w:w="0" w:type="dxa"/>
        <w:left w:w="0" w:type="dxa"/>
        <w:bottom w:w="0" w:type="dxa"/>
        <w:right w:w="0" w:type="dxa"/>
      </w:tblCellMar>
    </w:tblPr>
    <w:tblStylePr w:type="firstRow">
      <w:rPr>
        <w:rFonts w:ascii="Arial" w:hAnsi="Arial"/>
        <w:b/>
        <w:color w:val="FFFFFF"/>
        <w:sz w:val="22"/>
      </w:rPr>
      <w:tcPr>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shd w:val="clear" w:color="B2A1C6" w:themeColor="accent4" w:themeTint="9A" w:fill="B2A1C6" w:themeFill="accent4" w:themeFillTint="9A"/>
      </w:tcPr>
    </w:tblStylePr>
    <w:tblStylePr w:type="lastRow">
      <w:rPr>
        <w:b/>
        <w:color w:val="404040"/>
      </w:rPr>
      <w:tcPr>
        <w:tcBorders>
          <w:top w:val="single" w:color="B2A1C6"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91">
    <w:name w:val="Grid Table 4 - Accent 5"/>
    <w:qFormat/>
    <w:uiPriority w:val="59"/>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CellMar>
        <w:top w:w="0" w:type="dxa"/>
        <w:left w:w="0" w:type="dxa"/>
        <w:bottom w:w="0" w:type="dxa"/>
        <w:right w:w="0" w:type="dxa"/>
      </w:tblCellMar>
    </w:tblPr>
    <w:tblStylePr w:type="firstRow">
      <w:rPr>
        <w:rFonts w:ascii="Arial" w:hAnsi="Arial"/>
        <w:b/>
        <w:color w:val="FFFFFF"/>
        <w:sz w:val="22"/>
      </w:r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4BACC6" w:themeColor="accent5" w:fill="4BACC6" w:themeFill="accent5"/>
      </w:tcPr>
    </w:tblStylePr>
    <w:tblStylePr w:type="lastRow">
      <w:rPr>
        <w:b/>
        <w:color w:val="404040"/>
      </w:rPr>
      <w:tcPr>
        <w:tcBorders>
          <w:top w:val="single" w:color="4BACC6"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92">
    <w:name w:val="Grid Table 4 - Accent 6"/>
    <w:qFormat/>
    <w:uiPriority w:val="59"/>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CellMar>
        <w:top w:w="0" w:type="dxa"/>
        <w:left w:w="0" w:type="dxa"/>
        <w:bottom w:w="0" w:type="dxa"/>
        <w:right w:w="0" w:type="dxa"/>
      </w:tblCellMar>
    </w:tblPr>
    <w:tblStylePr w:type="firstRow">
      <w:rPr>
        <w:rFonts w:ascii="Arial" w:hAnsi="Arial"/>
        <w:b/>
        <w:color w:val="FFFFFF"/>
        <w:sz w:val="22"/>
      </w:r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F79646" w:themeColor="accent6" w:fill="F79646" w:themeFill="accent6"/>
      </w:tcPr>
    </w:tblStylePr>
    <w:tblStylePr w:type="lastRow">
      <w:rPr>
        <w:b/>
        <w:color w:val="404040"/>
      </w:rPr>
      <w:tcPr>
        <w:tcBorders>
          <w:top w:val="single" w:color="F79646"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93">
    <w:name w:val="网格表 5 深色1"/>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1Horz">
      <w:tcPr>
        <w:shd w:val="clear" w:color="898989" w:themeColor="text1" w:themeTint="75" w:fill="898989" w:themeFill="text1" w:themeFillTint="75"/>
      </w:tcPr>
    </w:tblStylePr>
  </w:style>
  <w:style w:type="table" w:customStyle="1" w:styleId="94">
    <w:name w:val="Grid Table 5 Dark- Accent 1"/>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rFonts w:ascii="Arial" w:hAnsi="Arial"/>
        <w:b/>
        <w:color w:val="FFFFFF"/>
        <w:sz w:val="22"/>
      </w:rPr>
      <w:tcPr>
        <w:shd w:val="clear" w:color="4F81BD" w:themeColor="accent1" w:fill="4F81BD" w:themeFill="accent1"/>
      </w:tcPr>
    </w:tblStylePr>
    <w:tblStylePr w:type="lastRow">
      <w:rPr>
        <w:rFonts w:ascii="Arial" w:hAnsi="Arial"/>
        <w:b/>
        <w:color w:val="FFFFFF"/>
        <w:sz w:val="22"/>
      </w:rPr>
      <w:tcPr>
        <w:tcBorders>
          <w:top w:val="single" w:color="FFFFFF" w:themeColor="light1" w:sz="4" w:space="0"/>
        </w:tcBorders>
        <w:shd w:val="clear" w:color="4F81BD" w:themeColor="accent1" w:fill="4F81BD" w:themeFill="accent1"/>
      </w:tcPr>
    </w:tblStylePr>
    <w:tblStylePr w:type="firstCol">
      <w:rPr>
        <w:rFonts w:ascii="Arial" w:hAnsi="Arial"/>
        <w:b/>
        <w:color w:val="FFFFFF"/>
        <w:sz w:val="22"/>
      </w:rPr>
      <w:tcPr>
        <w:shd w:val="clear" w:color="4F81BD" w:themeColor="accent1" w:fill="4F81BD" w:themeFill="accent1"/>
      </w:tcPr>
    </w:tblStylePr>
    <w:tblStylePr w:type="lastCol">
      <w:rPr>
        <w:rFonts w:ascii="Arial" w:hAnsi="Arial"/>
        <w:b/>
        <w:color w:val="FFFFFF"/>
        <w:sz w:val="22"/>
      </w:rPr>
      <w:tcPr>
        <w:shd w:val="clear" w:color="4F81BD" w:themeColor="accent1" w:fill="4F81BD" w:themeFill="accent1"/>
      </w:tcPr>
    </w:tblStylePr>
    <w:tblStylePr w:type="band1Vert">
      <w:tcPr>
        <w:shd w:val="clear" w:color="AEC5E0" w:themeColor="accent1" w:themeTint="75" w:fill="AEC5E0" w:themeFill="accent1" w:themeFillTint="75"/>
      </w:tcPr>
    </w:tblStylePr>
    <w:tblStylePr w:type="band1Horz">
      <w:tcPr>
        <w:shd w:val="clear" w:color="AEC5E0" w:themeColor="accent1" w:themeTint="75" w:fill="AEC5E0" w:themeFill="accent1" w:themeFillTint="75"/>
      </w:tcPr>
    </w:tblStylePr>
  </w:style>
  <w:style w:type="table" w:customStyle="1" w:styleId="95">
    <w:name w:val="Grid Table 5 Dark - Accent 2"/>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rFonts w:ascii="Arial" w:hAnsi="Arial"/>
        <w:b/>
        <w:color w:val="FFFFFF"/>
        <w:sz w:val="22"/>
      </w:rPr>
      <w:tcPr>
        <w:shd w:val="clear" w:color="C0504D" w:themeColor="accent2" w:fill="C0504D" w:themeFill="accent2"/>
      </w:tcPr>
    </w:tblStylePr>
    <w:tblStylePr w:type="lastRow">
      <w:rPr>
        <w:rFonts w:ascii="Arial" w:hAnsi="Arial"/>
        <w:b/>
        <w:color w:val="FFFFFF"/>
        <w:sz w:val="22"/>
      </w:rPr>
      <w:tcPr>
        <w:tcBorders>
          <w:top w:val="single" w:color="FFFFFF" w:themeColor="light1" w:sz="4" w:space="0"/>
        </w:tcBorders>
        <w:shd w:val="clear" w:color="C0504D" w:themeColor="accent2" w:fill="C0504D" w:themeFill="accent2"/>
      </w:tcPr>
    </w:tblStylePr>
    <w:tblStylePr w:type="firstCol">
      <w:rPr>
        <w:rFonts w:ascii="Arial" w:hAnsi="Arial"/>
        <w:b/>
        <w:color w:val="FFFFFF"/>
        <w:sz w:val="22"/>
      </w:rPr>
      <w:tcPr>
        <w:shd w:val="clear" w:color="C0504D" w:themeColor="accent2" w:fill="C0504D" w:themeFill="accent2"/>
      </w:tcPr>
    </w:tblStylePr>
    <w:tblStylePr w:type="lastCol">
      <w:rPr>
        <w:rFonts w:ascii="Arial" w:hAnsi="Arial"/>
        <w:b/>
        <w:color w:val="FFFFFF"/>
        <w:sz w:val="22"/>
      </w:rPr>
      <w:tcPr>
        <w:shd w:val="clear" w:color="C0504D" w:themeColor="accent2" w:fill="C0504D" w:themeFill="accent2"/>
      </w:tcPr>
    </w:tblStylePr>
    <w:tblStylePr w:type="band1Vert">
      <w:tcPr>
        <w:shd w:val="clear" w:color="E2AEAD" w:themeColor="accent2" w:themeTint="75" w:fill="E2AEAD" w:themeFill="accent2" w:themeFillTint="75"/>
      </w:tcPr>
    </w:tblStylePr>
    <w:tblStylePr w:type="band1Horz">
      <w:tcPr>
        <w:shd w:val="clear" w:color="E2AEAD" w:themeColor="accent2" w:themeTint="75" w:fill="E2AEAD" w:themeFill="accent2" w:themeFillTint="75"/>
      </w:tcPr>
    </w:tblStylePr>
  </w:style>
  <w:style w:type="table" w:customStyle="1" w:styleId="96">
    <w:name w:val="Grid Table 5 Dark - Accent 3"/>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rFonts w:ascii="Arial" w:hAnsi="Arial"/>
        <w:b/>
        <w:color w:val="FFFFFF"/>
        <w:sz w:val="22"/>
      </w:rPr>
      <w:tcPr>
        <w:shd w:val="clear" w:color="9BBB59" w:themeColor="accent3" w:fill="9BBB59" w:themeFill="accent3"/>
      </w:tcPr>
    </w:tblStylePr>
    <w:tblStylePr w:type="lastRow">
      <w:rPr>
        <w:rFonts w:ascii="Arial" w:hAnsi="Arial"/>
        <w:b/>
        <w:color w:val="FFFFFF"/>
        <w:sz w:val="22"/>
      </w:rPr>
      <w:tcPr>
        <w:tcBorders>
          <w:top w:val="single" w:color="FFFFFF" w:themeColor="light1" w:sz="4" w:space="0"/>
        </w:tcBorders>
        <w:shd w:val="clear" w:color="9BBB59" w:themeColor="accent3" w:fill="9BBB59" w:themeFill="accent3"/>
      </w:tcPr>
    </w:tblStylePr>
    <w:tblStylePr w:type="firstCol">
      <w:rPr>
        <w:rFonts w:ascii="Arial" w:hAnsi="Arial"/>
        <w:b/>
        <w:color w:val="FFFFFF"/>
        <w:sz w:val="22"/>
      </w:rPr>
      <w:tcPr>
        <w:shd w:val="clear" w:color="9BBB59" w:themeColor="accent3" w:fill="9BBB59" w:themeFill="accent3"/>
      </w:tcPr>
    </w:tblStylePr>
    <w:tblStylePr w:type="lastCol">
      <w:rPr>
        <w:rFonts w:ascii="Arial" w:hAnsi="Arial"/>
        <w:b/>
        <w:color w:val="FFFFFF"/>
        <w:sz w:val="22"/>
      </w:rPr>
      <w:tcPr>
        <w:shd w:val="clear" w:color="9BBB59" w:themeColor="accent3" w:fill="9BBB59" w:themeFill="accent3"/>
      </w:tcPr>
    </w:tblStylePr>
    <w:tblStylePr w:type="band1Vert">
      <w:tcPr>
        <w:shd w:val="clear" w:color="D1DFB2" w:themeColor="accent3" w:themeTint="75" w:fill="D1DFB2" w:themeFill="accent3" w:themeFillTint="75"/>
      </w:tcPr>
    </w:tblStylePr>
    <w:tblStylePr w:type="band1Horz">
      <w:tcPr>
        <w:shd w:val="clear" w:color="D1DFB2" w:themeColor="accent3" w:themeTint="75" w:fill="D1DFB2" w:themeFill="accent3" w:themeFillTint="75"/>
      </w:tcPr>
    </w:tblStylePr>
  </w:style>
  <w:style w:type="table" w:customStyle="1" w:styleId="97">
    <w:name w:val="Grid Table 5 Dark- Accent 4"/>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rFonts w:ascii="Arial" w:hAnsi="Arial"/>
        <w:b/>
        <w:color w:val="FFFFFF"/>
        <w:sz w:val="22"/>
      </w:rPr>
      <w:tcPr>
        <w:shd w:val="clear" w:color="8064A2" w:themeColor="accent4" w:fill="8064A2" w:themeFill="accent4"/>
      </w:tcPr>
    </w:tblStylePr>
    <w:tblStylePr w:type="lastRow">
      <w:rPr>
        <w:rFonts w:ascii="Arial" w:hAnsi="Arial"/>
        <w:b/>
        <w:color w:val="FFFFFF"/>
        <w:sz w:val="22"/>
      </w:rPr>
      <w:tcPr>
        <w:tcBorders>
          <w:top w:val="single" w:color="FFFFFF" w:themeColor="light1" w:sz="4" w:space="0"/>
        </w:tcBorders>
        <w:shd w:val="clear" w:color="8064A2" w:themeColor="accent4" w:fill="8064A2" w:themeFill="accent4"/>
      </w:tcPr>
    </w:tblStylePr>
    <w:tblStylePr w:type="firstCol">
      <w:rPr>
        <w:rFonts w:ascii="Arial" w:hAnsi="Arial"/>
        <w:b/>
        <w:color w:val="FFFFFF"/>
        <w:sz w:val="22"/>
      </w:rPr>
      <w:tcPr>
        <w:shd w:val="clear" w:color="8064A2" w:themeColor="accent4" w:fill="8064A2" w:themeFill="accent4"/>
      </w:tcPr>
    </w:tblStylePr>
    <w:tblStylePr w:type="lastCol">
      <w:rPr>
        <w:rFonts w:ascii="Arial" w:hAnsi="Arial"/>
        <w:b/>
        <w:color w:val="FFFFFF"/>
        <w:sz w:val="22"/>
      </w:rPr>
      <w:tcPr>
        <w:shd w:val="clear" w:color="8064A2" w:themeColor="accent4" w:fill="8064A2" w:themeFill="accent4"/>
      </w:tcPr>
    </w:tblStylePr>
    <w:tblStylePr w:type="band1Vert">
      <w:tcPr>
        <w:shd w:val="clear" w:color="C4B7D4" w:themeColor="accent4" w:themeTint="75" w:fill="C4B7D4" w:themeFill="accent4" w:themeFillTint="75"/>
      </w:tcPr>
    </w:tblStylePr>
    <w:tblStylePr w:type="band1Horz">
      <w:tcPr>
        <w:shd w:val="clear" w:color="C4B7D4" w:themeColor="accent4" w:themeTint="75" w:fill="C4B7D4" w:themeFill="accent4" w:themeFillTint="75"/>
      </w:tcPr>
    </w:tblStylePr>
  </w:style>
  <w:style w:type="table" w:customStyle="1" w:styleId="98">
    <w:name w:val="Grid Table 5 Dark - Accent 5"/>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rFonts w:ascii="Arial" w:hAnsi="Arial"/>
        <w:b/>
        <w:color w:val="FFFFFF"/>
        <w:sz w:val="22"/>
      </w:rPr>
      <w:tcPr>
        <w:shd w:val="clear" w:color="4BACC6" w:themeColor="accent5" w:fill="4BACC6" w:themeFill="accent5"/>
      </w:tcPr>
    </w:tblStylePr>
    <w:tblStylePr w:type="lastRow">
      <w:rPr>
        <w:rFonts w:ascii="Arial" w:hAnsi="Arial"/>
        <w:b/>
        <w:color w:val="FFFFFF"/>
        <w:sz w:val="22"/>
      </w:rPr>
      <w:tcPr>
        <w:tcBorders>
          <w:top w:val="single" w:color="FFFFFF" w:themeColor="light1" w:sz="4" w:space="0"/>
        </w:tcBorders>
        <w:shd w:val="clear" w:color="4BACC6" w:themeColor="accent5" w:fill="4BACC6" w:themeFill="accent5"/>
      </w:tcPr>
    </w:tblStylePr>
    <w:tblStylePr w:type="firstCol">
      <w:rPr>
        <w:rFonts w:ascii="Arial" w:hAnsi="Arial"/>
        <w:b/>
        <w:color w:val="FFFFFF"/>
        <w:sz w:val="22"/>
      </w:rPr>
      <w:tcPr>
        <w:shd w:val="clear" w:color="4BACC6" w:themeColor="accent5" w:fill="4BACC6" w:themeFill="accent5"/>
      </w:tcPr>
    </w:tblStylePr>
    <w:tblStylePr w:type="lastCol">
      <w:rPr>
        <w:rFonts w:ascii="Arial" w:hAnsi="Arial"/>
        <w:b/>
        <w:color w:val="FFFFFF"/>
        <w:sz w:val="22"/>
      </w:rPr>
      <w:tcPr>
        <w:shd w:val="clear" w:color="4BACC6" w:themeColor="accent5" w:fill="4BACC6" w:themeFill="accent5"/>
      </w:tcPr>
    </w:tblStylePr>
    <w:tblStylePr w:type="band1Vert">
      <w:tcPr>
        <w:shd w:val="clear" w:color="ACD8E4" w:themeColor="accent5" w:themeTint="75" w:fill="ACD8E4" w:themeFill="accent5" w:themeFillTint="75"/>
      </w:tcPr>
    </w:tblStylePr>
    <w:tblStylePr w:type="band1Horz">
      <w:tcPr>
        <w:shd w:val="clear" w:color="ACD8E4" w:themeColor="accent5" w:themeTint="75" w:fill="ACD8E4" w:themeFill="accent5" w:themeFillTint="75"/>
      </w:tcPr>
    </w:tblStylePr>
  </w:style>
  <w:style w:type="table" w:customStyle="1" w:styleId="99">
    <w:name w:val="Grid Table 5 Dark - Accent 6"/>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rFonts w:ascii="Arial" w:hAnsi="Arial"/>
        <w:b/>
        <w:color w:val="FFFFFF"/>
        <w:sz w:val="22"/>
      </w:rPr>
      <w:tcPr>
        <w:shd w:val="clear" w:color="F79646" w:themeColor="accent6" w:fill="F79646" w:themeFill="accent6"/>
      </w:tcPr>
    </w:tblStylePr>
    <w:tblStylePr w:type="lastRow">
      <w:rPr>
        <w:rFonts w:ascii="Arial" w:hAnsi="Arial"/>
        <w:b/>
        <w:color w:val="FFFFFF"/>
        <w:sz w:val="22"/>
      </w:rPr>
      <w:tcPr>
        <w:tcBorders>
          <w:top w:val="single" w:color="FFFFFF" w:themeColor="light1" w:sz="4" w:space="0"/>
        </w:tcBorders>
        <w:shd w:val="clear" w:color="F79646" w:themeColor="accent6" w:fill="F79646" w:themeFill="accent6"/>
      </w:tcPr>
    </w:tblStylePr>
    <w:tblStylePr w:type="firstCol">
      <w:rPr>
        <w:rFonts w:ascii="Arial" w:hAnsi="Arial"/>
        <w:b/>
        <w:color w:val="FFFFFF"/>
        <w:sz w:val="22"/>
      </w:rPr>
      <w:tcPr>
        <w:shd w:val="clear" w:color="F79646" w:themeColor="accent6" w:fill="F79646" w:themeFill="accent6"/>
      </w:tcPr>
    </w:tblStylePr>
    <w:tblStylePr w:type="lastCol">
      <w:rPr>
        <w:rFonts w:ascii="Arial" w:hAnsi="Arial"/>
        <w:b/>
        <w:color w:val="FFFFFF"/>
        <w:sz w:val="22"/>
      </w:rPr>
      <w:tcPr>
        <w:shd w:val="clear" w:color="F79646" w:themeColor="accent6" w:fill="F79646" w:themeFill="accent6"/>
      </w:tcPr>
    </w:tblStylePr>
    <w:tblStylePr w:type="band1Vert">
      <w:tcPr>
        <w:shd w:val="clear" w:color="FBCEAA" w:themeColor="accent6" w:themeTint="75" w:fill="FBCEAA" w:themeFill="accent6" w:themeFillTint="75"/>
      </w:tcPr>
    </w:tblStylePr>
    <w:tblStylePr w:type="band1Horz">
      <w:tcPr>
        <w:shd w:val="clear" w:color="FBCEAA" w:themeColor="accent6" w:themeTint="75" w:fill="FBCEAA" w:themeFill="accent6" w:themeFillTint="75"/>
      </w:tcPr>
    </w:tblStylePr>
  </w:style>
  <w:style w:type="table" w:customStyle="1" w:styleId="100">
    <w:name w:val="网格表 6 彩色1"/>
    <w:qFormat/>
    <w:uiPriority w:val="99"/>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CellMar>
        <w:top w:w="0" w:type="dxa"/>
        <w:left w:w="0" w:type="dxa"/>
        <w:bottom w:w="0" w:type="dxa"/>
        <w:right w:w="0" w:type="dxa"/>
      </w:tblCellMar>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01">
    <w:name w:val="Grid Table 6 Colorful - Accent 1"/>
    <w:qFormat/>
    <w:uiPriority w:val="99"/>
    <w:tblPr>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CellMar>
        <w:top w:w="0" w:type="dxa"/>
        <w:left w:w="0" w:type="dxa"/>
        <w:bottom w:w="0" w:type="dxa"/>
        <w:right w:w="0" w:type="dxa"/>
      </w:tblCellMar>
    </w:tblPr>
    <w:tblStylePr w:type="firstRow">
      <w:rPr>
        <w:b/>
        <w:color w:val="A7C0DE" w:themeColor="accent1" w:themeTint="80"/>
        <w14:textFill>
          <w14:solidFill>
            <w14:schemeClr w14:val="accent1">
              <w14:lumMod w14:val="50000"/>
              <w14:lumOff w14:val="50000"/>
            </w14:schemeClr>
          </w14:solidFill>
        </w14:textFill>
      </w:rPr>
      <w:tcPr>
        <w:tcBorders>
          <w:bottom w:val="single" w:color="A6BFDD" w:themeColor="accent1" w:themeTint="80" w:sz="12" w:space="0"/>
        </w:tcBorders>
      </w:tcPr>
    </w:tblStylePr>
    <w:tblStylePr w:type="lastRow">
      <w:rPr>
        <w:b/>
        <w:color w:val="A7C0DE" w:themeColor="accent1" w:themeTint="80"/>
        <w14:textFill>
          <w14:solidFill>
            <w14:schemeClr w14:val="accent1">
              <w14:lumMod w14:val="50000"/>
              <w14:lumOff w14:val="50000"/>
            </w14:schemeClr>
          </w14:solidFill>
        </w14:textFill>
      </w:rPr>
    </w:tblStylePr>
    <w:tblStylePr w:type="firstCol">
      <w:rPr>
        <w:b/>
        <w:color w:val="A7C0DE" w:themeColor="accent1" w:themeTint="80"/>
        <w14:textFill>
          <w14:solidFill>
            <w14:schemeClr w14:val="accent1">
              <w14:lumMod w14:val="50000"/>
              <w14:lumOff w14:val="50000"/>
            </w14:schemeClr>
          </w14:solidFill>
        </w14:textFill>
      </w:rPr>
    </w:tblStylePr>
    <w:tblStylePr w:type="lastCol">
      <w:rPr>
        <w:b/>
        <w:color w:val="A7C0DE" w:themeColor="accent1" w:themeTint="80"/>
        <w14:textFill>
          <w14:solidFill>
            <w14:schemeClr w14:val="accent1">
              <w14:lumMod w14:val="50000"/>
              <w14:lumOff w14:val="50000"/>
            </w14:schemeClr>
          </w14:solidFill>
        </w14:textFill>
      </w:rPr>
    </w:tblStylePr>
    <w:tblStylePr w:type="band1Vert">
      <w:tcPr>
        <w:shd w:val="clear" w:color="DBE5F1" w:themeColor="accent1" w:themeTint="34" w:fill="DBE5F1" w:themeFill="accent1" w:themeFillTint="34"/>
      </w:tc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style>
  <w:style w:type="table" w:customStyle="1" w:styleId="102">
    <w:name w:val="Grid Table 6 Colorful - Accent 2"/>
    <w:qFormat/>
    <w:uiPriority w:val="99"/>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CellMar>
        <w:top w:w="0" w:type="dxa"/>
        <w:left w:w="0" w:type="dxa"/>
        <w:bottom w:w="0" w:type="dxa"/>
        <w:right w:w="0" w:type="dxa"/>
      </w:tblCellMar>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12" w:space="0"/>
        </w:tcBorders>
      </w:tcPr>
    </w:tblStylePr>
    <w:tblStylePr w:type="lastRow">
      <w:rPr>
        <w:b/>
        <w:color w:val="DA9896" w:themeColor="accent2" w:themeTint="96"/>
        <w14:textFill>
          <w14:solidFill>
            <w14:schemeClr w14:val="accent2">
              <w14:lumMod w14:val="59000"/>
              <w14:lumOff w14:val="41000"/>
            </w14:schemeClr>
          </w14:solidFill>
        </w14:textFill>
      </w:r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F2DCDC" w:themeColor="accent2" w:themeTint="32" w:fill="F2DCDC" w:themeFill="accent2" w:themeFillTint="32"/>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03">
    <w:name w:val="Grid Table 6 Colorful - Accent 3"/>
    <w:qFormat/>
    <w:uiPriority w:val="99"/>
    <w:tblPr>
      <w:tbl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CellMar>
        <w:top w:w="0" w:type="dxa"/>
        <w:left w:w="0" w:type="dxa"/>
        <w:bottom w:w="0" w:type="dxa"/>
        <w:right w:w="0" w:type="dxa"/>
      </w:tblCellMar>
    </w:tblPr>
    <w:tblStylePr w:type="firstRow">
      <w:rPr>
        <w:b/>
        <w:color w:val="9BBB59" w:themeColor="accent3" w:themeTint="FF"/>
        <w14:textFill>
          <w14:solidFill>
            <w14:schemeClr w14:val="accent3">
              <w14:lumMod w14:val="100000"/>
              <w14:lumOff w14:val="0"/>
            </w14:schemeClr>
          </w14:solidFill>
        </w14:textFill>
      </w:rPr>
      <w:tcPr>
        <w:tcBorders>
          <w:bottom w:val="single" w:color="9BBB59" w:themeColor="accent3" w:themeTint="FE" w:sz="12" w:space="0"/>
        </w:tcBorders>
      </w:tcPr>
    </w:tblStylePr>
    <w:tblStylePr w:type="lastRow">
      <w:rPr>
        <w:b/>
        <w:color w:val="9BBB59" w:themeColor="accent3" w:themeTint="FF"/>
        <w14:textFill>
          <w14:solidFill>
            <w14:schemeClr w14:val="accent3">
              <w14:lumMod w14:val="100000"/>
              <w14:lumOff w14:val="0"/>
            </w14:schemeClr>
          </w14:solidFill>
        </w14:textFill>
      </w:rPr>
    </w:tblStylePr>
    <w:tblStylePr w:type="firstCol">
      <w:rPr>
        <w:b/>
        <w:color w:val="9BBB59" w:themeColor="accent3" w:themeTint="FF"/>
        <w14:textFill>
          <w14:solidFill>
            <w14:schemeClr w14:val="accent3">
              <w14:lumMod w14:val="100000"/>
              <w14:lumOff w14:val="0"/>
            </w14:schemeClr>
          </w14:solidFill>
        </w14:textFill>
      </w:rPr>
    </w:tblStylePr>
    <w:tblStylePr w:type="lastCol">
      <w:rPr>
        <w:b/>
        <w:color w:val="9BBB59" w:themeColor="accent3" w:themeTint="FF"/>
        <w14:textFill>
          <w14:solidFill>
            <w14:schemeClr w14:val="accent3">
              <w14:lumMod w14:val="100000"/>
              <w14:lumOff w14:val="0"/>
            </w14:schemeClr>
          </w14:solidFill>
        </w14:textFill>
      </w:rPr>
    </w:tblStylePr>
    <w:tblStylePr w:type="band1Vert">
      <w:tcPr>
        <w:shd w:val="clear" w:color="EAF1DD" w:themeColor="accent3" w:themeTint="34" w:fill="EAF1DD" w:themeFill="accent3" w:themeFillTint="34"/>
      </w:tcPr>
    </w:tblStylePr>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EAF1DD" w:themeColor="accent3" w:themeTint="34"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style>
  <w:style w:type="table" w:customStyle="1" w:styleId="104">
    <w:name w:val="Grid Table 6 Colorful - Accent 4"/>
    <w:qFormat/>
    <w:uiPriority w:val="99"/>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CellMar>
        <w:top w:w="0" w:type="dxa"/>
        <w:left w:w="0" w:type="dxa"/>
        <w:bottom w:w="0" w:type="dxa"/>
        <w:right w:w="0" w:type="dxa"/>
      </w:tblCellMar>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12" w:space="0"/>
        </w:tcBorders>
      </w:tcPr>
    </w:tblStylePr>
    <w:tblStylePr w:type="lastRow">
      <w:rPr>
        <w:b/>
        <w:color w:val="B3A2C7" w:themeColor="accent4" w:themeTint="99"/>
        <w14:textFill>
          <w14:solidFill>
            <w14:schemeClr w14:val="accent4">
              <w14:lumMod w14:val="60000"/>
              <w14:lumOff w14:val="40000"/>
            </w14:schemeClr>
          </w14:solidFill>
        </w14:textFill>
      </w:r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E5DFEC" w:themeColor="accent4" w:themeTint="34" w:fill="E5DFEC" w:themeFill="accent4" w:themeFillTint="34"/>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05">
    <w:name w:val="Grid Table 6 Colorful - Accent 5"/>
    <w:qFormat/>
    <w:uiPriority w:val="99"/>
    <w:tblPr>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CellMar>
        <w:top w:w="0" w:type="dxa"/>
        <w:left w:w="0" w:type="dxa"/>
        <w:bottom w:w="0" w:type="dxa"/>
        <w:right w:w="0" w:type="dxa"/>
      </w:tblCellMar>
    </w:tblPr>
    <w:tblStylePr w:type="firstRow">
      <w:rPr>
        <w:b/>
        <w:color w:val="266778" w:themeColor="accent5" w:themeShade="94"/>
      </w:rPr>
      <w:tcPr>
        <w:tcBorders>
          <w:bottom w:val="single" w:color="4BACC6" w:themeColor="accent5"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DAEEF3" w:themeColor="accent5" w:themeTint="34" w:fill="DAEEF3" w:themeFill="accent5" w:themeFillTint="34"/>
      </w:tcPr>
    </w:tblStylePr>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style>
  <w:style w:type="table" w:customStyle="1" w:styleId="106">
    <w:name w:val="Grid Table 6 Colorful - Accent 6"/>
    <w:qFormat/>
    <w:uiPriority w:val="99"/>
    <w:tblPr>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CellMar>
        <w:top w:w="0" w:type="dxa"/>
        <w:left w:w="0" w:type="dxa"/>
        <w:bottom w:w="0" w:type="dxa"/>
        <w:right w:w="0" w:type="dxa"/>
      </w:tblCellMar>
    </w:tblPr>
    <w:tblStylePr w:type="firstRow">
      <w:rPr>
        <w:b/>
        <w:color w:val="266778" w:themeColor="accent5" w:themeShade="94"/>
      </w:rPr>
      <w:tcPr>
        <w:tcBorders>
          <w:bottom w:val="single" w:color="F79646" w:themeColor="accent6"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FDE9D9" w:themeColor="accent6" w:themeTint="34" w:fill="FDE9D9" w:themeFill="accent6" w:themeFillTint="34"/>
      </w:tcPr>
    </w:tblStylePr>
    <w:tblStylePr w:type="band1Horz">
      <w:rPr>
        <w:rFonts w:ascii="Arial" w:hAnsi="Arial"/>
        <w:color w:val="266778" w:themeColor="accent5" w:themeShade="94"/>
        <w:sz w:val="22"/>
      </w:rPr>
      <w:tcPr>
        <w:shd w:val="clear" w:color="FDE9D9" w:themeColor="accent6" w:themeTint="34" w:fill="FDE9D9" w:themeFill="accent6" w:themeFillTint="34"/>
      </w:tcPr>
    </w:tblStylePr>
    <w:tblStylePr w:type="band2Horz">
      <w:rPr>
        <w:rFonts w:ascii="Arial" w:hAnsi="Arial"/>
        <w:color w:val="266778" w:themeColor="accent5" w:themeShade="94"/>
        <w:sz w:val="22"/>
      </w:rPr>
    </w:tblStylePr>
  </w:style>
  <w:style w:type="table" w:customStyle="1" w:styleId="107">
    <w:name w:val="网格表 7 彩色1"/>
    <w:qFormat/>
    <w:uiPriority w:val="99"/>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CellMar>
        <w:top w:w="0" w:type="dxa"/>
        <w:left w:w="0" w:type="dxa"/>
        <w:bottom w:w="0" w:type="dxa"/>
        <w:right w:w="0" w:type="dxa"/>
      </w:tblCellMar>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08">
    <w:name w:val="Grid Table 7 Colorful - Accent 1"/>
    <w:qFormat/>
    <w:uiPriority w:val="99"/>
    <w:tblPr>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CellMar>
        <w:top w:w="0" w:type="dxa"/>
        <w:left w:w="0" w:type="dxa"/>
        <w:bottom w:w="0" w:type="dxa"/>
        <w:right w:w="0" w:type="dxa"/>
      </w:tblCellMar>
    </w:tblPr>
    <w:tblStylePr w:type="firstRow">
      <w:rPr>
        <w:rFonts w:ascii="Arial" w:hAnsi="Arial"/>
        <w:b/>
        <w:color w:val="A7C0DE" w:themeColor="accent1" w:themeTint="80"/>
        <w:sz w:val="22"/>
        <w14:textFill>
          <w14:solidFill>
            <w14:schemeClr w14:val="accent1">
              <w14:lumMod w14:val="50000"/>
              <w14:lumOff w14:val="50000"/>
            </w14:schemeClr>
          </w14:solidFill>
        </w14:textFill>
      </w:rPr>
      <w:tcPr>
        <w:tcBorders>
          <w:top w:val="nil"/>
          <w:left w:val="nil"/>
          <w:bottom w:val="single" w:color="A6BFDD" w:themeColor="accent1" w:themeTint="80" w:sz="4" w:space="0"/>
          <w:right w:val="nil"/>
        </w:tcBorders>
        <w:shd w:val="clear" w:color="FFFFFF" w:themeColor="light1" w:fill="FFFFFF" w:themeFill="light1"/>
      </w:tcPr>
    </w:tblStylePr>
    <w:tblStylePr w:type="lastRow">
      <w:rPr>
        <w:rFonts w:ascii="Arial" w:hAnsi="Arial"/>
        <w:b/>
        <w:color w:val="A7C0DE" w:themeColor="accent1" w:themeTint="80"/>
        <w:sz w:val="22"/>
        <w14:textFill>
          <w14:solidFill>
            <w14:schemeClr w14:val="accent1">
              <w14:lumMod w14:val="50000"/>
              <w14:lumOff w14:val="50000"/>
            </w14:schemeClr>
          </w14:solidFill>
        </w14:textFill>
      </w:rPr>
      <w:tcPr>
        <w:tcBorders>
          <w:top w:val="single" w:color="A6BFDD"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nil"/>
          <w:bottom w:val="nil"/>
          <w:right w:val="single" w:color="A6BFDD" w:themeColor="accent1" w:themeTint="80" w:sz="4" w:space="0"/>
        </w:tcBorders>
        <w:shd w:val="clear" w:color="FFFFFF" w:fill="auto"/>
      </w:tcPr>
    </w:tblStylePr>
    <w:tblStylePr w:type="lastCol">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single" w:color="A6BFDD" w:themeColor="accent1" w:themeTint="80" w:sz="4" w:space="0"/>
          <w:bottom w:val="nil"/>
          <w:right w:val="nil"/>
        </w:tcBorders>
        <w:shd w:val="clear" w:color="FFFFFF" w:fill="auto"/>
      </w:tcPr>
    </w:tblStylePr>
    <w:tblStylePr w:type="band1Vert">
      <w:tcPr>
        <w:shd w:val="clear" w:color="DBE5F1" w:themeColor="accent1" w:themeTint="34" w:fill="DBE5F1" w:themeFill="accent1" w:themeFillTint="34"/>
      </w:tc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style>
  <w:style w:type="table" w:customStyle="1" w:styleId="109">
    <w:name w:val="Grid Table 7 Colorful - Accent 2"/>
    <w:qFormat/>
    <w:uiPriority w:val="99"/>
    <w:tblPr>
      <w:tblBorders>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CellMar>
        <w:top w:w="0" w:type="dxa"/>
        <w:left w:w="0" w:type="dxa"/>
        <w:bottom w:w="0" w:type="dxa"/>
        <w:right w:w="0" w:type="dxa"/>
      </w:tblCellMar>
    </w:tblPr>
    <w:tblStylePr w:type="firstRow">
      <w:rPr>
        <w:rFonts w:ascii="Arial" w:hAnsi="Arial"/>
        <w:b/>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b/>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F2DCDC" w:themeColor="accent2" w:themeTint="32" w:fill="F2DCDC" w:themeFill="accent2" w:themeFillTint="32"/>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10">
    <w:name w:val="Grid Table 7 Colorful - Accent 3"/>
    <w:qFormat/>
    <w:uiPriority w:val="99"/>
    <w:tblPr>
      <w:tblBorders>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CellMar>
        <w:top w:w="0" w:type="dxa"/>
        <w:left w:w="0" w:type="dxa"/>
        <w:bottom w:w="0" w:type="dxa"/>
        <w:right w:w="0" w:type="dxa"/>
      </w:tblCellMar>
    </w:tblPr>
    <w:tblStylePr w:type="firstRow">
      <w:rPr>
        <w:rFonts w:ascii="Arial" w:hAnsi="Arial"/>
        <w:b/>
        <w:color w:val="9BBB59" w:themeColor="accent3" w:themeTint="FF"/>
        <w:sz w:val="22"/>
        <w14:textFill>
          <w14:solidFill>
            <w14:schemeClr w14:val="accent3">
              <w14:lumMod w14:val="100000"/>
              <w14:lumOff w14:val="0"/>
            </w14:schemeClr>
          </w14:solidFill>
        </w14:textFill>
      </w:rPr>
      <w:tcPr>
        <w:tcBorders>
          <w:top w:val="nil"/>
          <w:left w:val="nil"/>
          <w:bottom w:val="single" w:color="9BBB59" w:themeColor="accent3" w:themeTint="FE" w:sz="4" w:space="0"/>
          <w:right w:val="nil"/>
        </w:tcBorders>
        <w:shd w:val="clear" w:color="FFFFFF" w:themeColor="light1" w:fill="FFFFFF" w:themeFill="light1"/>
      </w:tcPr>
    </w:tblStylePr>
    <w:tblStylePr w:type="lastRow">
      <w:rPr>
        <w:rFonts w:ascii="Arial" w:hAnsi="Arial"/>
        <w:b/>
        <w:color w:val="9BBB59" w:themeColor="accent3" w:themeTint="FF"/>
        <w:sz w:val="22"/>
        <w14:textFill>
          <w14:solidFill>
            <w14:schemeClr w14:val="accent3">
              <w14:lumMod w14:val="100000"/>
              <w14:lumOff w14:val="0"/>
            </w14:schemeClr>
          </w14:solidFill>
        </w14:textFill>
      </w:rPr>
      <w:tcPr>
        <w:tcBorders>
          <w:top w:val="single" w:color="9BBB59"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9BBB59" w:themeColor="accent3" w:themeTint="FF"/>
        <w:sz w:val="22"/>
        <w14:textFill>
          <w14:solidFill>
            <w14:schemeClr w14:val="accent3">
              <w14:lumMod w14:val="100000"/>
              <w14:lumOff w14:val="0"/>
            </w14:schemeClr>
          </w14:solidFill>
        </w14:textFill>
      </w:rPr>
      <w:tcPr>
        <w:tcBorders>
          <w:top w:val="nil"/>
          <w:left w:val="nil"/>
          <w:bottom w:val="nil"/>
          <w:right w:val="single" w:color="9BBB59" w:themeColor="accent3" w:themeTint="FE" w:sz="4" w:space="0"/>
        </w:tcBorders>
        <w:shd w:val="clear" w:color="FFFFFF" w:fill="auto"/>
      </w:tcPr>
    </w:tblStylePr>
    <w:tblStylePr w:type="lastCol">
      <w:rPr>
        <w:rFonts w:ascii="Arial" w:hAnsi="Arial"/>
        <w:i/>
        <w:color w:val="9BBB59" w:themeColor="accent3" w:themeTint="FF"/>
        <w:sz w:val="22"/>
        <w14:textFill>
          <w14:solidFill>
            <w14:schemeClr w14:val="accent3">
              <w14:lumMod w14:val="100000"/>
              <w14:lumOff w14:val="0"/>
            </w14:schemeClr>
          </w14:solidFill>
        </w14:textFill>
      </w:rPr>
      <w:tcPr>
        <w:tcBorders>
          <w:top w:val="nil"/>
          <w:left w:val="single" w:color="9BBB59" w:themeColor="accent3" w:themeTint="FE" w:sz="4" w:space="0"/>
          <w:bottom w:val="nil"/>
          <w:right w:val="nil"/>
        </w:tcBorders>
        <w:shd w:val="clear" w:color="FFFFFF" w:fill="auto"/>
      </w:tcPr>
    </w:tblStylePr>
    <w:tblStylePr w:type="band1Vert">
      <w:tcPr>
        <w:shd w:val="clear" w:color="EAF1DD" w:themeColor="accent3" w:themeTint="34" w:fill="EAF1DD" w:themeFill="accent3" w:themeFillTint="34"/>
      </w:tcPr>
    </w:tblStylePr>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EAF1DD" w:themeColor="accent3" w:themeTint="34"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style>
  <w:style w:type="table" w:customStyle="1" w:styleId="111">
    <w:name w:val="Grid Table 7 Colorful - Accent 4"/>
    <w:qFormat/>
    <w:uiPriority w:val="99"/>
    <w:tblPr>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CellMar>
        <w:top w:w="0" w:type="dxa"/>
        <w:left w:w="0" w:type="dxa"/>
        <w:bottom w:w="0" w:type="dxa"/>
        <w:right w:w="0" w:type="dxa"/>
      </w:tblCellMar>
    </w:tblPr>
    <w:tblStylePr w:type="firstRow">
      <w:rPr>
        <w:rFonts w:ascii="Arial" w:hAnsi="Arial"/>
        <w:b/>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b/>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E5DFEC" w:themeColor="accent4" w:themeTint="34" w:fill="E5DFEC" w:themeFill="accent4" w:themeFillTint="34"/>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12">
    <w:name w:val="Grid Table 7 Colorful - Accent 5"/>
    <w:qFormat/>
    <w:uiPriority w:val="99"/>
    <w:tblPr>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CellMar>
        <w:top w:w="0" w:type="dxa"/>
        <w:left w:w="0" w:type="dxa"/>
        <w:bottom w:w="0" w:type="dxa"/>
        <w:right w:w="0" w:type="dxa"/>
      </w:tblCellMar>
    </w:tblPr>
    <w:tblStylePr w:type="firstRow">
      <w:rPr>
        <w:rFonts w:ascii="Arial" w:hAnsi="Arial"/>
        <w:b/>
        <w:color w:val="266778" w:themeColor="accent5" w:themeShade="94"/>
        <w:sz w:val="22"/>
      </w:rPr>
      <w:tcPr>
        <w:tcBorders>
          <w:top w:val="nil"/>
          <w:left w:val="nil"/>
          <w:bottom w:val="single" w:color="99D0DE" w:themeColor="accent5" w:themeTint="90" w:sz="4" w:space="0"/>
          <w:right w:val="nil"/>
        </w:tcBorders>
        <w:shd w:val="clear" w:color="FFFFFF" w:themeColor="light1" w:fill="FFFFFF" w:themeFill="light1"/>
      </w:tcPr>
    </w:tblStylePr>
    <w:tblStylePr w:type="lastRow">
      <w:rPr>
        <w:rFonts w:ascii="Arial" w:hAnsi="Arial"/>
        <w:b/>
        <w:color w:val="266778" w:themeColor="accent5" w:themeShade="94"/>
        <w:sz w:val="22"/>
      </w:rPr>
      <w:tcPr>
        <w:tcBorders>
          <w:top w:val="single" w:color="99D0DE"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266778" w:themeColor="accent5" w:themeShade="94"/>
        <w:sz w:val="22"/>
      </w:rPr>
      <w:tcPr>
        <w:tcBorders>
          <w:top w:val="nil"/>
          <w:left w:val="nil"/>
          <w:bottom w:val="nil"/>
          <w:right w:val="single" w:color="99D0DE" w:themeColor="accent5" w:themeTint="90" w:sz="4" w:space="0"/>
        </w:tcBorders>
        <w:shd w:val="clear" w:color="FFFFFF" w:fill="auto"/>
      </w:tcPr>
    </w:tblStylePr>
    <w:tblStylePr w:type="lastCol">
      <w:rPr>
        <w:rFonts w:ascii="Arial" w:hAnsi="Arial"/>
        <w:i/>
        <w:color w:val="266778" w:themeColor="accent5" w:themeShade="94"/>
        <w:sz w:val="22"/>
      </w:rPr>
      <w:tcPr>
        <w:tcBorders>
          <w:top w:val="nil"/>
          <w:left w:val="single" w:color="99D0DE" w:themeColor="accent5" w:themeTint="90" w:sz="4" w:space="0"/>
          <w:bottom w:val="nil"/>
          <w:right w:val="nil"/>
        </w:tcBorders>
        <w:shd w:val="clear" w:color="FFFFFF" w:fill="auto"/>
      </w:tcPr>
    </w:tblStylePr>
    <w:tblStylePr w:type="band1Vert">
      <w:tcPr>
        <w:shd w:val="clear" w:color="DAEEF3" w:themeColor="accent5" w:themeTint="34" w:fill="DAEEF3" w:themeFill="accent5" w:themeFillTint="34"/>
      </w:tcPr>
    </w:tblStylePr>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style>
  <w:style w:type="table" w:customStyle="1" w:styleId="113">
    <w:name w:val="Grid Table 7 Colorful - Accent 6"/>
    <w:qFormat/>
    <w:uiPriority w:val="99"/>
    <w:tblPr>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CellMar>
        <w:top w:w="0" w:type="dxa"/>
        <w:left w:w="0" w:type="dxa"/>
        <w:bottom w:w="0" w:type="dxa"/>
        <w:right w:w="0" w:type="dxa"/>
      </w:tblCellMar>
    </w:tblPr>
    <w:tblStylePr w:type="firstRow">
      <w:rPr>
        <w:rFonts w:ascii="Arial" w:hAnsi="Arial"/>
        <w:b/>
        <w:color w:val="B05408" w:themeColor="accent6" w:themeShade="94"/>
        <w:sz w:val="22"/>
      </w:rPr>
      <w:tcPr>
        <w:tcBorders>
          <w:top w:val="nil"/>
          <w:left w:val="nil"/>
          <w:bottom w:val="single" w:color="FAC396" w:themeColor="accent6" w:themeTint="90" w:sz="4" w:space="0"/>
          <w:right w:val="nil"/>
        </w:tcBorders>
        <w:shd w:val="clear" w:color="FFFFFF" w:themeColor="light1" w:fill="FFFFFF" w:themeFill="light1"/>
      </w:tcPr>
    </w:tblStylePr>
    <w:tblStylePr w:type="lastRow">
      <w:rPr>
        <w:rFonts w:ascii="Arial" w:hAnsi="Arial"/>
        <w:b/>
        <w:color w:val="B05408" w:themeColor="accent6" w:themeShade="94"/>
        <w:sz w:val="22"/>
      </w:rPr>
      <w:tcPr>
        <w:tcBorders>
          <w:top w:val="single" w:color="FAC396"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B05408" w:themeColor="accent6" w:themeShade="94"/>
        <w:sz w:val="22"/>
      </w:rPr>
      <w:tcPr>
        <w:tcBorders>
          <w:top w:val="nil"/>
          <w:left w:val="nil"/>
          <w:bottom w:val="nil"/>
          <w:right w:val="single" w:color="FAC396" w:themeColor="accent6" w:themeTint="90" w:sz="4" w:space="0"/>
        </w:tcBorders>
        <w:shd w:val="clear" w:color="FFFFFF" w:fill="auto"/>
      </w:tcPr>
    </w:tblStylePr>
    <w:tblStylePr w:type="lastCol">
      <w:rPr>
        <w:rFonts w:ascii="Arial" w:hAnsi="Arial"/>
        <w:i/>
        <w:color w:val="B05408" w:themeColor="accent6" w:themeShade="94"/>
        <w:sz w:val="22"/>
      </w:rPr>
      <w:tcPr>
        <w:tcBorders>
          <w:top w:val="nil"/>
          <w:left w:val="single" w:color="FAC396" w:themeColor="accent6" w:themeTint="90" w:sz="4" w:space="0"/>
          <w:bottom w:val="nil"/>
          <w:right w:val="nil"/>
        </w:tcBorders>
        <w:shd w:val="clear" w:color="FFFFFF" w:fill="auto"/>
      </w:tcPr>
    </w:tblStylePr>
    <w:tblStylePr w:type="band1Vert">
      <w:tcPr>
        <w:shd w:val="clear" w:color="FDE9D9" w:themeColor="accent6" w:themeTint="34" w:fill="FDE9D9" w:themeFill="accent6" w:themeFillTint="34"/>
      </w:tcPr>
    </w:tblStylePr>
    <w:tblStylePr w:type="band1Horz">
      <w:rPr>
        <w:rFonts w:ascii="Arial" w:hAnsi="Arial"/>
        <w:color w:val="B05408" w:themeColor="accent6" w:themeShade="94"/>
        <w:sz w:val="22"/>
      </w:rPr>
      <w:tcPr>
        <w:shd w:val="clear" w:color="FDE9D9" w:themeColor="accent6" w:themeTint="34" w:fill="FDE9D9" w:themeFill="accent6" w:themeFillTint="34"/>
      </w:tcPr>
    </w:tblStylePr>
    <w:tblStylePr w:type="band2Horz">
      <w:rPr>
        <w:rFonts w:ascii="Arial" w:hAnsi="Arial"/>
        <w:color w:val="B05408" w:themeColor="accent6" w:themeShade="94"/>
        <w:sz w:val="22"/>
      </w:rPr>
    </w:tblStylePr>
  </w:style>
  <w:style w:type="table" w:customStyle="1" w:styleId="114">
    <w:name w:val="清单表 1 浅色1"/>
    <w:qFormat/>
    <w:uiPriority w:val="99"/>
    <w:tblPr>
      <w:tblCellMar>
        <w:top w:w="0" w:type="dxa"/>
        <w:left w:w="0" w:type="dxa"/>
        <w:bottom w:w="0" w:type="dxa"/>
        <w:right w:w="0" w:type="dxa"/>
      </w:tblCellMar>
    </w:tbl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1Horz">
      <w:tcPr>
        <w:shd w:val="clear" w:color="BEBEBE" w:themeColor="text1" w:themeTint="40" w:fill="BEBEBE" w:themeFill="text1" w:themeFillTint="40"/>
      </w:tcPr>
    </w:tblStylePr>
  </w:style>
  <w:style w:type="table" w:customStyle="1" w:styleId="115">
    <w:name w:val="List Table 1 Light - Accent 1"/>
    <w:qFormat/>
    <w:uiPriority w:val="99"/>
    <w:tblPr>
      <w:tblCellMar>
        <w:top w:w="0" w:type="dxa"/>
        <w:left w:w="0" w:type="dxa"/>
        <w:bottom w:w="0" w:type="dxa"/>
        <w:right w:w="0" w:type="dxa"/>
      </w:tblCellMar>
    </w:tblPr>
    <w:tblStylePr w:type="firstRow">
      <w:rPr>
        <w:b/>
        <w:color w:val="404040"/>
      </w:rPr>
      <w:tcPr>
        <w:tcBorders>
          <w:top w:val="nil"/>
          <w:left w:val="nil"/>
          <w:bottom w:val="single" w:color="4F81BD" w:themeColor="accent1" w:sz="4" w:space="0"/>
          <w:right w:val="nil"/>
        </w:tcBorders>
      </w:tcPr>
    </w:tblStylePr>
    <w:tblStylePr w:type="lastRow">
      <w:rPr>
        <w:b/>
        <w:color w:val="404040"/>
      </w:rPr>
      <w:tcPr>
        <w:tcBorders>
          <w:top w:val="single" w:color="4F81BD"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2DFEE" w:themeColor="accent1" w:themeTint="40" w:fill="D2DFEE" w:themeFill="accent1" w:themeFillTint="40"/>
      </w:tcPr>
    </w:tblStylePr>
    <w:tblStylePr w:type="band1Horz">
      <w:tcPr>
        <w:shd w:val="clear" w:color="D2DFEE" w:themeColor="accent1" w:themeTint="40" w:fill="D2DFEE" w:themeFill="accent1" w:themeFillTint="40"/>
      </w:tcPr>
    </w:tblStylePr>
  </w:style>
  <w:style w:type="table" w:customStyle="1" w:styleId="116">
    <w:name w:val="List Table 1 Light - Accent 2"/>
    <w:qFormat/>
    <w:uiPriority w:val="99"/>
    <w:tblPr>
      <w:tblCellMar>
        <w:top w:w="0" w:type="dxa"/>
        <w:left w:w="0" w:type="dxa"/>
        <w:bottom w:w="0" w:type="dxa"/>
        <w:right w:w="0" w:type="dxa"/>
      </w:tblCellMar>
    </w:tblPr>
    <w:tblStylePr w:type="firstRow">
      <w:rPr>
        <w:b/>
        <w:color w:val="404040"/>
      </w:rPr>
      <w:tcPr>
        <w:tcBorders>
          <w:top w:val="nil"/>
          <w:left w:val="nil"/>
          <w:bottom w:val="single" w:color="C0504D" w:themeColor="accent2" w:sz="4" w:space="0"/>
          <w:right w:val="nil"/>
        </w:tcBorders>
      </w:tcPr>
    </w:tblStylePr>
    <w:tblStylePr w:type="lastRow">
      <w:rPr>
        <w:b/>
        <w:color w:val="404040"/>
      </w:rPr>
      <w:tcPr>
        <w:tcBorders>
          <w:top w:val="single" w:color="C0504D"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FD3D2" w:themeColor="accent2" w:themeTint="40" w:fill="EFD3D2" w:themeFill="accent2" w:themeFillTint="40"/>
      </w:tcPr>
    </w:tblStylePr>
    <w:tblStylePr w:type="band1Horz">
      <w:tcPr>
        <w:shd w:val="clear" w:color="EFD3D2" w:themeColor="accent2" w:themeTint="40" w:fill="EFD3D2" w:themeFill="accent2" w:themeFillTint="40"/>
      </w:tcPr>
    </w:tblStylePr>
  </w:style>
  <w:style w:type="table" w:customStyle="1" w:styleId="117">
    <w:name w:val="List Table 1 Light - Accent 3"/>
    <w:qFormat/>
    <w:uiPriority w:val="99"/>
    <w:tblPr>
      <w:tblCellMar>
        <w:top w:w="0" w:type="dxa"/>
        <w:left w:w="0" w:type="dxa"/>
        <w:bottom w:w="0" w:type="dxa"/>
        <w:right w:w="0" w:type="dxa"/>
      </w:tblCellMar>
    </w:tblPr>
    <w:tblStylePr w:type="firstRow">
      <w:rPr>
        <w:b/>
        <w:color w:val="404040"/>
      </w:rPr>
      <w:tcPr>
        <w:tcBorders>
          <w:top w:val="nil"/>
          <w:left w:val="nil"/>
          <w:bottom w:val="single" w:color="9BBB59" w:themeColor="accent3" w:sz="4" w:space="0"/>
          <w:right w:val="nil"/>
        </w:tcBorders>
      </w:tcPr>
    </w:tblStylePr>
    <w:tblStylePr w:type="lastRow">
      <w:rPr>
        <w:b/>
        <w:color w:val="404040"/>
      </w:rPr>
      <w:tcPr>
        <w:tcBorders>
          <w:top w:val="single" w:color="9BBB59"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5EDD5" w:themeColor="accent3" w:themeTint="40" w:fill="E5EDD5" w:themeFill="accent3" w:themeFillTint="40"/>
      </w:tcPr>
    </w:tblStylePr>
    <w:tblStylePr w:type="band1Horz">
      <w:tcPr>
        <w:shd w:val="clear" w:color="E5EDD5" w:themeColor="accent3" w:themeTint="40" w:fill="E5EDD5" w:themeFill="accent3" w:themeFillTint="40"/>
      </w:tcPr>
    </w:tblStylePr>
  </w:style>
  <w:style w:type="table" w:customStyle="1" w:styleId="118">
    <w:name w:val="List Table 1 Light - Accent 4"/>
    <w:qFormat/>
    <w:uiPriority w:val="99"/>
    <w:tblPr>
      <w:tblCellMar>
        <w:top w:w="0" w:type="dxa"/>
        <w:left w:w="0" w:type="dxa"/>
        <w:bottom w:w="0" w:type="dxa"/>
        <w:right w:w="0" w:type="dxa"/>
      </w:tblCellMar>
    </w:tblPr>
    <w:tblStylePr w:type="firstRow">
      <w:rPr>
        <w:b/>
        <w:color w:val="404040"/>
      </w:rPr>
      <w:tcPr>
        <w:tcBorders>
          <w:top w:val="nil"/>
          <w:left w:val="nil"/>
          <w:bottom w:val="single" w:color="8064A2" w:themeColor="accent4" w:sz="4" w:space="0"/>
          <w:right w:val="nil"/>
        </w:tcBorders>
      </w:tcPr>
    </w:tblStylePr>
    <w:tblStylePr w:type="lastRow">
      <w:rPr>
        <w:b/>
        <w:color w:val="404040"/>
      </w:rPr>
      <w:tcPr>
        <w:tcBorders>
          <w:top w:val="single" w:color="8064A2"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FD8E7" w:themeColor="accent4" w:themeTint="40" w:fill="DFD8E7" w:themeFill="accent4" w:themeFillTint="40"/>
      </w:tcPr>
    </w:tblStylePr>
    <w:tblStylePr w:type="band1Horz">
      <w:tcPr>
        <w:shd w:val="clear" w:color="DFD8E7" w:themeColor="accent4" w:themeTint="40" w:fill="DFD8E7" w:themeFill="accent4" w:themeFillTint="40"/>
      </w:tcPr>
    </w:tblStylePr>
  </w:style>
  <w:style w:type="table" w:customStyle="1" w:styleId="119">
    <w:name w:val="List Table 1 Light - Accent 5"/>
    <w:qFormat/>
    <w:uiPriority w:val="99"/>
    <w:tblPr>
      <w:tblCellMar>
        <w:top w:w="0" w:type="dxa"/>
        <w:left w:w="0" w:type="dxa"/>
        <w:bottom w:w="0" w:type="dxa"/>
        <w:right w:w="0" w:type="dxa"/>
      </w:tblCellMar>
    </w:tblPr>
    <w:tblStylePr w:type="firstRow">
      <w:rPr>
        <w:b/>
        <w:color w:val="404040"/>
      </w:rPr>
      <w:tcPr>
        <w:tcBorders>
          <w:top w:val="nil"/>
          <w:left w:val="nil"/>
          <w:bottom w:val="single" w:color="4BACC6" w:themeColor="accent5" w:sz="4" w:space="0"/>
          <w:right w:val="nil"/>
        </w:tcBorders>
      </w:tcPr>
    </w:tblStylePr>
    <w:tblStylePr w:type="lastRow">
      <w:rPr>
        <w:b/>
        <w:color w:val="404040"/>
      </w:rPr>
      <w:tcPr>
        <w:tcBorders>
          <w:top w:val="single" w:color="4BACC6"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1EAF0" w:themeColor="accent5" w:themeTint="40" w:fill="D1EAF0" w:themeFill="accent5" w:themeFillTint="40"/>
      </w:tcPr>
    </w:tblStylePr>
    <w:tblStylePr w:type="band1Horz">
      <w:tcPr>
        <w:shd w:val="clear" w:color="D1EAF0" w:themeColor="accent5" w:themeTint="40" w:fill="D1EAF0" w:themeFill="accent5" w:themeFillTint="40"/>
      </w:tcPr>
    </w:tblStylePr>
  </w:style>
  <w:style w:type="table" w:customStyle="1" w:styleId="120">
    <w:name w:val="List Table 1 Light - Accent 6"/>
    <w:qFormat/>
    <w:uiPriority w:val="99"/>
    <w:tblPr>
      <w:tblCellMar>
        <w:top w:w="0" w:type="dxa"/>
        <w:left w:w="0" w:type="dxa"/>
        <w:bottom w:w="0" w:type="dxa"/>
        <w:right w:w="0" w:type="dxa"/>
      </w:tblCellMar>
    </w:tblPr>
    <w:tblStylePr w:type="firstRow">
      <w:rPr>
        <w:b/>
        <w:color w:val="404040"/>
      </w:rPr>
      <w:tcPr>
        <w:tcBorders>
          <w:top w:val="nil"/>
          <w:left w:val="nil"/>
          <w:bottom w:val="single" w:color="F79646" w:themeColor="accent6" w:sz="4" w:space="0"/>
          <w:right w:val="nil"/>
        </w:tcBorders>
      </w:tcPr>
    </w:tblStylePr>
    <w:tblStylePr w:type="lastRow">
      <w:rPr>
        <w:b/>
        <w:color w:val="404040"/>
      </w:rPr>
      <w:tcPr>
        <w:tcBorders>
          <w:top w:val="single" w:color="F79646"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CE4D0" w:themeColor="accent6" w:themeTint="40" w:fill="FCE4D0" w:themeFill="accent6" w:themeFillTint="40"/>
      </w:tcPr>
    </w:tblStylePr>
    <w:tblStylePr w:type="band1Horz">
      <w:tcPr>
        <w:shd w:val="clear" w:color="FCE4D0" w:themeColor="accent6" w:themeTint="40" w:fill="FCE4D0" w:themeFill="accent6" w:themeFillTint="40"/>
      </w:tcPr>
    </w:tblStylePr>
  </w:style>
  <w:style w:type="table" w:customStyle="1" w:styleId="121">
    <w:name w:val="清单表 21"/>
    <w:qFormat/>
    <w:uiPriority w:val="99"/>
    <w:tblPr>
      <w:tblBorders>
        <w:top w:val="single" w:color="6E6E6E" w:themeColor="text1" w:themeTint="90" w:sz="4" w:space="0"/>
        <w:bottom w:val="single" w:color="6E6E6E" w:themeColor="text1" w:themeTint="90" w:sz="4" w:space="0"/>
        <w:insideH w:val="single" w:color="6E6E6E" w:themeColor="text1" w:themeTint="90" w:sz="4" w:space="0"/>
      </w:tblBorders>
      <w:tblCellMar>
        <w:top w:w="0" w:type="dxa"/>
        <w:left w:w="0" w:type="dxa"/>
        <w:bottom w:w="0" w:type="dxa"/>
        <w:right w:w="0" w:type="dxa"/>
      </w:tblCellMar>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22">
    <w:name w:val="List Table 2 - Accent 1"/>
    <w:qFormat/>
    <w:uiPriority w:val="99"/>
    <w:tblPr>
      <w:tblBorders>
        <w:top w:val="single" w:color="9BB7D9" w:themeColor="accent1" w:themeTint="90" w:sz="4" w:space="0"/>
        <w:bottom w:val="single" w:color="9BB7D9" w:themeColor="accent1" w:themeTint="90" w:sz="4" w:space="0"/>
        <w:insideH w:val="single" w:color="9BB7D9" w:themeColor="accent1" w:themeTint="90" w:sz="4" w:space="0"/>
      </w:tblBorders>
      <w:tblCellMar>
        <w:top w:w="0" w:type="dxa"/>
        <w:left w:w="0" w:type="dxa"/>
        <w:bottom w:w="0" w:type="dxa"/>
        <w:right w:w="0" w:type="dxa"/>
      </w:tblCellMar>
    </w:tblPr>
    <w:tblStylePr w:type="fir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la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customStyle="1" w:styleId="123">
    <w:name w:val="List Table 2 - Accent 2"/>
    <w:qFormat/>
    <w:uiPriority w:val="99"/>
    <w:tblPr>
      <w:tblBorders>
        <w:top w:val="single" w:color="DB9C9A" w:themeColor="accent2" w:themeTint="90" w:sz="4" w:space="0"/>
        <w:bottom w:val="single" w:color="DB9C9A" w:themeColor="accent2" w:themeTint="90" w:sz="4" w:space="0"/>
        <w:insideH w:val="single" w:color="DB9C9A" w:themeColor="accent2" w:themeTint="90" w:sz="4" w:space="0"/>
      </w:tblBorders>
      <w:tblCellMar>
        <w:top w:w="0" w:type="dxa"/>
        <w:left w:w="0" w:type="dxa"/>
        <w:bottom w:w="0" w:type="dxa"/>
        <w:right w:w="0" w:type="dxa"/>
      </w:tblCellMar>
    </w:tblPr>
    <w:tblStylePr w:type="fir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la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FD3D2" w:themeColor="accent2" w:themeTint="40" w:fill="EFD3D2" w:themeFill="accent2" w:themeFillTint="40"/>
      </w:tcPr>
    </w:tblStylePr>
    <w:tblStylePr w:type="band1Horz">
      <w:rPr>
        <w:rFonts w:ascii="Arial" w:hAnsi="Arial"/>
        <w:color w:val="404040"/>
        <w:sz w:val="22"/>
      </w:rPr>
      <w:tcPr>
        <w:shd w:val="clear" w:color="EFD3D2" w:themeColor="accent2" w:themeTint="40" w:fill="EFD3D2" w:themeFill="accent2" w:themeFillTint="40"/>
      </w:tcPr>
    </w:tblStylePr>
  </w:style>
  <w:style w:type="table" w:customStyle="1" w:styleId="124">
    <w:name w:val="List Table 2 - Accent 3"/>
    <w:qFormat/>
    <w:uiPriority w:val="99"/>
    <w:tblPr>
      <w:tblBorders>
        <w:top w:val="single" w:color="C6D8A1" w:themeColor="accent3" w:themeTint="90" w:sz="4" w:space="0"/>
        <w:bottom w:val="single" w:color="C6D8A1" w:themeColor="accent3" w:themeTint="90" w:sz="4" w:space="0"/>
        <w:insideH w:val="single" w:color="C6D8A1" w:themeColor="accent3" w:themeTint="90" w:sz="4" w:space="0"/>
      </w:tblBorders>
      <w:tblCellMar>
        <w:top w:w="0" w:type="dxa"/>
        <w:left w:w="0" w:type="dxa"/>
        <w:bottom w:w="0" w:type="dxa"/>
        <w:right w:w="0" w:type="dxa"/>
      </w:tblCellMar>
    </w:tblPr>
    <w:tblStylePr w:type="fir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la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5EDD5" w:themeColor="accent3" w:themeTint="40" w:fill="E5EDD5" w:themeFill="accent3" w:themeFillTint="40"/>
      </w:tcPr>
    </w:tblStylePr>
    <w:tblStylePr w:type="band1Horz">
      <w:rPr>
        <w:rFonts w:ascii="Arial" w:hAnsi="Arial"/>
        <w:color w:val="404040"/>
        <w:sz w:val="22"/>
      </w:rPr>
      <w:tcPr>
        <w:shd w:val="clear" w:color="E5EDD5" w:themeColor="accent3" w:themeTint="40" w:fill="E5EDD5" w:themeFill="accent3" w:themeFillTint="40"/>
      </w:tcPr>
    </w:tblStylePr>
  </w:style>
  <w:style w:type="table" w:customStyle="1" w:styleId="125">
    <w:name w:val="List Table 2 - Accent 4"/>
    <w:qFormat/>
    <w:uiPriority w:val="99"/>
    <w:tblPr>
      <w:tblBorders>
        <w:top w:val="single" w:color="B7A7CA" w:themeColor="accent4" w:themeTint="90" w:sz="4" w:space="0"/>
        <w:bottom w:val="single" w:color="B7A7CA" w:themeColor="accent4" w:themeTint="90" w:sz="4" w:space="0"/>
        <w:insideH w:val="single" w:color="B7A7CA" w:themeColor="accent4" w:themeTint="90" w:sz="4" w:space="0"/>
      </w:tblBorders>
      <w:tblCellMar>
        <w:top w:w="0" w:type="dxa"/>
        <w:left w:w="0" w:type="dxa"/>
        <w:bottom w:w="0" w:type="dxa"/>
        <w:right w:w="0" w:type="dxa"/>
      </w:tblCellMar>
    </w:tblPr>
    <w:tblStylePr w:type="fir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la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customStyle="1" w:styleId="126">
    <w:name w:val="List Table 2 - Accent 5"/>
    <w:qFormat/>
    <w:uiPriority w:val="99"/>
    <w:tblPr>
      <w:tblBorders>
        <w:top w:val="single" w:color="99D0DE" w:themeColor="accent5" w:themeTint="90" w:sz="4" w:space="0"/>
        <w:bottom w:val="single" w:color="99D0DE" w:themeColor="accent5" w:themeTint="90" w:sz="4" w:space="0"/>
        <w:insideH w:val="single" w:color="99D0DE" w:themeColor="accent5" w:themeTint="90" w:sz="4" w:space="0"/>
      </w:tblBorders>
      <w:tblCellMar>
        <w:top w:w="0" w:type="dxa"/>
        <w:left w:w="0" w:type="dxa"/>
        <w:bottom w:w="0" w:type="dxa"/>
        <w:right w:w="0" w:type="dxa"/>
      </w:tblCellMar>
    </w:tblPr>
    <w:tblStylePr w:type="fir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la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customStyle="1" w:styleId="127">
    <w:name w:val="List Table 2 - Accent 6"/>
    <w:qFormat/>
    <w:uiPriority w:val="99"/>
    <w:tblPr>
      <w:tblBorders>
        <w:top w:val="single" w:color="FAC396" w:themeColor="accent6" w:themeTint="90" w:sz="4" w:space="0"/>
        <w:bottom w:val="single" w:color="FAC396" w:themeColor="accent6" w:themeTint="90" w:sz="4" w:space="0"/>
        <w:insideH w:val="single" w:color="FAC396" w:themeColor="accent6" w:themeTint="90" w:sz="4" w:space="0"/>
      </w:tblBorders>
      <w:tblCellMar>
        <w:top w:w="0" w:type="dxa"/>
        <w:left w:w="0" w:type="dxa"/>
        <w:bottom w:w="0" w:type="dxa"/>
        <w:right w:w="0" w:type="dxa"/>
      </w:tblCellMar>
    </w:tblPr>
    <w:tblStylePr w:type="fir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la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CE4D0" w:themeColor="accent6" w:themeTint="40" w:fill="FCE4D0" w:themeFill="accent6" w:themeFillTint="40"/>
      </w:tcPr>
    </w:tblStylePr>
    <w:tblStylePr w:type="band1Horz">
      <w:rPr>
        <w:rFonts w:ascii="Arial" w:hAnsi="Arial"/>
        <w:color w:val="404040"/>
        <w:sz w:val="22"/>
      </w:rPr>
      <w:tcPr>
        <w:shd w:val="clear" w:color="FCE4D0" w:themeColor="accent6" w:themeTint="40" w:fill="FCE4D0" w:themeFill="accent6" w:themeFillTint="40"/>
      </w:tcPr>
    </w:tblStylePr>
  </w:style>
  <w:style w:type="table" w:customStyle="1" w:styleId="128">
    <w:name w:val="清单表 31"/>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tblBorders>
      <w:tblCellMar>
        <w:top w:w="0" w:type="dxa"/>
        <w:left w:w="0" w:type="dxa"/>
        <w:bottom w:w="0" w:type="dxa"/>
        <w:right w:w="0" w:type="dxa"/>
      </w:tblCellMar>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1Horz">
      <w:rPr>
        <w:rFonts w:ascii="Arial" w:hAnsi="Arial"/>
        <w:color w:val="404040"/>
        <w:sz w:val="22"/>
      </w:rPr>
      <w:tcPr>
        <w:tcBorders>
          <w:top w:val="single" w:color="000000" w:themeColor="text1" w:sz="4" w:space="0"/>
          <w:bottom w:val="single" w:color="000000" w:themeColor="text1" w:sz="4" w:space="0"/>
        </w:tcBorders>
      </w:tcPr>
    </w:tblStylePr>
  </w:style>
  <w:style w:type="table" w:customStyle="1" w:styleId="129">
    <w:name w:val="List Table 3 - Accent 1"/>
    <w:qFormat/>
    <w:uiPriority w:val="99"/>
    <w:tblPr>
      <w:tblBorders>
        <w:top w:val="single" w:color="4F81BD" w:themeColor="accent1" w:sz="4" w:space="0"/>
        <w:left w:val="single" w:color="4F81BD" w:themeColor="accent1" w:sz="4" w:space="0"/>
        <w:bottom w:val="single" w:color="4F81BD" w:themeColor="accent1" w:sz="4" w:space="0"/>
        <w:right w:val="single" w:color="4F81BD" w:themeColor="accent1" w:sz="4" w:space="0"/>
      </w:tblBorders>
      <w:tblCellMar>
        <w:top w:w="0" w:type="dxa"/>
        <w:left w:w="0" w:type="dxa"/>
        <w:bottom w:w="0" w:type="dxa"/>
        <w:right w:w="0" w:type="dxa"/>
      </w:tblCellMar>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F81BD" w:themeColor="accent1" w:sz="4" w:space="0"/>
          <w:right w:val="single" w:color="4F81BD" w:themeColor="accent1" w:sz="4" w:space="0"/>
        </w:tcBorders>
      </w:tcPr>
    </w:tblStylePr>
    <w:tblStylePr w:type="band1Horz">
      <w:rPr>
        <w:rFonts w:ascii="Arial" w:hAnsi="Arial"/>
        <w:color w:val="404040"/>
        <w:sz w:val="22"/>
      </w:rPr>
      <w:tcPr>
        <w:tcBorders>
          <w:top w:val="single" w:color="4F81BD" w:themeColor="accent1" w:sz="4" w:space="0"/>
          <w:bottom w:val="single" w:color="4F81BD" w:themeColor="accent1" w:sz="4" w:space="0"/>
        </w:tcBorders>
      </w:tcPr>
    </w:tblStylePr>
  </w:style>
  <w:style w:type="table" w:customStyle="1" w:styleId="130">
    <w:name w:val="List Table 3 - Accent 2"/>
    <w:qFormat/>
    <w:uiPriority w:val="99"/>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blBorders>
      <w:tblCellMar>
        <w:top w:w="0" w:type="dxa"/>
        <w:left w:w="0" w:type="dxa"/>
        <w:bottom w:w="0" w:type="dxa"/>
        <w:right w:w="0" w:type="dxa"/>
      </w:tblCellMar>
    </w:tblPr>
    <w:tblStylePr w:type="firstRow">
      <w:rPr>
        <w:rFonts w:ascii="Arial" w:hAnsi="Arial"/>
        <w:b/>
        <w:color w:val="FFFFFF"/>
        <w:sz w:val="22"/>
      </w:rPr>
      <w:tcPr>
        <w:shd w:val="clear" w:color="D99795" w:themeColor="accent2" w:themeTint="97" w:fill="D997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D99795" w:themeColor="accent2" w:themeTint="97" w:sz="4" w:space="0"/>
          <w:right w:val="single" w:color="D99795" w:themeColor="accent2" w:themeTint="97" w:sz="4" w:space="0"/>
        </w:tcBorders>
      </w:tcPr>
    </w:tblStylePr>
    <w:tblStylePr w:type="band1Horz">
      <w:rPr>
        <w:rFonts w:ascii="Arial" w:hAnsi="Arial"/>
        <w:color w:val="404040"/>
        <w:sz w:val="22"/>
      </w:rPr>
      <w:tcPr>
        <w:tcBorders>
          <w:top w:val="single" w:color="D99795" w:themeColor="accent2" w:themeTint="97" w:sz="4" w:space="0"/>
          <w:bottom w:val="single" w:color="D99795" w:themeColor="accent2" w:themeTint="97" w:sz="4" w:space="0"/>
        </w:tcBorders>
      </w:tcPr>
    </w:tblStylePr>
  </w:style>
  <w:style w:type="table" w:customStyle="1" w:styleId="131">
    <w:name w:val="List Table 3 - Accent 3"/>
    <w:qFormat/>
    <w:uiPriority w:val="99"/>
    <w:tblPr>
      <w:tblBorders>
        <w:top w:val="single" w:color="C3D69C" w:themeColor="accent3" w:themeTint="98" w:sz="4" w:space="0"/>
        <w:left w:val="single" w:color="C3D69C" w:themeColor="accent3" w:themeTint="98" w:sz="4" w:space="0"/>
        <w:bottom w:val="single" w:color="C3D69C" w:themeColor="accent3" w:themeTint="98" w:sz="4" w:space="0"/>
        <w:right w:val="single" w:color="C3D69C" w:themeColor="accent3" w:themeTint="98" w:sz="4" w:space="0"/>
      </w:tblBorders>
      <w:tblCellMar>
        <w:top w:w="0" w:type="dxa"/>
        <w:left w:w="0" w:type="dxa"/>
        <w:bottom w:w="0" w:type="dxa"/>
        <w:right w:w="0" w:type="dxa"/>
      </w:tblCellMar>
    </w:tblPr>
    <w:tblStylePr w:type="firstRow">
      <w:rPr>
        <w:rFonts w:ascii="Arial" w:hAnsi="Arial"/>
        <w:b/>
        <w:color w:val="FFFFFF"/>
        <w:sz w:val="22"/>
      </w:rPr>
      <w:tcPr>
        <w:shd w:val="clear" w:color="C3D69C" w:themeColor="accent3" w:themeTint="98" w:fill="C3D69C"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3D69C" w:themeColor="accent3" w:themeTint="98" w:sz="4" w:space="0"/>
          <w:right w:val="single" w:color="C3D69C" w:themeColor="accent3" w:themeTint="98" w:sz="4" w:space="0"/>
        </w:tcBorders>
      </w:tcPr>
    </w:tblStylePr>
    <w:tblStylePr w:type="band1Horz">
      <w:rPr>
        <w:rFonts w:ascii="Arial" w:hAnsi="Arial"/>
        <w:color w:val="404040"/>
        <w:sz w:val="22"/>
      </w:rPr>
      <w:tcPr>
        <w:tcBorders>
          <w:top w:val="single" w:color="C3D69C" w:themeColor="accent3" w:themeTint="98" w:sz="4" w:space="0"/>
          <w:bottom w:val="single" w:color="C3D69C" w:themeColor="accent3" w:themeTint="98" w:sz="4" w:space="0"/>
        </w:tcBorders>
      </w:tcPr>
    </w:tblStylePr>
  </w:style>
  <w:style w:type="table" w:customStyle="1" w:styleId="132">
    <w:name w:val="List Table 3 - Accent 4"/>
    <w:qFormat/>
    <w:uiPriority w:val="99"/>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CellMar>
        <w:top w:w="0" w:type="dxa"/>
        <w:left w:w="0" w:type="dxa"/>
        <w:bottom w:w="0" w:type="dxa"/>
        <w:right w:w="0" w:type="dxa"/>
      </w:tblCellMar>
    </w:tblPr>
    <w:tblStylePr w:type="firstRow">
      <w:rPr>
        <w:rFonts w:ascii="Arial" w:hAnsi="Arial"/>
        <w:b/>
        <w:color w:val="FFFFFF"/>
        <w:sz w:val="22"/>
      </w:r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band1Horz">
      <w:rPr>
        <w:rFonts w:ascii="Arial" w:hAnsi="Arial"/>
        <w:color w:val="404040"/>
        <w:sz w:val="22"/>
      </w:rPr>
      <w:tcPr>
        <w:tcBorders>
          <w:top w:val="single" w:color="B2A1C6" w:themeColor="accent4" w:themeTint="9A" w:sz="4" w:space="0"/>
          <w:bottom w:val="single" w:color="B2A1C6" w:themeColor="accent4" w:themeTint="9A" w:sz="4" w:space="0"/>
        </w:tcBorders>
      </w:tcPr>
    </w:tblStylePr>
  </w:style>
  <w:style w:type="table" w:customStyle="1" w:styleId="133">
    <w:name w:val="List Table 3 - Accent 5"/>
    <w:qFormat/>
    <w:uiPriority w:val="99"/>
    <w:tblPr>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CellMar>
        <w:top w:w="0" w:type="dxa"/>
        <w:left w:w="0" w:type="dxa"/>
        <w:bottom w:w="0" w:type="dxa"/>
        <w:right w:w="0" w:type="dxa"/>
      </w:tblCellMar>
    </w:tblPr>
    <w:tblStylePr w:type="firstRow">
      <w:rPr>
        <w:rFonts w:ascii="Arial" w:hAnsi="Arial"/>
        <w:b/>
        <w:color w:val="FFFFFF"/>
        <w:sz w:val="22"/>
      </w:r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band1Horz">
      <w:rPr>
        <w:rFonts w:ascii="Arial" w:hAnsi="Arial"/>
        <w:color w:val="404040"/>
        <w:sz w:val="22"/>
      </w:rPr>
      <w:tcPr>
        <w:tcBorders>
          <w:top w:val="single" w:color="92CCDC" w:themeColor="accent5" w:themeTint="9A" w:sz="4" w:space="0"/>
          <w:bottom w:val="single" w:color="92CCDC" w:themeColor="accent5" w:themeTint="9A" w:sz="4" w:space="0"/>
        </w:tcBorders>
      </w:tcPr>
    </w:tblStylePr>
  </w:style>
  <w:style w:type="table" w:customStyle="1" w:styleId="134">
    <w:name w:val="List Table 3 - Accent 6"/>
    <w:qFormat/>
    <w:uiPriority w:val="99"/>
    <w:tblPr>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CellMar>
        <w:top w:w="0" w:type="dxa"/>
        <w:left w:w="0" w:type="dxa"/>
        <w:bottom w:w="0" w:type="dxa"/>
        <w:right w:w="0" w:type="dxa"/>
      </w:tblCellMar>
    </w:tblPr>
    <w:tblStylePr w:type="firstRow">
      <w:rPr>
        <w:rFonts w:ascii="Arial" w:hAnsi="Arial"/>
        <w:b/>
        <w:color w:val="FFFFFF"/>
        <w:sz w:val="22"/>
      </w:r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band1Horz">
      <w:rPr>
        <w:rFonts w:ascii="Arial" w:hAnsi="Arial"/>
        <w:color w:val="404040"/>
        <w:sz w:val="22"/>
      </w:rPr>
      <w:tcPr>
        <w:tcBorders>
          <w:top w:val="single" w:color="FAC090" w:themeColor="accent6" w:themeTint="98" w:sz="4" w:space="0"/>
          <w:bottom w:val="single" w:color="FAC090" w:themeColor="accent6" w:themeTint="98" w:sz="4" w:space="0"/>
        </w:tcBorders>
      </w:tcPr>
    </w:tblStylePr>
  </w:style>
  <w:style w:type="table" w:customStyle="1" w:styleId="135">
    <w:name w:val="清单表 41"/>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CellMar>
        <w:top w:w="0" w:type="dxa"/>
        <w:left w:w="0" w:type="dxa"/>
        <w:bottom w:w="0" w:type="dxa"/>
        <w:right w:w="0" w:type="dxa"/>
      </w:tblCellMar>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36">
    <w:name w:val="List Table 4 - Accent 1"/>
    <w:qFormat/>
    <w:uiPriority w:val="99"/>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CellMar>
        <w:top w:w="0" w:type="dxa"/>
        <w:left w:w="0" w:type="dxa"/>
        <w:bottom w:w="0" w:type="dxa"/>
        <w:right w:w="0" w:type="dxa"/>
      </w:tblCellMar>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customStyle="1" w:styleId="137">
    <w:name w:val="List Table 4 - Accent 2"/>
    <w:qFormat/>
    <w:uiPriority w:val="99"/>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tblBorders>
      <w:tblCellMar>
        <w:top w:w="0" w:type="dxa"/>
        <w:left w:w="0" w:type="dxa"/>
        <w:bottom w:w="0" w:type="dxa"/>
        <w:right w:w="0" w:type="dxa"/>
      </w:tblCellMar>
    </w:tblPr>
    <w:tblStylePr w:type="firstRow">
      <w:rPr>
        <w:rFonts w:ascii="Arial" w:hAnsi="Arial"/>
        <w:b/>
        <w:color w:val="FFFFFF"/>
        <w:sz w:val="22"/>
      </w:r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FD3D2" w:themeColor="accent2" w:themeTint="40" w:fill="EFD3D2" w:themeFill="accent2" w:themeFillTint="40"/>
      </w:tcPr>
    </w:tblStylePr>
    <w:tblStylePr w:type="band1Horz">
      <w:rPr>
        <w:rFonts w:ascii="Arial" w:hAnsi="Arial"/>
        <w:color w:val="404040"/>
        <w:sz w:val="22"/>
      </w:rPr>
      <w:tcPr>
        <w:shd w:val="clear" w:color="EFD3D2" w:themeColor="accent2" w:themeTint="40" w:fill="EFD3D2" w:themeFill="accent2" w:themeFillTint="40"/>
      </w:tcPr>
    </w:tblStylePr>
  </w:style>
  <w:style w:type="table" w:customStyle="1" w:styleId="138">
    <w:name w:val="List Table 4 - Accent 3"/>
    <w:qFormat/>
    <w:uiPriority w:val="99"/>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CellMar>
        <w:top w:w="0" w:type="dxa"/>
        <w:left w:w="0" w:type="dxa"/>
        <w:bottom w:w="0" w:type="dxa"/>
        <w:right w:w="0" w:type="dxa"/>
      </w:tblCellMar>
    </w:tblPr>
    <w:tblStylePr w:type="firstRow">
      <w:rPr>
        <w:rFonts w:ascii="Arial" w:hAnsi="Arial"/>
        <w:b/>
        <w:color w:val="FFFFFF"/>
        <w:sz w:val="22"/>
      </w:r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5EDD5" w:themeColor="accent3" w:themeTint="40" w:fill="E5EDD5" w:themeFill="accent3" w:themeFillTint="40"/>
      </w:tcPr>
    </w:tblStylePr>
    <w:tblStylePr w:type="band1Horz">
      <w:rPr>
        <w:rFonts w:ascii="Arial" w:hAnsi="Arial"/>
        <w:color w:val="404040"/>
        <w:sz w:val="22"/>
      </w:rPr>
      <w:tcPr>
        <w:shd w:val="clear" w:color="E5EDD5" w:themeColor="accent3" w:themeTint="40" w:fill="E5EDD5" w:themeFill="accent3" w:themeFillTint="40"/>
      </w:tcPr>
    </w:tblStylePr>
  </w:style>
  <w:style w:type="table" w:customStyle="1" w:styleId="139">
    <w:name w:val="List Table 4 - Accent 4"/>
    <w:qFormat/>
    <w:uiPriority w:val="99"/>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CellMar>
        <w:top w:w="0" w:type="dxa"/>
        <w:left w:w="0" w:type="dxa"/>
        <w:bottom w:w="0" w:type="dxa"/>
        <w:right w:w="0" w:type="dxa"/>
      </w:tblCellMar>
    </w:tblPr>
    <w:tblStylePr w:type="firstRow">
      <w:rPr>
        <w:rFonts w:ascii="Arial" w:hAnsi="Arial"/>
        <w:b/>
        <w:color w:val="FFFFFF"/>
        <w:sz w:val="22"/>
      </w:r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customStyle="1" w:styleId="140">
    <w:name w:val="List Table 4 - Accent 5"/>
    <w:qFormat/>
    <w:uiPriority w:val="99"/>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CellMar>
        <w:top w:w="0" w:type="dxa"/>
        <w:left w:w="0" w:type="dxa"/>
        <w:bottom w:w="0" w:type="dxa"/>
        <w:right w:w="0" w:type="dxa"/>
      </w:tblCellMar>
    </w:tblPr>
    <w:tblStylePr w:type="firstRow">
      <w:rPr>
        <w:rFonts w:ascii="Arial" w:hAnsi="Arial"/>
        <w:b/>
        <w:color w:val="FFFFFF"/>
        <w:sz w:val="22"/>
      </w:r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customStyle="1" w:styleId="141">
    <w:name w:val="List Table 4 - Accent 6"/>
    <w:qFormat/>
    <w:uiPriority w:val="99"/>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CellMar>
        <w:top w:w="0" w:type="dxa"/>
        <w:left w:w="0" w:type="dxa"/>
        <w:bottom w:w="0" w:type="dxa"/>
        <w:right w:w="0" w:type="dxa"/>
      </w:tblCellMar>
    </w:tblPr>
    <w:tblStylePr w:type="firstRow">
      <w:rPr>
        <w:rFonts w:ascii="Arial" w:hAnsi="Arial"/>
        <w:b/>
        <w:color w:val="FFFFFF"/>
        <w:sz w:val="22"/>
      </w:r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CE4D0" w:themeColor="accent6" w:themeTint="40" w:fill="FCE4D0" w:themeFill="accent6" w:themeFillTint="40"/>
      </w:tcPr>
    </w:tblStylePr>
    <w:tblStylePr w:type="band1Horz">
      <w:rPr>
        <w:rFonts w:ascii="Arial" w:hAnsi="Arial"/>
        <w:color w:val="404040"/>
        <w:sz w:val="22"/>
      </w:rPr>
      <w:tcPr>
        <w:shd w:val="clear" w:color="FCE4D0" w:themeColor="accent6" w:themeTint="40" w:fill="FCE4D0" w:themeFill="accent6" w:themeFillTint="40"/>
      </w:tcPr>
    </w:tblStylePr>
  </w:style>
  <w:style w:type="table" w:customStyle="1" w:styleId="142">
    <w:name w:val="清单表 5 深色1"/>
    <w:qFormat/>
    <w:uiPriority w:val="99"/>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CellMar>
        <w:top w:w="0" w:type="dxa"/>
        <w:left w:w="0" w:type="dxa"/>
        <w:bottom w:w="0" w:type="dxa"/>
        <w:right w:w="0" w:type="dxa"/>
      </w:tblCellMar>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style>
  <w:style w:type="table" w:customStyle="1" w:styleId="143">
    <w:name w:val="List Table 5 Dark - Accent 1"/>
    <w:qFormat/>
    <w:uiPriority w:val="99"/>
    <w:tblPr>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CellMar>
        <w:top w:w="0" w:type="dxa"/>
        <w:left w:w="0" w:type="dxa"/>
        <w:bottom w:w="0" w:type="dxa"/>
        <w:right w:w="0" w:type="dxa"/>
      </w:tblCellMar>
    </w:tblPr>
    <w:tblStylePr w:type="firstRow">
      <w:rPr>
        <w:rFonts w:ascii="Arial" w:hAnsi="Arial"/>
        <w:b/>
        <w:color w:val="FFFFFF" w:themeColor="light1"/>
        <w:sz w:val="22"/>
        <w14:textFill>
          <w14:solidFill>
            <w14:schemeClr w14:val="lt1"/>
          </w14:solidFill>
        </w14:textFill>
      </w:rPr>
      <w:tcPr>
        <w:tcBorders>
          <w:top w:val="single" w:color="4F81BD" w:themeColor="accent1" w:sz="32" w:space="0"/>
          <w:bottom w:val="single" w:color="FFFFFF" w:themeColor="light1" w:sz="12" w:space="0"/>
        </w:tcBorders>
        <w:shd w:val="clear" w:color="4F81BD" w:themeColor="accent1" w:fill="4F81BD"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4F81BD" w:themeColor="accent1" w:sz="32" w:space="0"/>
          <w:right w:val="single" w:color="FFFFFF" w:themeColor="light1" w:sz="4" w:space="0"/>
        </w:tcBorders>
      </w:tcPr>
    </w:tblStylePr>
    <w:tblStylePr w:type="lastCol">
      <w:tcPr>
        <w:tcBorders>
          <w:left w:val="single" w:color="FFFFFF" w:themeColor="light1" w:sz="4" w:space="0"/>
          <w:right w:val="single" w:color="4F81BD" w:themeColor="accent1" w:sz="32" w:space="0"/>
        </w:tcBorders>
      </w:tcPr>
    </w:tblStylePr>
    <w:tblStylePr w:type="band1Vert">
      <w:tcPr>
        <w:tcBorders>
          <w:left w:val="single" w:color="FFFFFF" w:themeColor="light1" w:sz="4" w:space="0"/>
          <w:right w:val="single" w:color="FFFFFF" w:themeColor="light1" w:sz="4" w:space="0"/>
        </w:tcBorders>
        <w:shd w:val="clear" w:color="4F81BD" w:themeColor="accent1" w:fill="4F81BD"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4F81BD" w:themeColor="accent1" w:fill="4F81BD" w:themeFill="accent1"/>
      </w:tcPr>
    </w:tblStylePr>
    <w:tblStylePr w:type="band2Horz">
      <w:tcPr>
        <w:tcBorders>
          <w:top w:val="single" w:color="FFFFFF" w:themeColor="light1" w:sz="4" w:space="0"/>
          <w:bottom w:val="single" w:color="FFFFFF" w:themeColor="light1" w:sz="4" w:space="0"/>
        </w:tcBorders>
        <w:shd w:val="clear" w:color="4F81BD" w:themeColor="accent1" w:fill="4F81BD" w:themeFill="accent1"/>
      </w:tcPr>
    </w:tblStylePr>
  </w:style>
  <w:style w:type="table" w:customStyle="1" w:styleId="144">
    <w:name w:val="List Table 5 Dark - Accent 2"/>
    <w:qFormat/>
    <w:uiPriority w:val="99"/>
    <w:tblPr>
      <w:tblBorders>
        <w:top w:val="single" w:color="D99795" w:themeColor="accent2" w:themeTint="97" w:sz="32" w:space="0"/>
        <w:left w:val="single" w:color="D99795" w:themeColor="accent2" w:themeTint="97" w:sz="32" w:space="0"/>
        <w:bottom w:val="single" w:color="D99795" w:themeColor="accent2" w:themeTint="97" w:sz="32" w:space="0"/>
        <w:right w:val="single" w:color="D99795" w:themeColor="accent2" w:themeTint="97" w:sz="32" w:space="0"/>
      </w:tblBorders>
      <w:tblCellMar>
        <w:top w:w="0" w:type="dxa"/>
        <w:left w:w="0" w:type="dxa"/>
        <w:bottom w:w="0" w:type="dxa"/>
        <w:right w:w="0" w:type="dxa"/>
      </w:tblCellMar>
    </w:tblPr>
    <w:tblStylePr w:type="firstRow">
      <w:rPr>
        <w:rFonts w:ascii="Arial" w:hAnsi="Arial"/>
        <w:b/>
        <w:color w:val="FFFFFF" w:themeColor="light1"/>
        <w:sz w:val="22"/>
        <w14:textFill>
          <w14:solidFill>
            <w14:schemeClr w14:val="lt1"/>
          </w14:solidFill>
        </w14:textFill>
      </w:rPr>
      <w:tcPr>
        <w:tcBorders>
          <w:top w:val="single" w:color="D99795" w:themeColor="accent2" w:themeTint="97" w:sz="32" w:space="0"/>
          <w:bottom w:val="single" w:color="FFFFFF" w:themeColor="light1" w:sz="12" w:space="0"/>
        </w:tcBorders>
        <w:shd w:val="clear" w:color="D99795" w:themeColor="accent2" w:themeTint="97" w:fill="D99795"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D99795" w:themeColor="accent2" w:themeTint="97" w:sz="32" w:space="0"/>
          <w:right w:val="single" w:color="FFFFFF" w:themeColor="light1" w:sz="4" w:space="0"/>
        </w:tcBorders>
      </w:tcPr>
    </w:tblStylePr>
    <w:tblStylePr w:type="lastCol">
      <w:tcPr>
        <w:tcBorders>
          <w:left w:val="single" w:color="FFFFFF" w:themeColor="light1" w:sz="4" w:space="0"/>
          <w:right w:val="single" w:color="D99795" w:themeColor="accent2" w:themeTint="97" w:sz="32" w:space="0"/>
        </w:tcBorders>
      </w:tcPr>
    </w:tblStylePr>
    <w:tblStylePr w:type="band1Vert">
      <w:tcPr>
        <w:tcBorders>
          <w:left w:val="single" w:color="FFFFFF" w:themeColor="light1" w:sz="4" w:space="0"/>
          <w:right w:val="single" w:color="FFFFFF" w:themeColor="light1" w:sz="4" w:space="0"/>
        </w:tcBorders>
        <w:shd w:val="clear" w:color="D99795" w:themeColor="accent2" w:themeTint="97" w:fill="D9979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tblStylePr w:type="band2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style>
  <w:style w:type="table" w:customStyle="1" w:styleId="145">
    <w:name w:val="List Table 5 Dark - Accent 3"/>
    <w:qFormat/>
    <w:uiPriority w:val="99"/>
    <w:tblPr>
      <w:tblBorders>
        <w:top w:val="single" w:color="C3D69C" w:themeColor="accent3" w:themeTint="98" w:sz="32" w:space="0"/>
        <w:left w:val="single" w:color="C3D69C" w:themeColor="accent3" w:themeTint="98" w:sz="32" w:space="0"/>
        <w:bottom w:val="single" w:color="C3D69C" w:themeColor="accent3" w:themeTint="98" w:sz="32" w:space="0"/>
        <w:right w:val="single" w:color="C3D69C" w:themeColor="accent3" w:themeTint="98" w:sz="32" w:space="0"/>
      </w:tblBorders>
      <w:tblCellMar>
        <w:top w:w="0" w:type="dxa"/>
        <w:left w:w="0" w:type="dxa"/>
        <w:bottom w:w="0" w:type="dxa"/>
        <w:right w:w="0" w:type="dxa"/>
      </w:tblCellMar>
    </w:tblPr>
    <w:tblStylePr w:type="firstRow">
      <w:rPr>
        <w:rFonts w:ascii="Arial" w:hAnsi="Arial"/>
        <w:b/>
        <w:color w:val="FFFFFF" w:themeColor="light1"/>
        <w:sz w:val="22"/>
        <w14:textFill>
          <w14:solidFill>
            <w14:schemeClr w14:val="lt1"/>
          </w14:solidFill>
        </w14:textFill>
      </w:rPr>
      <w:tcPr>
        <w:tcBorders>
          <w:top w:val="single" w:color="C3D69C" w:themeColor="accent3" w:themeTint="98" w:sz="32" w:space="0"/>
          <w:bottom w:val="single" w:color="FFFFFF" w:themeColor="light1" w:sz="12" w:space="0"/>
        </w:tcBorders>
        <w:shd w:val="clear" w:color="C3D69C" w:themeColor="accent3" w:themeTint="98" w:fill="C3D69C"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C3D69C" w:themeColor="accent3" w:themeTint="98" w:sz="32" w:space="0"/>
          <w:right w:val="single" w:color="FFFFFF" w:themeColor="light1" w:sz="4" w:space="0"/>
        </w:tcBorders>
      </w:tcPr>
    </w:tblStylePr>
    <w:tblStylePr w:type="lastCol">
      <w:tcPr>
        <w:tcBorders>
          <w:left w:val="single" w:color="FFFFFF" w:themeColor="light1" w:sz="4" w:space="0"/>
          <w:right w:val="single" w:color="C3D69C" w:themeColor="accent3" w:themeTint="98" w:sz="32" w:space="0"/>
        </w:tcBorders>
      </w:tcPr>
    </w:tblStylePr>
    <w:tblStylePr w:type="band1Vert">
      <w:tcPr>
        <w:tcBorders>
          <w:left w:val="single" w:color="FFFFFF" w:themeColor="light1" w:sz="4" w:space="0"/>
          <w:right w:val="single" w:color="FFFFFF" w:themeColor="light1" w:sz="4" w:space="0"/>
        </w:tcBorders>
        <w:shd w:val="clear" w:color="C3D69C" w:themeColor="accent3" w:themeTint="98" w:fill="C3D69C"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tblStylePr w:type="band2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style>
  <w:style w:type="table" w:customStyle="1" w:styleId="146">
    <w:name w:val="List Table 5 Dark - Accent 4"/>
    <w:qFormat/>
    <w:uiPriority w:val="99"/>
    <w:tblPr>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CellMar>
        <w:top w:w="0" w:type="dxa"/>
        <w:left w:w="0" w:type="dxa"/>
        <w:bottom w:w="0" w:type="dxa"/>
        <w:right w:w="0" w:type="dxa"/>
      </w:tblCellMar>
    </w:tblPr>
    <w:tblStylePr w:type="firstRow">
      <w:rPr>
        <w:rFonts w:ascii="Arial" w:hAnsi="Arial"/>
        <w:b/>
        <w:color w:val="FFFFFF" w:themeColor="light1"/>
        <w:sz w:val="22"/>
        <w14:textFill>
          <w14:solidFill>
            <w14:schemeClr w14:val="lt1"/>
          </w14:solidFill>
        </w14:textFill>
      </w:rPr>
      <w:tcPr>
        <w:tcBorders>
          <w:top w:val="single" w:color="B2A1C6" w:themeColor="accent4" w:themeTint="9A" w:sz="32" w:space="0"/>
          <w:bottom w:val="single" w:color="FFFFFF" w:themeColor="light1" w:sz="12" w:space="0"/>
        </w:tcBorders>
        <w:shd w:val="clear" w:color="B2A1C6" w:themeColor="accent4" w:themeTint="9A" w:fill="B2A1C6"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B2A1C6" w:themeColor="accent4" w:themeTint="9A" w:sz="32" w:space="0"/>
          <w:right w:val="single" w:color="FFFFFF" w:themeColor="light1" w:sz="4" w:space="0"/>
        </w:tcBorders>
      </w:tcPr>
    </w:tblStylePr>
    <w:tblStylePr w:type="lastCol">
      <w:tcPr>
        <w:tcBorders>
          <w:left w:val="single" w:color="FFFFFF" w:themeColor="light1" w:sz="4" w:space="0"/>
          <w:right w:val="single" w:color="B2A1C6" w:themeColor="accent4" w:themeTint="9A" w:sz="32" w:space="0"/>
        </w:tcBorders>
      </w:tcPr>
    </w:tblStylePr>
    <w:tblStylePr w:type="band1Vert">
      <w:tcPr>
        <w:tcBorders>
          <w:left w:val="single" w:color="FFFFFF" w:themeColor="light1" w:sz="4" w:space="0"/>
          <w:right w:val="single" w:color="FFFFFF" w:themeColor="light1" w:sz="4" w:space="0"/>
        </w:tcBorders>
        <w:shd w:val="clear" w:color="B2A1C6" w:themeColor="accent4" w:themeTint="9A" w:fill="B2A1C6"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band2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style>
  <w:style w:type="table" w:customStyle="1" w:styleId="147">
    <w:name w:val="List Table 5 Dark - Accent 5"/>
    <w:qFormat/>
    <w:uiPriority w:val="99"/>
    <w:tblPr>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CellMar>
        <w:top w:w="0" w:type="dxa"/>
        <w:left w:w="0" w:type="dxa"/>
        <w:bottom w:w="0" w:type="dxa"/>
        <w:right w:w="0" w:type="dxa"/>
      </w:tblCellMar>
    </w:tblPr>
    <w:tblStylePr w:type="firstRow">
      <w:rPr>
        <w:rFonts w:ascii="Arial" w:hAnsi="Arial"/>
        <w:b/>
        <w:color w:val="FFFFFF" w:themeColor="light1"/>
        <w:sz w:val="22"/>
        <w14:textFill>
          <w14:solidFill>
            <w14:schemeClr w14:val="lt1"/>
          </w14:solidFill>
        </w14:textFill>
      </w:rPr>
      <w:tcPr>
        <w:tcBorders>
          <w:top w:val="single" w:color="92CCDC" w:themeColor="accent5" w:themeTint="9A" w:sz="32" w:space="0"/>
          <w:bottom w:val="single" w:color="FFFFFF" w:themeColor="light1" w:sz="12" w:space="0"/>
        </w:tcBorders>
        <w:shd w:val="clear" w:color="92CCDC" w:themeColor="accent5" w:themeTint="9A" w:fill="92CCDC"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92CCDC" w:themeColor="accent5" w:themeTint="9A" w:sz="32" w:space="0"/>
          <w:right w:val="single" w:color="FFFFFF" w:themeColor="light1" w:sz="4" w:space="0"/>
        </w:tcBorders>
      </w:tcPr>
    </w:tblStylePr>
    <w:tblStylePr w:type="lastCol">
      <w:tcPr>
        <w:tcBorders>
          <w:left w:val="single" w:color="FFFFFF" w:themeColor="light1" w:sz="4" w:space="0"/>
          <w:right w:val="single" w:color="92CCDC" w:themeColor="accent5" w:themeTint="9A" w:sz="32" w:space="0"/>
        </w:tcBorders>
      </w:tcPr>
    </w:tblStylePr>
    <w:tblStylePr w:type="band1Vert">
      <w:tcPr>
        <w:tcBorders>
          <w:left w:val="single" w:color="FFFFFF" w:themeColor="light1" w:sz="4" w:space="0"/>
          <w:right w:val="single" w:color="FFFFFF" w:themeColor="light1" w:sz="4" w:space="0"/>
        </w:tcBorders>
        <w:shd w:val="clear" w:color="92CCDC" w:themeColor="accent5" w:themeTint="9A" w:fill="92CCDC"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band2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style>
  <w:style w:type="table" w:customStyle="1" w:styleId="148">
    <w:name w:val="List Table 5 Dark - Accent 6"/>
    <w:qFormat/>
    <w:uiPriority w:val="99"/>
    <w:tblPr>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CellMar>
        <w:top w:w="0" w:type="dxa"/>
        <w:left w:w="0" w:type="dxa"/>
        <w:bottom w:w="0" w:type="dxa"/>
        <w:right w:w="0" w:type="dxa"/>
      </w:tblCellMar>
    </w:tblPr>
    <w:tblStylePr w:type="firstRow">
      <w:rPr>
        <w:rFonts w:ascii="Arial" w:hAnsi="Arial"/>
        <w:b/>
        <w:color w:val="FFFFFF" w:themeColor="light1"/>
        <w:sz w:val="22"/>
        <w14:textFill>
          <w14:solidFill>
            <w14:schemeClr w14:val="lt1"/>
          </w14:solidFill>
        </w14:textFill>
      </w:rPr>
      <w:tcPr>
        <w:tcBorders>
          <w:top w:val="single" w:color="FAC090" w:themeColor="accent6" w:themeTint="98" w:sz="32" w:space="0"/>
          <w:bottom w:val="single" w:color="FFFFFF" w:themeColor="light1" w:sz="12" w:space="0"/>
        </w:tcBorders>
        <w:shd w:val="clear" w:color="FAC090" w:themeColor="accent6" w:themeTint="98" w:fill="FAC090"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AC090" w:themeColor="accent6" w:themeTint="98" w:sz="32" w:space="0"/>
          <w:right w:val="single" w:color="FFFFFF" w:themeColor="light1" w:sz="4" w:space="0"/>
        </w:tcBorders>
      </w:tcPr>
    </w:tblStylePr>
    <w:tblStylePr w:type="lastCol">
      <w:tcPr>
        <w:tcBorders>
          <w:left w:val="single" w:color="FFFFFF" w:themeColor="light1" w:sz="4" w:space="0"/>
          <w:right w:val="single" w:color="FAC090" w:themeColor="accent6" w:themeTint="98" w:sz="32" w:space="0"/>
        </w:tcBorders>
      </w:tcPr>
    </w:tblStylePr>
    <w:tblStylePr w:type="band1Vert">
      <w:tcPr>
        <w:tcBorders>
          <w:left w:val="single" w:color="FFFFFF" w:themeColor="light1" w:sz="4" w:space="0"/>
          <w:right w:val="single" w:color="FFFFFF" w:themeColor="light1" w:sz="4" w:space="0"/>
        </w:tcBorders>
        <w:shd w:val="clear" w:color="FAC090" w:themeColor="accent6" w:themeTint="98" w:fill="FAC090"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band2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style>
  <w:style w:type="table" w:customStyle="1" w:styleId="149">
    <w:name w:val="清单表 6 彩色1"/>
    <w:qFormat/>
    <w:uiPriority w:val="99"/>
    <w:tblPr>
      <w:tblBorders>
        <w:top w:val="single" w:color="7E7E7E" w:themeColor="text1" w:themeTint="80" w:sz="4" w:space="0"/>
        <w:bottom w:val="single" w:color="7E7E7E" w:themeColor="text1" w:themeTint="80" w:sz="4" w:space="0"/>
      </w:tblBorders>
      <w:tblCellMar>
        <w:top w:w="0" w:type="dxa"/>
        <w:left w:w="0" w:type="dxa"/>
        <w:bottom w:w="0" w:type="dxa"/>
        <w:right w:w="0" w:type="dxa"/>
      </w:tblCellMar>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style>
  <w:style w:type="table" w:customStyle="1" w:styleId="150">
    <w:name w:val="List Table 6 Colorful - Accent 1"/>
    <w:qFormat/>
    <w:uiPriority w:val="99"/>
    <w:tblPr>
      <w:tblBorders>
        <w:top w:val="single" w:color="4F81BD" w:themeColor="accent1" w:sz="4" w:space="0"/>
        <w:bottom w:val="single" w:color="4F81BD" w:themeColor="accent1" w:sz="4" w:space="0"/>
      </w:tblBorders>
      <w:tblCellMar>
        <w:top w:w="0" w:type="dxa"/>
        <w:left w:w="0" w:type="dxa"/>
        <w:bottom w:w="0" w:type="dxa"/>
        <w:right w:w="0" w:type="dxa"/>
      </w:tblCellMar>
    </w:tblPr>
    <w:tblStylePr w:type="firstRow">
      <w:rPr>
        <w:b/>
        <w:color w:val="2A4B71" w:themeColor="accent1" w:themeShade="94"/>
      </w:rPr>
      <w:tcPr>
        <w:tcBorders>
          <w:bottom w:val="single" w:color="4F81BD" w:themeColor="accent1" w:sz="4" w:space="0"/>
        </w:tcBorders>
      </w:tcPr>
    </w:tblStylePr>
    <w:tblStylePr w:type="lastRow">
      <w:rPr>
        <w:b/>
        <w:color w:val="2A4B71" w:themeColor="accent1" w:themeShade="94"/>
      </w:rPr>
      <w:tcPr>
        <w:tcBorders>
          <w:top w:val="single" w:color="4F81BD" w:themeColor="accent1" w:sz="4" w:space="0"/>
        </w:tcBorders>
      </w:tcPr>
    </w:tblStylePr>
    <w:tblStylePr w:type="firstCol">
      <w:rPr>
        <w:b/>
        <w:color w:val="2A4B71" w:themeColor="accent1" w:themeShade="94"/>
      </w:rPr>
    </w:tblStylePr>
    <w:tblStylePr w:type="lastCol">
      <w:rPr>
        <w:b/>
        <w:color w:val="2A4B71" w:themeColor="accent1" w:themeShade="94"/>
      </w:rPr>
    </w:tblStylePr>
    <w:tblStylePr w:type="band1Vert">
      <w:tcPr>
        <w:shd w:val="clear" w:color="D2DFEE" w:themeColor="accent1" w:themeTint="40" w:fill="D2DFEE" w:themeFill="accent1" w:themeFillTint="40"/>
      </w:tcPr>
    </w:tblStylePr>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style>
  <w:style w:type="table" w:customStyle="1" w:styleId="151">
    <w:name w:val="List Table 6 Colorful - Accent 2"/>
    <w:qFormat/>
    <w:uiPriority w:val="99"/>
    <w:tblPr>
      <w:tblBorders>
        <w:top w:val="single" w:color="D99795" w:themeColor="accent2" w:themeTint="97" w:sz="4" w:space="0"/>
        <w:bottom w:val="single" w:color="D99795" w:themeColor="accent2" w:themeTint="97" w:sz="4" w:space="0"/>
      </w:tblBorders>
      <w:tblCellMar>
        <w:top w:w="0" w:type="dxa"/>
        <w:left w:w="0" w:type="dxa"/>
        <w:bottom w:w="0" w:type="dxa"/>
        <w:right w:w="0" w:type="dxa"/>
      </w:tblCellMar>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4" w:space="0"/>
        </w:tcBorders>
      </w:tcPr>
    </w:tblStylePr>
    <w:tblStylePr w:type="lastRow">
      <w:rPr>
        <w:b/>
        <w:color w:val="DA9896" w:themeColor="accent2" w:themeTint="96"/>
        <w14:textFill>
          <w14:solidFill>
            <w14:schemeClr w14:val="accent2">
              <w14:lumMod w14:val="59000"/>
              <w14:lumOff w14:val="41000"/>
            </w14:schemeClr>
          </w14:solidFill>
        </w14:textFill>
      </w:rPr>
      <w:tcPr>
        <w:tcBorders>
          <w:top w:val="single" w:color="D99795" w:themeColor="accent2" w:themeTint="97" w:sz="4" w:space="0"/>
        </w:tcBorders>
      </w:tc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EFD3D2" w:themeColor="accent2" w:themeTint="40" w:fill="EFD3D2" w:themeFill="accent2" w:themeFillTint="40"/>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52">
    <w:name w:val="List Table 6 Colorful - Accent 3"/>
    <w:qFormat/>
    <w:uiPriority w:val="99"/>
    <w:tblPr>
      <w:tblBorders>
        <w:top w:val="single" w:color="C3D69C" w:themeColor="accent3" w:themeTint="98" w:sz="4" w:space="0"/>
        <w:bottom w:val="single" w:color="C3D69C" w:themeColor="accent3" w:themeTint="98" w:sz="4" w:space="0"/>
      </w:tblBorders>
      <w:tblCellMar>
        <w:top w:w="0" w:type="dxa"/>
        <w:left w:w="0" w:type="dxa"/>
        <w:bottom w:w="0" w:type="dxa"/>
        <w:right w:w="0" w:type="dxa"/>
      </w:tblCellMar>
    </w:tblPr>
    <w:tblStylePr w:type="firstRow">
      <w:rPr>
        <w:b/>
        <w:color w:val="C3D69B" w:themeColor="accent3" w:themeTint="99"/>
        <w14:textFill>
          <w14:solidFill>
            <w14:schemeClr w14:val="accent3">
              <w14:lumMod w14:val="60000"/>
              <w14:lumOff w14:val="40000"/>
            </w14:schemeClr>
          </w14:solidFill>
        </w14:textFill>
      </w:rPr>
      <w:tcPr>
        <w:tcBorders>
          <w:bottom w:val="single" w:color="C3D69C" w:themeColor="accent3" w:themeTint="98" w:sz="4" w:space="0"/>
        </w:tcBorders>
      </w:tcPr>
    </w:tblStylePr>
    <w:tblStylePr w:type="lastRow">
      <w:rPr>
        <w:b/>
        <w:color w:val="C3D69B" w:themeColor="accent3" w:themeTint="99"/>
        <w14:textFill>
          <w14:solidFill>
            <w14:schemeClr w14:val="accent3">
              <w14:lumMod w14:val="60000"/>
              <w14:lumOff w14:val="40000"/>
            </w14:schemeClr>
          </w14:solidFill>
        </w14:textFill>
      </w:rPr>
      <w:tcPr>
        <w:tcBorders>
          <w:top w:val="single" w:color="C3D69C" w:themeColor="accent3" w:themeTint="98" w:sz="4" w:space="0"/>
        </w:tcBorders>
      </w:tcPr>
    </w:tblStylePr>
    <w:tblStylePr w:type="firstCol">
      <w:rPr>
        <w:b/>
        <w:color w:val="C3D69B" w:themeColor="accent3" w:themeTint="99"/>
        <w14:textFill>
          <w14:solidFill>
            <w14:schemeClr w14:val="accent3">
              <w14:lumMod w14:val="60000"/>
              <w14:lumOff w14:val="40000"/>
            </w14:schemeClr>
          </w14:solidFill>
        </w14:textFill>
      </w:rPr>
    </w:tblStylePr>
    <w:tblStylePr w:type="lastCol">
      <w:rPr>
        <w:b/>
        <w:color w:val="C3D69B" w:themeColor="accent3" w:themeTint="99"/>
        <w14:textFill>
          <w14:solidFill>
            <w14:schemeClr w14:val="accent3">
              <w14:lumMod w14:val="60000"/>
              <w14:lumOff w14:val="40000"/>
            </w14:schemeClr>
          </w14:solidFill>
        </w14:textFill>
      </w:rPr>
    </w:tblStylePr>
    <w:tblStylePr w:type="band1Vert">
      <w:tcPr>
        <w:shd w:val="clear" w:color="E5EDD5" w:themeColor="accent3" w:themeTint="40" w:fill="E5EDD5" w:themeFill="accent3" w:themeFillTint="40"/>
      </w:tc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style>
  <w:style w:type="table" w:customStyle="1" w:styleId="153">
    <w:name w:val="List Table 6 Colorful - Accent 4"/>
    <w:qFormat/>
    <w:uiPriority w:val="99"/>
    <w:tblPr>
      <w:tblBorders>
        <w:top w:val="single" w:color="B2A1C6" w:themeColor="accent4" w:themeTint="9A" w:sz="4" w:space="0"/>
        <w:bottom w:val="single" w:color="B2A1C6" w:themeColor="accent4" w:themeTint="9A" w:sz="4" w:space="0"/>
      </w:tblBorders>
      <w:tblCellMar>
        <w:top w:w="0" w:type="dxa"/>
        <w:left w:w="0" w:type="dxa"/>
        <w:bottom w:w="0" w:type="dxa"/>
        <w:right w:w="0" w:type="dxa"/>
      </w:tblCellMar>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4" w:space="0"/>
        </w:tcBorders>
      </w:tcPr>
    </w:tblStylePr>
    <w:tblStylePr w:type="lastRow">
      <w:rPr>
        <w:b/>
        <w:color w:val="B3A2C7" w:themeColor="accent4" w:themeTint="99"/>
        <w14:textFill>
          <w14:solidFill>
            <w14:schemeClr w14:val="accent4">
              <w14:lumMod w14:val="60000"/>
              <w14:lumOff w14:val="40000"/>
            </w14:schemeClr>
          </w14:solidFill>
        </w14:textFill>
      </w:rPr>
      <w:tcPr>
        <w:tcBorders>
          <w:top w:val="single" w:color="B2A1C6" w:themeColor="accent4" w:themeTint="9A" w:sz="4" w:space="0"/>
        </w:tcBorders>
      </w:tc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DFD8E7" w:themeColor="accent4" w:themeTint="40" w:fill="DFD8E7" w:themeFill="accent4" w:themeFillTint="40"/>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54">
    <w:name w:val="List Table 6 Colorful - Accent 5"/>
    <w:qFormat/>
    <w:uiPriority w:val="99"/>
    <w:tblPr>
      <w:tblBorders>
        <w:top w:val="single" w:color="92CCDC" w:themeColor="accent5" w:themeTint="9A" w:sz="4" w:space="0"/>
        <w:bottom w:val="single" w:color="92CCDC" w:themeColor="accent5" w:themeTint="9A" w:sz="4" w:space="0"/>
      </w:tblBorders>
      <w:tblCellMar>
        <w:top w:w="0" w:type="dxa"/>
        <w:left w:w="0" w:type="dxa"/>
        <w:bottom w:w="0" w:type="dxa"/>
        <w:right w:w="0" w:type="dxa"/>
      </w:tblCellMar>
    </w:tblPr>
    <w:tblStylePr w:type="firstRow">
      <w:rPr>
        <w:b/>
        <w:color w:val="93CDDD" w:themeColor="accent5" w:themeTint="99"/>
        <w14:textFill>
          <w14:solidFill>
            <w14:schemeClr w14:val="accent5">
              <w14:lumMod w14:val="60000"/>
              <w14:lumOff w14:val="40000"/>
            </w14:schemeClr>
          </w14:solidFill>
        </w14:textFill>
      </w:rPr>
      <w:tcPr>
        <w:tcBorders>
          <w:bottom w:val="single" w:color="92CCDC" w:themeColor="accent5" w:themeTint="9A" w:sz="4" w:space="0"/>
        </w:tcBorders>
      </w:tcPr>
    </w:tblStylePr>
    <w:tblStylePr w:type="lastRow">
      <w:rPr>
        <w:b/>
        <w:color w:val="93CDDD" w:themeColor="accent5" w:themeTint="99"/>
        <w14:textFill>
          <w14:solidFill>
            <w14:schemeClr w14:val="accent5">
              <w14:lumMod w14:val="60000"/>
              <w14:lumOff w14:val="40000"/>
            </w14:schemeClr>
          </w14:solidFill>
        </w14:textFill>
      </w:rPr>
      <w:tcPr>
        <w:tcBorders>
          <w:top w:val="single" w:color="92CCDC" w:themeColor="accent5" w:themeTint="9A" w:sz="4" w:space="0"/>
        </w:tcBorders>
      </w:tcPr>
    </w:tblStylePr>
    <w:tblStylePr w:type="firstCol">
      <w:rPr>
        <w:b/>
        <w:color w:val="93CDDD" w:themeColor="accent5" w:themeTint="99"/>
        <w14:textFill>
          <w14:solidFill>
            <w14:schemeClr w14:val="accent5">
              <w14:lumMod w14:val="60000"/>
              <w14:lumOff w14:val="40000"/>
            </w14:schemeClr>
          </w14:solidFill>
        </w14:textFill>
      </w:rPr>
    </w:tblStylePr>
    <w:tblStylePr w:type="lastCol">
      <w:rPr>
        <w:b/>
        <w:color w:val="93CDDD" w:themeColor="accent5" w:themeTint="99"/>
        <w14:textFill>
          <w14:solidFill>
            <w14:schemeClr w14:val="accent5">
              <w14:lumMod w14:val="60000"/>
              <w14:lumOff w14:val="40000"/>
            </w14:schemeClr>
          </w14:solidFill>
        </w14:textFill>
      </w:rPr>
    </w:tblStylePr>
    <w:tblStylePr w:type="band1Vert">
      <w:tcPr>
        <w:shd w:val="clear" w:color="D1EAF0" w:themeColor="accent5" w:themeTint="40" w:fill="D1EAF0" w:themeFill="accent5" w:themeFillTint="40"/>
      </w:tc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style>
  <w:style w:type="table" w:customStyle="1" w:styleId="155">
    <w:name w:val="List Table 6 Colorful - Accent 6"/>
    <w:qFormat/>
    <w:uiPriority w:val="99"/>
    <w:tblPr>
      <w:tblBorders>
        <w:top w:val="single" w:color="FAC090" w:themeColor="accent6" w:themeTint="98" w:sz="4" w:space="0"/>
        <w:bottom w:val="single" w:color="FAC090" w:themeColor="accent6" w:themeTint="98" w:sz="4" w:space="0"/>
      </w:tblBorders>
      <w:tblCellMar>
        <w:top w:w="0" w:type="dxa"/>
        <w:left w:w="0" w:type="dxa"/>
        <w:bottom w:w="0" w:type="dxa"/>
        <w:right w:w="0" w:type="dxa"/>
      </w:tblCellMar>
    </w:tblPr>
    <w:tblStylePr w:type="firstRow">
      <w:rPr>
        <w:b/>
        <w:color w:val="FAC090" w:themeColor="accent6" w:themeTint="99"/>
        <w14:textFill>
          <w14:solidFill>
            <w14:schemeClr w14:val="accent6">
              <w14:lumMod w14:val="60000"/>
              <w14:lumOff w14:val="40000"/>
            </w14:schemeClr>
          </w14:solidFill>
        </w14:textFill>
      </w:rPr>
      <w:tcPr>
        <w:tcBorders>
          <w:bottom w:val="single" w:color="FAC090" w:themeColor="accent6" w:themeTint="98" w:sz="4" w:space="0"/>
        </w:tcBorders>
      </w:tcPr>
    </w:tblStylePr>
    <w:tblStylePr w:type="lastRow">
      <w:rPr>
        <w:b/>
        <w:color w:val="FAC090" w:themeColor="accent6" w:themeTint="99"/>
        <w14:textFill>
          <w14:solidFill>
            <w14:schemeClr w14:val="accent6">
              <w14:lumMod w14:val="60000"/>
              <w14:lumOff w14:val="40000"/>
            </w14:schemeClr>
          </w14:solidFill>
        </w14:textFill>
      </w:rPr>
      <w:tcPr>
        <w:tcBorders>
          <w:top w:val="single" w:color="FAC090" w:themeColor="accent6" w:themeTint="98" w:sz="4" w:space="0"/>
        </w:tcBorders>
      </w:tcPr>
    </w:tblStylePr>
    <w:tblStylePr w:type="firstCol">
      <w:rPr>
        <w:b/>
        <w:color w:val="FAC090" w:themeColor="accent6" w:themeTint="99"/>
        <w14:textFill>
          <w14:solidFill>
            <w14:schemeClr w14:val="accent6">
              <w14:lumMod w14:val="60000"/>
              <w14:lumOff w14:val="40000"/>
            </w14:schemeClr>
          </w14:solidFill>
        </w14:textFill>
      </w:rPr>
    </w:tblStylePr>
    <w:tblStylePr w:type="lastCol">
      <w:rPr>
        <w:b/>
        <w:color w:val="FAC090" w:themeColor="accent6" w:themeTint="99"/>
        <w14:textFill>
          <w14:solidFill>
            <w14:schemeClr w14:val="accent6">
              <w14:lumMod w14:val="60000"/>
              <w14:lumOff w14:val="40000"/>
            </w14:schemeClr>
          </w14:solidFill>
        </w14:textFill>
      </w:rPr>
    </w:tblStylePr>
    <w:tblStylePr w:type="band1Vert">
      <w:tcPr>
        <w:shd w:val="clear" w:color="FCE4D0" w:themeColor="accent6" w:themeTint="40" w:fill="FCE4D0" w:themeFill="accent6" w:themeFillTint="40"/>
      </w:tc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style>
  <w:style w:type="table" w:customStyle="1" w:styleId="156">
    <w:name w:val="清单表 7 彩色1"/>
    <w:qFormat/>
    <w:uiPriority w:val="99"/>
    <w:tblPr>
      <w:tblBorders>
        <w:right w:val="single" w:color="7E7E7E" w:themeColor="text1" w:themeTint="80" w:sz="4" w:space="0"/>
      </w:tblBorders>
      <w:tblCellMar>
        <w:top w:w="0" w:type="dxa"/>
        <w:left w:w="0" w:type="dxa"/>
        <w:bottom w:w="0" w:type="dxa"/>
        <w:right w:w="0" w:type="dxa"/>
      </w:tblCellMar>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57">
    <w:name w:val="List Table 7 Colorful - Accent 1"/>
    <w:qFormat/>
    <w:uiPriority w:val="99"/>
    <w:tblPr>
      <w:tblBorders>
        <w:right w:val="single" w:color="4F81BD" w:themeColor="accent1" w:sz="4" w:space="0"/>
      </w:tblBorders>
      <w:tblCellMar>
        <w:top w:w="0" w:type="dxa"/>
        <w:left w:w="0" w:type="dxa"/>
        <w:bottom w:w="0" w:type="dxa"/>
        <w:right w:w="0" w:type="dxa"/>
      </w:tblCellMar>
    </w:tblPr>
    <w:tblStylePr w:type="firstRow">
      <w:rPr>
        <w:rFonts w:ascii="Arial" w:hAnsi="Arial"/>
        <w:i/>
        <w:color w:val="2A4B71" w:themeColor="accent1" w:themeShade="94"/>
        <w:sz w:val="22"/>
      </w:rPr>
      <w:tcPr>
        <w:tcBorders>
          <w:top w:val="nil"/>
          <w:left w:val="nil"/>
          <w:bottom w:val="single" w:color="4F81BD" w:themeColor="accent1" w:sz="4" w:space="0"/>
          <w:right w:val="nil"/>
        </w:tcBorders>
        <w:shd w:val="clear" w:color="FFFFFF" w:themeColor="light1" w:fill="FFFFFF" w:themeFill="light1"/>
      </w:tcPr>
    </w:tblStylePr>
    <w:tblStylePr w:type="lastRow">
      <w:rPr>
        <w:rFonts w:ascii="Arial" w:hAnsi="Arial"/>
        <w:i/>
        <w:color w:val="2A4B71" w:themeColor="accent1" w:themeShade="94"/>
        <w:sz w:val="22"/>
      </w:rPr>
      <w:tcPr>
        <w:tcBorders>
          <w:top w:val="single" w:color="4F81BD"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A4B71" w:themeColor="accent1" w:themeShade="94"/>
        <w:sz w:val="22"/>
      </w:rPr>
      <w:tcPr>
        <w:tcBorders>
          <w:top w:val="nil"/>
          <w:left w:val="nil"/>
          <w:bottom w:val="nil"/>
          <w:right w:val="single" w:color="4F81BD" w:themeColor="accent1" w:sz="4" w:space="0"/>
        </w:tcBorders>
        <w:shd w:val="clear" w:color="FFFFFF" w:fill="auto"/>
      </w:tcPr>
    </w:tblStylePr>
    <w:tblStylePr w:type="lastCol">
      <w:rPr>
        <w:rFonts w:ascii="Arial" w:hAnsi="Arial"/>
        <w:i/>
        <w:color w:val="2A4B71" w:themeColor="accent1" w:themeShade="94"/>
        <w:sz w:val="22"/>
      </w:rPr>
      <w:tcPr>
        <w:tcBorders>
          <w:top w:val="nil"/>
          <w:left w:val="single" w:color="4F81BD" w:themeColor="accent1" w:sz="4" w:space="0"/>
          <w:bottom w:val="nil"/>
          <w:right w:val="nil"/>
        </w:tcBorders>
        <w:shd w:val="clear" w:color="FFFFFF" w:fill="auto"/>
      </w:tcPr>
    </w:tblStylePr>
    <w:tblStylePr w:type="band1Vert">
      <w:tcPr>
        <w:shd w:val="clear" w:color="D2DFEE" w:themeColor="accent1" w:themeTint="40" w:fill="D2DFEE" w:themeFill="accent1" w:themeFillTint="40"/>
      </w:tcPr>
    </w:tblStylePr>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style>
  <w:style w:type="table" w:customStyle="1" w:styleId="158">
    <w:name w:val="List Table 7 Colorful - Accent 2"/>
    <w:qFormat/>
    <w:uiPriority w:val="99"/>
    <w:tblPr>
      <w:tblBorders>
        <w:right w:val="single" w:color="D99795" w:themeColor="accent2" w:themeTint="97" w:sz="4" w:space="0"/>
      </w:tblBorders>
      <w:tblCellMar>
        <w:top w:w="0" w:type="dxa"/>
        <w:left w:w="0" w:type="dxa"/>
        <w:bottom w:w="0" w:type="dxa"/>
        <w:right w:w="0" w:type="dxa"/>
      </w:tblCellMar>
    </w:tblPr>
    <w:tblStylePr w:type="firstRow">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i/>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EFD3D2" w:themeColor="accent2" w:themeTint="40" w:fill="EFD3D2" w:themeFill="accent2" w:themeFillTint="40"/>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59">
    <w:name w:val="List Table 7 Colorful - Accent 3"/>
    <w:qFormat/>
    <w:uiPriority w:val="99"/>
    <w:tblPr>
      <w:tblBorders>
        <w:right w:val="single" w:color="C3D69C" w:themeColor="accent3" w:themeTint="98" w:sz="4" w:space="0"/>
      </w:tblBorders>
      <w:tblCellMar>
        <w:top w:w="0" w:type="dxa"/>
        <w:left w:w="0" w:type="dxa"/>
        <w:bottom w:w="0" w:type="dxa"/>
        <w:right w:w="0" w:type="dxa"/>
      </w:tblCellMar>
    </w:tblPr>
    <w:tblStylePr w:type="firstRow">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single" w:color="C3D69C" w:themeColor="accent3" w:themeTint="98" w:sz="4" w:space="0"/>
          <w:right w:val="nil"/>
        </w:tcBorders>
        <w:shd w:val="clear" w:color="FFFFFF" w:themeColor="light1" w:fill="FFFFFF" w:themeFill="light1"/>
      </w:tcPr>
    </w:tblStylePr>
    <w:tblStylePr w:type="lastRow">
      <w:rPr>
        <w:rFonts w:ascii="Arial" w:hAnsi="Arial"/>
        <w:i/>
        <w:color w:val="C3D69B" w:themeColor="accent3" w:themeTint="99"/>
        <w:sz w:val="22"/>
        <w14:textFill>
          <w14:solidFill>
            <w14:schemeClr w14:val="accent3">
              <w14:lumMod w14:val="60000"/>
              <w14:lumOff w14:val="40000"/>
            </w14:schemeClr>
          </w14:solidFill>
        </w14:textFill>
      </w:rPr>
      <w:tcPr>
        <w:tcBorders>
          <w:top w:val="single" w:color="C3D69C"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nil"/>
          <w:right w:val="single" w:color="C3D69C" w:themeColor="accent3" w:themeTint="98" w:sz="4" w:space="0"/>
        </w:tcBorders>
        <w:shd w:val="clear" w:color="FFFFFF" w:fill="auto"/>
      </w:tcPr>
    </w:tblStylePr>
    <w:tblStylePr w:type="lastCol">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single" w:color="C3D69C" w:themeColor="accent3" w:themeTint="98" w:sz="4" w:space="0"/>
          <w:bottom w:val="nil"/>
          <w:right w:val="nil"/>
        </w:tcBorders>
        <w:shd w:val="clear" w:color="FFFFFF" w:fill="auto"/>
      </w:tcPr>
    </w:tblStylePr>
    <w:tblStylePr w:type="band1Vert">
      <w:tcPr>
        <w:shd w:val="clear" w:color="E5EDD5" w:themeColor="accent3" w:themeTint="40" w:fill="E5EDD5" w:themeFill="accent3" w:themeFillTint="40"/>
      </w:tc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style>
  <w:style w:type="table" w:customStyle="1" w:styleId="160">
    <w:name w:val="List Table 7 Colorful - Accent 4"/>
    <w:qFormat/>
    <w:uiPriority w:val="99"/>
    <w:tblPr>
      <w:tblBorders>
        <w:right w:val="single" w:color="B2A1C6" w:themeColor="accent4" w:themeTint="9A" w:sz="4" w:space="0"/>
      </w:tblBorders>
      <w:tblCellMar>
        <w:top w:w="0" w:type="dxa"/>
        <w:left w:w="0" w:type="dxa"/>
        <w:bottom w:w="0" w:type="dxa"/>
        <w:right w:w="0" w:type="dxa"/>
      </w:tblCellMar>
    </w:tblPr>
    <w:tblStylePr w:type="firstRow">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i/>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DFD8E7" w:themeColor="accent4" w:themeTint="40" w:fill="DFD8E7" w:themeFill="accent4" w:themeFillTint="40"/>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61">
    <w:name w:val="List Table 7 Colorful - Accent 5"/>
    <w:qFormat/>
    <w:uiPriority w:val="99"/>
    <w:tblPr>
      <w:tblBorders>
        <w:right w:val="single" w:color="92CCDC" w:themeColor="accent5" w:themeTint="9A" w:sz="4" w:space="0"/>
      </w:tblBorders>
      <w:tblCellMar>
        <w:top w:w="0" w:type="dxa"/>
        <w:left w:w="0" w:type="dxa"/>
        <w:bottom w:w="0" w:type="dxa"/>
        <w:right w:w="0" w:type="dxa"/>
      </w:tblCellMar>
    </w:tblPr>
    <w:tblStylePr w:type="firstRow">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single" w:color="92CCDC" w:themeColor="accent5" w:themeTint="9A" w:sz="4" w:space="0"/>
          <w:right w:val="nil"/>
        </w:tcBorders>
        <w:shd w:val="clear" w:color="FFFFFF" w:themeColor="light1" w:fill="FFFFFF" w:themeFill="light1"/>
      </w:tcPr>
    </w:tblStylePr>
    <w:tblStylePr w:type="lastRow">
      <w:rPr>
        <w:rFonts w:ascii="Arial" w:hAnsi="Arial"/>
        <w:i/>
        <w:color w:val="93CDDD" w:themeColor="accent5" w:themeTint="99"/>
        <w:sz w:val="22"/>
        <w14:textFill>
          <w14:solidFill>
            <w14:schemeClr w14:val="accent5">
              <w14:lumMod w14:val="60000"/>
              <w14:lumOff w14:val="40000"/>
            </w14:schemeClr>
          </w14:solidFill>
        </w14:textFill>
      </w:rPr>
      <w:tcPr>
        <w:tcBorders>
          <w:top w:val="single" w:color="92CCDC"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nil"/>
          <w:right w:val="single" w:color="92CCDC" w:themeColor="accent5" w:themeTint="9A" w:sz="4" w:space="0"/>
        </w:tcBorders>
        <w:shd w:val="clear" w:color="FFFFFF" w:fill="auto"/>
      </w:tcPr>
    </w:tblStylePr>
    <w:tblStylePr w:type="lastCol">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single" w:color="92CCDC" w:themeColor="accent5" w:themeTint="9A" w:sz="4" w:space="0"/>
          <w:bottom w:val="nil"/>
          <w:right w:val="nil"/>
        </w:tcBorders>
        <w:shd w:val="clear" w:color="FFFFFF" w:fill="auto"/>
      </w:tcPr>
    </w:tblStylePr>
    <w:tblStylePr w:type="band1Vert">
      <w:tcPr>
        <w:shd w:val="clear" w:color="D1EAF0" w:themeColor="accent5" w:themeTint="40" w:fill="D1EAF0" w:themeFill="accent5" w:themeFillTint="40"/>
      </w:tc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style>
  <w:style w:type="table" w:customStyle="1" w:styleId="162">
    <w:name w:val="List Table 7 Colorful - Accent 6"/>
    <w:qFormat/>
    <w:uiPriority w:val="99"/>
    <w:tblPr>
      <w:tblBorders>
        <w:right w:val="single" w:color="FAC090" w:themeColor="accent6" w:themeTint="98" w:sz="4" w:space="0"/>
      </w:tblBorders>
      <w:tblCellMar>
        <w:top w:w="0" w:type="dxa"/>
        <w:left w:w="0" w:type="dxa"/>
        <w:bottom w:w="0" w:type="dxa"/>
        <w:right w:w="0" w:type="dxa"/>
      </w:tblCellMar>
    </w:tblPr>
    <w:tblStylePr w:type="firstRow">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single" w:color="FAC090" w:themeColor="accent6" w:themeTint="98" w:sz="4" w:space="0"/>
          <w:right w:val="nil"/>
        </w:tcBorders>
        <w:shd w:val="clear" w:color="FFFFFF" w:themeColor="light1" w:fill="FFFFFF" w:themeFill="light1"/>
      </w:tcPr>
    </w:tblStylePr>
    <w:tblStylePr w:type="lastRow">
      <w:rPr>
        <w:rFonts w:ascii="Arial" w:hAnsi="Arial"/>
        <w:i/>
        <w:color w:val="FAC090" w:themeColor="accent6" w:themeTint="99"/>
        <w:sz w:val="22"/>
        <w14:textFill>
          <w14:solidFill>
            <w14:schemeClr w14:val="accent6">
              <w14:lumMod w14:val="60000"/>
              <w14:lumOff w14:val="40000"/>
            </w14:schemeClr>
          </w14:solidFill>
        </w14:textFill>
      </w:rPr>
      <w:tcPr>
        <w:tcBorders>
          <w:top w:val="single" w:color="FAC090"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nil"/>
          <w:right w:val="single" w:color="FAC090" w:themeColor="accent6" w:themeTint="98" w:sz="4" w:space="0"/>
        </w:tcBorders>
        <w:shd w:val="clear" w:color="FFFFFF" w:fill="auto"/>
      </w:tcPr>
    </w:tblStylePr>
    <w:tblStylePr w:type="lastCol">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single" w:color="FAC090" w:themeColor="accent6" w:themeTint="98" w:sz="4" w:space="0"/>
          <w:bottom w:val="nil"/>
          <w:right w:val="nil"/>
        </w:tcBorders>
        <w:shd w:val="clear" w:color="FFFFFF" w:fill="auto"/>
      </w:tcPr>
    </w:tblStylePr>
    <w:tblStylePr w:type="band1Vert">
      <w:tcPr>
        <w:shd w:val="clear" w:color="FCE4D0" w:themeColor="accent6" w:themeTint="40" w:fill="FCE4D0" w:themeFill="accent6" w:themeFillTint="40"/>
      </w:tc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style>
  <w:style w:type="table" w:customStyle="1" w:styleId="163">
    <w:name w:val="Lined - Accent"/>
    <w:qFormat/>
    <w:uiPriority w:val="99"/>
    <w:rPr>
      <w:color w:val="404040"/>
    </w:rPr>
    <w:tblPr>
      <w:tblCellMar>
        <w:top w:w="0" w:type="dxa"/>
        <w:left w:w="0" w:type="dxa"/>
        <w:bottom w:w="0" w:type="dxa"/>
        <w:right w:w="0" w:type="dxa"/>
      </w:tblCellMar>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64">
    <w:name w:val="Lined - Accent 1"/>
    <w:qFormat/>
    <w:uiPriority w:val="99"/>
    <w:rPr>
      <w:color w:val="404040"/>
    </w:rPr>
    <w:tblPr>
      <w:tblCellMar>
        <w:top w:w="0" w:type="dxa"/>
        <w:left w:w="0" w:type="dxa"/>
        <w:bottom w:w="0" w:type="dxa"/>
        <w:right w:w="0" w:type="dxa"/>
      </w:tblCellMar>
    </w:tbl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table" w:customStyle="1" w:styleId="165">
    <w:name w:val="Lined - Accent 2"/>
    <w:qFormat/>
    <w:uiPriority w:val="99"/>
    <w:rPr>
      <w:color w:val="404040"/>
    </w:rPr>
    <w:tblPr>
      <w:tblCellMar>
        <w:top w:w="0" w:type="dxa"/>
        <w:left w:w="0" w:type="dxa"/>
        <w:bottom w:w="0" w:type="dxa"/>
        <w:right w:w="0" w:type="dxa"/>
      </w:tblCellMar>
    </w:tbl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table" w:customStyle="1" w:styleId="166">
    <w:name w:val="Lined - Accent 3"/>
    <w:qFormat/>
    <w:uiPriority w:val="99"/>
    <w:rPr>
      <w:color w:val="404040"/>
    </w:rPr>
    <w:tblPr>
      <w:tblCellMar>
        <w:top w:w="0" w:type="dxa"/>
        <w:left w:w="0" w:type="dxa"/>
        <w:bottom w:w="0" w:type="dxa"/>
        <w:right w:w="0" w:type="dxa"/>
      </w:tblCellMar>
    </w:tbl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style>
  <w:style w:type="table" w:customStyle="1" w:styleId="167">
    <w:name w:val="Lined - Accent 4"/>
    <w:qFormat/>
    <w:uiPriority w:val="99"/>
    <w:rPr>
      <w:color w:val="404040"/>
    </w:rPr>
    <w:tblPr>
      <w:tblCellMar>
        <w:top w:w="0" w:type="dxa"/>
        <w:left w:w="0" w:type="dxa"/>
        <w:bottom w:w="0" w:type="dxa"/>
        <w:right w:w="0" w:type="dxa"/>
      </w:tblCellMar>
    </w:tbl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customStyle="1" w:styleId="168">
    <w:name w:val="Lined - Accent 5"/>
    <w:qFormat/>
    <w:uiPriority w:val="99"/>
    <w:rPr>
      <w:color w:val="404040"/>
    </w:rPr>
    <w:tblPr>
      <w:tblCellMar>
        <w:top w:w="0" w:type="dxa"/>
        <w:left w:w="0" w:type="dxa"/>
        <w:bottom w:w="0" w:type="dxa"/>
        <w:right w:w="0" w:type="dxa"/>
      </w:tblCellMar>
    </w:tbl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table" w:customStyle="1" w:styleId="169">
    <w:name w:val="Lined - Accent 6"/>
    <w:qFormat/>
    <w:uiPriority w:val="99"/>
    <w:rPr>
      <w:color w:val="404040"/>
    </w:rPr>
    <w:tblPr>
      <w:tblCellMar>
        <w:top w:w="0" w:type="dxa"/>
        <w:left w:w="0" w:type="dxa"/>
        <w:bottom w:w="0" w:type="dxa"/>
        <w:right w:w="0" w:type="dxa"/>
      </w:tblCellMar>
    </w:tbl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style>
  <w:style w:type="table" w:customStyle="1" w:styleId="170">
    <w:name w:val="Bordered &amp; Lined - Accent"/>
    <w:qFormat/>
    <w:uiPriority w:val="99"/>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CellMar>
        <w:top w:w="0" w:type="dxa"/>
        <w:left w:w="0" w:type="dxa"/>
        <w:bottom w:w="0" w:type="dxa"/>
        <w:right w:w="0" w:type="dxa"/>
      </w:tblCellMar>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71">
    <w:name w:val="Bordered &amp; Lined - Accent 1"/>
    <w:qFormat/>
    <w:uiPriority w:val="99"/>
    <w:rPr>
      <w:color w:val="404040"/>
    </w:rPr>
    <w:tblPr>
      <w:tblBorders>
        <w:top w:val="single" w:color="2A4B71" w:themeColor="accent1" w:themeShade="95" w:sz="4" w:space="0"/>
        <w:left w:val="single" w:color="2A4B71" w:themeColor="accent1" w:themeShade="95" w:sz="4" w:space="0"/>
        <w:bottom w:val="single" w:color="2A4B71" w:themeColor="accent1" w:themeShade="95" w:sz="4" w:space="0"/>
        <w:right w:val="single" w:color="2A4B71" w:themeColor="accent1" w:themeShade="95" w:sz="4" w:space="0"/>
        <w:insideH w:val="single" w:color="2A4B71" w:themeColor="accent1" w:themeShade="95" w:sz="4" w:space="0"/>
        <w:insideV w:val="single" w:color="2A4B71" w:themeColor="accent1" w:themeShade="95" w:sz="4" w:space="0"/>
      </w:tblBorders>
      <w:tblCellMar>
        <w:top w:w="0" w:type="dxa"/>
        <w:left w:w="0" w:type="dxa"/>
        <w:bottom w:w="0" w:type="dxa"/>
        <w:right w:w="0" w:type="dxa"/>
      </w:tblCellMar>
    </w:tbl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table" w:customStyle="1" w:styleId="172">
    <w:name w:val="Bordered &amp; Lined - Accent 2"/>
    <w:qFormat/>
    <w:uiPriority w:val="99"/>
    <w:rPr>
      <w:color w:val="404040"/>
    </w:rPr>
    <w:tblPr>
      <w:tblBorders>
        <w:top w:val="single" w:color="742B29" w:themeColor="accent2" w:themeShade="95" w:sz="4" w:space="0"/>
        <w:left w:val="single" w:color="742B29" w:themeColor="accent2" w:themeShade="95" w:sz="4" w:space="0"/>
        <w:bottom w:val="single" w:color="742B29" w:themeColor="accent2" w:themeShade="95" w:sz="4" w:space="0"/>
        <w:right w:val="single" w:color="742B29" w:themeColor="accent2" w:themeShade="95" w:sz="4" w:space="0"/>
        <w:insideH w:val="single" w:color="742B29" w:themeColor="accent2" w:themeShade="95" w:sz="4" w:space="0"/>
        <w:insideV w:val="single" w:color="742B29" w:themeColor="accent2" w:themeShade="95" w:sz="4" w:space="0"/>
      </w:tblBorders>
      <w:tblCellMar>
        <w:top w:w="0" w:type="dxa"/>
        <w:left w:w="0" w:type="dxa"/>
        <w:bottom w:w="0" w:type="dxa"/>
        <w:right w:w="0" w:type="dxa"/>
      </w:tblCellMar>
    </w:tbl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table" w:customStyle="1" w:styleId="173">
    <w:name w:val="Bordered &amp; Lined - Accent 3"/>
    <w:qFormat/>
    <w:uiPriority w:val="99"/>
    <w:rPr>
      <w:color w:val="404040"/>
    </w:rPr>
    <w:tblPr>
      <w:tblBorders>
        <w:top w:val="single" w:color="5C722E" w:themeColor="accent3" w:themeShade="95" w:sz="4" w:space="0"/>
        <w:left w:val="single" w:color="5C722E" w:themeColor="accent3" w:themeShade="95" w:sz="4" w:space="0"/>
        <w:bottom w:val="single" w:color="5C722E" w:themeColor="accent3" w:themeShade="95" w:sz="4" w:space="0"/>
        <w:right w:val="single" w:color="5C722E" w:themeColor="accent3" w:themeShade="95" w:sz="4" w:space="0"/>
        <w:insideH w:val="single" w:color="5C722E" w:themeColor="accent3" w:themeShade="95" w:sz="4" w:space="0"/>
        <w:insideV w:val="single" w:color="5C722E" w:themeColor="accent3" w:themeShade="95" w:sz="4" w:space="0"/>
      </w:tblBorders>
      <w:tblCellMar>
        <w:top w:w="0" w:type="dxa"/>
        <w:left w:w="0" w:type="dxa"/>
        <w:bottom w:w="0" w:type="dxa"/>
        <w:right w:w="0" w:type="dxa"/>
      </w:tblCellMar>
    </w:tbl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style>
  <w:style w:type="table" w:customStyle="1" w:styleId="174">
    <w:name w:val="Bordered &amp; Lined - Accent 4"/>
    <w:qFormat/>
    <w:uiPriority w:val="99"/>
    <w:rPr>
      <w:color w:val="404040"/>
    </w:rPr>
    <w:tblPr>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CellMar>
        <w:top w:w="0" w:type="dxa"/>
        <w:left w:w="0" w:type="dxa"/>
        <w:bottom w:w="0" w:type="dxa"/>
        <w:right w:w="0" w:type="dxa"/>
      </w:tblCellMar>
    </w:tbl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customStyle="1" w:styleId="175">
    <w:name w:val="Bordered &amp; Lined - Accent 5"/>
    <w:qFormat/>
    <w:uiPriority w:val="99"/>
    <w:rPr>
      <w:color w:val="404040"/>
    </w:rPr>
    <w:tblPr>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CellMar>
        <w:top w:w="0" w:type="dxa"/>
        <w:left w:w="0" w:type="dxa"/>
        <w:bottom w:w="0" w:type="dxa"/>
        <w:right w:w="0" w:type="dxa"/>
      </w:tblCellMar>
    </w:tbl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table" w:customStyle="1" w:styleId="176">
    <w:name w:val="Bordered &amp; Lined - Accent 6"/>
    <w:qFormat/>
    <w:uiPriority w:val="99"/>
    <w:rPr>
      <w:color w:val="404040"/>
    </w:rPr>
    <w:tblPr>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CellMar>
        <w:top w:w="0" w:type="dxa"/>
        <w:left w:w="0" w:type="dxa"/>
        <w:bottom w:w="0" w:type="dxa"/>
        <w:right w:w="0" w:type="dxa"/>
      </w:tblCellMar>
    </w:tbl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style>
  <w:style w:type="table" w:customStyle="1" w:styleId="177">
    <w:name w:val="Bordered"/>
    <w:qFormat/>
    <w:uiPriority w:val="99"/>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CellMar>
        <w:top w:w="0" w:type="dxa"/>
        <w:left w:w="0" w:type="dxa"/>
        <w:bottom w:w="0" w:type="dxa"/>
        <w:right w:w="0" w:type="dxa"/>
      </w:tblCellMar>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style>
  <w:style w:type="table" w:customStyle="1" w:styleId="178">
    <w:name w:val="Bordered - Accent 1"/>
    <w:qFormat/>
    <w:uiPriority w:val="99"/>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CellMar>
        <w:top w:w="0" w:type="dxa"/>
        <w:left w:w="0" w:type="dxa"/>
        <w:bottom w:w="0" w:type="dxa"/>
        <w:right w:w="0" w:type="dxa"/>
      </w:tblCellMar>
    </w:tblPr>
    <w:tblStylePr w:type="firstRow">
      <w:rPr>
        <w:rFonts w:ascii="Arial" w:hAnsi="Arial"/>
        <w:color w:val="404040"/>
        <w:sz w:val="22"/>
      </w:rPr>
      <w:tcPr>
        <w:tcBorders>
          <w:bottom w:val="single" w:color="4F81BD" w:themeColor="accent1" w:sz="12" w:space="0"/>
        </w:tcBorders>
      </w:tcPr>
    </w:tblStylePr>
    <w:tblStylePr w:type="lastRow">
      <w:rPr>
        <w:rFonts w:ascii="Arial" w:hAnsi="Arial"/>
        <w:color w:val="404040"/>
        <w:sz w:val="22"/>
      </w:rPr>
      <w:tcPr>
        <w:tcBorders>
          <w:top w:val="single" w:color="4F81BD"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F81BD" w:themeColor="accent1" w:sz="12" w:space="0"/>
        </w:tcBorders>
      </w:tc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179">
    <w:name w:val="Bordered - Accent 2"/>
    <w:qFormat/>
    <w:uiPriority w:val="99"/>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CellMar>
        <w:top w:w="0" w:type="dxa"/>
        <w:left w:w="0" w:type="dxa"/>
        <w:bottom w:w="0" w:type="dxa"/>
        <w:right w:w="0" w:type="dxa"/>
      </w:tblCellMar>
    </w:tblPr>
    <w:tblStylePr w:type="firstRow">
      <w:rPr>
        <w:rFonts w:ascii="Arial" w:hAnsi="Arial"/>
        <w:color w:val="404040"/>
        <w:sz w:val="22"/>
      </w:rPr>
      <w:tcPr>
        <w:tcBorders>
          <w:bottom w:val="single" w:color="D99795" w:themeColor="accent2" w:themeTint="97" w:sz="12" w:space="0"/>
        </w:tcBorders>
      </w:tcPr>
    </w:tblStylePr>
    <w:tblStylePr w:type="lastRow">
      <w:rPr>
        <w:rFonts w:ascii="Arial" w:hAnsi="Arial"/>
        <w:color w:val="404040"/>
        <w:sz w:val="22"/>
      </w:rPr>
      <w:tcPr>
        <w:tcBorders>
          <w:top w:val="single" w:color="D9979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D99795" w:themeColor="accent2" w:themeTint="97" w:sz="12" w:space="0"/>
        </w:tcBorders>
      </w:tc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180">
    <w:name w:val="Bordered - Accent 3"/>
    <w:qFormat/>
    <w:uiPriority w:val="99"/>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CellMar>
        <w:top w:w="0" w:type="dxa"/>
        <w:left w:w="0" w:type="dxa"/>
        <w:bottom w:w="0" w:type="dxa"/>
        <w:right w:w="0" w:type="dxa"/>
      </w:tblCellMar>
    </w:tblPr>
    <w:tblStylePr w:type="firstRow">
      <w:rPr>
        <w:rFonts w:ascii="Arial" w:hAnsi="Arial"/>
        <w:color w:val="404040"/>
        <w:sz w:val="22"/>
      </w:rPr>
      <w:tcPr>
        <w:tcBorders>
          <w:bottom w:val="single" w:color="C3D69C" w:themeColor="accent3" w:themeTint="98" w:sz="12" w:space="0"/>
        </w:tcBorders>
      </w:tcPr>
    </w:tblStylePr>
    <w:tblStylePr w:type="lastRow">
      <w:rPr>
        <w:rFonts w:ascii="Arial" w:hAnsi="Arial"/>
        <w:color w:val="404040"/>
        <w:sz w:val="22"/>
      </w:rPr>
      <w:tcPr>
        <w:tcBorders>
          <w:top w:val="single" w:color="C3D69C"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3D69C" w:themeColor="accent3" w:themeTint="98" w:sz="12" w:space="0"/>
        </w:tcBorders>
      </w:tc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181">
    <w:name w:val="Bordered - Accent 4"/>
    <w:qFormat/>
    <w:uiPriority w:val="99"/>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CellMar>
        <w:top w:w="0" w:type="dxa"/>
        <w:left w:w="0" w:type="dxa"/>
        <w:bottom w:w="0" w:type="dxa"/>
        <w:right w:w="0" w:type="dxa"/>
      </w:tblCellMar>
    </w:tblPr>
    <w:tblStylePr w:type="firstRow">
      <w:rPr>
        <w:rFonts w:ascii="Arial" w:hAnsi="Arial"/>
        <w:color w:val="404040"/>
        <w:sz w:val="22"/>
      </w:rPr>
      <w:tcPr>
        <w:tcBorders>
          <w:bottom w:val="single" w:color="B2A1C6" w:themeColor="accent4" w:themeTint="9A" w:sz="12" w:space="0"/>
        </w:tcBorders>
      </w:tcPr>
    </w:tblStylePr>
    <w:tblStylePr w:type="lastRow">
      <w:rPr>
        <w:rFonts w:ascii="Arial" w:hAnsi="Arial"/>
        <w:color w:val="404040"/>
        <w:sz w:val="22"/>
      </w:rPr>
      <w:tcPr>
        <w:tcBorders>
          <w:top w:val="single" w:color="B2A1C6"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B2A1C6" w:themeColor="accent4" w:themeTint="9A" w:sz="12" w:space="0"/>
        </w:tcBorders>
      </w:tc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182">
    <w:name w:val="Bordered - Accent 5"/>
    <w:qFormat/>
    <w:uiPriority w:val="99"/>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CellMar>
        <w:top w:w="0" w:type="dxa"/>
        <w:left w:w="0" w:type="dxa"/>
        <w:bottom w:w="0" w:type="dxa"/>
        <w:right w:w="0" w:type="dxa"/>
      </w:tblCellMar>
    </w:tblPr>
    <w:tblStylePr w:type="firstRow">
      <w:rPr>
        <w:rFonts w:ascii="Arial" w:hAnsi="Arial"/>
        <w:color w:val="404040"/>
        <w:sz w:val="22"/>
      </w:rPr>
      <w:tcPr>
        <w:tcBorders>
          <w:bottom w:val="single" w:color="92CCDC" w:themeColor="accent5" w:themeTint="9A" w:sz="12" w:space="0"/>
        </w:tcBorders>
      </w:tcPr>
    </w:tblStylePr>
    <w:tblStylePr w:type="lastRow">
      <w:rPr>
        <w:rFonts w:ascii="Arial" w:hAnsi="Arial"/>
        <w:color w:val="404040"/>
        <w:sz w:val="22"/>
      </w:rPr>
      <w:tcPr>
        <w:tcBorders>
          <w:top w:val="single" w:color="92CCDC"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92CCDC" w:themeColor="accent5" w:themeTint="9A" w:sz="12" w:space="0"/>
        </w:tcBorders>
      </w:tc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183">
    <w:name w:val="Bordered - Accent 6"/>
    <w:qFormat/>
    <w:uiPriority w:val="99"/>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CellMar>
        <w:top w:w="0" w:type="dxa"/>
        <w:left w:w="0" w:type="dxa"/>
        <w:bottom w:w="0" w:type="dxa"/>
        <w:right w:w="0" w:type="dxa"/>
      </w:tblCellMar>
    </w:tblPr>
    <w:tblStylePr w:type="firstRow">
      <w:rPr>
        <w:rFonts w:ascii="Arial" w:hAnsi="Arial"/>
        <w:color w:val="404040"/>
        <w:sz w:val="22"/>
      </w:rPr>
      <w:tcPr>
        <w:tcBorders>
          <w:bottom w:val="single" w:color="FAC090" w:themeColor="accent6" w:themeTint="98" w:sz="12" w:space="0"/>
        </w:tcBorders>
      </w:tcPr>
    </w:tblStylePr>
    <w:tblStylePr w:type="lastRow">
      <w:rPr>
        <w:rFonts w:ascii="Arial" w:hAnsi="Arial"/>
        <w:color w:val="404040"/>
        <w:sz w:val="22"/>
      </w:rPr>
      <w:tcPr>
        <w:tcBorders>
          <w:top w:val="single" w:color="FAC090"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AC090" w:themeColor="accent6" w:themeTint="98" w:sz="12" w:space="0"/>
        </w:tcBorders>
      </w:tc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character" w:customStyle="1" w:styleId="184">
    <w:name w:val="脚注文本 字符1"/>
    <w:link w:val="27"/>
    <w:qFormat/>
    <w:uiPriority w:val="99"/>
    <w:rPr>
      <w:sz w:val="18"/>
    </w:rPr>
  </w:style>
  <w:style w:type="character" w:customStyle="1" w:styleId="185">
    <w:name w:val="尾注文本 字符1"/>
    <w:link w:val="21"/>
    <w:qFormat/>
    <w:uiPriority w:val="99"/>
    <w:rPr>
      <w:sz w:val="20"/>
    </w:rPr>
  </w:style>
  <w:style w:type="paragraph" w:customStyle="1" w:styleId="186">
    <w:name w:val="TOC 标题1"/>
    <w:unhideWhenUsed/>
    <w:qFormat/>
    <w:uiPriority w:val="39"/>
    <w:rPr>
      <w:rFonts w:ascii="Times New Roman" w:hAnsi="Times New Roman" w:eastAsia="宋体" w:cs="Times New Roman"/>
      <w:lang w:val="en-US" w:eastAsia="zh-CN" w:bidi="ar-SA"/>
    </w:rPr>
  </w:style>
  <w:style w:type="paragraph" w:customStyle="1" w:styleId="187">
    <w:name w:val="标题 11"/>
    <w:basedOn w:val="1"/>
    <w:next w:val="1"/>
    <w:link w:val="200"/>
    <w:qFormat/>
    <w:uiPriority w:val="0"/>
    <w:pPr>
      <w:keepNext/>
      <w:tabs>
        <w:tab w:val="left" w:pos="1440"/>
        <w:tab w:val="left" w:pos="5670"/>
      </w:tabs>
      <w:spacing w:before="290" w:after="290"/>
      <w:ind w:firstLine="2890"/>
      <w:outlineLvl w:val="0"/>
    </w:pPr>
    <w:rPr>
      <w:rFonts w:ascii="黑体" w:eastAsia="黑体"/>
      <w:b/>
      <w:sz w:val="24"/>
      <w:szCs w:val="28"/>
    </w:rPr>
  </w:style>
  <w:style w:type="paragraph" w:customStyle="1" w:styleId="188">
    <w:name w:val="标题 21"/>
    <w:basedOn w:val="1"/>
    <w:next w:val="189"/>
    <w:link w:val="201"/>
    <w:qFormat/>
    <w:uiPriority w:val="0"/>
    <w:pPr>
      <w:keepNext/>
      <w:keepLines/>
      <w:spacing w:before="120" w:after="120"/>
      <w:jc w:val="left"/>
      <w:outlineLvl w:val="1"/>
    </w:pPr>
    <w:rPr>
      <w:rFonts w:ascii="宋体" w:hAnsi="宋体"/>
      <w:b/>
      <w:szCs w:val="24"/>
    </w:rPr>
  </w:style>
  <w:style w:type="paragraph" w:customStyle="1" w:styleId="189">
    <w:name w:val="正文缩进11"/>
    <w:basedOn w:val="1"/>
    <w:link w:val="202"/>
    <w:qFormat/>
    <w:uiPriority w:val="0"/>
    <w:pPr>
      <w:ind w:firstLine="420"/>
    </w:pPr>
  </w:style>
  <w:style w:type="paragraph" w:customStyle="1" w:styleId="190">
    <w:name w:val="标题 31"/>
    <w:basedOn w:val="1"/>
    <w:next w:val="189"/>
    <w:link w:val="203"/>
    <w:qFormat/>
    <w:uiPriority w:val="0"/>
    <w:pPr>
      <w:keepNext/>
      <w:keepLines/>
      <w:shd w:val="clear" w:color="auto" w:fill="FFFFFF"/>
      <w:spacing w:line="390" w:lineRule="atLeast"/>
      <w:outlineLvl w:val="2"/>
    </w:pPr>
    <w:rPr>
      <w:rFonts w:ascii="宋体" w:hAnsi="宋体"/>
      <w:b/>
      <w:szCs w:val="21"/>
    </w:rPr>
  </w:style>
  <w:style w:type="paragraph" w:customStyle="1" w:styleId="191">
    <w:name w:val="标题 411"/>
    <w:basedOn w:val="1"/>
    <w:next w:val="189"/>
    <w:link w:val="204"/>
    <w:qFormat/>
    <w:uiPriority w:val="0"/>
    <w:pPr>
      <w:keepNext/>
      <w:keepLines/>
      <w:spacing w:before="120" w:after="120"/>
      <w:outlineLvl w:val="3"/>
    </w:pPr>
    <w:rPr>
      <w:rFonts w:ascii="Arial" w:hAnsi="Arial" w:eastAsia="黑体"/>
      <w:b/>
      <w:sz w:val="28"/>
    </w:rPr>
  </w:style>
  <w:style w:type="paragraph" w:customStyle="1" w:styleId="192">
    <w:name w:val="标题 511"/>
    <w:basedOn w:val="1"/>
    <w:next w:val="189"/>
    <w:link w:val="205"/>
    <w:qFormat/>
    <w:uiPriority w:val="0"/>
    <w:pPr>
      <w:keepNext/>
      <w:spacing w:before="145" w:after="145"/>
      <w:outlineLvl w:val="4"/>
    </w:pPr>
    <w:rPr>
      <w:rFonts w:ascii="黑体" w:eastAsia="黑体"/>
      <w:b/>
      <w:color w:val="000000"/>
      <w:sz w:val="28"/>
    </w:rPr>
  </w:style>
  <w:style w:type="paragraph" w:customStyle="1" w:styleId="193">
    <w:name w:val="标题 61"/>
    <w:basedOn w:val="1"/>
    <w:next w:val="1"/>
    <w:link w:val="206"/>
    <w:qFormat/>
    <w:uiPriority w:val="0"/>
    <w:pPr>
      <w:keepNext/>
      <w:keepLines/>
      <w:spacing w:before="240" w:after="64" w:line="320" w:lineRule="auto"/>
      <w:outlineLvl w:val="5"/>
    </w:pPr>
    <w:rPr>
      <w:rFonts w:ascii="Arial" w:hAnsi="Arial" w:eastAsia="黑体"/>
      <w:b/>
      <w:bCs/>
      <w:sz w:val="24"/>
      <w:szCs w:val="24"/>
    </w:rPr>
  </w:style>
  <w:style w:type="paragraph" w:customStyle="1" w:styleId="194">
    <w:name w:val="标题 71"/>
    <w:basedOn w:val="1"/>
    <w:next w:val="1"/>
    <w:link w:val="207"/>
    <w:qFormat/>
    <w:uiPriority w:val="0"/>
    <w:pPr>
      <w:keepNext/>
      <w:keepLines/>
      <w:spacing w:before="240" w:after="64" w:line="320" w:lineRule="auto"/>
      <w:outlineLvl w:val="6"/>
    </w:pPr>
    <w:rPr>
      <w:b/>
      <w:bCs/>
      <w:sz w:val="24"/>
      <w:szCs w:val="24"/>
    </w:rPr>
  </w:style>
  <w:style w:type="paragraph" w:customStyle="1" w:styleId="195">
    <w:name w:val="标题 81"/>
    <w:basedOn w:val="1"/>
    <w:next w:val="1"/>
    <w:link w:val="208"/>
    <w:qFormat/>
    <w:uiPriority w:val="0"/>
    <w:pPr>
      <w:keepNext/>
      <w:keepLines/>
      <w:spacing w:before="240" w:after="64" w:line="320" w:lineRule="auto"/>
      <w:outlineLvl w:val="7"/>
    </w:pPr>
    <w:rPr>
      <w:rFonts w:ascii="Arial" w:hAnsi="Arial" w:eastAsia="黑体"/>
      <w:sz w:val="24"/>
      <w:szCs w:val="24"/>
    </w:rPr>
  </w:style>
  <w:style w:type="paragraph" w:customStyle="1" w:styleId="196">
    <w:name w:val="标题 91"/>
    <w:basedOn w:val="1"/>
    <w:next w:val="1"/>
    <w:link w:val="209"/>
    <w:qFormat/>
    <w:uiPriority w:val="0"/>
    <w:pPr>
      <w:keepNext/>
      <w:keepLines/>
      <w:spacing w:before="240" w:after="64" w:line="320" w:lineRule="auto"/>
      <w:outlineLvl w:val="8"/>
    </w:pPr>
    <w:rPr>
      <w:rFonts w:ascii="Arial" w:hAnsi="Arial" w:eastAsia="黑体"/>
      <w:szCs w:val="21"/>
    </w:rPr>
  </w:style>
  <w:style w:type="character" w:customStyle="1" w:styleId="197">
    <w:name w:val="默认段落字体1"/>
    <w:semiHidden/>
    <w:qFormat/>
    <w:uiPriority w:val="0"/>
  </w:style>
  <w:style w:type="table" w:customStyle="1" w:styleId="198">
    <w:name w:val="普通表格1"/>
    <w:semiHidden/>
    <w:qFormat/>
    <w:uiPriority w:val="0"/>
    <w:tblPr>
      <w:tblCellMar>
        <w:top w:w="0" w:type="dxa"/>
        <w:left w:w="0" w:type="dxa"/>
        <w:bottom w:w="0" w:type="dxa"/>
        <w:right w:w="0" w:type="dxa"/>
      </w:tblCellMar>
    </w:tblPr>
  </w:style>
  <w:style w:type="paragraph" w:customStyle="1" w:styleId="199">
    <w:name w:val="Default"/>
    <w:qFormat/>
    <w:uiPriority w:val="0"/>
    <w:pPr>
      <w:widowControl w:val="0"/>
    </w:pPr>
    <w:rPr>
      <w:rFonts w:ascii="宋体" w:hAnsi="Times New Roman" w:eastAsia="宋体" w:cs="宋体"/>
      <w:color w:val="000000"/>
      <w:sz w:val="24"/>
      <w:szCs w:val="24"/>
      <w:lang w:val="en-US" w:eastAsia="zh-CN" w:bidi="ar-SA"/>
    </w:rPr>
  </w:style>
  <w:style w:type="character" w:customStyle="1" w:styleId="200">
    <w:name w:val="标题 1 字符2"/>
    <w:link w:val="187"/>
    <w:qFormat/>
    <w:uiPriority w:val="0"/>
    <w:rPr>
      <w:rFonts w:ascii="黑体" w:eastAsia="黑体"/>
      <w:b/>
      <w:sz w:val="24"/>
      <w:szCs w:val="28"/>
      <w:lang w:val="en-US" w:eastAsia="zh-CN" w:bidi="ar-SA"/>
    </w:rPr>
  </w:style>
  <w:style w:type="character" w:customStyle="1" w:styleId="201">
    <w:name w:val="标题 2 字符2"/>
    <w:link w:val="188"/>
    <w:qFormat/>
    <w:uiPriority w:val="0"/>
    <w:rPr>
      <w:rFonts w:ascii="宋体" w:hAnsi="宋体" w:eastAsia="宋体"/>
      <w:b/>
      <w:sz w:val="21"/>
      <w:szCs w:val="24"/>
      <w:lang w:val="en-US" w:eastAsia="zh-CN" w:bidi="ar-SA"/>
    </w:rPr>
  </w:style>
  <w:style w:type="character" w:customStyle="1" w:styleId="202">
    <w:name w:val="正文缩进 字符1"/>
    <w:link w:val="189"/>
    <w:qFormat/>
    <w:uiPriority w:val="0"/>
    <w:rPr>
      <w:sz w:val="21"/>
    </w:rPr>
  </w:style>
  <w:style w:type="character" w:customStyle="1" w:styleId="203">
    <w:name w:val="标题 3 字符2"/>
    <w:link w:val="190"/>
    <w:qFormat/>
    <w:uiPriority w:val="0"/>
    <w:rPr>
      <w:rFonts w:ascii="宋体" w:hAnsi="宋体" w:eastAsia="宋体"/>
      <w:b/>
      <w:sz w:val="21"/>
      <w:szCs w:val="21"/>
      <w:shd w:val="clear" w:color="auto" w:fill="FFFFFF"/>
    </w:rPr>
  </w:style>
  <w:style w:type="character" w:customStyle="1" w:styleId="204">
    <w:name w:val="标题 4 字符2"/>
    <w:link w:val="191"/>
    <w:qFormat/>
    <w:uiPriority w:val="0"/>
    <w:rPr>
      <w:rFonts w:ascii="Arial" w:hAnsi="Arial" w:eastAsia="黑体"/>
      <w:b/>
      <w:sz w:val="28"/>
      <w:lang w:val="en-US" w:eastAsia="zh-CN" w:bidi="ar-SA"/>
    </w:rPr>
  </w:style>
  <w:style w:type="character" w:customStyle="1" w:styleId="205">
    <w:name w:val="标题 5 字符2"/>
    <w:link w:val="192"/>
    <w:qFormat/>
    <w:uiPriority w:val="0"/>
    <w:rPr>
      <w:rFonts w:ascii="黑体" w:eastAsia="黑体"/>
      <w:b/>
      <w:color w:val="000000"/>
      <w:sz w:val="28"/>
      <w:lang w:val="en-US" w:eastAsia="zh-CN" w:bidi="ar-SA"/>
    </w:rPr>
  </w:style>
  <w:style w:type="character" w:customStyle="1" w:styleId="206">
    <w:name w:val="标题 6 字符2"/>
    <w:link w:val="193"/>
    <w:qFormat/>
    <w:uiPriority w:val="0"/>
    <w:rPr>
      <w:rFonts w:ascii="Arial" w:hAnsi="Arial" w:eastAsia="黑体"/>
      <w:b/>
      <w:bCs/>
      <w:sz w:val="24"/>
      <w:szCs w:val="24"/>
      <w:lang w:val="en-US" w:eastAsia="zh-CN" w:bidi="ar-SA"/>
    </w:rPr>
  </w:style>
  <w:style w:type="character" w:customStyle="1" w:styleId="207">
    <w:name w:val="标题 7 字符2"/>
    <w:link w:val="194"/>
    <w:qFormat/>
    <w:uiPriority w:val="0"/>
    <w:rPr>
      <w:rFonts w:eastAsia="宋体"/>
      <w:b/>
      <w:bCs/>
      <w:sz w:val="24"/>
      <w:szCs w:val="24"/>
      <w:lang w:val="en-US" w:eastAsia="zh-CN" w:bidi="ar-SA"/>
    </w:rPr>
  </w:style>
  <w:style w:type="character" w:customStyle="1" w:styleId="208">
    <w:name w:val="标题 8 字符2"/>
    <w:link w:val="195"/>
    <w:qFormat/>
    <w:uiPriority w:val="0"/>
    <w:rPr>
      <w:rFonts w:ascii="Arial" w:hAnsi="Arial" w:eastAsia="黑体"/>
      <w:sz w:val="24"/>
      <w:szCs w:val="24"/>
      <w:lang w:val="en-US" w:eastAsia="zh-CN" w:bidi="ar-SA"/>
    </w:rPr>
  </w:style>
  <w:style w:type="character" w:customStyle="1" w:styleId="209">
    <w:name w:val="标题 9 字符2"/>
    <w:link w:val="196"/>
    <w:qFormat/>
    <w:uiPriority w:val="0"/>
    <w:rPr>
      <w:rFonts w:ascii="Arial" w:hAnsi="Arial" w:eastAsia="黑体"/>
      <w:sz w:val="21"/>
      <w:szCs w:val="21"/>
      <w:lang w:val="en-US" w:eastAsia="zh-CN" w:bidi="ar-SA"/>
    </w:rPr>
  </w:style>
  <w:style w:type="paragraph" w:customStyle="1" w:styleId="210">
    <w:name w:val="列表 31"/>
    <w:basedOn w:val="1"/>
    <w:qFormat/>
    <w:uiPriority w:val="0"/>
    <w:pPr>
      <w:ind w:left="1260" w:hanging="420"/>
    </w:pPr>
  </w:style>
  <w:style w:type="paragraph" w:customStyle="1" w:styleId="211">
    <w:name w:val="列表编号 21"/>
    <w:basedOn w:val="1"/>
    <w:qFormat/>
    <w:uiPriority w:val="0"/>
    <w:pPr>
      <w:tabs>
        <w:tab w:val="left" w:pos="1440"/>
      </w:tabs>
      <w:spacing w:line="360" w:lineRule="auto"/>
      <w:ind w:left="1440" w:hanging="1440"/>
    </w:pPr>
    <w:rPr>
      <w:sz w:val="24"/>
      <w:szCs w:val="24"/>
    </w:rPr>
  </w:style>
  <w:style w:type="paragraph" w:customStyle="1" w:styleId="212">
    <w:name w:val="索引 81"/>
    <w:basedOn w:val="1"/>
    <w:next w:val="1"/>
    <w:semiHidden/>
    <w:qFormat/>
    <w:uiPriority w:val="0"/>
    <w:pPr>
      <w:ind w:left="2940"/>
    </w:pPr>
  </w:style>
  <w:style w:type="paragraph" w:customStyle="1" w:styleId="213">
    <w:name w:val="列表编号1"/>
    <w:basedOn w:val="1"/>
    <w:qFormat/>
    <w:uiPriority w:val="0"/>
    <w:pPr>
      <w:tabs>
        <w:tab w:val="left" w:pos="2952"/>
      </w:tabs>
      <w:ind w:left="2952" w:hanging="432"/>
    </w:pPr>
    <w:rPr>
      <w:szCs w:val="24"/>
    </w:rPr>
  </w:style>
  <w:style w:type="paragraph" w:customStyle="1" w:styleId="214">
    <w:name w:val="题注1"/>
    <w:basedOn w:val="1"/>
    <w:next w:val="1"/>
    <w:qFormat/>
    <w:uiPriority w:val="0"/>
    <w:rPr>
      <w:rFonts w:ascii="Cambria" w:hAnsi="Cambria" w:eastAsia="黑体"/>
      <w:sz w:val="20"/>
      <w:szCs w:val="22"/>
    </w:rPr>
  </w:style>
  <w:style w:type="paragraph" w:customStyle="1" w:styleId="215">
    <w:name w:val="索引 51"/>
    <w:basedOn w:val="1"/>
    <w:next w:val="1"/>
    <w:semiHidden/>
    <w:qFormat/>
    <w:uiPriority w:val="0"/>
    <w:pPr>
      <w:ind w:left="1680"/>
    </w:pPr>
  </w:style>
  <w:style w:type="paragraph" w:customStyle="1" w:styleId="216">
    <w:name w:val="文档结构图1"/>
    <w:basedOn w:val="1"/>
    <w:link w:val="217"/>
    <w:qFormat/>
    <w:uiPriority w:val="0"/>
    <w:pPr>
      <w:shd w:val="clear" w:color="auto" w:fill="000080"/>
    </w:pPr>
  </w:style>
  <w:style w:type="character" w:customStyle="1" w:styleId="217">
    <w:name w:val="文档结构图 字符2"/>
    <w:link w:val="216"/>
    <w:qFormat/>
    <w:uiPriority w:val="0"/>
    <w:rPr>
      <w:rFonts w:eastAsia="宋体"/>
      <w:sz w:val="21"/>
      <w:lang w:val="en-US" w:eastAsia="zh-CN" w:bidi="ar-SA"/>
    </w:rPr>
  </w:style>
  <w:style w:type="paragraph" w:customStyle="1" w:styleId="218">
    <w:name w:val="批注文字1"/>
    <w:basedOn w:val="1"/>
    <w:link w:val="219"/>
    <w:qFormat/>
    <w:uiPriority w:val="99"/>
    <w:pPr>
      <w:jc w:val="left"/>
    </w:pPr>
  </w:style>
  <w:style w:type="character" w:customStyle="1" w:styleId="219">
    <w:name w:val="批注文字 字符2"/>
    <w:link w:val="218"/>
    <w:qFormat/>
    <w:uiPriority w:val="99"/>
    <w:rPr>
      <w:rFonts w:eastAsia="宋体"/>
      <w:sz w:val="21"/>
      <w:lang w:val="en-US" w:eastAsia="zh-CN" w:bidi="ar-SA"/>
    </w:rPr>
  </w:style>
  <w:style w:type="paragraph" w:customStyle="1" w:styleId="220">
    <w:name w:val="索引 61"/>
    <w:basedOn w:val="1"/>
    <w:next w:val="1"/>
    <w:semiHidden/>
    <w:qFormat/>
    <w:uiPriority w:val="0"/>
    <w:pPr>
      <w:ind w:left="2100"/>
    </w:pPr>
  </w:style>
  <w:style w:type="paragraph" w:customStyle="1" w:styleId="221">
    <w:name w:val="称呼1"/>
    <w:basedOn w:val="1"/>
    <w:next w:val="1"/>
    <w:link w:val="222"/>
    <w:qFormat/>
    <w:uiPriority w:val="0"/>
    <w:rPr>
      <w:rFonts w:ascii="仿宋_GB2312" w:eastAsia="仿宋_GB2312"/>
      <w:sz w:val="28"/>
    </w:rPr>
  </w:style>
  <w:style w:type="character" w:customStyle="1" w:styleId="222">
    <w:name w:val="称呼 字符"/>
    <w:link w:val="221"/>
    <w:qFormat/>
    <w:uiPriority w:val="0"/>
    <w:rPr>
      <w:rFonts w:ascii="仿宋_GB2312" w:eastAsia="仿宋_GB2312"/>
      <w:sz w:val="28"/>
    </w:rPr>
  </w:style>
  <w:style w:type="paragraph" w:customStyle="1" w:styleId="223">
    <w:name w:val="正文文本 31"/>
    <w:basedOn w:val="1"/>
    <w:link w:val="224"/>
    <w:qFormat/>
    <w:uiPriority w:val="0"/>
    <w:rPr>
      <w:rFonts w:ascii="仿宋_GB2312" w:hAnsi="Arial" w:eastAsia="仿宋_GB2312"/>
      <w:sz w:val="32"/>
    </w:rPr>
  </w:style>
  <w:style w:type="character" w:customStyle="1" w:styleId="224">
    <w:name w:val="正文文本 3 字符1"/>
    <w:link w:val="223"/>
    <w:qFormat/>
    <w:uiPriority w:val="0"/>
    <w:rPr>
      <w:rFonts w:ascii="仿宋_GB2312" w:hAnsi="Arial" w:eastAsia="仿宋_GB2312"/>
      <w:sz w:val="32"/>
    </w:rPr>
  </w:style>
  <w:style w:type="paragraph" w:customStyle="1" w:styleId="225">
    <w:name w:val="正文文本11"/>
    <w:basedOn w:val="1"/>
    <w:link w:val="226"/>
    <w:qFormat/>
    <w:uiPriority w:val="0"/>
    <w:rPr>
      <w:rFonts w:ascii="楷体_GB2312" w:hAnsi="Arial" w:eastAsia="楷体_GB2312"/>
      <w:sz w:val="28"/>
    </w:rPr>
  </w:style>
  <w:style w:type="character" w:customStyle="1" w:styleId="226">
    <w:name w:val="正文文本 字符2"/>
    <w:link w:val="225"/>
    <w:qFormat/>
    <w:uiPriority w:val="0"/>
    <w:rPr>
      <w:rFonts w:ascii="楷体_GB2312" w:hAnsi="Arial" w:eastAsia="楷体_GB2312"/>
      <w:sz w:val="28"/>
    </w:rPr>
  </w:style>
  <w:style w:type="paragraph" w:customStyle="1" w:styleId="227">
    <w:name w:val="正文文本缩进11"/>
    <w:basedOn w:val="1"/>
    <w:link w:val="228"/>
    <w:qFormat/>
    <w:uiPriority w:val="0"/>
    <w:pPr>
      <w:ind w:firstLine="645"/>
    </w:pPr>
    <w:rPr>
      <w:rFonts w:ascii="楷体_GB2312" w:eastAsia="楷体_GB2312"/>
      <w:sz w:val="32"/>
    </w:rPr>
  </w:style>
  <w:style w:type="character" w:customStyle="1" w:styleId="228">
    <w:name w:val="正文文本缩进 字符1"/>
    <w:link w:val="227"/>
    <w:qFormat/>
    <w:uiPriority w:val="0"/>
    <w:rPr>
      <w:rFonts w:ascii="楷体_GB2312" w:eastAsia="楷体_GB2312"/>
      <w:sz w:val="32"/>
      <w:lang w:val="en-US" w:eastAsia="zh-CN" w:bidi="ar-SA"/>
    </w:rPr>
  </w:style>
  <w:style w:type="paragraph" w:customStyle="1" w:styleId="229">
    <w:name w:val="文本块1"/>
    <w:basedOn w:val="1"/>
    <w:qFormat/>
    <w:uiPriority w:val="0"/>
    <w:pPr>
      <w:spacing w:line="360" w:lineRule="auto"/>
      <w:ind w:left="735" w:right="-332" w:hanging="46"/>
    </w:pPr>
    <w:rPr>
      <w:rFonts w:ascii="宋体"/>
      <w:bCs/>
      <w:color w:val="000000"/>
      <w:sz w:val="24"/>
    </w:rPr>
  </w:style>
  <w:style w:type="paragraph" w:customStyle="1" w:styleId="230">
    <w:name w:val="索引 41"/>
    <w:basedOn w:val="1"/>
    <w:next w:val="1"/>
    <w:qFormat/>
    <w:uiPriority w:val="0"/>
    <w:pPr>
      <w:ind w:left="1260"/>
    </w:pPr>
  </w:style>
  <w:style w:type="paragraph" w:customStyle="1" w:styleId="231">
    <w:name w:val="纯文本11"/>
    <w:basedOn w:val="1"/>
    <w:link w:val="232"/>
    <w:qFormat/>
    <w:uiPriority w:val="0"/>
    <w:rPr>
      <w:rFonts w:ascii="宋体" w:hAnsi="Courier New"/>
    </w:rPr>
  </w:style>
  <w:style w:type="character" w:customStyle="1" w:styleId="232">
    <w:name w:val="纯文本 字符1"/>
    <w:link w:val="231"/>
    <w:qFormat/>
    <w:uiPriority w:val="0"/>
    <w:rPr>
      <w:rFonts w:ascii="宋体" w:hAnsi="Courier New" w:eastAsia="宋体"/>
      <w:sz w:val="21"/>
      <w:lang w:val="en-US" w:eastAsia="zh-CN" w:bidi="ar-SA"/>
    </w:rPr>
  </w:style>
  <w:style w:type="paragraph" w:customStyle="1" w:styleId="233">
    <w:name w:val="索引 31"/>
    <w:basedOn w:val="1"/>
    <w:next w:val="1"/>
    <w:semiHidden/>
    <w:qFormat/>
    <w:uiPriority w:val="0"/>
    <w:pPr>
      <w:ind w:left="840"/>
    </w:pPr>
  </w:style>
  <w:style w:type="paragraph" w:customStyle="1" w:styleId="234">
    <w:name w:val="日期1"/>
    <w:basedOn w:val="1"/>
    <w:next w:val="1"/>
    <w:link w:val="235"/>
    <w:qFormat/>
    <w:uiPriority w:val="0"/>
    <w:pPr>
      <w:ind w:left="100"/>
    </w:pPr>
    <w:rPr>
      <w:sz w:val="28"/>
    </w:rPr>
  </w:style>
  <w:style w:type="character" w:customStyle="1" w:styleId="235">
    <w:name w:val="日期 字符2"/>
    <w:link w:val="234"/>
    <w:qFormat/>
    <w:uiPriority w:val="0"/>
    <w:rPr>
      <w:sz w:val="28"/>
    </w:rPr>
  </w:style>
  <w:style w:type="paragraph" w:customStyle="1" w:styleId="236">
    <w:name w:val="正文文本缩进 21"/>
    <w:basedOn w:val="1"/>
    <w:link w:val="237"/>
    <w:qFormat/>
    <w:uiPriority w:val="0"/>
    <w:pPr>
      <w:ind w:left="630" w:firstLine="645"/>
    </w:pPr>
    <w:rPr>
      <w:rFonts w:ascii="Arial" w:hAnsi="Arial" w:eastAsia="仿宋_GB2312"/>
      <w:sz w:val="32"/>
    </w:rPr>
  </w:style>
  <w:style w:type="character" w:customStyle="1" w:styleId="237">
    <w:name w:val="正文文本缩进 2 字符1"/>
    <w:link w:val="236"/>
    <w:qFormat/>
    <w:uiPriority w:val="0"/>
    <w:rPr>
      <w:rFonts w:ascii="Arial" w:hAnsi="Arial" w:eastAsia="仿宋_GB2312"/>
      <w:sz w:val="32"/>
      <w:lang w:val="en-US" w:eastAsia="zh-CN" w:bidi="ar-SA"/>
    </w:rPr>
  </w:style>
  <w:style w:type="paragraph" w:customStyle="1" w:styleId="238">
    <w:name w:val="尾注文本1"/>
    <w:basedOn w:val="1"/>
    <w:link w:val="239"/>
    <w:qFormat/>
    <w:uiPriority w:val="0"/>
    <w:pPr>
      <w:jc w:val="left"/>
    </w:pPr>
    <w:rPr>
      <w:sz w:val="20"/>
      <w:szCs w:val="24"/>
    </w:rPr>
  </w:style>
  <w:style w:type="character" w:customStyle="1" w:styleId="239">
    <w:name w:val="尾注文本 字符"/>
    <w:link w:val="238"/>
    <w:qFormat/>
    <w:uiPriority w:val="0"/>
    <w:rPr>
      <w:szCs w:val="24"/>
    </w:rPr>
  </w:style>
  <w:style w:type="paragraph" w:customStyle="1" w:styleId="240">
    <w:name w:val="批注框文本1"/>
    <w:basedOn w:val="1"/>
    <w:link w:val="241"/>
    <w:qFormat/>
    <w:uiPriority w:val="0"/>
    <w:rPr>
      <w:sz w:val="18"/>
      <w:szCs w:val="18"/>
    </w:rPr>
  </w:style>
  <w:style w:type="character" w:customStyle="1" w:styleId="241">
    <w:name w:val="批注框文本 字符2"/>
    <w:link w:val="240"/>
    <w:qFormat/>
    <w:uiPriority w:val="0"/>
    <w:rPr>
      <w:sz w:val="18"/>
      <w:szCs w:val="18"/>
    </w:rPr>
  </w:style>
  <w:style w:type="paragraph" w:customStyle="1" w:styleId="242">
    <w:name w:val="页脚1"/>
    <w:basedOn w:val="1"/>
    <w:link w:val="243"/>
    <w:qFormat/>
    <w:uiPriority w:val="99"/>
    <w:pPr>
      <w:tabs>
        <w:tab w:val="center" w:pos="4153"/>
        <w:tab w:val="right" w:pos="8306"/>
      </w:tabs>
      <w:jc w:val="left"/>
    </w:pPr>
    <w:rPr>
      <w:sz w:val="18"/>
    </w:rPr>
  </w:style>
  <w:style w:type="character" w:customStyle="1" w:styleId="243">
    <w:name w:val="页脚 字符2"/>
    <w:link w:val="242"/>
    <w:qFormat/>
    <w:uiPriority w:val="99"/>
    <w:rPr>
      <w:sz w:val="18"/>
    </w:rPr>
  </w:style>
  <w:style w:type="paragraph" w:customStyle="1" w:styleId="244">
    <w:name w:val="页眉1"/>
    <w:basedOn w:val="1"/>
    <w:link w:val="245"/>
    <w:qFormat/>
    <w:uiPriority w:val="0"/>
    <w:pPr>
      <w:pBdr>
        <w:bottom w:val="single" w:color="000000" w:sz="6" w:space="1"/>
      </w:pBdr>
      <w:tabs>
        <w:tab w:val="center" w:pos="4153"/>
        <w:tab w:val="right" w:pos="8306"/>
      </w:tabs>
      <w:jc w:val="center"/>
    </w:pPr>
    <w:rPr>
      <w:sz w:val="18"/>
    </w:rPr>
  </w:style>
  <w:style w:type="character" w:customStyle="1" w:styleId="245">
    <w:name w:val="页眉 字符2"/>
    <w:link w:val="244"/>
    <w:qFormat/>
    <w:uiPriority w:val="0"/>
    <w:rPr>
      <w:sz w:val="18"/>
    </w:rPr>
  </w:style>
  <w:style w:type="paragraph" w:customStyle="1" w:styleId="246">
    <w:name w:val="签名1"/>
    <w:basedOn w:val="1"/>
    <w:link w:val="247"/>
    <w:qFormat/>
    <w:uiPriority w:val="0"/>
    <w:pPr>
      <w:spacing w:after="600" w:line="312" w:lineRule="atLeast"/>
      <w:jc w:val="center"/>
    </w:pPr>
    <w:rPr>
      <w:rFonts w:eastAsia="仿宋_GB2312"/>
      <w:sz w:val="24"/>
    </w:rPr>
  </w:style>
  <w:style w:type="character" w:customStyle="1" w:styleId="247">
    <w:name w:val="签名 字符"/>
    <w:link w:val="246"/>
    <w:qFormat/>
    <w:uiPriority w:val="0"/>
    <w:rPr>
      <w:rFonts w:eastAsia="仿宋_GB2312"/>
      <w:sz w:val="24"/>
    </w:rPr>
  </w:style>
  <w:style w:type="paragraph" w:customStyle="1" w:styleId="248">
    <w:name w:val="索引标题1"/>
    <w:basedOn w:val="1"/>
    <w:next w:val="249"/>
    <w:semiHidden/>
    <w:qFormat/>
    <w:uiPriority w:val="0"/>
  </w:style>
  <w:style w:type="paragraph" w:customStyle="1" w:styleId="249">
    <w:name w:val="索引 11"/>
    <w:basedOn w:val="1"/>
    <w:next w:val="1"/>
    <w:qFormat/>
    <w:uiPriority w:val="0"/>
    <w:rPr>
      <w:rFonts w:ascii="仿宋_GB2312" w:hAnsi="宋体" w:eastAsia="仿宋_GB2312"/>
      <w:sz w:val="30"/>
      <w:szCs w:val="24"/>
    </w:rPr>
  </w:style>
  <w:style w:type="paragraph" w:customStyle="1" w:styleId="250">
    <w:name w:val="副标题1"/>
    <w:basedOn w:val="1"/>
    <w:next w:val="1"/>
    <w:link w:val="251"/>
    <w:qFormat/>
    <w:uiPriority w:val="11"/>
    <w:pPr>
      <w:widowControl/>
      <w:spacing w:after="600" w:line="276" w:lineRule="auto"/>
      <w:jc w:val="left"/>
    </w:pPr>
    <w:rPr>
      <w:rFonts w:ascii="Cambria" w:hAnsi="Cambria"/>
      <w:i/>
      <w:iCs/>
      <w:spacing w:val="13"/>
      <w:sz w:val="24"/>
      <w:szCs w:val="24"/>
      <w:lang w:eastAsia="en-US" w:bidi="en-US"/>
    </w:rPr>
  </w:style>
  <w:style w:type="character" w:customStyle="1" w:styleId="251">
    <w:name w:val="副标题 字符2"/>
    <w:link w:val="250"/>
    <w:qFormat/>
    <w:uiPriority w:val="11"/>
    <w:rPr>
      <w:rFonts w:ascii="Cambria" w:hAnsi="Cambria"/>
      <w:i/>
      <w:iCs/>
      <w:spacing w:val="13"/>
      <w:sz w:val="24"/>
      <w:szCs w:val="24"/>
      <w:lang w:eastAsia="en-US" w:bidi="en-US"/>
    </w:rPr>
  </w:style>
  <w:style w:type="paragraph" w:customStyle="1" w:styleId="252">
    <w:name w:val="脚注文本1"/>
    <w:basedOn w:val="1"/>
    <w:link w:val="253"/>
    <w:qFormat/>
    <w:uiPriority w:val="0"/>
    <w:pPr>
      <w:jc w:val="left"/>
    </w:pPr>
    <w:rPr>
      <w:sz w:val="18"/>
      <w:szCs w:val="18"/>
    </w:rPr>
  </w:style>
  <w:style w:type="character" w:customStyle="1" w:styleId="253">
    <w:name w:val="脚注文本 字符"/>
    <w:link w:val="252"/>
    <w:qFormat/>
    <w:uiPriority w:val="0"/>
    <w:rPr>
      <w:sz w:val="18"/>
      <w:szCs w:val="18"/>
    </w:rPr>
  </w:style>
  <w:style w:type="paragraph" w:customStyle="1" w:styleId="254">
    <w:name w:val="正文文本缩进 311"/>
    <w:basedOn w:val="1"/>
    <w:link w:val="255"/>
    <w:qFormat/>
    <w:uiPriority w:val="0"/>
    <w:pPr>
      <w:ind w:left="645" w:firstLine="645"/>
    </w:pPr>
    <w:rPr>
      <w:rFonts w:ascii="Arial" w:hAnsi="Arial" w:eastAsia="仿宋_GB2312"/>
      <w:color w:val="FFFF00"/>
      <w:sz w:val="32"/>
    </w:rPr>
  </w:style>
  <w:style w:type="character" w:customStyle="1" w:styleId="255">
    <w:name w:val="正文文本缩进 3 字符1"/>
    <w:link w:val="254"/>
    <w:qFormat/>
    <w:uiPriority w:val="0"/>
    <w:rPr>
      <w:rFonts w:ascii="Arial" w:hAnsi="Arial" w:eastAsia="仿宋_GB2312"/>
      <w:color w:val="FFFF00"/>
      <w:sz w:val="32"/>
      <w:lang w:val="en-US" w:eastAsia="zh-CN" w:bidi="ar-SA"/>
    </w:rPr>
  </w:style>
  <w:style w:type="paragraph" w:customStyle="1" w:styleId="256">
    <w:name w:val="索引 71"/>
    <w:basedOn w:val="1"/>
    <w:next w:val="1"/>
    <w:semiHidden/>
    <w:qFormat/>
    <w:uiPriority w:val="0"/>
    <w:pPr>
      <w:ind w:left="2520"/>
    </w:pPr>
  </w:style>
  <w:style w:type="paragraph" w:customStyle="1" w:styleId="257">
    <w:name w:val="索引 91"/>
    <w:basedOn w:val="1"/>
    <w:next w:val="1"/>
    <w:semiHidden/>
    <w:qFormat/>
    <w:uiPriority w:val="0"/>
    <w:pPr>
      <w:ind w:left="3360"/>
    </w:pPr>
  </w:style>
  <w:style w:type="paragraph" w:customStyle="1" w:styleId="258">
    <w:name w:val="图表目录1"/>
    <w:basedOn w:val="1"/>
    <w:next w:val="1"/>
    <w:semiHidden/>
    <w:qFormat/>
    <w:uiPriority w:val="0"/>
    <w:pPr>
      <w:ind w:left="840" w:hanging="420"/>
    </w:pPr>
  </w:style>
  <w:style w:type="paragraph" w:customStyle="1" w:styleId="259">
    <w:name w:val="正文文本 211"/>
    <w:basedOn w:val="1"/>
    <w:link w:val="260"/>
    <w:qFormat/>
    <w:uiPriority w:val="0"/>
    <w:pPr>
      <w:widowControl/>
      <w:jc w:val="center"/>
    </w:pPr>
    <w:rPr>
      <w:rFonts w:ascii="楷体_GB2312" w:eastAsia="楷体_GB2312"/>
      <w:sz w:val="28"/>
    </w:rPr>
  </w:style>
  <w:style w:type="character" w:customStyle="1" w:styleId="260">
    <w:name w:val="正文文本 2 字符1"/>
    <w:link w:val="259"/>
    <w:qFormat/>
    <w:uiPriority w:val="0"/>
    <w:rPr>
      <w:rFonts w:ascii="楷体_GB2312" w:eastAsia="楷体_GB2312"/>
      <w:sz w:val="28"/>
    </w:rPr>
  </w:style>
  <w:style w:type="paragraph" w:customStyle="1" w:styleId="261">
    <w:name w:val="HTML 预设格式1"/>
    <w:basedOn w:val="1"/>
    <w:link w:val="262"/>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sz w:val="20"/>
    </w:rPr>
  </w:style>
  <w:style w:type="character" w:customStyle="1" w:styleId="262">
    <w:name w:val="HTML 预设格式 字符1"/>
    <w:link w:val="261"/>
    <w:qFormat/>
    <w:uiPriority w:val="0"/>
    <w:rPr>
      <w:rFonts w:ascii="黑体" w:hAnsi="Courier New" w:eastAsia="黑体" w:cs="Courier New"/>
      <w:lang w:val="en-US" w:eastAsia="zh-CN" w:bidi="ar-SA"/>
    </w:rPr>
  </w:style>
  <w:style w:type="paragraph" w:customStyle="1" w:styleId="263">
    <w:name w:val="普通(网站)1"/>
    <w:basedOn w:val="1"/>
    <w:qFormat/>
    <w:uiPriority w:val="0"/>
    <w:pPr>
      <w:widowControl/>
      <w:spacing w:before="100" w:beforeAutospacing="1" w:after="100" w:afterAutospacing="1"/>
      <w:jc w:val="left"/>
    </w:pPr>
    <w:rPr>
      <w:rFonts w:ascii="Arial" w:hAnsi="Arial" w:eastAsia="Arial Unicode MS" w:cs="Arial"/>
      <w:sz w:val="24"/>
      <w:szCs w:val="24"/>
    </w:rPr>
  </w:style>
  <w:style w:type="paragraph" w:customStyle="1" w:styleId="264">
    <w:name w:val="索引 21"/>
    <w:basedOn w:val="1"/>
    <w:next w:val="1"/>
    <w:semiHidden/>
    <w:qFormat/>
    <w:uiPriority w:val="0"/>
    <w:pPr>
      <w:ind w:left="420"/>
    </w:pPr>
  </w:style>
  <w:style w:type="paragraph" w:customStyle="1" w:styleId="265">
    <w:name w:val="标题1"/>
    <w:basedOn w:val="1"/>
    <w:link w:val="266"/>
    <w:qFormat/>
    <w:uiPriority w:val="0"/>
    <w:pPr>
      <w:widowControl/>
      <w:spacing w:line="420" w:lineRule="exact"/>
      <w:jc w:val="center"/>
    </w:pPr>
    <w:rPr>
      <w:rFonts w:eastAsia="黑体"/>
      <w:b/>
      <w:sz w:val="28"/>
      <w:lang w:val="en-GB"/>
    </w:rPr>
  </w:style>
  <w:style w:type="character" w:customStyle="1" w:styleId="266">
    <w:name w:val="标题 字符2"/>
    <w:link w:val="265"/>
    <w:qFormat/>
    <w:uiPriority w:val="0"/>
    <w:rPr>
      <w:rFonts w:eastAsia="黑体"/>
      <w:b/>
      <w:sz w:val="28"/>
      <w:lang w:val="en-GB" w:eastAsia="zh-CN" w:bidi="ar-SA"/>
    </w:rPr>
  </w:style>
  <w:style w:type="paragraph" w:customStyle="1" w:styleId="267">
    <w:name w:val="批注主题1"/>
    <w:basedOn w:val="218"/>
    <w:next w:val="218"/>
    <w:link w:val="268"/>
    <w:qFormat/>
    <w:uiPriority w:val="0"/>
    <w:rPr>
      <w:b/>
      <w:bCs/>
    </w:rPr>
  </w:style>
  <w:style w:type="character" w:customStyle="1" w:styleId="268">
    <w:name w:val="批注主题 字符2"/>
    <w:link w:val="267"/>
    <w:qFormat/>
    <w:uiPriority w:val="0"/>
    <w:rPr>
      <w:rFonts w:eastAsia="宋体"/>
      <w:b/>
      <w:bCs/>
      <w:sz w:val="21"/>
      <w:lang w:val="en-US" w:eastAsia="zh-CN" w:bidi="ar-SA"/>
    </w:rPr>
  </w:style>
  <w:style w:type="paragraph" w:customStyle="1" w:styleId="269">
    <w:name w:val="正文文本首行缩进"/>
    <w:basedOn w:val="225"/>
    <w:link w:val="270"/>
    <w:qFormat/>
    <w:uiPriority w:val="0"/>
    <w:pPr>
      <w:spacing w:after="120"/>
      <w:ind w:firstLine="420"/>
    </w:pPr>
    <w:rPr>
      <w:rFonts w:ascii="Times New Roman" w:hAnsi="Times New Roman" w:eastAsia="宋体"/>
      <w:sz w:val="21"/>
      <w:szCs w:val="24"/>
    </w:rPr>
  </w:style>
  <w:style w:type="character" w:customStyle="1" w:styleId="270">
    <w:name w:val="正文文本首行缩进 字符"/>
    <w:link w:val="269"/>
    <w:qFormat/>
    <w:uiPriority w:val="0"/>
    <w:rPr>
      <w:rFonts w:ascii="Times New Roman" w:hAnsi="Times New Roman"/>
      <w:sz w:val="21"/>
      <w:szCs w:val="24"/>
    </w:rPr>
  </w:style>
  <w:style w:type="table" w:customStyle="1" w:styleId="271">
    <w:name w:val="网格型11"/>
    <w:basedOn w:val="198"/>
    <w:qFormat/>
    <w:uiPriority w:val="0"/>
    <w:pPr>
      <w:widowControl w:val="0"/>
      <w:jc w:val="both"/>
    </w:pPr>
  </w:style>
  <w:style w:type="character" w:customStyle="1" w:styleId="272">
    <w:name w:val="要点1"/>
    <w:qFormat/>
    <w:uiPriority w:val="0"/>
    <w:rPr>
      <w:b/>
      <w:bCs/>
    </w:rPr>
  </w:style>
  <w:style w:type="character" w:customStyle="1" w:styleId="273">
    <w:name w:val="尾注引用1"/>
    <w:qFormat/>
    <w:uiPriority w:val="0"/>
    <w:rPr>
      <w:vertAlign w:val="superscript"/>
    </w:rPr>
  </w:style>
  <w:style w:type="character" w:customStyle="1" w:styleId="274">
    <w:name w:val="页码1"/>
    <w:qFormat/>
    <w:uiPriority w:val="0"/>
  </w:style>
  <w:style w:type="character" w:customStyle="1" w:styleId="275">
    <w:name w:val="访问过的超链接1"/>
    <w:qFormat/>
    <w:uiPriority w:val="99"/>
    <w:rPr>
      <w:color w:val="800080"/>
      <w:u w:val="single"/>
    </w:rPr>
  </w:style>
  <w:style w:type="character" w:customStyle="1" w:styleId="276">
    <w:name w:val="强调1"/>
    <w:qFormat/>
    <w:uiPriority w:val="0"/>
    <w:rPr>
      <w:b/>
      <w:bCs/>
      <w:i/>
      <w:iCs/>
      <w:spacing w:val="10"/>
      <w:shd w:val="clear" w:color="auto" w:fill="auto"/>
    </w:rPr>
  </w:style>
  <w:style w:type="character" w:customStyle="1" w:styleId="277">
    <w:name w:val="行号1"/>
    <w:qFormat/>
    <w:uiPriority w:val="0"/>
  </w:style>
  <w:style w:type="character" w:customStyle="1" w:styleId="278">
    <w:name w:val="HTML 打字机1"/>
    <w:qFormat/>
    <w:uiPriority w:val="0"/>
    <w:rPr>
      <w:rFonts w:ascii="宋体" w:hAnsi="宋体" w:eastAsia="宋体" w:cs="宋体"/>
      <w:sz w:val="24"/>
      <w:szCs w:val="24"/>
    </w:rPr>
  </w:style>
  <w:style w:type="character" w:customStyle="1" w:styleId="279">
    <w:name w:val="超链接1"/>
    <w:qFormat/>
    <w:uiPriority w:val="0"/>
    <w:rPr>
      <w:color w:val="0000FF"/>
      <w:u w:val="single"/>
    </w:rPr>
  </w:style>
  <w:style w:type="character" w:customStyle="1" w:styleId="280">
    <w:name w:val="批注引用1"/>
    <w:qFormat/>
    <w:uiPriority w:val="0"/>
    <w:rPr>
      <w:sz w:val="21"/>
    </w:rPr>
  </w:style>
  <w:style w:type="character" w:customStyle="1" w:styleId="281">
    <w:name w:val="脚注引用1"/>
    <w:qFormat/>
    <w:uiPriority w:val="0"/>
    <w:rPr>
      <w:vertAlign w:val="superscript"/>
    </w:rPr>
  </w:style>
  <w:style w:type="character" w:customStyle="1" w:styleId="282">
    <w:name w:val="HTML 样本1"/>
    <w:qFormat/>
    <w:uiPriority w:val="0"/>
    <w:rPr>
      <w:rFonts w:ascii="Courier New" w:hAnsi="宋体" w:eastAsia="宋体" w:cs="Courier New"/>
    </w:rPr>
  </w:style>
  <w:style w:type="character" w:customStyle="1" w:styleId="283">
    <w:name w:val="Char Char21"/>
    <w:qFormat/>
    <w:uiPriority w:val="0"/>
    <w:rPr>
      <w:rFonts w:ascii="Arial" w:hAnsi="Arial" w:eastAsia="黑体"/>
      <w:sz w:val="24"/>
      <w:szCs w:val="24"/>
    </w:rPr>
  </w:style>
  <w:style w:type="character" w:customStyle="1" w:styleId="284">
    <w:name w:val="listbenefit"/>
    <w:qFormat/>
    <w:uiPriority w:val="0"/>
  </w:style>
  <w:style w:type="character" w:customStyle="1" w:styleId="285">
    <w:name w:val="不明显参考1"/>
    <w:qFormat/>
    <w:uiPriority w:val="0"/>
    <w:rPr>
      <w:smallCaps/>
    </w:rPr>
  </w:style>
  <w:style w:type="character" w:customStyle="1" w:styleId="286">
    <w:name w:val="param-value"/>
    <w:qFormat/>
    <w:uiPriority w:val="0"/>
  </w:style>
  <w:style w:type="character" w:customStyle="1" w:styleId="287">
    <w:name w:val="标题 3 Char Char"/>
    <w:qFormat/>
    <w:uiPriority w:val="0"/>
    <w:rPr>
      <w:rFonts w:eastAsia="仿宋_GB2312"/>
      <w:b/>
      <w:bCs/>
      <w:sz w:val="28"/>
      <w:szCs w:val="32"/>
      <w:lang w:val="en-US" w:eastAsia="zh-CN" w:bidi="ar-SA"/>
    </w:rPr>
  </w:style>
  <w:style w:type="character" w:customStyle="1" w:styleId="288">
    <w:name w:val="标准小四 Char Char"/>
    <w:qFormat/>
    <w:uiPriority w:val="0"/>
    <w:rPr>
      <w:rFonts w:ascii="Arial" w:hAnsi="Arial" w:eastAsia="宋体"/>
      <w:sz w:val="24"/>
      <w:szCs w:val="21"/>
      <w:lang w:val="en-US" w:eastAsia="zh-CN" w:bidi="ar-SA"/>
    </w:rPr>
  </w:style>
  <w:style w:type="character" w:customStyle="1" w:styleId="289">
    <w:name w:val="特点 Char1"/>
    <w:qFormat/>
    <w:uiPriority w:val="0"/>
    <w:rPr>
      <w:rFonts w:eastAsia="宋体"/>
      <w:sz w:val="21"/>
      <w:lang w:val="en-US" w:eastAsia="zh-CN" w:bidi="ar-SA"/>
    </w:rPr>
  </w:style>
  <w:style w:type="character" w:customStyle="1" w:styleId="290">
    <w:name w:val="fontstyle21"/>
    <w:qFormat/>
    <w:uiPriority w:val="0"/>
    <w:rPr>
      <w:rFonts w:ascii="TimesNewRomanPSMT" w:hAnsi="TimesNewRomanPSMT"/>
      <w:color w:val="000000"/>
      <w:sz w:val="22"/>
      <w:szCs w:val="22"/>
    </w:rPr>
  </w:style>
  <w:style w:type="character" w:customStyle="1" w:styleId="291">
    <w:name w:val="样式 首行缩进:  2 字符 Char"/>
    <w:qFormat/>
    <w:uiPriority w:val="0"/>
    <w:rPr>
      <w:rFonts w:eastAsia="宋体" w:cs="宋体"/>
      <w:sz w:val="24"/>
      <w:lang w:val="en-US" w:eastAsia="zh-CN" w:bidi="ar-SA"/>
    </w:rPr>
  </w:style>
  <w:style w:type="character" w:customStyle="1" w:styleId="292">
    <w:name w:val="normalfont1"/>
    <w:qFormat/>
    <w:uiPriority w:val="0"/>
    <w:rPr>
      <w:rFonts w:ascii="ˎ̥" w:hAnsi="ˎ̥"/>
      <w:sz w:val="18"/>
      <w:szCs w:val="18"/>
      <w:u w:val="none"/>
    </w:rPr>
  </w:style>
  <w:style w:type="character" w:customStyle="1" w:styleId="293">
    <w:name w:val="新图表正文 Char Char"/>
    <w:link w:val="294"/>
    <w:qFormat/>
    <w:uiPriority w:val="0"/>
    <w:rPr>
      <w:rFonts w:ascii="宋体" w:hAnsi="宋体"/>
      <w:sz w:val="18"/>
      <w:szCs w:val="21"/>
      <w:lang w:val="en-US" w:eastAsia="zh-CN" w:bidi="ar-SA"/>
    </w:rPr>
  </w:style>
  <w:style w:type="paragraph" w:customStyle="1" w:styleId="294">
    <w:name w:val="新图表正文"/>
    <w:link w:val="293"/>
    <w:qFormat/>
    <w:uiPriority w:val="0"/>
    <w:pPr>
      <w:jc w:val="both"/>
    </w:pPr>
    <w:rPr>
      <w:rFonts w:ascii="宋体" w:hAnsi="宋体" w:eastAsia="宋体" w:cs="Times New Roman"/>
      <w:sz w:val="18"/>
      <w:szCs w:val="21"/>
      <w:lang w:val="en-US" w:eastAsia="zh-CN" w:bidi="ar-SA"/>
    </w:rPr>
  </w:style>
  <w:style w:type="character" w:customStyle="1" w:styleId="295">
    <w:name w:val="case31"/>
    <w:qFormat/>
    <w:uiPriority w:val="0"/>
    <w:rPr>
      <w:sz w:val="21"/>
      <w:szCs w:val="21"/>
    </w:rPr>
  </w:style>
  <w:style w:type="character" w:customStyle="1" w:styleId="296">
    <w:name w:val="Char Char20"/>
    <w:qFormat/>
    <w:uiPriority w:val="0"/>
    <w:rPr>
      <w:rFonts w:ascii="Arial" w:hAnsi="Arial" w:eastAsia="黑体"/>
      <w:sz w:val="21"/>
      <w:szCs w:val="21"/>
    </w:rPr>
  </w:style>
  <w:style w:type="character" w:customStyle="1" w:styleId="297">
    <w:name w:val="标题 Char1"/>
    <w:qFormat/>
    <w:uiPriority w:val="10"/>
    <w:rPr>
      <w:rFonts w:ascii="Cambria" w:eastAsia="宋体" w:cs="Times New Roman"/>
      <w:b/>
      <w:bCs/>
      <w:sz w:val="32"/>
      <w:szCs w:val="32"/>
    </w:rPr>
  </w:style>
  <w:style w:type="character" w:customStyle="1" w:styleId="298">
    <w:name w:val="ih151"/>
    <w:qFormat/>
    <w:uiPriority w:val="0"/>
    <w:rPr>
      <w:color w:val="666666"/>
      <w:sz w:val="18"/>
      <w:szCs w:val="18"/>
      <w:u w:val="none"/>
    </w:rPr>
  </w:style>
  <w:style w:type="character" w:customStyle="1" w:styleId="299">
    <w:name w:val="Char Char22"/>
    <w:qFormat/>
    <w:uiPriority w:val="0"/>
    <w:rPr>
      <w:b/>
      <w:bCs/>
      <w:sz w:val="24"/>
      <w:szCs w:val="24"/>
    </w:rPr>
  </w:style>
  <w:style w:type="character" w:customStyle="1" w:styleId="300">
    <w:name w:val="h Char Char"/>
    <w:qFormat/>
    <w:uiPriority w:val="0"/>
    <w:rPr>
      <w:rFonts w:eastAsia="宋体"/>
      <w:sz w:val="18"/>
      <w:szCs w:val="18"/>
      <w:lang w:val="en-US" w:eastAsia="zh-CN" w:bidi="ar-SA"/>
    </w:rPr>
  </w:style>
  <w:style w:type="character" w:customStyle="1" w:styleId="301">
    <w:name w:val="para_small"/>
    <w:qFormat/>
    <w:uiPriority w:val="0"/>
  </w:style>
  <w:style w:type="character" w:customStyle="1" w:styleId="302">
    <w:name w:val="A2"/>
    <w:qFormat/>
    <w:uiPriority w:val="0"/>
    <w:rPr>
      <w:rFonts w:cs="Helvetica"/>
      <w:color w:val="000000"/>
      <w:sz w:val="18"/>
      <w:szCs w:val="18"/>
    </w:rPr>
  </w:style>
  <w:style w:type="character" w:customStyle="1" w:styleId="303">
    <w:name w:val="111111 Char"/>
    <w:link w:val="304"/>
    <w:qFormat/>
    <w:uiPriority w:val="0"/>
    <w:rPr>
      <w:rFonts w:ascii="宋体" w:hAnsi="宋体" w:eastAsia="黑体" w:cs="宋体"/>
      <w:b/>
      <w:bCs/>
      <w:sz w:val="21"/>
      <w:szCs w:val="21"/>
      <w:lang w:val="en-US" w:eastAsia="zh-CN" w:bidi="ar-SA"/>
    </w:rPr>
  </w:style>
  <w:style w:type="paragraph" w:customStyle="1" w:styleId="304">
    <w:name w:val="111111"/>
    <w:basedOn w:val="1"/>
    <w:link w:val="303"/>
    <w:qFormat/>
    <w:uiPriority w:val="0"/>
    <w:pPr>
      <w:spacing w:before="120" w:after="120"/>
      <w:jc w:val="center"/>
    </w:pPr>
    <w:rPr>
      <w:rFonts w:ascii="宋体" w:hAnsi="宋体" w:eastAsia="黑体" w:cs="宋体"/>
      <w:b/>
      <w:bCs/>
      <w:szCs w:val="21"/>
    </w:rPr>
  </w:style>
  <w:style w:type="character" w:customStyle="1" w:styleId="305">
    <w:name w:val="无间隔 字符1"/>
    <w:link w:val="306"/>
    <w:qFormat/>
    <w:uiPriority w:val="0"/>
    <w:rPr>
      <w:rFonts w:eastAsia="微软雅黑"/>
      <w:sz w:val="24"/>
      <w:szCs w:val="22"/>
      <w:lang w:val="en-US" w:eastAsia="zh-CN" w:bidi="ar-SA"/>
    </w:rPr>
  </w:style>
  <w:style w:type="paragraph" w:customStyle="1" w:styleId="306">
    <w:name w:val="无间隔1"/>
    <w:link w:val="305"/>
    <w:qFormat/>
    <w:uiPriority w:val="0"/>
    <w:pPr>
      <w:widowControl w:val="0"/>
      <w:jc w:val="both"/>
    </w:pPr>
    <w:rPr>
      <w:rFonts w:ascii="Times New Roman" w:hAnsi="Times New Roman" w:eastAsia="微软雅黑" w:cs="Times New Roman"/>
      <w:sz w:val="24"/>
      <w:szCs w:val="22"/>
      <w:lang w:val="en-US" w:eastAsia="zh-CN" w:bidi="ar-SA"/>
    </w:rPr>
  </w:style>
  <w:style w:type="character" w:customStyle="1" w:styleId="307">
    <w:name w:val="Char Char24"/>
    <w:qFormat/>
    <w:uiPriority w:val="0"/>
    <w:rPr>
      <w:b/>
      <w:bCs/>
      <w:sz w:val="28"/>
      <w:szCs w:val="28"/>
    </w:rPr>
  </w:style>
  <w:style w:type="character" w:customStyle="1" w:styleId="308">
    <w:name w:val="Char Char26"/>
    <w:qFormat/>
    <w:uiPriority w:val="0"/>
    <w:rPr>
      <w:b/>
      <w:bCs/>
      <w:sz w:val="32"/>
      <w:szCs w:val="32"/>
    </w:rPr>
  </w:style>
  <w:style w:type="character" w:customStyle="1" w:styleId="309">
    <w:name w:val="纯文本 字符2"/>
    <w:link w:val="19"/>
    <w:qFormat/>
    <w:uiPriority w:val="0"/>
    <w:rPr>
      <w:rFonts w:ascii="宋体" w:hAnsi="Courier New" w:eastAsia="楷体_GB2312"/>
      <w:sz w:val="26"/>
    </w:rPr>
  </w:style>
  <w:style w:type="character" w:customStyle="1" w:styleId="310">
    <w:name w:val="标题 3 Char"/>
    <w:qFormat/>
    <w:uiPriority w:val="0"/>
    <w:rPr>
      <w:rFonts w:ascii="宋体" w:hAnsi="宋体" w:eastAsia="宋体"/>
      <w:b/>
      <w:bCs/>
      <w:sz w:val="24"/>
      <w:szCs w:val="32"/>
      <w:lang w:val="en-US" w:eastAsia="zh-CN" w:bidi="ar-SA"/>
    </w:rPr>
  </w:style>
  <w:style w:type="character" w:customStyle="1" w:styleId="311">
    <w:name w:val="正文 + 宋体 Char"/>
    <w:qFormat/>
    <w:uiPriority w:val="0"/>
    <w:rPr>
      <w:rFonts w:eastAsia="宋体"/>
      <w:sz w:val="21"/>
      <w:szCs w:val="24"/>
      <w:lang w:val="en-US" w:eastAsia="zh-CN" w:bidi="ar-SA"/>
    </w:rPr>
  </w:style>
  <w:style w:type="character" w:customStyle="1" w:styleId="312">
    <w:name w:val="Char Char29"/>
    <w:qFormat/>
    <w:uiPriority w:val="0"/>
    <w:rPr>
      <w:rFonts w:ascii="Times New Roman" w:hAnsi="Times New Roman" w:eastAsia="宋体" w:cs="Times New Roman"/>
      <w:b/>
      <w:bCs/>
      <w:sz w:val="44"/>
      <w:szCs w:val="44"/>
    </w:rPr>
  </w:style>
  <w:style w:type="character" w:customStyle="1" w:styleId="313">
    <w:name w:val="Char Char17"/>
    <w:qFormat/>
    <w:uiPriority w:val="0"/>
    <w:rPr>
      <w:rFonts w:ascii="宋体" w:hAnsi="Courier New"/>
      <w:sz w:val="21"/>
      <w:szCs w:val="21"/>
    </w:rPr>
  </w:style>
  <w:style w:type="character" w:customStyle="1" w:styleId="314">
    <w:name w:val="样式 首行缩进:  2 字符 Char Char"/>
    <w:link w:val="315"/>
    <w:qFormat/>
    <w:uiPriority w:val="0"/>
    <w:rPr>
      <w:rFonts w:eastAsia="宋体" w:cs="宋体"/>
      <w:sz w:val="24"/>
      <w:lang w:val="en-US" w:eastAsia="zh-CN" w:bidi="ar-SA"/>
    </w:rPr>
  </w:style>
  <w:style w:type="paragraph" w:customStyle="1" w:styleId="315">
    <w:name w:val="样式 首行缩进:  2 字符"/>
    <w:basedOn w:val="1"/>
    <w:link w:val="314"/>
    <w:qFormat/>
    <w:uiPriority w:val="0"/>
    <w:pPr>
      <w:spacing w:line="360" w:lineRule="auto"/>
      <w:ind w:firstLine="480"/>
    </w:pPr>
    <w:rPr>
      <w:rFonts w:cs="宋体"/>
      <w:sz w:val="24"/>
    </w:rPr>
  </w:style>
  <w:style w:type="character" w:customStyle="1" w:styleId="316">
    <w:name w:val="纯文本 Char Char Char"/>
    <w:qFormat/>
    <w:uiPriority w:val="0"/>
    <w:rPr>
      <w:rFonts w:ascii="宋体" w:hAnsi="Courier New" w:eastAsia="宋体"/>
      <w:sz w:val="21"/>
      <w:szCs w:val="21"/>
      <w:lang w:val="en-US" w:eastAsia="zh-CN" w:bidi="ar-SA"/>
    </w:rPr>
  </w:style>
  <w:style w:type="character" w:customStyle="1" w:styleId="317">
    <w:name w:val="小四 段落 宋体 Char Char Char Char Char Char"/>
    <w:qFormat/>
    <w:uiPriority w:val="0"/>
    <w:rPr>
      <w:rFonts w:eastAsia="宋体"/>
      <w:sz w:val="24"/>
      <w:szCs w:val="24"/>
      <w:lang w:val="en-US" w:eastAsia="zh-CN" w:bidi="ar-SA"/>
    </w:rPr>
  </w:style>
  <w:style w:type="character" w:customStyle="1" w:styleId="318">
    <w:name w:val="小四 段落 宋体 Char Char Char1"/>
    <w:qFormat/>
    <w:uiPriority w:val="0"/>
    <w:rPr>
      <w:rFonts w:ascii="宋体" w:hAnsi="宋体" w:eastAsia="宋体"/>
      <w:sz w:val="24"/>
      <w:szCs w:val="24"/>
      <w:lang w:val="en-US" w:eastAsia="zh-CN" w:bidi="ar-SA"/>
    </w:rPr>
  </w:style>
  <w:style w:type="character" w:customStyle="1" w:styleId="319">
    <w:name w:val="t1"/>
    <w:qFormat/>
    <w:uiPriority w:val="0"/>
  </w:style>
  <w:style w:type="character" w:customStyle="1" w:styleId="320">
    <w:name w:val="样式 非加粗"/>
    <w:qFormat/>
    <w:uiPriority w:val="0"/>
    <w:rPr>
      <w:rFonts w:eastAsia="宋体"/>
      <w:sz w:val="28"/>
    </w:rPr>
  </w:style>
  <w:style w:type="character" w:customStyle="1" w:styleId="321">
    <w:name w:val="明显参考1"/>
    <w:qFormat/>
    <w:uiPriority w:val="0"/>
    <w:rPr>
      <w:smallCaps/>
      <w:spacing w:val="5"/>
      <w:u w:val="single"/>
    </w:rPr>
  </w:style>
  <w:style w:type="character" w:customStyle="1" w:styleId="322">
    <w:name w:val="concon"/>
    <w:qFormat/>
    <w:uiPriority w:val="0"/>
  </w:style>
  <w:style w:type="character" w:customStyle="1" w:styleId="323">
    <w:name w:val="标准文本 Char Char"/>
    <w:qFormat/>
    <w:uiPriority w:val="0"/>
    <w:rPr>
      <w:rFonts w:eastAsia="宋体" w:cs="宋体"/>
      <w:sz w:val="24"/>
      <w:szCs w:val="24"/>
      <w:lang w:val="en-US" w:eastAsia="zh-CN" w:bidi="ar-SA"/>
    </w:rPr>
  </w:style>
  <w:style w:type="character" w:customStyle="1" w:styleId="324">
    <w:name w:val="Char Char25"/>
    <w:qFormat/>
    <w:uiPriority w:val="0"/>
    <w:rPr>
      <w:rFonts w:ascii="Arial" w:hAnsi="Arial" w:eastAsia="黑体"/>
      <w:b/>
      <w:sz w:val="28"/>
    </w:rPr>
  </w:style>
  <w:style w:type="character" w:customStyle="1" w:styleId="325">
    <w:name w:val="style13"/>
    <w:qFormat/>
    <w:uiPriority w:val="0"/>
    <w:rPr>
      <w:sz w:val="18"/>
      <w:szCs w:val="18"/>
    </w:rPr>
  </w:style>
  <w:style w:type="character" w:customStyle="1" w:styleId="326">
    <w:name w:val="Char Char2"/>
    <w:qFormat/>
    <w:uiPriority w:val="0"/>
    <w:rPr>
      <w:rFonts w:ascii="宋体" w:hAnsi="Courier New" w:eastAsia="宋体"/>
      <w:sz w:val="21"/>
      <w:szCs w:val="21"/>
      <w:lang w:val="en-US" w:eastAsia="zh-CN" w:bidi="ar-SA"/>
    </w:rPr>
  </w:style>
  <w:style w:type="character" w:customStyle="1" w:styleId="327">
    <w:name w:val="标题 3 Char Char Char Char Char Char Char Char Char Char Char Char Char Char Char Char Char Char Char Char Char Char Char Char Char Char Char Char Char Char Char Char Char Char Char Char Char Char Char Char Char Char Char Char Char Char Char Char Cha Char"/>
    <w:qFormat/>
    <w:uiPriority w:val="0"/>
    <w:rPr>
      <w:rFonts w:eastAsia="宋体"/>
      <w:b/>
      <w:bCs/>
      <w:sz w:val="32"/>
      <w:szCs w:val="32"/>
      <w:lang w:val="en-US" w:eastAsia="zh-CN" w:bidi="ar-SA"/>
    </w:rPr>
  </w:style>
  <w:style w:type="character" w:customStyle="1" w:styleId="328">
    <w:name w:val="Char Char23"/>
    <w:qFormat/>
    <w:uiPriority w:val="0"/>
    <w:rPr>
      <w:rFonts w:ascii="Arial" w:hAnsi="Arial" w:eastAsia="黑体"/>
      <w:b/>
      <w:bCs/>
      <w:sz w:val="24"/>
      <w:szCs w:val="24"/>
    </w:rPr>
  </w:style>
  <w:style w:type="character" w:customStyle="1" w:styleId="329">
    <w:name w:val="书籍标题1"/>
    <w:qFormat/>
    <w:uiPriority w:val="0"/>
    <w:rPr>
      <w:i/>
      <w:iCs/>
      <w:smallCaps/>
      <w:spacing w:val="5"/>
    </w:rPr>
  </w:style>
  <w:style w:type="character" w:customStyle="1" w:styleId="330">
    <w:name w:val="subtitle1"/>
    <w:qFormat/>
    <w:uiPriority w:val="0"/>
    <w:rPr>
      <w:rFonts w:ascii="Georgia" w:hAnsi="Georgia"/>
      <w:b/>
      <w:bCs/>
      <w:color w:val="666666"/>
      <w:sz w:val="18"/>
      <w:szCs w:val="18"/>
    </w:rPr>
  </w:style>
  <w:style w:type="character" w:customStyle="1" w:styleId="331">
    <w:name w:val="Blockquote Char"/>
    <w:link w:val="332"/>
    <w:qFormat/>
    <w:uiPriority w:val="0"/>
    <w:rPr>
      <w:sz w:val="24"/>
    </w:rPr>
  </w:style>
  <w:style w:type="paragraph" w:customStyle="1" w:styleId="332">
    <w:name w:val="Blockquote"/>
    <w:basedOn w:val="1"/>
    <w:link w:val="331"/>
    <w:qFormat/>
    <w:uiPriority w:val="0"/>
    <w:pPr>
      <w:spacing w:before="100" w:after="100"/>
      <w:ind w:left="360" w:right="360"/>
      <w:jc w:val="left"/>
    </w:pPr>
    <w:rPr>
      <w:sz w:val="24"/>
    </w:rPr>
  </w:style>
  <w:style w:type="character" w:customStyle="1" w:styleId="333">
    <w:name w:val="纯文本 Char Char"/>
    <w:qFormat/>
    <w:uiPriority w:val="0"/>
    <w:rPr>
      <w:rFonts w:ascii="宋体" w:hAnsi="Courier New" w:eastAsia="宋体"/>
      <w:sz w:val="21"/>
      <w:szCs w:val="21"/>
      <w:lang w:val="en-US" w:eastAsia="zh-CN" w:bidi="ar-SA"/>
    </w:rPr>
  </w:style>
  <w:style w:type="character" w:customStyle="1" w:styleId="334">
    <w:name w:val="Char Char28"/>
    <w:qFormat/>
    <w:uiPriority w:val="0"/>
    <w:rPr>
      <w:rFonts w:ascii="Arial" w:hAnsi="Arial" w:eastAsia="黑体" w:cs="Arial"/>
      <w:b/>
      <w:bCs/>
      <w:sz w:val="32"/>
      <w:szCs w:val="32"/>
    </w:rPr>
  </w:style>
  <w:style w:type="character" w:customStyle="1" w:styleId="335">
    <w:name w:val="Title1 Char"/>
    <w:qFormat/>
    <w:uiPriority w:val="0"/>
    <w:rPr>
      <w:rFonts w:eastAsia="宋体"/>
      <w:b/>
      <w:bCs/>
      <w:sz w:val="44"/>
      <w:szCs w:val="44"/>
      <w:lang w:val="en-US" w:eastAsia="zh-CN" w:bidi="ar-SA"/>
    </w:rPr>
  </w:style>
  <w:style w:type="character" w:customStyle="1" w:styleId="336">
    <w:name w:val="已访问的超链接1"/>
    <w:qFormat/>
    <w:uiPriority w:val="0"/>
    <w:rPr>
      <w:color w:val="000000"/>
      <w:u w:val="none"/>
    </w:rPr>
  </w:style>
  <w:style w:type="character" w:customStyle="1" w:styleId="337">
    <w:name w:val="明显引用 字符2"/>
    <w:link w:val="338"/>
    <w:qFormat/>
    <w:uiPriority w:val="0"/>
    <w:rPr>
      <w:rFonts w:ascii="Calibri" w:hAnsi="Calibri" w:eastAsia="宋体"/>
      <w:b/>
      <w:bCs/>
      <w:i/>
      <w:iCs/>
      <w:sz w:val="22"/>
      <w:szCs w:val="22"/>
      <w:lang w:val="en-US" w:eastAsia="en-US" w:bidi="en-US"/>
    </w:rPr>
  </w:style>
  <w:style w:type="paragraph" w:customStyle="1" w:styleId="338">
    <w:name w:val="明显引用1"/>
    <w:basedOn w:val="1"/>
    <w:next w:val="1"/>
    <w:link w:val="337"/>
    <w:qFormat/>
    <w:uiPriority w:val="0"/>
    <w:pPr>
      <w:widowControl/>
      <w:pBdr>
        <w:bottom w:val="single" w:color="000000" w:sz="4" w:space="1"/>
      </w:pBdr>
      <w:spacing w:before="200" w:after="280" w:line="276" w:lineRule="auto"/>
      <w:ind w:left="1008" w:right="1152"/>
    </w:pPr>
    <w:rPr>
      <w:rFonts w:ascii="Calibri" w:hAnsi="Calibri"/>
      <w:b/>
      <w:bCs/>
      <w:i/>
      <w:iCs/>
      <w:sz w:val="22"/>
      <w:szCs w:val="22"/>
      <w:lang w:eastAsia="en-US" w:bidi="en-US"/>
    </w:rPr>
  </w:style>
  <w:style w:type="character" w:customStyle="1" w:styleId="339">
    <w:name w:val="纯文本 Char1"/>
    <w:qFormat/>
    <w:uiPriority w:val="0"/>
    <w:rPr>
      <w:rFonts w:ascii="宋体" w:hAnsi="Courier New" w:cs="Courier New"/>
      <w:sz w:val="21"/>
      <w:szCs w:val="21"/>
    </w:rPr>
  </w:style>
  <w:style w:type="character" w:customStyle="1" w:styleId="340">
    <w:name w:val="华宇段落1 Char Char Char"/>
    <w:qFormat/>
    <w:uiPriority w:val="0"/>
    <w:rPr>
      <w:rFonts w:eastAsia="宋体"/>
      <w:bCs/>
      <w:sz w:val="24"/>
      <w:szCs w:val="24"/>
      <w:lang w:val="en-US" w:eastAsia="zh-CN" w:bidi="ar-SA"/>
    </w:rPr>
  </w:style>
  <w:style w:type="character" w:customStyle="1" w:styleId="341">
    <w:name w:val="f_r2"/>
    <w:qFormat/>
    <w:uiPriority w:val="0"/>
  </w:style>
  <w:style w:type="character" w:customStyle="1" w:styleId="342">
    <w:name w:val="标准文本 Char"/>
    <w:qFormat/>
    <w:uiPriority w:val="0"/>
    <w:rPr>
      <w:rFonts w:eastAsia="宋体" w:cs="宋体"/>
      <w:sz w:val="24"/>
      <w:szCs w:val="24"/>
      <w:lang w:val="en-US" w:eastAsia="zh-CN" w:bidi="ar-SA"/>
    </w:rPr>
  </w:style>
  <w:style w:type="character" w:customStyle="1" w:styleId="343">
    <w:name w:val="标准小四 Char"/>
    <w:qFormat/>
    <w:uiPriority w:val="0"/>
    <w:rPr>
      <w:rFonts w:ascii="Arial" w:hAnsi="Arial" w:eastAsia="宋体"/>
      <w:sz w:val="24"/>
      <w:szCs w:val="21"/>
      <w:lang w:val="en-US" w:eastAsia="zh-CN" w:bidi="ar-SA"/>
    </w:rPr>
  </w:style>
  <w:style w:type="character" w:customStyle="1" w:styleId="344">
    <w:name w:val="引用 字符2"/>
    <w:link w:val="345"/>
    <w:qFormat/>
    <w:uiPriority w:val="0"/>
    <w:rPr>
      <w:rFonts w:ascii="Calibri" w:hAnsi="Calibri" w:eastAsia="宋体"/>
      <w:i/>
      <w:iCs/>
      <w:sz w:val="22"/>
      <w:szCs w:val="22"/>
      <w:lang w:val="en-US" w:eastAsia="en-US" w:bidi="en-US"/>
    </w:rPr>
  </w:style>
  <w:style w:type="paragraph" w:customStyle="1" w:styleId="345">
    <w:name w:val="引用1"/>
    <w:basedOn w:val="1"/>
    <w:next w:val="1"/>
    <w:link w:val="344"/>
    <w:qFormat/>
    <w:uiPriority w:val="0"/>
    <w:pPr>
      <w:widowControl/>
      <w:spacing w:before="200" w:line="276" w:lineRule="auto"/>
      <w:ind w:left="360" w:right="360"/>
      <w:jc w:val="left"/>
    </w:pPr>
    <w:rPr>
      <w:rFonts w:ascii="Calibri" w:hAnsi="Calibri"/>
      <w:i/>
      <w:iCs/>
      <w:sz w:val="22"/>
      <w:szCs w:val="22"/>
      <w:lang w:eastAsia="en-US" w:bidi="en-US"/>
    </w:rPr>
  </w:style>
  <w:style w:type="character" w:customStyle="1" w:styleId="346">
    <w:name w:val="2nd level Char"/>
    <w:qFormat/>
    <w:uiPriority w:val="0"/>
    <w:rPr>
      <w:rFonts w:ascii="Arial" w:hAnsi="Arial" w:eastAsia="黑体"/>
      <w:b/>
      <w:bCs/>
      <w:sz w:val="32"/>
      <w:szCs w:val="32"/>
      <w:lang w:val="en-US" w:eastAsia="zh-CN" w:bidi="ar-SA"/>
    </w:rPr>
  </w:style>
  <w:style w:type="character" w:customStyle="1" w:styleId="347">
    <w:name w:val="apple-converted-space"/>
    <w:qFormat/>
    <w:uiPriority w:val="0"/>
  </w:style>
  <w:style w:type="character" w:customStyle="1" w:styleId="348">
    <w:name w:val="明显强调1"/>
    <w:qFormat/>
    <w:uiPriority w:val="0"/>
    <w:rPr>
      <w:b/>
      <w:bCs/>
    </w:rPr>
  </w:style>
  <w:style w:type="character" w:customStyle="1" w:styleId="349">
    <w:name w:val="小四 段落 宋体 Char1"/>
    <w:qFormat/>
    <w:uiPriority w:val="0"/>
    <w:rPr>
      <w:rFonts w:eastAsia="宋体"/>
      <w:sz w:val="24"/>
      <w:szCs w:val="24"/>
      <w:lang w:val="en-US" w:eastAsia="zh-CN" w:bidi="ar-SA"/>
    </w:rPr>
  </w:style>
  <w:style w:type="character" w:customStyle="1" w:styleId="350">
    <w:name w:val="表格抬头 Char"/>
    <w:link w:val="351"/>
    <w:qFormat/>
    <w:uiPriority w:val="0"/>
    <w:rPr>
      <w:rFonts w:ascii="黑体" w:eastAsia="黑体"/>
      <w:b/>
      <w:sz w:val="21"/>
      <w:lang w:bidi="ar-SA"/>
    </w:rPr>
  </w:style>
  <w:style w:type="paragraph" w:customStyle="1" w:styleId="351">
    <w:name w:val="表格抬头"/>
    <w:basedOn w:val="1"/>
    <w:link w:val="350"/>
    <w:qFormat/>
    <w:uiPriority w:val="0"/>
    <w:pPr>
      <w:jc w:val="center"/>
    </w:pPr>
    <w:rPr>
      <w:rFonts w:ascii="黑体" w:eastAsia="黑体"/>
      <w:b/>
    </w:rPr>
  </w:style>
  <w:style w:type="character" w:customStyle="1" w:styleId="352">
    <w:name w:val="textcontents"/>
    <w:qFormat/>
    <w:uiPriority w:val="0"/>
  </w:style>
  <w:style w:type="character" w:customStyle="1" w:styleId="353">
    <w:name w:val="3zw"/>
    <w:qFormat/>
    <w:uiPriority w:val="0"/>
  </w:style>
  <w:style w:type="character" w:customStyle="1" w:styleId="354">
    <w:name w:val="正文缩进 字符2"/>
    <w:link w:val="13"/>
    <w:qFormat/>
    <w:uiPriority w:val="0"/>
    <w:rPr>
      <w:rFonts w:eastAsia="宋体"/>
      <w:lang w:bidi="ar-SA"/>
    </w:rPr>
  </w:style>
  <w:style w:type="character" w:customStyle="1" w:styleId="355">
    <w:name w:val="title_emph1"/>
    <w:qFormat/>
    <w:uiPriority w:val="0"/>
    <w:rPr>
      <w:rFonts w:ascii="Arial" w:cs="Arial"/>
      <w:b/>
      <w:bCs/>
      <w:sz w:val="18"/>
      <w:szCs w:val="18"/>
    </w:rPr>
  </w:style>
  <w:style w:type="character" w:customStyle="1" w:styleId="356">
    <w:name w:val="小四 段落 宋体 Char Char Char Char Char Char Char Char"/>
    <w:qFormat/>
    <w:uiPriority w:val="0"/>
    <w:rPr>
      <w:rFonts w:eastAsia="宋体"/>
      <w:sz w:val="24"/>
      <w:szCs w:val="24"/>
      <w:lang w:val="en-US" w:eastAsia="zh-CN" w:bidi="ar-SA"/>
    </w:rPr>
  </w:style>
  <w:style w:type="character" w:customStyle="1" w:styleId="357">
    <w:name w:val="华宇段落1 Char Char"/>
    <w:qFormat/>
    <w:uiPriority w:val="0"/>
    <w:rPr>
      <w:rFonts w:eastAsia="宋体"/>
      <w:bCs/>
      <w:sz w:val="24"/>
      <w:szCs w:val="24"/>
      <w:lang w:val="en-US" w:eastAsia="zh-CN" w:bidi="ar-SA"/>
    </w:rPr>
  </w:style>
  <w:style w:type="character" w:customStyle="1" w:styleId="358">
    <w:name w:val="普通文字1 Char"/>
    <w:qFormat/>
    <w:uiPriority w:val="0"/>
    <w:rPr>
      <w:rFonts w:ascii="宋体" w:eastAsia="宋体"/>
      <w:sz w:val="21"/>
      <w:szCs w:val="21"/>
      <w:lang w:val="en-US" w:eastAsia="zh-CN" w:bidi="ar-SA"/>
    </w:rPr>
  </w:style>
  <w:style w:type="character" w:customStyle="1" w:styleId="359">
    <w:name w:val="样式 宋体 小四"/>
    <w:qFormat/>
    <w:uiPriority w:val="0"/>
    <w:rPr>
      <w:rFonts w:ascii="宋体" w:hAnsi="宋体"/>
      <w:sz w:val="24"/>
    </w:rPr>
  </w:style>
  <w:style w:type="character" w:customStyle="1" w:styleId="360">
    <w:name w:val="不明显强调1"/>
    <w:qFormat/>
    <w:uiPriority w:val="0"/>
    <w:rPr>
      <w:i/>
      <w:iCs/>
    </w:rPr>
  </w:style>
  <w:style w:type="character" w:customStyle="1" w:styleId="361">
    <w:name w:val="content"/>
    <w:qFormat/>
    <w:uiPriority w:val="0"/>
  </w:style>
  <w:style w:type="character" w:customStyle="1" w:styleId="362">
    <w:name w:val="style131"/>
    <w:qFormat/>
    <w:uiPriority w:val="0"/>
    <w:rPr>
      <w:rFonts w:cs="Times New Roman"/>
      <w:sz w:val="18"/>
      <w:szCs w:val="18"/>
    </w:rPr>
  </w:style>
  <w:style w:type="character" w:customStyle="1" w:styleId="363">
    <w:name w:val="fontstyle01"/>
    <w:qFormat/>
    <w:uiPriority w:val="0"/>
    <w:rPr>
      <w:rFonts w:hint="eastAsia" w:ascii="宋体" w:hAnsi="宋体" w:eastAsia="宋体"/>
      <w:color w:val="000000"/>
      <w:sz w:val="22"/>
      <w:szCs w:val="22"/>
    </w:rPr>
  </w:style>
  <w:style w:type="character" w:customStyle="1" w:styleId="364">
    <w:name w:val="纯文本 Char Char Char1"/>
    <w:qFormat/>
    <w:uiPriority w:val="0"/>
    <w:rPr>
      <w:rFonts w:ascii="宋体" w:hAnsi="Courier New" w:eastAsia="宋体"/>
      <w:sz w:val="21"/>
      <w:szCs w:val="21"/>
      <w:lang w:val="en-US" w:eastAsia="zh-CN" w:bidi="ar-SA"/>
    </w:rPr>
  </w:style>
  <w:style w:type="character" w:customStyle="1" w:styleId="365">
    <w:name w:val="墨墨 Char"/>
    <w:link w:val="366"/>
    <w:qFormat/>
    <w:uiPriority w:val="0"/>
    <w:rPr>
      <w:rFonts w:eastAsia="黑体"/>
      <w:sz w:val="32"/>
      <w:szCs w:val="24"/>
    </w:rPr>
  </w:style>
  <w:style w:type="paragraph" w:customStyle="1" w:styleId="366">
    <w:name w:val="墨墨"/>
    <w:basedOn w:val="1"/>
    <w:link w:val="365"/>
    <w:qFormat/>
    <w:uiPriority w:val="0"/>
    <w:pPr>
      <w:jc w:val="center"/>
    </w:pPr>
    <w:rPr>
      <w:rFonts w:eastAsia="黑体"/>
      <w:sz w:val="32"/>
      <w:szCs w:val="24"/>
    </w:rPr>
  </w:style>
  <w:style w:type="character" w:customStyle="1" w:styleId="367">
    <w:name w:val="point_normal1"/>
    <w:qFormat/>
    <w:uiPriority w:val="0"/>
    <w:rPr>
      <w:rFonts w:ascii="Arial" w:hAnsi="Arial" w:cs="Arial"/>
      <w:sz w:val="18"/>
      <w:szCs w:val="18"/>
    </w:rPr>
  </w:style>
  <w:style w:type="character" w:customStyle="1" w:styleId="368">
    <w:name w:val="Char Char27"/>
    <w:qFormat/>
    <w:uiPriority w:val="0"/>
    <w:rPr>
      <w:b/>
      <w:bCs/>
      <w:sz w:val="44"/>
      <w:szCs w:val="44"/>
    </w:rPr>
  </w:style>
  <w:style w:type="character" w:customStyle="1" w:styleId="369">
    <w:name w:val="小四 段落 宋体 Char Char Char Char Char"/>
    <w:qFormat/>
    <w:uiPriority w:val="0"/>
    <w:rPr>
      <w:rFonts w:eastAsia="宋体"/>
      <w:sz w:val="24"/>
      <w:szCs w:val="24"/>
      <w:lang w:val="en-US" w:eastAsia="zh-CN" w:bidi="ar-SA"/>
    </w:rPr>
  </w:style>
  <w:style w:type="character" w:customStyle="1" w:styleId="370">
    <w:name w:val="content_lineheight1"/>
    <w:qFormat/>
    <w:uiPriority w:val="0"/>
  </w:style>
  <w:style w:type="character" w:customStyle="1" w:styleId="371">
    <w:name w:val="小四 段落 宋体 Char Char Char Char1"/>
    <w:qFormat/>
    <w:uiPriority w:val="0"/>
    <w:rPr>
      <w:rFonts w:eastAsia="宋体"/>
      <w:sz w:val="24"/>
      <w:szCs w:val="24"/>
      <w:lang w:val="en-US" w:eastAsia="zh-CN" w:bidi="ar-SA"/>
    </w:rPr>
  </w:style>
  <w:style w:type="paragraph" w:customStyle="1" w:styleId="372">
    <w:name w:val="Char Char Char Char Char Char Char Char Char"/>
    <w:basedOn w:val="1"/>
    <w:qFormat/>
    <w:uiPriority w:val="0"/>
    <w:pPr>
      <w:tabs>
        <w:tab w:val="left" w:pos="360"/>
      </w:tabs>
      <w:ind w:left="360" w:hanging="360"/>
    </w:pPr>
    <w:rPr>
      <w:sz w:val="24"/>
      <w:szCs w:val="24"/>
    </w:rPr>
  </w:style>
  <w:style w:type="paragraph" w:customStyle="1" w:styleId="373">
    <w:name w:val="Char Char Char"/>
    <w:basedOn w:val="1"/>
    <w:qFormat/>
    <w:uiPriority w:val="0"/>
    <w:rPr>
      <w:rFonts w:ascii="Tahoma" w:hAnsi="Tahoma"/>
      <w:sz w:val="24"/>
    </w:rPr>
  </w:style>
  <w:style w:type="paragraph" w:customStyle="1" w:styleId="374">
    <w:name w:val="xl33"/>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b/>
      <w:bCs/>
      <w:sz w:val="20"/>
    </w:rPr>
  </w:style>
  <w:style w:type="paragraph" w:customStyle="1" w:styleId="375">
    <w:name w:val="Char Char Char1"/>
    <w:basedOn w:val="216"/>
    <w:qFormat/>
    <w:uiPriority w:val="0"/>
    <w:pPr>
      <w:spacing w:line="436" w:lineRule="exact"/>
    </w:pPr>
    <w:rPr>
      <w:szCs w:val="24"/>
    </w:rPr>
  </w:style>
  <w:style w:type="paragraph" w:customStyle="1" w:styleId="376">
    <w:name w:val="xl41"/>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b/>
      <w:bCs/>
      <w:sz w:val="20"/>
    </w:rPr>
  </w:style>
  <w:style w:type="paragraph" w:customStyle="1" w:styleId="377">
    <w:name w:val="马刚标题1"/>
    <w:basedOn w:val="187"/>
    <w:next w:val="1"/>
    <w:qFormat/>
    <w:uiPriority w:val="0"/>
    <w:pPr>
      <w:keepLines/>
      <w:tabs>
        <w:tab w:val="left" w:pos="315"/>
        <w:tab w:val="left" w:pos="567"/>
      </w:tabs>
      <w:spacing w:before="400" w:after="120" w:line="576" w:lineRule="auto"/>
      <w:ind w:left="567" w:hanging="567"/>
      <w:jc w:val="left"/>
    </w:pPr>
    <w:rPr>
      <w:rFonts w:ascii="Times New Roman"/>
      <w:b w:val="0"/>
      <w:sz w:val="32"/>
      <w:szCs w:val="20"/>
    </w:rPr>
  </w:style>
  <w:style w:type="paragraph" w:customStyle="1" w:styleId="378">
    <w:name w:val="Char Char1 Char Char Char Char Char Char Char"/>
    <w:basedOn w:val="1"/>
    <w:qFormat/>
    <w:uiPriority w:val="0"/>
    <w:rPr>
      <w:rFonts w:ascii="Tahoma" w:hAnsi="Tahoma" w:cs="Tahoma"/>
      <w:sz w:val="24"/>
    </w:rPr>
  </w:style>
  <w:style w:type="paragraph" w:customStyle="1" w:styleId="379">
    <w:name w:val="Char Char Char Char Char Char Char Char Char Char Char"/>
    <w:basedOn w:val="1"/>
    <w:qFormat/>
    <w:uiPriority w:val="0"/>
    <w:rPr>
      <w:rFonts w:ascii="Tahoma" w:hAnsi="Tahoma"/>
      <w:sz w:val="24"/>
    </w:rPr>
  </w:style>
  <w:style w:type="paragraph" w:customStyle="1" w:styleId="380">
    <w:name w:val="font14"/>
    <w:basedOn w:val="1"/>
    <w:qFormat/>
    <w:uiPriority w:val="0"/>
    <w:pPr>
      <w:widowControl/>
      <w:spacing w:before="100" w:beforeAutospacing="1" w:after="100" w:afterAutospacing="1"/>
      <w:jc w:val="left"/>
    </w:pPr>
    <w:rPr>
      <w:sz w:val="36"/>
      <w:szCs w:val="36"/>
    </w:rPr>
  </w:style>
  <w:style w:type="paragraph" w:customStyle="1" w:styleId="381">
    <w:name w:val="xl3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b/>
      <w:bCs/>
      <w:sz w:val="20"/>
    </w:rPr>
  </w:style>
  <w:style w:type="paragraph" w:customStyle="1" w:styleId="382">
    <w:name w:val="列出段落2"/>
    <w:basedOn w:val="1"/>
    <w:qFormat/>
    <w:uiPriority w:val="0"/>
    <w:pPr>
      <w:widowControl/>
      <w:ind w:left="720"/>
      <w:jc w:val="left"/>
    </w:pPr>
    <w:rPr>
      <w:rFonts w:ascii="Arial" w:hAnsi="Arial" w:eastAsia="黑体" w:cs="Arial"/>
      <w:sz w:val="24"/>
      <w:szCs w:val="24"/>
      <w:lang w:eastAsia="en-US"/>
    </w:rPr>
  </w:style>
  <w:style w:type="paragraph" w:customStyle="1" w:styleId="383">
    <w:name w:val="正文2"/>
    <w:basedOn w:val="1"/>
    <w:qFormat/>
    <w:uiPriority w:val="0"/>
    <w:pPr>
      <w:spacing w:before="156" w:line="360" w:lineRule="auto"/>
      <w:ind w:firstLine="510"/>
    </w:pPr>
    <w:rPr>
      <w:sz w:val="24"/>
    </w:rPr>
  </w:style>
  <w:style w:type="paragraph" w:customStyle="1" w:styleId="384">
    <w:name w:val="章标题"/>
    <w:next w:val="385"/>
    <w:qFormat/>
    <w:uiPriority w:val="0"/>
    <w:pPr>
      <w:spacing w:before="156" w:after="156"/>
      <w:jc w:val="both"/>
      <w:outlineLvl w:val="1"/>
    </w:pPr>
    <w:rPr>
      <w:rFonts w:ascii="Times New Roman" w:hAnsi="Times New Roman" w:eastAsia="黑体" w:cs="Times New Roman"/>
      <w:sz w:val="21"/>
      <w:lang w:val="en-US" w:eastAsia="zh-CN" w:bidi="ar-SA"/>
    </w:rPr>
  </w:style>
  <w:style w:type="paragraph" w:customStyle="1" w:styleId="385">
    <w:name w:val="段"/>
    <w:qFormat/>
    <w:uiPriority w:val="0"/>
    <w:pPr>
      <w:ind w:firstLine="200"/>
      <w:jc w:val="both"/>
    </w:pPr>
    <w:rPr>
      <w:rFonts w:ascii="宋体" w:hAnsi="Times New Roman" w:eastAsia="宋体" w:cs="Times New Roman"/>
      <w:sz w:val="21"/>
      <w:lang w:val="en-US" w:eastAsia="zh-CN" w:bidi="ar-SA"/>
    </w:rPr>
  </w:style>
  <w:style w:type="paragraph" w:customStyle="1" w:styleId="386">
    <w:name w:val="xl31"/>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楷体_GB2312" w:hAnsi="宋体" w:eastAsia="楷体_GB2312" w:cs="宋体"/>
      <w:b/>
      <w:bCs/>
      <w:sz w:val="24"/>
      <w:szCs w:val="24"/>
    </w:rPr>
  </w:style>
  <w:style w:type="paragraph" w:customStyle="1" w:styleId="387">
    <w:name w:val="Pa5"/>
    <w:basedOn w:val="1"/>
    <w:next w:val="1"/>
    <w:qFormat/>
    <w:uiPriority w:val="0"/>
    <w:pPr>
      <w:spacing w:line="241" w:lineRule="atLeast"/>
      <w:jc w:val="left"/>
    </w:pPr>
    <w:rPr>
      <w:rFonts w:ascii="HYDaHeiJ" w:eastAsia="HYDaHeiJ"/>
      <w:sz w:val="24"/>
      <w:szCs w:val="24"/>
    </w:rPr>
  </w:style>
  <w:style w:type="paragraph" w:customStyle="1" w:styleId="388">
    <w:name w:val="正文--表格内正文"/>
    <w:basedOn w:val="1"/>
    <w:qFormat/>
    <w:uiPriority w:val="0"/>
    <w:pPr>
      <w:spacing w:before="156" w:line="0" w:lineRule="atLeast"/>
      <w:jc w:val="center"/>
    </w:pPr>
    <w:rPr>
      <w:rFonts w:ascii="宋体" w:hAnsi="宋体"/>
      <w:color w:val="000000"/>
      <w:sz w:val="24"/>
      <w:szCs w:val="24"/>
    </w:rPr>
  </w:style>
  <w:style w:type="paragraph" w:customStyle="1" w:styleId="389">
    <w:name w:val="表格"/>
    <w:basedOn w:val="1"/>
    <w:qFormat/>
    <w:uiPriority w:val="0"/>
    <w:pPr>
      <w:ind w:firstLine="21"/>
    </w:pPr>
    <w:rPr>
      <w:rFonts w:ascii="宋体" w:hAnsi="宋体" w:cs="宋体"/>
      <w:sz w:val="20"/>
    </w:rPr>
  </w:style>
  <w:style w:type="paragraph" w:customStyle="1" w:styleId="390">
    <w:name w:val="font12"/>
    <w:basedOn w:val="1"/>
    <w:qFormat/>
    <w:uiPriority w:val="0"/>
    <w:pPr>
      <w:widowControl/>
      <w:spacing w:before="100" w:beforeAutospacing="1" w:after="100" w:afterAutospacing="1"/>
      <w:jc w:val="left"/>
    </w:pPr>
    <w:rPr>
      <w:rFonts w:ascii="宋体" w:hAnsi="宋体" w:cs="宋体"/>
      <w:sz w:val="36"/>
      <w:szCs w:val="36"/>
    </w:rPr>
  </w:style>
  <w:style w:type="paragraph" w:customStyle="1" w:styleId="391">
    <w:name w:val="Char Char Char Char Char Char Char Char Char Char Char1 Char Char Char1"/>
    <w:basedOn w:val="1"/>
    <w:semiHidden/>
    <w:qFormat/>
    <w:uiPriority w:val="0"/>
    <w:pPr>
      <w:ind w:firstLine="200"/>
      <w:jc w:val="left"/>
    </w:pPr>
    <w:rPr>
      <w:rFonts w:ascii="Tahoma" w:hAnsi="Tahoma"/>
      <w:sz w:val="24"/>
      <w:szCs w:val="24"/>
    </w:rPr>
  </w:style>
  <w:style w:type="paragraph" w:customStyle="1" w:styleId="392">
    <w:name w:val="Normal11"/>
    <w:basedOn w:val="1"/>
    <w:qFormat/>
    <w:uiPriority w:val="0"/>
    <w:rPr>
      <w:rFonts w:ascii="Calibri" w:hAnsi="Calibri" w:eastAsia="Calibri" w:cs="宋体"/>
      <w:lang w:val="zh-CN"/>
    </w:rPr>
  </w:style>
  <w:style w:type="paragraph" w:customStyle="1" w:styleId="393">
    <w:name w:val="Char Char1 Char"/>
    <w:basedOn w:val="1"/>
    <w:qFormat/>
    <w:uiPriority w:val="0"/>
    <w:pPr>
      <w:widowControl/>
      <w:spacing w:after="160" w:line="240" w:lineRule="exact"/>
      <w:jc w:val="left"/>
    </w:pPr>
    <w:rPr>
      <w:rFonts w:ascii="Verdana" w:hAnsi="Verdana"/>
      <w:sz w:val="20"/>
      <w:lang w:eastAsia="en-US"/>
    </w:rPr>
  </w:style>
  <w:style w:type="paragraph" w:customStyle="1" w:styleId="394">
    <w:name w:val="马刚标题4"/>
    <w:basedOn w:val="395"/>
    <w:next w:val="1"/>
    <w:qFormat/>
    <w:uiPriority w:val="0"/>
    <w:pPr>
      <w:tabs>
        <w:tab w:val="left" w:pos="567"/>
        <w:tab w:val="left" w:pos="735"/>
        <w:tab w:val="left" w:pos="1050"/>
      </w:tabs>
      <w:spacing w:before="100" w:after="40"/>
      <w:outlineLvl w:val="3"/>
    </w:pPr>
    <w:rPr>
      <w:b w:val="0"/>
    </w:rPr>
  </w:style>
  <w:style w:type="paragraph" w:customStyle="1" w:styleId="395">
    <w:name w:val="马刚标题3"/>
    <w:basedOn w:val="1"/>
    <w:next w:val="1"/>
    <w:qFormat/>
    <w:uiPriority w:val="0"/>
    <w:pPr>
      <w:keepNext/>
      <w:keepLines/>
      <w:tabs>
        <w:tab w:val="left" w:pos="567"/>
        <w:tab w:val="left" w:pos="735"/>
      </w:tabs>
      <w:spacing w:before="120" w:after="60" w:line="413" w:lineRule="auto"/>
      <w:ind w:left="567" w:hanging="567"/>
      <w:jc w:val="left"/>
      <w:outlineLvl w:val="2"/>
    </w:pPr>
    <w:rPr>
      <w:rFonts w:ascii="黑体" w:hAnsi="Arial" w:eastAsia="黑体"/>
      <w:b/>
      <w:bCs/>
      <w:sz w:val="24"/>
    </w:rPr>
  </w:style>
  <w:style w:type="paragraph" w:customStyle="1" w:styleId="396">
    <w:name w:val="xl50"/>
    <w:basedOn w:val="1"/>
    <w:qFormat/>
    <w:uiPriority w:val="0"/>
    <w:pPr>
      <w:widowControl/>
      <w:pBdr>
        <w:left w:val="single" w:color="000000" w:sz="4" w:space="0"/>
        <w:bottom w:val="single" w:color="000000" w:sz="4" w:space="0"/>
        <w:right w:val="single" w:color="000000" w:sz="4" w:space="0"/>
      </w:pBdr>
      <w:spacing w:before="100" w:beforeAutospacing="1" w:after="100" w:afterAutospacing="1"/>
      <w:jc w:val="center"/>
    </w:pPr>
    <w:rPr>
      <w:b/>
      <w:bCs/>
      <w:sz w:val="20"/>
    </w:rPr>
  </w:style>
  <w:style w:type="paragraph" w:customStyle="1" w:styleId="397">
    <w:name w:val="Char Char Char Char Char Char Char1 Char"/>
    <w:basedOn w:val="1"/>
    <w:qFormat/>
    <w:uiPriority w:val="0"/>
    <w:rPr>
      <w:rFonts w:ascii="Tahoma" w:hAnsi="Tahoma" w:cs="Tahoma"/>
      <w:sz w:val="24"/>
    </w:rPr>
  </w:style>
  <w:style w:type="paragraph" w:customStyle="1" w:styleId="398">
    <w:name w:val="正文1"/>
    <w:basedOn w:val="1"/>
    <w:next w:val="1"/>
    <w:qFormat/>
    <w:uiPriority w:val="0"/>
    <w:pPr>
      <w:spacing w:before="156" w:line="360" w:lineRule="auto"/>
      <w:ind w:firstLine="510"/>
    </w:pPr>
    <w:rPr>
      <w:sz w:val="24"/>
    </w:rPr>
  </w:style>
  <w:style w:type="paragraph" w:customStyle="1" w:styleId="399">
    <w:name w:val="样式2"/>
    <w:basedOn w:val="1"/>
    <w:qFormat/>
    <w:uiPriority w:val="0"/>
    <w:pPr>
      <w:spacing w:line="360" w:lineRule="auto"/>
      <w:ind w:left="200"/>
    </w:pPr>
    <w:rPr>
      <w:rFonts w:ascii="宋体" w:hAnsi="宋体"/>
      <w:b/>
      <w:sz w:val="24"/>
      <w:szCs w:val="24"/>
    </w:rPr>
  </w:style>
  <w:style w:type="paragraph" w:customStyle="1" w:styleId="400">
    <w:name w:val="Char2 Char Char Char Char Char Char1"/>
    <w:basedOn w:val="1"/>
    <w:qFormat/>
    <w:uiPriority w:val="0"/>
    <w:pPr>
      <w:keepNext/>
      <w:widowControl/>
      <w:tabs>
        <w:tab w:val="left" w:pos="425"/>
      </w:tabs>
      <w:spacing w:before="80" w:after="80"/>
      <w:ind w:hanging="425"/>
    </w:pPr>
    <w:rPr>
      <w:rFonts w:ascii="Arial" w:hAnsi="Arial" w:cs="Arial"/>
      <w:sz w:val="20"/>
    </w:rPr>
  </w:style>
  <w:style w:type="paragraph" w:customStyle="1" w:styleId="401">
    <w:name w:val="Char Char Char Char Char Char Char Char Char Char Char Char Char Char Char Char Char Char Char Char Char Char Char"/>
    <w:basedOn w:val="1"/>
    <w:qFormat/>
    <w:uiPriority w:val="0"/>
    <w:rPr>
      <w:rFonts w:ascii="Tahoma" w:hAnsi="Tahoma"/>
      <w:sz w:val="24"/>
    </w:rPr>
  </w:style>
  <w:style w:type="paragraph" w:customStyle="1" w:styleId="402">
    <w:name w:val="标准文本"/>
    <w:basedOn w:val="1"/>
    <w:qFormat/>
    <w:uiPriority w:val="0"/>
    <w:pPr>
      <w:spacing w:line="360" w:lineRule="auto"/>
      <w:ind w:firstLine="480"/>
    </w:pPr>
    <w:rPr>
      <w:rFonts w:cs="宋体"/>
      <w:sz w:val="24"/>
      <w:szCs w:val="24"/>
    </w:rPr>
  </w:style>
  <w:style w:type="paragraph" w:customStyle="1" w:styleId="403">
    <w:name w:val="样式 标题 3H3sect1.2.3BOD 0Heading 3 - oldh3l3CTLevel 3 Head..."/>
    <w:basedOn w:val="190"/>
    <w:qFormat/>
    <w:uiPriority w:val="0"/>
    <w:pPr>
      <w:spacing w:before="156" w:after="156"/>
      <w:jc w:val="left"/>
    </w:pPr>
    <w:rPr>
      <w:rFonts w:cs="宋体"/>
      <w:bCs/>
      <w:sz w:val="30"/>
    </w:rPr>
  </w:style>
  <w:style w:type="paragraph" w:customStyle="1" w:styleId="404">
    <w:name w:val="tableau"/>
    <w:basedOn w:val="1"/>
    <w:qFormat/>
    <w:uiPriority w:val="0"/>
    <w:pPr>
      <w:widowControl/>
      <w:spacing w:before="20" w:after="20"/>
      <w:jc w:val="center"/>
    </w:pPr>
    <w:rPr>
      <w:rFonts w:ascii="Arial" w:hAnsi="Arial"/>
      <w:sz w:val="16"/>
      <w:lang w:val="en-GB" w:eastAsia="en-US"/>
    </w:rPr>
  </w:style>
  <w:style w:type="paragraph" w:customStyle="1" w:styleId="405">
    <w:name w:val="zw"/>
    <w:basedOn w:val="1"/>
    <w:qFormat/>
    <w:uiPriority w:val="0"/>
    <w:pPr>
      <w:widowControl/>
      <w:spacing w:line="360" w:lineRule="auto"/>
      <w:ind w:firstLine="480"/>
      <w:jc w:val="left"/>
    </w:pPr>
    <w:rPr>
      <w:rFonts w:ascii="宋体" w:hAnsi="宋体"/>
      <w:bCs/>
      <w:sz w:val="24"/>
    </w:rPr>
  </w:style>
  <w:style w:type="paragraph" w:customStyle="1" w:styleId="406">
    <w:name w:val="Char"/>
    <w:basedOn w:val="1"/>
    <w:qFormat/>
    <w:uiPriority w:val="0"/>
    <w:rPr>
      <w:rFonts w:ascii="Tahoma" w:hAnsi="Tahoma" w:cs="仿宋_GB2312"/>
      <w:sz w:val="24"/>
      <w:szCs w:val="28"/>
    </w:rPr>
  </w:style>
  <w:style w:type="paragraph" w:customStyle="1" w:styleId="407">
    <w:name w:val="xl44"/>
    <w:basedOn w:val="1"/>
    <w:qFormat/>
    <w:uiPriority w:val="0"/>
    <w:pPr>
      <w:widowControl/>
      <w:pBdr>
        <w:top w:val="single" w:color="000000" w:sz="4" w:space="0"/>
        <w:left w:val="single" w:color="000000" w:sz="4" w:space="0"/>
        <w:right w:val="single" w:color="000000" w:sz="4" w:space="0"/>
      </w:pBdr>
      <w:spacing w:before="100" w:beforeAutospacing="1" w:after="100" w:afterAutospacing="1"/>
      <w:jc w:val="center"/>
    </w:pPr>
    <w:rPr>
      <w:rFonts w:ascii="宋体" w:hAnsi="宋体" w:cs="宋体"/>
      <w:b/>
      <w:bCs/>
      <w:sz w:val="20"/>
    </w:rPr>
  </w:style>
  <w:style w:type="paragraph" w:customStyle="1" w:styleId="408">
    <w:name w:val="_Style 42"/>
    <w:basedOn w:val="1"/>
    <w:next w:val="225"/>
    <w:qFormat/>
    <w:uiPriority w:val="0"/>
    <w:rPr>
      <w:rFonts w:ascii="楷体_GB2312" w:hAnsi="Arial" w:eastAsia="楷体_GB2312"/>
      <w:sz w:val="28"/>
    </w:rPr>
  </w:style>
  <w:style w:type="paragraph" w:customStyle="1" w:styleId="409">
    <w:name w:val="font11"/>
    <w:basedOn w:val="1"/>
    <w:qFormat/>
    <w:uiPriority w:val="0"/>
    <w:pPr>
      <w:widowControl/>
      <w:spacing w:before="100" w:beforeAutospacing="1" w:after="100" w:afterAutospacing="1"/>
      <w:jc w:val="left"/>
    </w:pPr>
    <w:rPr>
      <w:b/>
      <w:bCs/>
      <w:sz w:val="18"/>
      <w:szCs w:val="18"/>
    </w:rPr>
  </w:style>
  <w:style w:type="paragraph" w:customStyle="1" w:styleId="410">
    <w:name w:val="Item Step in Table"/>
    <w:qFormat/>
    <w:uiPriority w:val="0"/>
    <w:pPr>
      <w:numPr>
        <w:ilvl w:val="0"/>
        <w:numId w:val="1"/>
      </w:numPr>
      <w:spacing w:before="40" w:after="40"/>
      <w:jc w:val="both"/>
    </w:pPr>
    <w:rPr>
      <w:rFonts w:ascii="Arial" w:hAnsi="Arial" w:eastAsia="宋体" w:cs="Arial"/>
      <w:sz w:val="18"/>
      <w:szCs w:val="18"/>
      <w:lang w:val="en-US" w:eastAsia="zh-CN" w:bidi="ar-SA"/>
    </w:rPr>
  </w:style>
  <w:style w:type="paragraph" w:customStyle="1" w:styleId="411">
    <w:name w:val="xl2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b/>
      <w:bCs/>
      <w:i/>
      <w:iCs/>
      <w:sz w:val="20"/>
    </w:rPr>
  </w:style>
  <w:style w:type="paragraph" w:customStyle="1" w:styleId="412">
    <w:name w:val="Char Char Char Char Char Char Char"/>
    <w:basedOn w:val="1"/>
    <w:qFormat/>
    <w:uiPriority w:val="0"/>
    <w:pPr>
      <w:jc w:val="left"/>
    </w:pPr>
    <w:rPr>
      <w:rFonts w:ascii="Tahoma" w:hAnsi="Tahoma"/>
      <w:sz w:val="24"/>
    </w:rPr>
  </w:style>
  <w:style w:type="paragraph" w:customStyle="1" w:styleId="413">
    <w:name w:val="列表内容"/>
    <w:basedOn w:val="1"/>
    <w:next w:val="1"/>
    <w:qFormat/>
    <w:uiPriority w:val="0"/>
    <w:pPr>
      <w:widowControl/>
      <w:tabs>
        <w:tab w:val="left" w:pos="840"/>
      </w:tabs>
      <w:ind w:left="840" w:hanging="420"/>
      <w:jc w:val="left"/>
    </w:pPr>
    <w:rPr>
      <w:sz w:val="18"/>
      <w:szCs w:val="24"/>
    </w:rPr>
  </w:style>
  <w:style w:type="paragraph" w:customStyle="1" w:styleId="414">
    <w:name w:val="xl47"/>
    <w:basedOn w:val="1"/>
    <w:qFormat/>
    <w:uiPriority w:val="0"/>
    <w:pPr>
      <w:widowControl/>
      <w:pBdr>
        <w:left w:val="single" w:color="000000" w:sz="4" w:space="0"/>
        <w:bottom w:val="single" w:color="000000" w:sz="4" w:space="0"/>
        <w:right w:val="single" w:color="000000" w:sz="4" w:space="0"/>
      </w:pBdr>
      <w:spacing w:before="100" w:beforeAutospacing="1" w:after="100" w:afterAutospacing="1"/>
      <w:jc w:val="center"/>
    </w:pPr>
    <w:rPr>
      <w:rFonts w:ascii="宋体" w:hAnsi="宋体" w:cs="宋体"/>
      <w:sz w:val="24"/>
      <w:szCs w:val="24"/>
    </w:rPr>
  </w:style>
  <w:style w:type="paragraph" w:customStyle="1" w:styleId="415">
    <w:name w:val="标题1，章节第一层"/>
    <w:basedOn w:val="416"/>
    <w:next w:val="416"/>
    <w:qFormat/>
    <w:uiPriority w:val="0"/>
    <w:pPr>
      <w:tabs>
        <w:tab w:val="left" w:pos="693"/>
      </w:tabs>
      <w:spacing w:before="0"/>
      <w:ind w:left="482"/>
      <w:outlineLvl w:val="0"/>
    </w:pPr>
    <w:rPr>
      <w:color w:val="000000"/>
      <w:sz w:val="24"/>
      <w:szCs w:val="24"/>
    </w:rPr>
  </w:style>
  <w:style w:type="paragraph" w:customStyle="1" w:styleId="416">
    <w:name w:val="正文格式"/>
    <w:basedOn w:val="1"/>
    <w:qFormat/>
    <w:uiPriority w:val="0"/>
    <w:pPr>
      <w:widowControl/>
      <w:spacing w:before="78" w:line="360" w:lineRule="auto"/>
      <w:ind w:left="178" w:right="44" w:hanging="178"/>
      <w:jc w:val="left"/>
    </w:pPr>
    <w:rPr>
      <w:rFonts w:ascii="宋体" w:hAnsi="宋体"/>
      <w:bCs/>
      <w:szCs w:val="21"/>
    </w:rPr>
  </w:style>
  <w:style w:type="paragraph" w:customStyle="1" w:styleId="417">
    <w:name w:val="Char Char Char Char Char Char Char1"/>
    <w:basedOn w:val="1"/>
    <w:qFormat/>
    <w:uiPriority w:val="0"/>
    <w:rPr>
      <w:rFonts w:ascii="Tahoma" w:hAnsi="Tahoma"/>
      <w:sz w:val="24"/>
    </w:rPr>
  </w:style>
  <w:style w:type="paragraph" w:customStyle="1" w:styleId="418">
    <w:name w:val="Char Char Char Char"/>
    <w:basedOn w:val="1"/>
    <w:qFormat/>
    <w:uiPriority w:val="0"/>
    <w:pPr>
      <w:widowControl/>
      <w:spacing w:after="160" w:line="240" w:lineRule="exact"/>
      <w:jc w:val="center"/>
    </w:pPr>
    <w:rPr>
      <w:rFonts w:ascii="黑体" w:hAnsi="Verdana" w:eastAsia="黑体"/>
      <w:sz w:val="32"/>
      <w:szCs w:val="32"/>
      <w:lang w:eastAsia="en-US"/>
    </w:rPr>
  </w:style>
  <w:style w:type="paragraph" w:customStyle="1" w:styleId="419">
    <w:name w:val="xl25"/>
    <w:basedOn w:val="1"/>
    <w:qFormat/>
    <w:uiPriority w:val="0"/>
    <w:pPr>
      <w:widowControl/>
      <w:pBdr>
        <w:right w:val="single" w:color="000000" w:sz="4" w:space="0"/>
      </w:pBdr>
      <w:spacing w:before="100" w:beforeAutospacing="1" w:after="100" w:afterAutospacing="1"/>
      <w:jc w:val="center"/>
    </w:pPr>
    <w:rPr>
      <w:szCs w:val="21"/>
    </w:rPr>
  </w:style>
  <w:style w:type="paragraph" w:customStyle="1" w:styleId="420">
    <w:name w:val="p0"/>
    <w:basedOn w:val="1"/>
    <w:qFormat/>
    <w:uiPriority w:val="0"/>
    <w:pPr>
      <w:widowControl/>
      <w:spacing w:before="100" w:beforeAutospacing="1" w:after="100" w:afterAutospacing="1"/>
      <w:jc w:val="left"/>
    </w:pPr>
    <w:rPr>
      <w:rFonts w:ascii="宋体" w:hAnsi="宋体" w:cs="宋体"/>
      <w:sz w:val="24"/>
      <w:szCs w:val="24"/>
    </w:rPr>
  </w:style>
  <w:style w:type="paragraph" w:customStyle="1" w:styleId="421">
    <w:name w:val="中等深浅网格 1 - 强调文字颜色 21"/>
    <w:basedOn w:val="1"/>
    <w:qFormat/>
    <w:uiPriority w:val="0"/>
    <w:pPr>
      <w:ind w:firstLine="420"/>
    </w:pPr>
    <w:rPr>
      <w:rFonts w:ascii="Calibri" w:hAnsi="Calibri"/>
      <w:szCs w:val="22"/>
    </w:rPr>
  </w:style>
  <w:style w:type="paragraph" w:customStyle="1" w:styleId="422">
    <w:name w:val="a"/>
    <w:basedOn w:val="1"/>
    <w:qFormat/>
    <w:uiPriority w:val="0"/>
    <w:pPr>
      <w:widowControl/>
      <w:spacing w:before="100" w:beforeAutospacing="1" w:after="100" w:afterAutospacing="1"/>
    </w:pPr>
    <w:rPr>
      <w:rFonts w:ascii="宋体" w:hAnsi="宋体" w:cs="宋体"/>
      <w:sz w:val="24"/>
      <w:szCs w:val="24"/>
    </w:rPr>
  </w:style>
  <w:style w:type="paragraph" w:customStyle="1" w:styleId="423">
    <w:name w:val="表格文字"/>
    <w:basedOn w:val="1"/>
    <w:qFormat/>
    <w:uiPriority w:val="0"/>
    <w:pPr>
      <w:spacing w:line="360" w:lineRule="auto"/>
      <w:ind w:firstLine="200"/>
      <w:jc w:val="left"/>
    </w:pPr>
    <w:rPr>
      <w:rFonts w:ascii="Arial" w:hAnsi="Arial"/>
      <w:sz w:val="24"/>
    </w:rPr>
  </w:style>
  <w:style w:type="paragraph" w:customStyle="1" w:styleId="424">
    <w:name w:val="标题3，章节第三层"/>
    <w:basedOn w:val="1"/>
    <w:next w:val="416"/>
    <w:qFormat/>
    <w:uiPriority w:val="0"/>
    <w:pPr>
      <w:spacing w:before="78" w:line="300" w:lineRule="auto"/>
      <w:outlineLvl w:val="2"/>
    </w:pPr>
    <w:rPr>
      <w:rFonts w:ascii="Arial" w:hAnsi="Arial" w:eastAsia="华文细黑"/>
      <w:sz w:val="30"/>
      <w:szCs w:val="24"/>
    </w:rPr>
  </w:style>
  <w:style w:type="paragraph" w:customStyle="1" w:styleId="425">
    <w:name w:val="content_lineheight"/>
    <w:basedOn w:val="1"/>
    <w:qFormat/>
    <w:uiPriority w:val="0"/>
    <w:pPr>
      <w:widowControl/>
      <w:spacing w:before="100" w:beforeAutospacing="1" w:after="100" w:afterAutospacing="1"/>
      <w:jc w:val="left"/>
    </w:pPr>
    <w:rPr>
      <w:rFonts w:ascii="宋体" w:hAnsi="宋体"/>
      <w:sz w:val="24"/>
      <w:szCs w:val="24"/>
    </w:rPr>
  </w:style>
  <w:style w:type="paragraph" w:customStyle="1" w:styleId="426">
    <w:name w:val="标题3"/>
    <w:basedOn w:val="190"/>
    <w:qFormat/>
    <w:uiPriority w:val="0"/>
    <w:pPr>
      <w:keepNext w:val="0"/>
      <w:keepLines w:val="0"/>
      <w:spacing w:line="360" w:lineRule="auto"/>
    </w:pPr>
    <w:rPr>
      <w:rFonts w:eastAsia="仿宋_GB2312"/>
      <w:b w:val="0"/>
      <w:bCs/>
      <w:sz w:val="30"/>
      <w:szCs w:val="32"/>
    </w:rPr>
  </w:style>
  <w:style w:type="paragraph" w:customStyle="1" w:styleId="427">
    <w:name w:val="正文缩进2字符"/>
    <w:basedOn w:val="1"/>
    <w:qFormat/>
    <w:uiPriority w:val="0"/>
    <w:pPr>
      <w:spacing w:line="300" w:lineRule="auto"/>
      <w:ind w:firstLine="200"/>
    </w:pPr>
    <w:rPr>
      <w:rFonts w:ascii="仿宋_GB2312" w:eastAsia="仿宋_GB2312"/>
      <w:sz w:val="32"/>
      <w:szCs w:val="32"/>
    </w:rPr>
  </w:style>
  <w:style w:type="paragraph" w:customStyle="1" w:styleId="428">
    <w:name w:val="font7"/>
    <w:basedOn w:val="1"/>
    <w:qFormat/>
    <w:uiPriority w:val="0"/>
    <w:pPr>
      <w:widowControl/>
      <w:spacing w:before="100" w:beforeAutospacing="1" w:after="100" w:afterAutospacing="1"/>
      <w:jc w:val="left"/>
    </w:pPr>
    <w:rPr>
      <w:rFonts w:hint="eastAsia" w:ascii="宋体" w:hAnsi="宋体"/>
      <w:b/>
      <w:bCs/>
      <w:sz w:val="24"/>
      <w:szCs w:val="24"/>
    </w:rPr>
  </w:style>
  <w:style w:type="paragraph" w:customStyle="1" w:styleId="429">
    <w:name w:val="样式 样式 标题 3H3sect1.2.3BOD 0Heading 3 - oldh3l3CTLevel 3 Head... +..."/>
    <w:basedOn w:val="1"/>
    <w:qFormat/>
    <w:uiPriority w:val="0"/>
    <w:pPr>
      <w:keepNext/>
      <w:keepLines/>
      <w:spacing w:before="156" w:after="156"/>
      <w:jc w:val="left"/>
      <w:outlineLvl w:val="2"/>
    </w:pPr>
    <w:rPr>
      <w:rFonts w:cs="宋体"/>
      <w:b/>
      <w:bCs/>
      <w:sz w:val="24"/>
    </w:rPr>
  </w:style>
  <w:style w:type="paragraph" w:customStyle="1" w:styleId="430">
    <w:name w:val="丁华正文"/>
    <w:basedOn w:val="254"/>
    <w:qFormat/>
    <w:uiPriority w:val="0"/>
    <w:pPr>
      <w:spacing w:line="360" w:lineRule="auto"/>
      <w:ind w:left="0" w:firstLine="510"/>
    </w:pPr>
    <w:rPr>
      <w:rFonts w:ascii="Times New Roman" w:hAnsi="Times New Roman" w:eastAsia="宋体"/>
      <w:color w:val="000000"/>
      <w:sz w:val="24"/>
      <w:szCs w:val="16"/>
    </w:rPr>
  </w:style>
  <w:style w:type="paragraph" w:customStyle="1" w:styleId="431">
    <w:name w:val="xl63"/>
    <w:basedOn w:val="1"/>
    <w:qFormat/>
    <w:uiPriority w:val="0"/>
    <w:pPr>
      <w:widowControl/>
      <w:pBdr>
        <w:top w:val="single" w:color="000000" w:sz="4" w:space="0"/>
        <w:left w:val="single" w:color="000000" w:sz="4" w:space="0"/>
        <w:bottom w:val="single" w:color="000000" w:sz="4" w:space="0"/>
      </w:pBdr>
      <w:spacing w:before="100" w:beforeAutospacing="1" w:after="100" w:afterAutospacing="1"/>
      <w:jc w:val="center"/>
    </w:pPr>
    <w:rPr>
      <w:b/>
      <w:bCs/>
      <w:sz w:val="20"/>
    </w:rPr>
  </w:style>
  <w:style w:type="paragraph" w:customStyle="1" w:styleId="432">
    <w:name w:val="列表段落"/>
    <w:basedOn w:val="1"/>
    <w:qFormat/>
    <w:uiPriority w:val="34"/>
    <w:pPr>
      <w:ind w:firstLine="420"/>
    </w:pPr>
    <w:rPr>
      <w:szCs w:val="24"/>
    </w:rPr>
  </w:style>
  <w:style w:type="paragraph" w:customStyle="1" w:styleId="433">
    <w:name w:val="样式4 Char"/>
    <w:basedOn w:val="1"/>
    <w:qFormat/>
    <w:uiPriority w:val="0"/>
    <w:pPr>
      <w:widowControl/>
      <w:spacing w:line="360" w:lineRule="auto"/>
      <w:ind w:firstLine="480"/>
      <w:jc w:val="left"/>
    </w:pPr>
    <w:rPr>
      <w:rFonts w:cs="宋体"/>
      <w:color w:val="000000"/>
      <w:sz w:val="24"/>
      <w:szCs w:val="24"/>
    </w:rPr>
  </w:style>
  <w:style w:type="paragraph" w:customStyle="1" w:styleId="434">
    <w:name w:val="华宇段落1 Char"/>
    <w:basedOn w:val="1"/>
    <w:qFormat/>
    <w:uiPriority w:val="0"/>
    <w:pPr>
      <w:spacing w:line="360" w:lineRule="auto"/>
      <w:ind w:firstLine="200"/>
    </w:pPr>
    <w:rPr>
      <w:bCs/>
      <w:sz w:val="24"/>
      <w:szCs w:val="24"/>
    </w:rPr>
  </w:style>
  <w:style w:type="paragraph" w:customStyle="1" w:styleId="435">
    <w:name w:val="Char Char"/>
    <w:basedOn w:val="1"/>
    <w:qFormat/>
    <w:uiPriority w:val="0"/>
    <w:rPr>
      <w:rFonts w:ascii="Tahoma" w:hAnsi="Tahoma" w:cs="Tahoma"/>
      <w:sz w:val="24"/>
    </w:rPr>
  </w:style>
  <w:style w:type="paragraph" w:customStyle="1" w:styleId="436">
    <w:name w:val="Char Char Char Char Char Char Char Char Char1"/>
    <w:basedOn w:val="1"/>
    <w:qFormat/>
    <w:uiPriority w:val="0"/>
    <w:pPr>
      <w:tabs>
        <w:tab w:val="left" w:pos="360"/>
      </w:tabs>
      <w:ind w:left="200" w:hanging="200"/>
    </w:pPr>
    <w:rPr>
      <w:sz w:val="24"/>
      <w:szCs w:val="24"/>
    </w:rPr>
  </w:style>
  <w:style w:type="paragraph" w:customStyle="1" w:styleId="437">
    <w:name w:val="标题6"/>
    <w:basedOn w:val="192"/>
    <w:qFormat/>
    <w:uiPriority w:val="0"/>
    <w:pPr>
      <w:keepLines/>
      <w:numPr>
        <w:ilvl w:val="0"/>
        <w:numId w:val="2"/>
      </w:numPr>
    </w:pPr>
    <w:rPr>
      <w:rFonts w:ascii="Times New Roman"/>
      <w:b w:val="0"/>
      <w:bCs/>
      <w:sz w:val="24"/>
      <w:szCs w:val="28"/>
    </w:rPr>
  </w:style>
  <w:style w:type="paragraph" w:customStyle="1" w:styleId="438">
    <w:name w:val="列出段落1"/>
    <w:basedOn w:val="1"/>
    <w:qFormat/>
    <w:uiPriority w:val="34"/>
    <w:pPr>
      <w:widowControl/>
      <w:ind w:left="720"/>
      <w:contextualSpacing/>
      <w:jc w:val="left"/>
    </w:pPr>
    <w:rPr>
      <w:rFonts w:ascii="Arial" w:hAnsi="Arial" w:eastAsia="黑体"/>
      <w:sz w:val="24"/>
      <w:szCs w:val="24"/>
      <w:lang w:eastAsia="en-US"/>
    </w:rPr>
  </w:style>
  <w:style w:type="paragraph" w:customStyle="1" w:styleId="439">
    <w:name w:val="Item List Char Char"/>
    <w:qFormat/>
    <w:uiPriority w:val="0"/>
    <w:pPr>
      <w:spacing w:line="288" w:lineRule="auto"/>
      <w:jc w:val="both"/>
    </w:pPr>
    <w:rPr>
      <w:rFonts w:ascii="Arial" w:hAnsi="Arial" w:eastAsia="宋体" w:cs="Arial"/>
      <w:b/>
      <w:bCs/>
      <w:sz w:val="21"/>
      <w:szCs w:val="28"/>
      <w:lang w:val="en-US" w:eastAsia="zh-CN" w:bidi="ar-SA"/>
    </w:rPr>
  </w:style>
  <w:style w:type="paragraph" w:customStyle="1" w:styleId="440">
    <w:name w:val="样式 标题 2第一章 标题 2Heading 2 HiddenHeading 2 CCBSheading 2H2h2..."/>
    <w:basedOn w:val="188"/>
    <w:qFormat/>
    <w:uiPriority w:val="0"/>
    <w:pPr>
      <w:keepLines w:val="0"/>
      <w:tabs>
        <w:tab w:val="left" w:pos="360"/>
      </w:tabs>
      <w:spacing w:before="156" w:after="156"/>
      <w:ind w:left="360" w:hanging="360"/>
      <w:jc w:val="center"/>
    </w:pPr>
    <w:rPr>
      <w:rFonts w:ascii="黑体" w:hAnsi="Times New Roman" w:eastAsia="黑体" w:cs="宋体"/>
      <w:b w:val="0"/>
      <w:sz w:val="32"/>
      <w:szCs w:val="20"/>
    </w:rPr>
  </w:style>
  <w:style w:type="paragraph" w:customStyle="1" w:styleId="441">
    <w:name w:val="xl35"/>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b/>
      <w:bCs/>
      <w:i/>
      <w:iCs/>
      <w:sz w:val="20"/>
    </w:rPr>
  </w:style>
  <w:style w:type="paragraph" w:customStyle="1" w:styleId="442">
    <w:name w:val="xl62"/>
    <w:basedOn w:val="1"/>
    <w:qFormat/>
    <w:uiPriority w:val="0"/>
    <w:pPr>
      <w:widowControl/>
      <w:pBdr>
        <w:top w:val="single" w:color="000000" w:sz="4" w:space="0"/>
        <w:bottom w:val="single" w:color="000000" w:sz="4" w:space="0"/>
        <w:right w:val="single" w:color="000000" w:sz="4" w:space="0"/>
      </w:pBdr>
      <w:shd w:val="clear" w:color="auto" w:fill="969696"/>
      <w:spacing w:before="100" w:beforeAutospacing="1" w:after="100" w:afterAutospacing="1"/>
      <w:jc w:val="center"/>
    </w:pPr>
    <w:rPr>
      <w:b/>
      <w:bCs/>
      <w:i/>
      <w:iCs/>
      <w:sz w:val="20"/>
    </w:rPr>
  </w:style>
  <w:style w:type="paragraph" w:customStyle="1" w:styleId="443">
    <w:name w:val="Char Char1 Char Char Char Char"/>
    <w:basedOn w:val="216"/>
    <w:qFormat/>
    <w:uiPriority w:val="0"/>
    <w:pPr>
      <w:spacing w:line="436" w:lineRule="exact"/>
      <w:ind w:left="357"/>
      <w:jc w:val="left"/>
      <w:outlineLvl w:val="3"/>
    </w:pPr>
    <w:rPr>
      <w:rFonts w:ascii="Tahoma" w:hAnsi="Tahoma" w:cs="Tahoma"/>
      <w:b/>
      <w:sz w:val="24"/>
      <w:szCs w:val="24"/>
    </w:rPr>
  </w:style>
  <w:style w:type="paragraph" w:customStyle="1" w:styleId="444">
    <w:name w:val="xl29"/>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b/>
      <w:bCs/>
      <w:sz w:val="20"/>
    </w:rPr>
  </w:style>
  <w:style w:type="paragraph" w:customStyle="1" w:styleId="445">
    <w:name w:val="小四 段落 宋体 Char"/>
    <w:basedOn w:val="213"/>
    <w:qFormat/>
    <w:uiPriority w:val="0"/>
    <w:pPr>
      <w:tabs>
        <w:tab w:val="clear" w:pos="2952"/>
      </w:tabs>
      <w:ind w:left="0" w:right="-33" w:firstLine="600"/>
      <w:jc w:val="left"/>
    </w:pPr>
    <w:rPr>
      <w:rFonts w:ascii="仿宋_GB2312" w:eastAsia="仿宋_GB2312"/>
      <w:sz w:val="30"/>
      <w:szCs w:val="30"/>
    </w:rPr>
  </w:style>
  <w:style w:type="paragraph" w:customStyle="1" w:styleId="446">
    <w:name w:val="公文标题 2"/>
    <w:basedOn w:val="1"/>
    <w:next w:val="447"/>
    <w:qFormat/>
    <w:uiPriority w:val="0"/>
    <w:pPr>
      <w:outlineLvl w:val="1"/>
    </w:pPr>
    <w:rPr>
      <w:rFonts w:ascii="仿宋_GB2312" w:hAnsi="宋体" w:eastAsia="仿宋_GB2312"/>
      <w:sz w:val="28"/>
      <w:szCs w:val="24"/>
    </w:rPr>
  </w:style>
  <w:style w:type="paragraph" w:customStyle="1" w:styleId="447">
    <w:name w:val="公文正文"/>
    <w:basedOn w:val="227"/>
    <w:qFormat/>
    <w:uiPriority w:val="0"/>
    <w:pPr>
      <w:ind w:firstLine="200"/>
    </w:pPr>
    <w:rPr>
      <w:rFonts w:ascii="仿宋_GB2312" w:hAnsi="宋体" w:eastAsia="仿宋_GB2312"/>
      <w:sz w:val="28"/>
      <w:szCs w:val="24"/>
    </w:rPr>
  </w:style>
  <w:style w:type="paragraph" w:customStyle="1" w:styleId="448">
    <w:name w:val="Char1 Char Char Char"/>
    <w:basedOn w:val="1"/>
    <w:qFormat/>
    <w:uiPriority w:val="0"/>
    <w:rPr>
      <w:rFonts w:ascii="Tahoma" w:hAnsi="Tahoma" w:cs="Tahoma"/>
      <w:sz w:val="24"/>
    </w:rPr>
  </w:style>
  <w:style w:type="paragraph" w:customStyle="1" w:styleId="449">
    <w:name w:val="正文文本 21"/>
    <w:basedOn w:val="1"/>
    <w:qFormat/>
    <w:uiPriority w:val="0"/>
    <w:pPr>
      <w:widowControl/>
      <w:ind w:left="720" w:hanging="720"/>
    </w:pPr>
    <w:rPr>
      <w:sz w:val="24"/>
      <w:lang w:val="en-GB"/>
    </w:rPr>
  </w:style>
  <w:style w:type="paragraph" w:customStyle="1" w:styleId="450">
    <w:name w:val="正文表标题"/>
    <w:next w:val="385"/>
    <w:qFormat/>
    <w:uiPriority w:val="0"/>
    <w:pPr>
      <w:tabs>
        <w:tab w:val="left" w:pos="900"/>
      </w:tabs>
      <w:ind w:left="900" w:hanging="420"/>
      <w:jc w:val="center"/>
    </w:pPr>
    <w:rPr>
      <w:rFonts w:ascii="黑体" w:hAnsi="Times New Roman" w:eastAsia="黑体" w:cs="Times New Roman"/>
      <w:sz w:val="21"/>
      <w:lang w:val="en-US" w:eastAsia="zh-CN" w:bidi="ar-SA"/>
    </w:rPr>
  </w:style>
  <w:style w:type="paragraph" w:customStyle="1" w:styleId="451">
    <w:name w:val="xl3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b/>
      <w:bCs/>
      <w:i/>
      <w:iCs/>
      <w:sz w:val="20"/>
    </w:rPr>
  </w:style>
  <w:style w:type="paragraph" w:customStyle="1" w:styleId="452">
    <w:name w:val="flNote"/>
    <w:basedOn w:val="1"/>
    <w:qFormat/>
    <w:uiPriority w:val="0"/>
    <w:pPr>
      <w:spacing w:before="567" w:line="360" w:lineRule="atLeast"/>
      <w:jc w:val="center"/>
    </w:pPr>
    <w:rPr>
      <w:rFonts w:eastAsia="黑体"/>
      <w:b/>
      <w:sz w:val="24"/>
    </w:rPr>
  </w:style>
  <w:style w:type="paragraph" w:customStyle="1" w:styleId="453">
    <w:name w:val="greytypebeni"/>
    <w:basedOn w:val="1"/>
    <w:qFormat/>
    <w:uiPriority w:val="0"/>
    <w:pPr>
      <w:widowControl/>
      <w:jc w:val="left"/>
    </w:pPr>
    <w:rPr>
      <w:rFonts w:ascii="宋体" w:hAnsi="宋体" w:cs="宋体"/>
      <w:sz w:val="24"/>
      <w:szCs w:val="24"/>
    </w:rPr>
  </w:style>
  <w:style w:type="paragraph" w:customStyle="1" w:styleId="454">
    <w:name w:val="Char Char1"/>
    <w:basedOn w:val="1"/>
    <w:qFormat/>
    <w:uiPriority w:val="0"/>
    <w:rPr>
      <w:rFonts w:ascii="Tahoma" w:hAnsi="Tahoma" w:cs="Tahoma"/>
      <w:sz w:val="24"/>
    </w:rPr>
  </w:style>
  <w:style w:type="paragraph" w:customStyle="1" w:styleId="455">
    <w:name w:val="xl39"/>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sz w:val="24"/>
      <w:szCs w:val="24"/>
    </w:rPr>
  </w:style>
  <w:style w:type="paragraph" w:customStyle="1" w:styleId="456">
    <w:name w:val="丁华标题2"/>
    <w:basedOn w:val="188"/>
    <w:next w:val="430"/>
    <w:qFormat/>
    <w:uiPriority w:val="0"/>
    <w:pPr>
      <w:numPr>
        <w:ilvl w:val="1"/>
        <w:numId w:val="3"/>
      </w:numPr>
      <w:spacing w:line="415" w:lineRule="auto"/>
    </w:pPr>
    <w:rPr>
      <w:rFonts w:ascii="Arial" w:hAnsi="Arial" w:eastAsia="黑体"/>
      <w:b w:val="0"/>
      <w:sz w:val="28"/>
      <w:szCs w:val="20"/>
    </w:rPr>
  </w:style>
  <w:style w:type="paragraph" w:customStyle="1" w:styleId="457">
    <w:name w:val="xl24"/>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b/>
      <w:bCs/>
      <w:sz w:val="20"/>
    </w:rPr>
  </w:style>
  <w:style w:type="paragraph" w:customStyle="1" w:styleId="458">
    <w:name w:val="xl3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b/>
      <w:bCs/>
      <w:sz w:val="20"/>
    </w:rPr>
  </w:style>
  <w:style w:type="paragraph" w:customStyle="1" w:styleId="459">
    <w:name w:val="默认段落字体 Para Char Char Char Char Char Char Char"/>
    <w:basedOn w:val="1"/>
    <w:qFormat/>
    <w:uiPriority w:val="0"/>
  </w:style>
  <w:style w:type="paragraph" w:customStyle="1" w:styleId="460">
    <w:name w:val="样式"/>
    <w:basedOn w:val="1"/>
    <w:qFormat/>
    <w:uiPriority w:val="0"/>
    <w:pPr>
      <w:spacing w:before="120" w:after="120" w:line="360" w:lineRule="auto"/>
    </w:pPr>
    <w:rPr>
      <w:rFonts w:ascii="宋体"/>
      <w:sz w:val="24"/>
    </w:rPr>
  </w:style>
  <w:style w:type="paragraph" w:customStyle="1" w:styleId="461">
    <w:name w:val="xl53"/>
    <w:basedOn w:val="1"/>
    <w:qFormat/>
    <w:uiPriority w:val="0"/>
    <w:pPr>
      <w:widowControl/>
      <w:pBdr>
        <w:top w:val="single" w:color="000000" w:sz="4" w:space="0"/>
        <w:bottom w:val="single" w:color="000000" w:sz="4" w:space="0"/>
        <w:right w:val="single" w:color="000000" w:sz="4" w:space="0"/>
      </w:pBdr>
      <w:shd w:val="clear" w:color="auto" w:fill="969696"/>
      <w:spacing w:before="100" w:beforeAutospacing="1" w:after="100" w:afterAutospacing="1"/>
      <w:jc w:val="center"/>
    </w:pPr>
    <w:rPr>
      <w:b/>
      <w:bCs/>
      <w:i/>
      <w:iCs/>
      <w:sz w:val="20"/>
    </w:rPr>
  </w:style>
  <w:style w:type="paragraph" w:customStyle="1" w:styleId="462">
    <w:name w:val="xl55"/>
    <w:basedOn w:val="1"/>
    <w:qFormat/>
    <w:uiPriority w:val="0"/>
    <w:pPr>
      <w:widowControl/>
      <w:pBdr>
        <w:top w:val="single" w:color="000000" w:sz="4" w:space="0"/>
        <w:bottom w:val="single" w:color="000000" w:sz="4" w:space="0"/>
      </w:pBdr>
      <w:shd w:val="clear" w:color="auto" w:fill="969696"/>
      <w:spacing w:before="100" w:beforeAutospacing="1" w:after="100" w:afterAutospacing="1"/>
      <w:jc w:val="center"/>
    </w:pPr>
    <w:rPr>
      <w:b/>
      <w:bCs/>
      <w:sz w:val="20"/>
    </w:rPr>
  </w:style>
  <w:style w:type="paragraph" w:customStyle="1" w:styleId="463">
    <w:name w:val="符号与编号 Char Char"/>
    <w:basedOn w:val="1"/>
    <w:qFormat/>
    <w:uiPriority w:val="0"/>
    <w:pPr>
      <w:tabs>
        <w:tab w:val="left" w:pos="840"/>
      </w:tabs>
      <w:spacing w:after="156" w:line="400" w:lineRule="atLeast"/>
      <w:ind w:left="839" w:hanging="419"/>
    </w:pPr>
    <w:rPr>
      <w:sz w:val="24"/>
      <w:szCs w:val="24"/>
    </w:rPr>
  </w:style>
  <w:style w:type="paragraph" w:customStyle="1" w:styleId="464">
    <w:name w:val="表蕊"/>
    <w:basedOn w:val="1"/>
    <w:qFormat/>
    <w:uiPriority w:val="0"/>
    <w:pPr>
      <w:spacing w:line="320" w:lineRule="atLeast"/>
      <w:jc w:val="left"/>
    </w:pPr>
    <w:rPr>
      <w:rFonts w:eastAsia="楷体_GB2312"/>
      <w:spacing w:val="-10"/>
    </w:rPr>
  </w:style>
  <w:style w:type="paragraph" w:customStyle="1" w:styleId="465">
    <w:name w:val="xl2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b/>
      <w:bCs/>
      <w:sz w:val="20"/>
    </w:rPr>
  </w:style>
  <w:style w:type="paragraph" w:customStyle="1" w:styleId="466">
    <w:name w:val="默认段落字体 Para Char"/>
    <w:basedOn w:val="1"/>
    <w:qFormat/>
    <w:uiPriority w:val="0"/>
    <w:rPr>
      <w:sz w:val="24"/>
      <w:szCs w:val="24"/>
    </w:rPr>
  </w:style>
  <w:style w:type="paragraph" w:customStyle="1" w:styleId="467">
    <w:name w:val="样式 样式 首行缩进:  0.74 厘米 行距: 1.5 倍行距 + 段后: 0.5 行"/>
    <w:basedOn w:val="1"/>
    <w:qFormat/>
    <w:uiPriority w:val="0"/>
    <w:pPr>
      <w:spacing w:line="360" w:lineRule="auto"/>
      <w:ind w:firstLine="420"/>
    </w:pPr>
    <w:rPr>
      <w:rFonts w:ascii="楷体_GB2312" w:eastAsia="楷体_GB2312"/>
      <w:bCs/>
      <w:sz w:val="24"/>
    </w:rPr>
  </w:style>
  <w:style w:type="paragraph" w:customStyle="1" w:styleId="468">
    <w:name w:val="xl34"/>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b/>
      <w:bCs/>
      <w:i/>
      <w:iCs/>
      <w:sz w:val="20"/>
    </w:rPr>
  </w:style>
  <w:style w:type="paragraph" w:customStyle="1" w:styleId="469">
    <w:name w:val="Char Char Char Char Char Char Char Char Char Char Char Char Char Char Char Char Char Char Char Char Char Char Char1"/>
    <w:basedOn w:val="1"/>
    <w:qFormat/>
    <w:uiPriority w:val="0"/>
    <w:rPr>
      <w:rFonts w:ascii="Tahoma" w:hAnsi="Tahoma" w:cs="Tahoma"/>
      <w:sz w:val="24"/>
    </w:rPr>
  </w:style>
  <w:style w:type="paragraph" w:customStyle="1" w:styleId="470">
    <w:name w:val="样式 标题二 + 首行缩进:  2 字符 段前: 0.5 行 段后: 0.5 行"/>
    <w:basedOn w:val="1"/>
    <w:semiHidden/>
    <w:qFormat/>
    <w:uiPriority w:val="0"/>
    <w:pPr>
      <w:ind w:firstLine="600"/>
    </w:pPr>
    <w:rPr>
      <w:rFonts w:ascii="Arial" w:hAnsi="Arial" w:eastAsia="楷体_GB2312" w:cs="宋体"/>
      <w:b/>
      <w:sz w:val="30"/>
    </w:rPr>
  </w:style>
  <w:style w:type="paragraph" w:customStyle="1" w:styleId="471">
    <w:name w:val="Char Char Char Char Char Char Char Char Char Char Char Char Char Char Char Char Char Char Char Char Char"/>
    <w:basedOn w:val="1"/>
    <w:qFormat/>
    <w:uiPriority w:val="0"/>
    <w:rPr>
      <w:rFonts w:ascii="Tahoma" w:hAnsi="Tahoma" w:cs="Tahoma"/>
      <w:sz w:val="24"/>
    </w:rPr>
  </w:style>
  <w:style w:type="paragraph" w:styleId="472">
    <w:name w:val="No Spacing"/>
    <w:qFormat/>
    <w:uiPriority w:val="0"/>
    <w:pPr>
      <w:widowControl w:val="0"/>
      <w:jc w:val="both"/>
    </w:pPr>
    <w:rPr>
      <w:rFonts w:ascii="Times New Roman" w:hAnsi="Times New Roman" w:eastAsia="微软雅黑" w:cs="Times New Roman"/>
      <w:sz w:val="24"/>
      <w:szCs w:val="22"/>
      <w:lang w:val="en-US" w:eastAsia="zh-CN" w:bidi="ar-SA"/>
    </w:rPr>
  </w:style>
  <w:style w:type="paragraph" w:customStyle="1" w:styleId="473">
    <w:name w:val="Char Char3"/>
    <w:basedOn w:val="1"/>
    <w:qFormat/>
    <w:uiPriority w:val="0"/>
    <w:rPr>
      <w:rFonts w:ascii="Tahoma" w:hAnsi="Tahoma"/>
      <w:sz w:val="24"/>
    </w:rPr>
  </w:style>
  <w:style w:type="paragraph" w:customStyle="1" w:styleId="474">
    <w:name w:val="小四 段落 宋体"/>
    <w:basedOn w:val="213"/>
    <w:qFormat/>
    <w:uiPriority w:val="0"/>
    <w:pPr>
      <w:tabs>
        <w:tab w:val="clear" w:pos="2952"/>
      </w:tabs>
      <w:spacing w:line="360" w:lineRule="auto"/>
      <w:ind w:left="113" w:right="113" w:firstLine="425"/>
      <w:jc w:val="left"/>
    </w:pPr>
    <w:rPr>
      <w:sz w:val="24"/>
    </w:rPr>
  </w:style>
  <w:style w:type="paragraph" w:customStyle="1" w:styleId="475">
    <w:name w:val="xl61"/>
    <w:basedOn w:val="1"/>
    <w:qFormat/>
    <w:uiPriority w:val="0"/>
    <w:pPr>
      <w:widowControl/>
      <w:pBdr>
        <w:top w:val="single" w:color="000000" w:sz="4" w:space="0"/>
        <w:bottom w:val="single" w:color="000000" w:sz="4" w:space="0"/>
      </w:pBdr>
      <w:shd w:val="clear" w:color="auto" w:fill="969696"/>
      <w:spacing w:before="100" w:beforeAutospacing="1" w:after="100" w:afterAutospacing="1"/>
      <w:jc w:val="center"/>
    </w:pPr>
    <w:rPr>
      <w:b/>
      <w:bCs/>
      <w:i/>
      <w:iCs/>
      <w:sz w:val="20"/>
    </w:rPr>
  </w:style>
  <w:style w:type="paragraph" w:customStyle="1" w:styleId="476">
    <w:name w:val="正文 首行缩进:  2 字符 Char"/>
    <w:basedOn w:val="1"/>
    <w:qFormat/>
    <w:uiPriority w:val="0"/>
    <w:pPr>
      <w:spacing w:line="360" w:lineRule="auto"/>
      <w:ind w:firstLine="480"/>
    </w:pPr>
    <w:rPr>
      <w:rFonts w:cs="宋体"/>
      <w:sz w:val="24"/>
    </w:rPr>
  </w:style>
  <w:style w:type="paragraph" w:customStyle="1" w:styleId="477">
    <w:name w:val="我的正文"/>
    <w:basedOn w:val="1"/>
    <w:qFormat/>
    <w:uiPriority w:val="0"/>
    <w:pPr>
      <w:widowControl/>
      <w:spacing w:line="360" w:lineRule="auto"/>
      <w:ind w:firstLine="420"/>
      <w:jc w:val="left"/>
    </w:pPr>
    <w:rPr>
      <w:rFonts w:ascii="宋体" w:hAnsi="宋体" w:cs="宋体"/>
      <w:szCs w:val="21"/>
    </w:rPr>
  </w:style>
  <w:style w:type="paragraph" w:customStyle="1" w:styleId="478">
    <w:name w:val="flType"/>
    <w:basedOn w:val="479"/>
    <w:qFormat/>
    <w:uiPriority w:val="0"/>
    <w:pPr>
      <w:spacing w:after="284"/>
    </w:pPr>
    <w:rPr>
      <w:rFonts w:eastAsia="宋体"/>
    </w:rPr>
  </w:style>
  <w:style w:type="paragraph" w:customStyle="1" w:styleId="479">
    <w:name w:val="flName"/>
    <w:basedOn w:val="452"/>
    <w:qFormat/>
    <w:uiPriority w:val="0"/>
    <w:pPr>
      <w:spacing w:before="0" w:line="113" w:lineRule="atLeast"/>
    </w:pPr>
  </w:style>
  <w:style w:type="paragraph" w:customStyle="1" w:styleId="480">
    <w:name w:val="正文lzq"/>
    <w:basedOn w:val="1"/>
    <w:qFormat/>
    <w:uiPriority w:val="0"/>
    <w:pPr>
      <w:spacing w:line="360" w:lineRule="auto"/>
      <w:ind w:firstLine="480"/>
    </w:pPr>
    <w:rPr>
      <w:sz w:val="24"/>
    </w:rPr>
  </w:style>
  <w:style w:type="paragraph" w:customStyle="1" w:styleId="481">
    <w:name w:val="Char1"/>
    <w:basedOn w:val="1"/>
    <w:qFormat/>
    <w:uiPriority w:val="0"/>
    <w:pPr>
      <w:widowControl/>
      <w:spacing w:after="160" w:line="240" w:lineRule="exact"/>
      <w:jc w:val="left"/>
    </w:pPr>
    <w:rPr>
      <w:rFonts w:ascii="Verdana" w:hAnsi="Verdana" w:eastAsia="仿宋_GB2312"/>
      <w:sz w:val="24"/>
      <w:lang w:eastAsia="en-US"/>
    </w:rPr>
  </w:style>
  <w:style w:type="paragraph" w:customStyle="1" w:styleId="482">
    <w:name w:val="丁华标题3"/>
    <w:basedOn w:val="456"/>
    <w:next w:val="430"/>
    <w:qFormat/>
    <w:uiPriority w:val="0"/>
    <w:pPr>
      <w:numPr>
        <w:ilvl w:val="2"/>
      </w:numPr>
      <w:tabs>
        <w:tab w:val="left" w:pos="1470"/>
        <w:tab w:val="left" w:pos="1980"/>
      </w:tabs>
      <w:spacing w:after="0"/>
      <w:ind w:left="1980" w:hanging="420"/>
      <w:outlineLvl w:val="2"/>
    </w:pPr>
    <w:rPr>
      <w:sz w:val="24"/>
    </w:rPr>
  </w:style>
  <w:style w:type="paragraph" w:customStyle="1" w:styleId="483">
    <w:name w:val="7"/>
    <w:basedOn w:val="1"/>
    <w:next w:val="263"/>
    <w:qFormat/>
    <w:uiPriority w:val="0"/>
    <w:pPr>
      <w:widowControl/>
      <w:spacing w:before="100" w:beforeAutospacing="1" w:after="100" w:afterAutospacing="1"/>
      <w:jc w:val="left"/>
    </w:pPr>
    <w:rPr>
      <w:rFonts w:ascii="宋体" w:hAnsi="宋体"/>
      <w:sz w:val="24"/>
    </w:rPr>
  </w:style>
  <w:style w:type="paragraph" w:customStyle="1" w:styleId="484">
    <w:name w:val="表格内文字"/>
    <w:basedOn w:val="1"/>
    <w:qFormat/>
    <w:uiPriority w:val="0"/>
    <w:pPr>
      <w:spacing w:line="300" w:lineRule="atLeast"/>
    </w:pPr>
    <w:rPr>
      <w:sz w:val="18"/>
      <w:szCs w:val="24"/>
    </w:rPr>
  </w:style>
  <w:style w:type="paragraph" w:customStyle="1" w:styleId="485">
    <w:name w:val="一级标题"/>
    <w:basedOn w:val="1"/>
    <w:qFormat/>
    <w:uiPriority w:val="0"/>
    <w:pPr>
      <w:tabs>
        <w:tab w:val="left" w:pos="903"/>
      </w:tabs>
      <w:spacing w:line="360" w:lineRule="auto"/>
      <w:ind w:left="900" w:hanging="420"/>
    </w:pPr>
    <w:rPr>
      <w:rFonts w:ascii="Arial" w:hAnsi="Arial" w:cs="Arial"/>
      <w:sz w:val="24"/>
    </w:rPr>
  </w:style>
  <w:style w:type="paragraph" w:customStyle="1" w:styleId="486">
    <w:name w:val="样式 正文 + 首行缩进:  2 字符1"/>
    <w:basedOn w:val="1"/>
    <w:semiHidden/>
    <w:qFormat/>
    <w:uiPriority w:val="0"/>
    <w:pPr>
      <w:spacing w:line="320" w:lineRule="exact"/>
      <w:ind w:firstLine="480"/>
    </w:pPr>
    <w:rPr>
      <w:rFonts w:ascii="Arial" w:hAnsi="Arial" w:cs="宋体"/>
      <w:sz w:val="24"/>
    </w:rPr>
  </w:style>
  <w:style w:type="paragraph" w:customStyle="1" w:styleId="487">
    <w:name w:val="Char Char Char Char Char"/>
    <w:basedOn w:val="1"/>
    <w:qFormat/>
    <w:uiPriority w:val="0"/>
    <w:rPr>
      <w:rFonts w:ascii="Tahoma" w:hAnsi="Tahoma" w:cs="Tahoma"/>
      <w:sz w:val="24"/>
    </w:rPr>
  </w:style>
  <w:style w:type="paragraph" w:customStyle="1" w:styleId="488">
    <w:name w:val="项目符号，一级"/>
    <w:basedOn w:val="416"/>
    <w:next w:val="416"/>
    <w:qFormat/>
    <w:uiPriority w:val="0"/>
    <w:pPr>
      <w:tabs>
        <w:tab w:val="left" w:pos="1320"/>
      </w:tabs>
      <w:spacing w:line="240" w:lineRule="atLeast"/>
      <w:ind w:left="376" w:firstLine="0"/>
    </w:pPr>
    <w:rPr>
      <w:bCs w:val="0"/>
      <w:color w:val="000000"/>
      <w:szCs w:val="24"/>
    </w:rPr>
  </w:style>
  <w:style w:type="paragraph" w:customStyle="1" w:styleId="489">
    <w:name w:val="正文文本缩进 31"/>
    <w:basedOn w:val="1"/>
    <w:qFormat/>
    <w:uiPriority w:val="0"/>
    <w:pPr>
      <w:tabs>
        <w:tab w:val="left" w:pos="0"/>
      </w:tabs>
      <w:spacing w:line="360" w:lineRule="auto"/>
      <w:ind w:firstLine="504"/>
    </w:pPr>
    <w:rPr>
      <w:rFonts w:ascii="宋体"/>
      <w:b/>
      <w:bCs/>
      <w:sz w:val="24"/>
      <w:szCs w:val="24"/>
    </w:rPr>
  </w:style>
  <w:style w:type="paragraph" w:customStyle="1" w:styleId="490">
    <w:name w:val="正文 + Arial Char"/>
    <w:basedOn w:val="1"/>
    <w:qFormat/>
    <w:uiPriority w:val="0"/>
    <w:pPr>
      <w:widowControl/>
      <w:tabs>
        <w:tab w:val="left" w:pos="315"/>
      </w:tabs>
      <w:spacing w:line="300" w:lineRule="auto"/>
      <w:ind w:left="315" w:hanging="315"/>
    </w:pPr>
    <w:rPr>
      <w:rFonts w:ascii="Arial" w:hAnsi="Arial" w:cs="Arial"/>
      <w:b/>
      <w:color w:val="000000"/>
    </w:rPr>
  </w:style>
  <w:style w:type="paragraph" w:customStyle="1" w:styleId="491">
    <w:name w:val="xl46"/>
    <w:basedOn w:val="1"/>
    <w:qFormat/>
    <w:uiPriority w:val="0"/>
    <w:pPr>
      <w:widowControl/>
      <w:pBdr>
        <w:left w:val="single" w:color="000000" w:sz="4" w:space="0"/>
        <w:right w:val="single" w:color="000000" w:sz="4" w:space="0"/>
      </w:pBdr>
      <w:spacing w:before="100" w:beforeAutospacing="1" w:after="100" w:afterAutospacing="1"/>
      <w:jc w:val="center"/>
    </w:pPr>
    <w:rPr>
      <w:rFonts w:ascii="宋体" w:hAnsi="宋体" w:cs="宋体"/>
      <w:sz w:val="24"/>
      <w:szCs w:val="24"/>
    </w:rPr>
  </w:style>
  <w:style w:type="paragraph" w:customStyle="1" w:styleId="492">
    <w:name w:val="Char Char Char Char Char Char Char Char Char Char Char Char Char Char"/>
    <w:basedOn w:val="1"/>
    <w:qFormat/>
    <w:uiPriority w:val="0"/>
    <w:rPr>
      <w:rFonts w:ascii="Tahoma" w:hAnsi="Tahoma" w:cs="Tahoma"/>
      <w:sz w:val="24"/>
    </w:rPr>
  </w:style>
  <w:style w:type="paragraph" w:customStyle="1" w:styleId="493">
    <w:name w:val="样式 段后: 0.5 行 左  0.75 字符"/>
    <w:basedOn w:val="1"/>
    <w:qFormat/>
    <w:uiPriority w:val="0"/>
    <w:pPr>
      <w:widowControl/>
      <w:spacing w:line="360" w:lineRule="auto"/>
      <w:ind w:firstLine="420"/>
    </w:pPr>
    <w:rPr>
      <w:rFonts w:hAnsi="Arial" w:cs="Arial"/>
      <w:szCs w:val="21"/>
    </w:rPr>
  </w:style>
  <w:style w:type="paragraph" w:customStyle="1" w:styleId="494">
    <w:name w:val="Char Char Char Char Char Char Char Char"/>
    <w:basedOn w:val="1"/>
    <w:qFormat/>
    <w:uiPriority w:val="0"/>
    <w:rPr>
      <w:rFonts w:ascii="Tahoma" w:hAnsi="Tahoma" w:cs="Tahoma"/>
      <w:sz w:val="24"/>
    </w:rPr>
  </w:style>
  <w:style w:type="paragraph" w:customStyle="1" w:styleId="495">
    <w:name w:val="font5"/>
    <w:basedOn w:val="1"/>
    <w:qFormat/>
    <w:uiPriority w:val="0"/>
    <w:pPr>
      <w:widowControl/>
      <w:spacing w:before="100" w:beforeAutospacing="1" w:after="100" w:afterAutospacing="1"/>
      <w:jc w:val="left"/>
    </w:pPr>
    <w:rPr>
      <w:rFonts w:ascii="宋体" w:hAnsi="宋体" w:cs="宋体"/>
      <w:sz w:val="18"/>
      <w:szCs w:val="18"/>
    </w:rPr>
  </w:style>
  <w:style w:type="paragraph" w:customStyle="1" w:styleId="496">
    <w:name w:val="样式3"/>
    <w:basedOn w:val="1"/>
    <w:next w:val="1"/>
    <w:qFormat/>
    <w:uiPriority w:val="0"/>
    <w:pPr>
      <w:spacing w:line="360" w:lineRule="auto"/>
    </w:pPr>
  </w:style>
  <w:style w:type="paragraph" w:customStyle="1" w:styleId="497">
    <w:name w:val="Char Char Char Char Char Char"/>
    <w:basedOn w:val="1"/>
    <w:qFormat/>
    <w:uiPriority w:val="0"/>
    <w:rPr>
      <w:rFonts w:ascii="Tahoma" w:hAnsi="Tahoma" w:cs="Tahoma"/>
      <w:sz w:val="24"/>
    </w:rPr>
  </w:style>
  <w:style w:type="paragraph" w:customStyle="1" w:styleId="498">
    <w:name w:val="_Style 14"/>
    <w:basedOn w:val="1"/>
    <w:qFormat/>
    <w:uiPriority w:val="0"/>
    <w:rPr>
      <w:szCs w:val="24"/>
    </w:rPr>
  </w:style>
  <w:style w:type="paragraph" w:customStyle="1" w:styleId="499">
    <w:name w:val="样式 段后: 0.25 行"/>
    <w:basedOn w:val="1"/>
    <w:qFormat/>
    <w:uiPriority w:val="0"/>
    <w:pPr>
      <w:widowControl/>
      <w:spacing w:after="78" w:line="300" w:lineRule="auto"/>
      <w:ind w:firstLine="420"/>
      <w:jc w:val="left"/>
    </w:pPr>
    <w:rPr>
      <w:rFonts w:ascii="Arial" w:hAnsi="Arial" w:cs="宋体"/>
      <w:sz w:val="22"/>
      <w:lang w:eastAsia="en-US" w:bidi="en-US"/>
    </w:rPr>
  </w:style>
  <w:style w:type="paragraph" w:customStyle="1" w:styleId="500">
    <w:name w:val="段落"/>
    <w:basedOn w:val="1"/>
    <w:qFormat/>
    <w:uiPriority w:val="0"/>
    <w:pPr>
      <w:spacing w:line="460" w:lineRule="exact"/>
      <w:ind w:firstLine="480"/>
    </w:pPr>
    <w:rPr>
      <w:sz w:val="24"/>
    </w:rPr>
  </w:style>
  <w:style w:type="paragraph" w:customStyle="1" w:styleId="501">
    <w:name w:val="项目符号：一级"/>
    <w:basedOn w:val="416"/>
    <w:next w:val="416"/>
    <w:qFormat/>
    <w:uiPriority w:val="0"/>
    <w:pPr>
      <w:ind w:right="-134"/>
    </w:pPr>
    <w:rPr>
      <w:bCs w:val="0"/>
    </w:rPr>
  </w:style>
  <w:style w:type="paragraph" w:customStyle="1" w:styleId="502">
    <w:name w:val="Char Char Char Char1"/>
    <w:basedOn w:val="216"/>
    <w:qFormat/>
    <w:uiPriority w:val="0"/>
    <w:pPr>
      <w:spacing w:line="360" w:lineRule="auto"/>
    </w:pPr>
    <w:rPr>
      <w:rFonts w:ascii="Tahoma" w:hAnsi="Tahoma"/>
      <w:sz w:val="24"/>
      <w:szCs w:val="24"/>
    </w:rPr>
  </w:style>
  <w:style w:type="paragraph" w:customStyle="1" w:styleId="503">
    <w:name w:val="标准小四"/>
    <w:basedOn w:val="1"/>
    <w:qFormat/>
    <w:uiPriority w:val="0"/>
    <w:pPr>
      <w:spacing w:line="360" w:lineRule="auto"/>
      <w:ind w:firstLine="480"/>
    </w:pPr>
    <w:rPr>
      <w:rFonts w:ascii="Arial" w:hAnsi="Arial"/>
      <w:sz w:val="24"/>
      <w:szCs w:val="21"/>
    </w:rPr>
  </w:style>
  <w:style w:type="paragraph" w:customStyle="1" w:styleId="504">
    <w:name w:val="插图"/>
    <w:basedOn w:val="1"/>
    <w:qFormat/>
    <w:uiPriority w:val="0"/>
    <w:pPr>
      <w:tabs>
        <w:tab w:val="left" w:pos="1620"/>
      </w:tabs>
      <w:jc w:val="center"/>
    </w:pPr>
    <w:rPr>
      <w:bCs/>
      <w:color w:val="000000"/>
      <w:szCs w:val="22"/>
    </w:rPr>
  </w:style>
  <w:style w:type="paragraph" w:customStyle="1" w:styleId="505">
    <w:name w:val="标题2，章节第二层"/>
    <w:basedOn w:val="1"/>
    <w:next w:val="416"/>
    <w:qFormat/>
    <w:uiPriority w:val="0"/>
    <w:pPr>
      <w:numPr>
        <w:ilvl w:val="4"/>
        <w:numId w:val="1"/>
      </w:numPr>
      <w:tabs>
        <w:tab w:val="left" w:pos="630"/>
        <w:tab w:val="left" w:pos="992"/>
      </w:tabs>
      <w:spacing w:before="312" w:after="312" w:line="300" w:lineRule="auto"/>
      <w:ind w:left="992" w:hanging="567"/>
      <w:outlineLvl w:val="1"/>
    </w:pPr>
    <w:rPr>
      <w:rFonts w:ascii="Arial" w:hAnsi="Arial" w:eastAsia="黑体"/>
      <w:sz w:val="32"/>
      <w:szCs w:val="24"/>
    </w:rPr>
  </w:style>
  <w:style w:type="paragraph" w:customStyle="1" w:styleId="506">
    <w:name w:val="xl45"/>
    <w:basedOn w:val="1"/>
    <w:qFormat/>
    <w:uiPriority w:val="0"/>
    <w:pPr>
      <w:widowControl/>
      <w:pBdr>
        <w:left w:val="single" w:color="000000" w:sz="4" w:space="0"/>
        <w:right w:val="single" w:color="000000" w:sz="4" w:space="0"/>
      </w:pBdr>
      <w:spacing w:before="100" w:beforeAutospacing="1" w:after="100" w:afterAutospacing="1"/>
      <w:jc w:val="center"/>
    </w:pPr>
    <w:rPr>
      <w:rFonts w:ascii="宋体" w:hAnsi="宋体" w:cs="宋体"/>
      <w:b/>
      <w:bCs/>
      <w:sz w:val="20"/>
    </w:rPr>
  </w:style>
  <w:style w:type="paragraph" w:customStyle="1" w:styleId="507">
    <w:name w:val="条1"/>
    <w:basedOn w:val="1"/>
    <w:qFormat/>
    <w:uiPriority w:val="0"/>
    <w:pPr>
      <w:tabs>
        <w:tab w:val="left" w:pos="780"/>
      </w:tabs>
      <w:spacing w:before="156" w:line="360" w:lineRule="auto"/>
      <w:ind w:left="780" w:hanging="360"/>
    </w:pPr>
    <w:rPr>
      <w:rFonts w:eastAsia="黑体"/>
      <w:sz w:val="24"/>
    </w:rPr>
  </w:style>
  <w:style w:type="paragraph" w:customStyle="1" w:styleId="508">
    <w:name w:val="项目符号，二级"/>
    <w:basedOn w:val="416"/>
    <w:next w:val="416"/>
    <w:qFormat/>
    <w:uiPriority w:val="0"/>
    <w:pPr>
      <w:numPr>
        <w:ilvl w:val="0"/>
        <w:numId w:val="3"/>
      </w:numPr>
      <w:tabs>
        <w:tab w:val="left" w:pos="1211"/>
        <w:tab w:val="left" w:pos="1337"/>
      </w:tabs>
      <w:ind w:left="1337" w:right="-27" w:firstLine="480"/>
    </w:pPr>
    <w:rPr>
      <w:bCs w:val="0"/>
      <w:color w:val="000000"/>
      <w:sz w:val="24"/>
      <w:szCs w:val="24"/>
    </w:rPr>
  </w:style>
  <w:style w:type="paragraph" w:customStyle="1" w:styleId="509">
    <w:name w:val="表头_5"/>
    <w:basedOn w:val="1"/>
    <w:qFormat/>
    <w:uiPriority w:val="0"/>
    <w:pPr>
      <w:spacing w:line="360" w:lineRule="auto"/>
    </w:pPr>
    <w:rPr>
      <w:b/>
      <w:bCs/>
      <w:sz w:val="28"/>
      <w:szCs w:val="21"/>
    </w:rPr>
  </w:style>
  <w:style w:type="paragraph" w:customStyle="1" w:styleId="510">
    <w:name w:val="xl60"/>
    <w:basedOn w:val="1"/>
    <w:qFormat/>
    <w:uiPriority w:val="0"/>
    <w:pPr>
      <w:widowControl/>
      <w:pBdr>
        <w:top w:val="single" w:color="000000" w:sz="4" w:space="0"/>
        <w:left w:val="single" w:color="000000" w:sz="4" w:space="0"/>
        <w:bottom w:val="single" w:color="000000" w:sz="4" w:space="0"/>
      </w:pBdr>
      <w:shd w:val="clear" w:color="auto" w:fill="969696"/>
      <w:spacing w:before="100" w:beforeAutospacing="1" w:after="100" w:afterAutospacing="1"/>
      <w:jc w:val="center"/>
    </w:pPr>
    <w:rPr>
      <w:b/>
      <w:bCs/>
      <w:i/>
      <w:iCs/>
      <w:sz w:val="20"/>
    </w:rPr>
  </w:style>
  <w:style w:type="paragraph" w:customStyle="1" w:styleId="511">
    <w:name w:val="小四 段落 宋体 Char Char Char Char"/>
    <w:basedOn w:val="1"/>
    <w:qFormat/>
    <w:uiPriority w:val="0"/>
    <w:pPr>
      <w:spacing w:line="360" w:lineRule="auto"/>
      <w:ind w:right="-33" w:firstLine="480"/>
      <w:jc w:val="left"/>
    </w:pPr>
    <w:rPr>
      <w:sz w:val="24"/>
      <w:szCs w:val="24"/>
    </w:rPr>
  </w:style>
  <w:style w:type="paragraph" w:customStyle="1" w:styleId="512">
    <w:name w:val="正文文本 New New"/>
    <w:basedOn w:val="1"/>
    <w:qFormat/>
    <w:uiPriority w:val="0"/>
    <w:pPr>
      <w:widowControl/>
      <w:spacing w:before="60" w:after="60" w:line="360" w:lineRule="auto"/>
      <w:ind w:firstLine="200"/>
    </w:pPr>
    <w:rPr>
      <w:rFonts w:eastAsia="华文楷体"/>
      <w:sz w:val="24"/>
      <w:szCs w:val="24"/>
    </w:rPr>
  </w:style>
  <w:style w:type="paragraph" w:customStyle="1" w:styleId="513">
    <w:name w:val="Char Char Char Char Char Char Char Char Char Char Char1"/>
    <w:basedOn w:val="1"/>
    <w:qFormat/>
    <w:uiPriority w:val="0"/>
    <w:rPr>
      <w:rFonts w:ascii="Tahoma" w:hAnsi="Tahoma" w:cs="Tahoma"/>
      <w:sz w:val="24"/>
    </w:rPr>
  </w:style>
  <w:style w:type="paragraph" w:customStyle="1" w:styleId="514">
    <w:name w:val="方案正文"/>
    <w:basedOn w:val="1"/>
    <w:qFormat/>
    <w:uiPriority w:val="0"/>
    <w:pPr>
      <w:spacing w:before="156" w:line="360" w:lineRule="auto"/>
      <w:ind w:firstLine="359"/>
      <w:jc w:val="left"/>
    </w:pPr>
    <w:rPr>
      <w:rFonts w:ascii="Arial" w:hAnsi="Arial" w:cs="宋体"/>
      <w:sz w:val="24"/>
      <w:szCs w:val="21"/>
    </w:rPr>
  </w:style>
  <w:style w:type="paragraph" w:customStyle="1" w:styleId="515">
    <w:name w:val="Char Char Char Char Char Char Char Char Char Char Char Char Char Char1"/>
    <w:basedOn w:val="1"/>
    <w:qFormat/>
    <w:uiPriority w:val="0"/>
    <w:rPr>
      <w:rFonts w:ascii="Tahoma" w:hAnsi="Tahoma"/>
      <w:sz w:val="24"/>
    </w:rPr>
  </w:style>
  <w:style w:type="paragraph" w:customStyle="1" w:styleId="516">
    <w:name w:val="标题4，章节第四层"/>
    <w:basedOn w:val="1"/>
    <w:next w:val="1"/>
    <w:qFormat/>
    <w:uiPriority w:val="0"/>
    <w:pPr>
      <w:tabs>
        <w:tab w:val="left" w:pos="0"/>
      </w:tabs>
      <w:spacing w:line="360" w:lineRule="auto"/>
      <w:outlineLvl w:val="3"/>
    </w:pPr>
    <w:rPr>
      <w:rFonts w:ascii="宋体" w:hAnsi="宋体"/>
      <w:b/>
      <w:sz w:val="24"/>
      <w:szCs w:val="24"/>
    </w:rPr>
  </w:style>
  <w:style w:type="paragraph" w:customStyle="1" w:styleId="517">
    <w:name w:val="xl49"/>
    <w:basedOn w:val="1"/>
    <w:qFormat/>
    <w:uiPriority w:val="0"/>
    <w:pPr>
      <w:widowControl/>
      <w:pBdr>
        <w:left w:val="single" w:color="000000" w:sz="4" w:space="0"/>
        <w:right w:val="single" w:color="000000" w:sz="4" w:space="0"/>
      </w:pBdr>
      <w:spacing w:before="100" w:beforeAutospacing="1" w:after="100" w:afterAutospacing="1"/>
      <w:jc w:val="center"/>
    </w:pPr>
    <w:rPr>
      <w:b/>
      <w:bCs/>
      <w:sz w:val="20"/>
    </w:rPr>
  </w:style>
  <w:style w:type="paragraph" w:customStyle="1" w:styleId="518">
    <w:name w:val="font9"/>
    <w:basedOn w:val="1"/>
    <w:qFormat/>
    <w:uiPriority w:val="0"/>
    <w:pPr>
      <w:widowControl/>
      <w:spacing w:before="100" w:beforeAutospacing="1" w:after="100" w:afterAutospacing="1"/>
      <w:jc w:val="left"/>
    </w:pPr>
    <w:rPr>
      <w:b/>
      <w:bCs/>
      <w:sz w:val="20"/>
    </w:rPr>
  </w:style>
  <w:style w:type="paragraph" w:customStyle="1" w:styleId="519">
    <w:name w:val="xl52"/>
    <w:basedOn w:val="1"/>
    <w:qFormat/>
    <w:uiPriority w:val="0"/>
    <w:pPr>
      <w:widowControl/>
      <w:pBdr>
        <w:top w:val="single" w:color="000000" w:sz="4" w:space="0"/>
        <w:bottom w:val="single" w:color="000000" w:sz="4" w:space="0"/>
      </w:pBdr>
      <w:shd w:val="clear" w:color="auto" w:fill="969696"/>
      <w:spacing w:before="100" w:beforeAutospacing="1" w:after="100" w:afterAutospacing="1"/>
      <w:jc w:val="center"/>
    </w:pPr>
    <w:rPr>
      <w:b/>
      <w:bCs/>
      <w:i/>
      <w:iCs/>
      <w:sz w:val="20"/>
    </w:rPr>
  </w:style>
  <w:style w:type="paragraph" w:customStyle="1" w:styleId="520">
    <w:name w:val="xl57"/>
    <w:basedOn w:val="1"/>
    <w:qFormat/>
    <w:uiPriority w:val="0"/>
    <w:pPr>
      <w:widowControl/>
      <w:pBdr>
        <w:top w:val="single" w:color="000000" w:sz="4" w:space="0"/>
        <w:left w:val="single" w:color="000000" w:sz="4" w:space="0"/>
        <w:right w:val="single" w:color="000000" w:sz="4" w:space="0"/>
      </w:pBdr>
      <w:spacing w:before="100" w:beforeAutospacing="1" w:after="100" w:afterAutospacing="1"/>
      <w:jc w:val="center"/>
    </w:pPr>
    <w:rPr>
      <w:b/>
      <w:bCs/>
      <w:i/>
      <w:iCs/>
      <w:sz w:val="20"/>
    </w:rPr>
  </w:style>
  <w:style w:type="paragraph" w:customStyle="1" w:styleId="521">
    <w:name w:val="Char Char Char Char Char Char Char Char1"/>
    <w:basedOn w:val="1"/>
    <w:qFormat/>
    <w:uiPriority w:val="0"/>
    <w:rPr>
      <w:rFonts w:ascii="Tahoma" w:hAnsi="Tahoma"/>
      <w:sz w:val="24"/>
    </w:rPr>
  </w:style>
  <w:style w:type="paragraph" w:customStyle="1" w:styleId="522">
    <w:name w:val="Char11"/>
    <w:basedOn w:val="1"/>
    <w:qFormat/>
    <w:uiPriority w:val="0"/>
    <w:rPr>
      <w:rFonts w:ascii="仿宋_GB2312" w:hAnsi="宋体" w:eastAsia="仿宋_GB2312" w:cs="宋体"/>
      <w:b/>
      <w:sz w:val="32"/>
      <w:szCs w:val="32"/>
    </w:rPr>
  </w:style>
  <w:style w:type="paragraph" w:customStyle="1" w:styleId="523">
    <w:name w:val="xl30"/>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b/>
      <w:bCs/>
      <w:sz w:val="20"/>
    </w:rPr>
  </w:style>
  <w:style w:type="paragraph" w:customStyle="1" w:styleId="524">
    <w:name w:val="正文 首行缩进:  2 字符 Char Char"/>
    <w:basedOn w:val="1"/>
    <w:qFormat/>
    <w:uiPriority w:val="0"/>
    <w:pPr>
      <w:spacing w:line="360" w:lineRule="auto"/>
      <w:ind w:firstLine="480"/>
    </w:pPr>
    <w:rPr>
      <w:rFonts w:ascii="楷体_GB2312" w:eastAsia="楷体_GB2312"/>
      <w:bCs/>
      <w:sz w:val="24"/>
      <w:szCs w:val="24"/>
    </w:rPr>
  </w:style>
  <w:style w:type="paragraph" w:customStyle="1" w:styleId="525">
    <w:name w:val="大标题"/>
    <w:basedOn w:val="1"/>
    <w:next w:val="1"/>
    <w:qFormat/>
    <w:uiPriority w:val="0"/>
    <w:pPr>
      <w:pageBreakBefore/>
      <w:tabs>
        <w:tab w:val="left" w:pos="420"/>
      </w:tabs>
      <w:spacing w:line="360" w:lineRule="auto"/>
      <w:ind w:hanging="420"/>
      <w:outlineLvl w:val="0"/>
    </w:pPr>
    <w:rPr>
      <w:b/>
      <w:iCs/>
      <w:sz w:val="44"/>
      <w:szCs w:val="24"/>
    </w:rPr>
  </w:style>
  <w:style w:type="paragraph" w:customStyle="1" w:styleId="526">
    <w:name w:val="纯文本1"/>
    <w:basedOn w:val="1"/>
    <w:qFormat/>
    <w:uiPriority w:val="0"/>
    <w:rPr>
      <w:rFonts w:ascii="宋体" w:hAnsi="宋体" w:eastAsia="楷体_GB2312" w:cs="宋体"/>
      <w:sz w:val="28"/>
    </w:rPr>
  </w:style>
  <w:style w:type="paragraph" w:customStyle="1" w:styleId="527">
    <w:name w:val="Pa6"/>
    <w:basedOn w:val="1"/>
    <w:next w:val="1"/>
    <w:qFormat/>
    <w:uiPriority w:val="0"/>
    <w:pPr>
      <w:spacing w:line="241" w:lineRule="atLeast"/>
      <w:jc w:val="left"/>
    </w:pPr>
    <w:rPr>
      <w:rFonts w:ascii="HYDaHeiJ" w:eastAsia="HYDaHeiJ"/>
      <w:sz w:val="24"/>
      <w:szCs w:val="24"/>
    </w:rPr>
  </w:style>
  <w:style w:type="paragraph" w:customStyle="1" w:styleId="528">
    <w:name w:val="xl59"/>
    <w:basedOn w:val="1"/>
    <w:qFormat/>
    <w:uiPriority w:val="0"/>
    <w:pPr>
      <w:widowControl/>
      <w:pBdr>
        <w:left w:val="single" w:color="000000" w:sz="4" w:space="0"/>
        <w:bottom w:val="single" w:color="000000" w:sz="4" w:space="0"/>
        <w:right w:val="single" w:color="000000" w:sz="4" w:space="0"/>
      </w:pBdr>
      <w:spacing w:before="100" w:beforeAutospacing="1" w:after="100" w:afterAutospacing="1"/>
      <w:jc w:val="center"/>
    </w:pPr>
    <w:rPr>
      <w:b/>
      <w:bCs/>
      <w:i/>
      <w:iCs/>
      <w:sz w:val="20"/>
    </w:rPr>
  </w:style>
  <w:style w:type="paragraph" w:customStyle="1" w:styleId="529">
    <w:name w:val="Default Text"/>
    <w:basedOn w:val="1"/>
    <w:qFormat/>
    <w:uiPriority w:val="0"/>
    <w:pPr>
      <w:widowControl/>
      <w:jc w:val="left"/>
    </w:pPr>
    <w:rPr>
      <w:sz w:val="24"/>
      <w:lang w:eastAsia="en-US"/>
    </w:rPr>
  </w:style>
  <w:style w:type="paragraph" w:customStyle="1" w:styleId="530">
    <w:name w:val="xl2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b/>
      <w:bCs/>
      <w:i/>
      <w:iCs/>
      <w:sz w:val="20"/>
    </w:rPr>
  </w:style>
  <w:style w:type="paragraph" w:customStyle="1" w:styleId="531">
    <w:name w:val="af17cgridlangnp1033langf"/>
    <w:qFormat/>
    <w:uiPriority w:val="0"/>
    <w:pPr>
      <w:widowControl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532">
    <w:name w:val="标题二"/>
    <w:basedOn w:val="1"/>
    <w:qFormat/>
    <w:uiPriority w:val="0"/>
    <w:pPr>
      <w:ind w:firstLine="200"/>
    </w:pPr>
    <w:rPr>
      <w:rFonts w:ascii="Arial" w:hAnsi="Arial" w:eastAsia="楷体_GB2312" w:cs="宋体"/>
      <w:sz w:val="30"/>
    </w:rPr>
  </w:style>
  <w:style w:type="paragraph" w:customStyle="1" w:styleId="533">
    <w:name w:val="xl54"/>
    <w:basedOn w:val="1"/>
    <w:qFormat/>
    <w:uiPriority w:val="0"/>
    <w:pPr>
      <w:widowControl/>
      <w:pBdr>
        <w:top w:val="single" w:color="000000" w:sz="4" w:space="0"/>
        <w:left w:val="single" w:color="000000" w:sz="4" w:space="0"/>
        <w:bottom w:val="single" w:color="000000" w:sz="4" w:space="0"/>
      </w:pBdr>
      <w:shd w:val="clear" w:color="auto" w:fill="969696"/>
      <w:spacing w:before="100" w:beforeAutospacing="1" w:after="100" w:afterAutospacing="1"/>
      <w:jc w:val="center"/>
    </w:pPr>
    <w:rPr>
      <w:rFonts w:ascii="宋体" w:hAnsi="宋体" w:cs="宋体"/>
      <w:b/>
      <w:bCs/>
      <w:sz w:val="20"/>
    </w:rPr>
  </w:style>
  <w:style w:type="paragraph" w:customStyle="1" w:styleId="534">
    <w:name w:val="小四 段落 宋体 Char Char Char"/>
    <w:basedOn w:val="213"/>
    <w:qFormat/>
    <w:uiPriority w:val="0"/>
    <w:pPr>
      <w:tabs>
        <w:tab w:val="clear" w:pos="2952"/>
      </w:tabs>
      <w:spacing w:line="360" w:lineRule="auto"/>
      <w:ind w:left="0" w:right="-33" w:firstLine="545"/>
      <w:jc w:val="left"/>
    </w:pPr>
    <w:rPr>
      <w:sz w:val="24"/>
    </w:rPr>
  </w:style>
  <w:style w:type="paragraph" w:customStyle="1" w:styleId="535">
    <w:name w:val="标题5，章节第五层"/>
    <w:basedOn w:val="1"/>
    <w:next w:val="1"/>
    <w:qFormat/>
    <w:uiPriority w:val="0"/>
    <w:pPr>
      <w:tabs>
        <w:tab w:val="left" w:pos="1050"/>
        <w:tab w:val="left" w:pos="2100"/>
      </w:tabs>
      <w:spacing w:before="78"/>
      <w:ind w:left="2100" w:hanging="420"/>
      <w:outlineLvl w:val="4"/>
    </w:pPr>
    <w:rPr>
      <w:rFonts w:ascii="Arial" w:hAnsi="Arial" w:eastAsia="华文细黑"/>
      <w:sz w:val="30"/>
      <w:szCs w:val="24"/>
    </w:rPr>
  </w:style>
  <w:style w:type="paragraph" w:customStyle="1" w:styleId="536">
    <w:name w:val="样式 正文 + 首行缩进:  2 字符"/>
    <w:basedOn w:val="1"/>
    <w:semiHidden/>
    <w:qFormat/>
    <w:uiPriority w:val="0"/>
    <w:pPr>
      <w:spacing w:line="320" w:lineRule="exact"/>
      <w:ind w:firstLine="480"/>
    </w:pPr>
    <w:rPr>
      <w:rFonts w:ascii="Arial" w:hAnsi="Arial" w:cs="宋体"/>
      <w:sz w:val="24"/>
    </w:rPr>
  </w:style>
  <w:style w:type="paragraph" w:customStyle="1" w:styleId="537">
    <w:name w:val="xl58"/>
    <w:basedOn w:val="1"/>
    <w:qFormat/>
    <w:uiPriority w:val="0"/>
    <w:pPr>
      <w:widowControl/>
      <w:pBdr>
        <w:left w:val="single" w:color="000000" w:sz="4" w:space="0"/>
        <w:right w:val="single" w:color="000000" w:sz="4" w:space="0"/>
      </w:pBdr>
      <w:spacing w:before="100" w:beforeAutospacing="1" w:after="100" w:afterAutospacing="1"/>
      <w:jc w:val="center"/>
    </w:pPr>
    <w:rPr>
      <w:b/>
      <w:bCs/>
      <w:i/>
      <w:iCs/>
      <w:sz w:val="20"/>
    </w:rPr>
  </w:style>
  <w:style w:type="paragraph" w:customStyle="1" w:styleId="538">
    <w:name w:val="Char Char Char Char Char Char Char Char Char Char Char Char Char"/>
    <w:basedOn w:val="1"/>
    <w:qFormat/>
    <w:uiPriority w:val="0"/>
    <w:pPr>
      <w:widowControl/>
      <w:spacing w:after="160" w:line="240" w:lineRule="exact"/>
      <w:jc w:val="left"/>
    </w:pPr>
    <w:rPr>
      <w:szCs w:val="24"/>
    </w:rPr>
  </w:style>
  <w:style w:type="paragraph" w:customStyle="1" w:styleId="539">
    <w:name w:val="符号与编号 Char"/>
    <w:basedOn w:val="1"/>
    <w:qFormat/>
    <w:uiPriority w:val="0"/>
    <w:pPr>
      <w:tabs>
        <w:tab w:val="left" w:pos="720"/>
      </w:tabs>
      <w:spacing w:after="156" w:line="400" w:lineRule="atLeast"/>
      <w:ind w:left="720"/>
    </w:pPr>
    <w:rPr>
      <w:sz w:val="24"/>
      <w:szCs w:val="24"/>
    </w:rPr>
  </w:style>
  <w:style w:type="paragraph" w:customStyle="1" w:styleId="540">
    <w:name w:val="Char Char11"/>
    <w:basedOn w:val="1"/>
    <w:qFormat/>
    <w:uiPriority w:val="0"/>
    <w:rPr>
      <w:rFonts w:ascii="Tahoma" w:hAnsi="Tahoma"/>
      <w:sz w:val="24"/>
    </w:rPr>
  </w:style>
  <w:style w:type="paragraph" w:customStyle="1" w:styleId="541">
    <w:name w:val="样式1"/>
    <w:basedOn w:val="1"/>
    <w:qFormat/>
    <w:uiPriority w:val="0"/>
    <w:pPr>
      <w:spacing w:line="300" w:lineRule="auto"/>
      <w:ind w:firstLine="480"/>
    </w:pPr>
    <w:rPr>
      <w:sz w:val="24"/>
      <w:szCs w:val="24"/>
    </w:rPr>
  </w:style>
  <w:style w:type="paragraph" w:customStyle="1" w:styleId="542">
    <w:name w:val="font10"/>
    <w:basedOn w:val="1"/>
    <w:qFormat/>
    <w:uiPriority w:val="0"/>
    <w:pPr>
      <w:widowControl/>
      <w:spacing w:before="100" w:beforeAutospacing="1" w:after="100" w:afterAutospacing="1"/>
      <w:jc w:val="left"/>
    </w:pPr>
    <w:rPr>
      <w:rFonts w:ascii="楷体_GB2312" w:hAnsi="宋体" w:eastAsia="楷体_GB2312" w:cs="宋体"/>
      <w:b/>
      <w:bCs/>
      <w:sz w:val="18"/>
      <w:szCs w:val="18"/>
    </w:rPr>
  </w:style>
  <w:style w:type="paragraph" w:customStyle="1" w:styleId="543">
    <w:name w:val="xl48"/>
    <w:basedOn w:val="1"/>
    <w:qFormat/>
    <w:uiPriority w:val="0"/>
    <w:pPr>
      <w:widowControl/>
      <w:pBdr>
        <w:top w:val="single" w:color="000000" w:sz="4" w:space="0"/>
        <w:left w:val="single" w:color="000000" w:sz="4" w:space="0"/>
        <w:right w:val="single" w:color="000000" w:sz="4" w:space="0"/>
      </w:pBdr>
      <w:spacing w:before="100" w:beforeAutospacing="1" w:after="100" w:afterAutospacing="1"/>
      <w:jc w:val="center"/>
    </w:pPr>
    <w:rPr>
      <w:b/>
      <w:bCs/>
      <w:sz w:val="20"/>
    </w:rPr>
  </w:style>
  <w:style w:type="paragraph" w:customStyle="1" w:styleId="544">
    <w:name w:val="Char2"/>
    <w:basedOn w:val="1"/>
    <w:qFormat/>
    <w:uiPriority w:val="0"/>
    <w:pPr>
      <w:spacing w:after="156" w:line="360" w:lineRule="auto"/>
    </w:pPr>
    <w:rPr>
      <w:rFonts w:ascii="Tahoma" w:hAnsi="Tahoma"/>
      <w:sz w:val="24"/>
    </w:rPr>
  </w:style>
  <w:style w:type="paragraph" w:customStyle="1" w:styleId="545">
    <w:name w:val="Table Paragraph"/>
    <w:basedOn w:val="1"/>
    <w:qFormat/>
    <w:uiPriority w:val="1"/>
    <w:pPr>
      <w:spacing w:before="2"/>
      <w:jc w:val="center"/>
    </w:pPr>
    <w:rPr>
      <w:rFonts w:ascii="仿宋" w:hAnsi="仿宋" w:eastAsia="仿宋" w:cs="仿宋"/>
      <w:sz w:val="22"/>
      <w:szCs w:val="22"/>
    </w:rPr>
  </w:style>
  <w:style w:type="paragraph" w:customStyle="1" w:styleId="546">
    <w:name w:val="xl32"/>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b/>
      <w:bCs/>
      <w:i/>
      <w:iCs/>
      <w:sz w:val="20"/>
    </w:rPr>
  </w:style>
  <w:style w:type="paragraph" w:customStyle="1" w:styleId="547">
    <w:name w:val="Char1 Char Char Char1"/>
    <w:basedOn w:val="1"/>
    <w:qFormat/>
    <w:uiPriority w:val="0"/>
    <w:rPr>
      <w:rFonts w:ascii="Tahoma" w:hAnsi="Tahoma"/>
      <w:sz w:val="24"/>
    </w:rPr>
  </w:style>
  <w:style w:type="paragraph" w:customStyle="1" w:styleId="548">
    <w:name w:val="Char Char Char Char Char Char Char Char Char Char Char Char Char Char Char Char Char Char Char Char Char1"/>
    <w:basedOn w:val="1"/>
    <w:qFormat/>
    <w:uiPriority w:val="0"/>
    <w:rPr>
      <w:rFonts w:ascii="Tahoma" w:hAnsi="Tahoma"/>
      <w:sz w:val="24"/>
    </w:rPr>
  </w:style>
  <w:style w:type="paragraph" w:customStyle="1" w:styleId="549">
    <w:name w:val="表格内容"/>
    <w:basedOn w:val="1"/>
    <w:qFormat/>
    <w:uiPriority w:val="0"/>
    <w:pPr>
      <w:widowControl/>
      <w:spacing w:before="60" w:line="300" w:lineRule="auto"/>
      <w:jc w:val="center"/>
    </w:pPr>
  </w:style>
  <w:style w:type="paragraph" w:customStyle="1" w:styleId="550">
    <w:name w:val="论文正文"/>
    <w:basedOn w:val="236"/>
    <w:qFormat/>
    <w:uiPriority w:val="0"/>
    <w:pPr>
      <w:spacing w:line="360" w:lineRule="auto"/>
      <w:ind w:left="0" w:firstLine="200"/>
      <w:jc w:val="left"/>
    </w:pPr>
    <w:rPr>
      <w:rFonts w:ascii="Times New Roman" w:hAnsi="Times New Roman"/>
      <w:sz w:val="28"/>
      <w:szCs w:val="24"/>
    </w:rPr>
  </w:style>
  <w:style w:type="paragraph" w:customStyle="1" w:styleId="551">
    <w:name w:val="丁华标题1"/>
    <w:basedOn w:val="187"/>
    <w:next w:val="430"/>
    <w:qFormat/>
    <w:uiPriority w:val="0"/>
    <w:pPr>
      <w:keepLines/>
      <w:tabs>
        <w:tab w:val="left" w:pos="567"/>
      </w:tabs>
      <w:spacing w:before="600" w:after="120" w:line="578" w:lineRule="auto"/>
      <w:ind w:left="567" w:hanging="567"/>
      <w:jc w:val="left"/>
    </w:pPr>
    <w:rPr>
      <w:rFonts w:ascii="Times New Roman"/>
      <w:b w:val="0"/>
      <w:sz w:val="32"/>
      <w:szCs w:val="20"/>
    </w:rPr>
  </w:style>
  <w:style w:type="paragraph" w:customStyle="1" w:styleId="552">
    <w:name w:val="retrait3"/>
    <w:basedOn w:val="1"/>
    <w:qFormat/>
    <w:uiPriority w:val="0"/>
    <w:pPr>
      <w:widowControl/>
      <w:spacing w:before="20" w:after="20"/>
      <w:ind w:left="851"/>
      <w:jc w:val="left"/>
    </w:pPr>
    <w:rPr>
      <w:rFonts w:ascii="Arial" w:hAnsi="Arial"/>
      <w:sz w:val="24"/>
      <w:lang w:val="en-GB"/>
    </w:rPr>
  </w:style>
  <w:style w:type="paragraph" w:customStyle="1" w:styleId="553">
    <w:name w:val="样式 加点正文 + 段前: 0.5 行 段后: 0.5 行1"/>
    <w:basedOn w:val="1"/>
    <w:qFormat/>
    <w:uiPriority w:val="0"/>
    <w:pPr>
      <w:tabs>
        <w:tab w:val="left" w:pos="420"/>
        <w:tab w:val="left" w:pos="1268"/>
      </w:tabs>
      <w:spacing w:before="156" w:after="156" w:line="300" w:lineRule="auto"/>
      <w:ind w:left="1268" w:hanging="420"/>
    </w:pPr>
    <w:rPr>
      <w:sz w:val="24"/>
    </w:rPr>
  </w:style>
  <w:style w:type="paragraph" w:customStyle="1" w:styleId="554">
    <w:name w:val="font13"/>
    <w:basedOn w:val="1"/>
    <w:qFormat/>
    <w:uiPriority w:val="0"/>
    <w:pPr>
      <w:widowControl/>
      <w:spacing w:before="100" w:beforeAutospacing="1" w:after="100" w:afterAutospacing="1"/>
      <w:jc w:val="left"/>
    </w:pPr>
    <w:rPr>
      <w:i/>
      <w:iCs/>
      <w:sz w:val="36"/>
      <w:szCs w:val="36"/>
    </w:rPr>
  </w:style>
  <w:style w:type="paragraph" w:customStyle="1" w:styleId="555">
    <w:name w:val="Char Char Char Char Char Char Char Char Char Char Char Char Char1"/>
    <w:basedOn w:val="216"/>
    <w:qFormat/>
    <w:uiPriority w:val="0"/>
    <w:rPr>
      <w:rFonts w:ascii="Tahoma" w:hAnsi="Tahoma"/>
      <w:sz w:val="24"/>
      <w:szCs w:val="24"/>
    </w:rPr>
  </w:style>
  <w:style w:type="paragraph" w:customStyle="1" w:styleId="556">
    <w:name w:val="Test2"/>
    <w:basedOn w:val="188"/>
    <w:qFormat/>
    <w:uiPriority w:val="0"/>
    <w:pPr>
      <w:widowControl/>
      <w:spacing w:before="156" w:after="156" w:line="480" w:lineRule="exact"/>
      <w:jc w:val="center"/>
    </w:pPr>
    <w:rPr>
      <w:rFonts w:ascii="黑体" w:hAnsi="Arial" w:eastAsia="黑体"/>
      <w:bCs/>
      <w:sz w:val="24"/>
    </w:rPr>
  </w:style>
  <w:style w:type="paragraph" w:customStyle="1" w:styleId="557">
    <w:name w:val="xl51"/>
    <w:basedOn w:val="1"/>
    <w:qFormat/>
    <w:uiPriority w:val="0"/>
    <w:pPr>
      <w:widowControl/>
      <w:pBdr>
        <w:top w:val="single" w:color="000000" w:sz="4" w:space="0"/>
        <w:left w:val="single" w:color="000000" w:sz="4" w:space="0"/>
        <w:bottom w:val="single" w:color="000000" w:sz="4" w:space="0"/>
      </w:pBdr>
      <w:shd w:val="clear" w:color="auto" w:fill="969696"/>
      <w:spacing w:before="100" w:beforeAutospacing="1" w:after="100" w:afterAutospacing="1"/>
      <w:jc w:val="center"/>
    </w:pPr>
    <w:rPr>
      <w:b/>
      <w:bCs/>
      <w:i/>
      <w:iCs/>
      <w:sz w:val="20"/>
    </w:rPr>
  </w:style>
  <w:style w:type="paragraph" w:customStyle="1" w:styleId="558">
    <w:name w:val="qw"/>
    <w:qFormat/>
    <w:uiPriority w:val="0"/>
    <w:pPr>
      <w:widowControl w:val="0"/>
      <w:spacing w:line="312" w:lineRule="atLeast"/>
      <w:jc w:val="both"/>
    </w:pPr>
    <w:rPr>
      <w:rFonts w:ascii="宋体" w:hAnsi="Times New Roman" w:eastAsia="宋体" w:cs="Times New Roman"/>
      <w:sz w:val="24"/>
      <w:lang w:val="en-US" w:eastAsia="zh-CN" w:bidi="ar-SA"/>
    </w:rPr>
  </w:style>
  <w:style w:type="paragraph" w:customStyle="1" w:styleId="559">
    <w:name w:val="部分1"/>
    <w:basedOn w:val="1"/>
    <w:qFormat/>
    <w:uiPriority w:val="0"/>
    <w:pPr>
      <w:keepNext/>
      <w:pageBreakBefore/>
      <w:tabs>
        <w:tab w:val="left" w:pos="360"/>
      </w:tabs>
      <w:spacing w:line="360" w:lineRule="auto"/>
      <w:jc w:val="center"/>
      <w:outlineLvl w:val="0"/>
    </w:pPr>
    <w:rPr>
      <w:rFonts w:eastAsia="黑体"/>
      <w:b/>
      <w:sz w:val="36"/>
    </w:rPr>
  </w:style>
  <w:style w:type="paragraph" w:customStyle="1" w:styleId="560">
    <w:name w:val="样式 样式 首行缩进:  2 字符 + 行距: 1.5 倍行距"/>
    <w:basedOn w:val="1"/>
    <w:qFormat/>
    <w:uiPriority w:val="0"/>
    <w:pPr>
      <w:spacing w:line="360" w:lineRule="auto"/>
      <w:ind w:firstLine="470"/>
    </w:pPr>
    <w:rPr>
      <w:sz w:val="24"/>
    </w:rPr>
  </w:style>
  <w:style w:type="paragraph" w:customStyle="1" w:styleId="561">
    <w:name w:val="a0"/>
    <w:basedOn w:val="1"/>
    <w:qFormat/>
    <w:uiPriority w:val="0"/>
    <w:pPr>
      <w:widowControl/>
      <w:spacing w:before="100" w:beforeAutospacing="1" w:after="100" w:afterAutospacing="1"/>
    </w:pPr>
    <w:rPr>
      <w:rFonts w:ascii="宋体" w:hAnsi="宋体" w:cs="宋体"/>
      <w:sz w:val="24"/>
      <w:szCs w:val="24"/>
    </w:rPr>
  </w:style>
  <w:style w:type="paragraph" w:customStyle="1" w:styleId="562">
    <w:name w:val="Table Text Char"/>
    <w:qFormat/>
    <w:uiPriority w:val="0"/>
    <w:pPr>
      <w:spacing w:before="80" w:after="80"/>
    </w:pPr>
    <w:rPr>
      <w:rFonts w:ascii="Arial" w:hAnsi="Arial" w:eastAsia="宋体" w:cs="Arial"/>
      <w:sz w:val="18"/>
      <w:szCs w:val="28"/>
      <w:lang w:val="en-US" w:eastAsia="zh-CN" w:bidi="ar-SA"/>
    </w:rPr>
  </w:style>
  <w:style w:type="paragraph" w:customStyle="1" w:styleId="563">
    <w:name w:val="正文 New New New New New New New New New New New New New New"/>
    <w:qFormat/>
    <w:uiPriority w:val="0"/>
    <w:pPr>
      <w:widowControl w:val="0"/>
      <w:jc w:val="both"/>
    </w:pPr>
    <w:rPr>
      <w:rFonts w:hint="eastAsia" w:ascii="Times New Roman" w:hAnsi="Times New Roman" w:eastAsia="宋体" w:cs="Times New Roman"/>
      <w:sz w:val="21"/>
      <w:lang w:val="en-US" w:eastAsia="zh-CN" w:bidi="ar-SA"/>
    </w:rPr>
  </w:style>
  <w:style w:type="paragraph" w:customStyle="1" w:styleId="564">
    <w:name w:val="标题 4宋体"/>
    <w:basedOn w:val="191"/>
    <w:qFormat/>
    <w:uiPriority w:val="0"/>
    <w:pPr>
      <w:keepLines w:val="0"/>
      <w:spacing w:before="0" w:after="0" w:line="360" w:lineRule="auto"/>
      <w:jc w:val="left"/>
    </w:pPr>
    <w:rPr>
      <w:rFonts w:ascii="宋体" w:hAnsi="宋体" w:eastAsia="宋体"/>
      <w:bCs/>
      <w:color w:val="000000"/>
      <w:sz w:val="24"/>
    </w:rPr>
  </w:style>
  <w:style w:type="paragraph" w:customStyle="1" w:styleId="565">
    <w:name w:val="首行缩进"/>
    <w:basedOn w:val="1"/>
    <w:qFormat/>
    <w:uiPriority w:val="0"/>
    <w:pPr>
      <w:widowControl/>
      <w:spacing w:line="360" w:lineRule="auto"/>
      <w:ind w:firstLine="480"/>
      <w:jc w:val="left"/>
    </w:pPr>
    <w:rPr>
      <w:rFonts w:ascii="Verdana" w:hAnsi="Verdana"/>
      <w:sz w:val="24"/>
      <w:lang w:val="zh-CN" w:eastAsia="en-US" w:bidi="en-US"/>
    </w:rPr>
  </w:style>
  <w:style w:type="paragraph" w:customStyle="1" w:styleId="566">
    <w:name w:val="段 Char"/>
    <w:qFormat/>
    <w:uiPriority w:val="0"/>
    <w:pPr>
      <w:ind w:firstLine="200"/>
      <w:jc w:val="both"/>
    </w:pPr>
    <w:rPr>
      <w:rFonts w:ascii="宋体" w:hAnsi="Times New Roman" w:eastAsia="宋体" w:cs="Times New Roman"/>
      <w:sz w:val="21"/>
      <w:lang w:val="en-US" w:eastAsia="zh-CN" w:bidi="ar-SA"/>
    </w:rPr>
  </w:style>
  <w:style w:type="paragraph" w:customStyle="1" w:styleId="567">
    <w:name w:val="1"/>
    <w:basedOn w:val="1"/>
    <w:next w:val="259"/>
    <w:qFormat/>
    <w:uiPriority w:val="0"/>
    <w:pPr>
      <w:spacing w:line="360" w:lineRule="auto"/>
    </w:pPr>
    <w:rPr>
      <w:rFonts w:eastAsia="仿宋_GB2312"/>
      <w:sz w:val="24"/>
      <w:szCs w:val="24"/>
    </w:rPr>
  </w:style>
  <w:style w:type="paragraph" w:customStyle="1" w:styleId="568">
    <w:name w:val="小四 段落 宋体 Char Char"/>
    <w:basedOn w:val="1"/>
    <w:qFormat/>
    <w:uiPriority w:val="0"/>
    <w:pPr>
      <w:spacing w:line="360" w:lineRule="auto"/>
      <w:ind w:firstLine="480"/>
    </w:pPr>
    <w:rPr>
      <w:rFonts w:ascii="宋体" w:hAnsi="宋体"/>
      <w:sz w:val="24"/>
      <w:szCs w:val="24"/>
    </w:rPr>
  </w:style>
  <w:style w:type="paragraph" w:customStyle="1" w:styleId="569">
    <w:name w:val="表格1"/>
    <w:basedOn w:val="1"/>
    <w:qFormat/>
    <w:uiPriority w:val="0"/>
    <w:rPr>
      <w:rFonts w:ascii="宋体"/>
      <w:szCs w:val="21"/>
    </w:rPr>
  </w:style>
  <w:style w:type="paragraph" w:customStyle="1" w:styleId="570">
    <w:name w:val="Char Char1 Char1"/>
    <w:basedOn w:val="1"/>
    <w:qFormat/>
    <w:uiPriority w:val="0"/>
    <w:pPr>
      <w:widowControl/>
      <w:spacing w:after="160" w:line="240" w:lineRule="exact"/>
      <w:jc w:val="left"/>
    </w:pPr>
    <w:rPr>
      <w:rFonts w:ascii="Verdana" w:hAnsi="Verdana"/>
      <w:sz w:val="20"/>
      <w:lang w:eastAsia="en-US"/>
    </w:rPr>
  </w:style>
  <w:style w:type="paragraph" w:customStyle="1" w:styleId="571">
    <w:name w:val="正文 居中"/>
    <w:basedOn w:val="1"/>
    <w:qFormat/>
    <w:uiPriority w:val="0"/>
    <w:pPr>
      <w:spacing w:line="360" w:lineRule="auto"/>
      <w:jc w:val="center"/>
    </w:pPr>
    <w:rPr>
      <w:sz w:val="24"/>
    </w:rPr>
  </w:style>
  <w:style w:type="paragraph" w:customStyle="1" w:styleId="572">
    <w:name w:val="正文 + 宋体"/>
    <w:basedOn w:val="1"/>
    <w:qFormat/>
    <w:uiPriority w:val="0"/>
    <w:pPr>
      <w:spacing w:line="360" w:lineRule="auto"/>
      <w:ind w:firstLine="420"/>
    </w:pPr>
    <w:rPr>
      <w:szCs w:val="24"/>
    </w:rPr>
  </w:style>
  <w:style w:type="paragraph" w:customStyle="1" w:styleId="573">
    <w:name w:val="文档正文"/>
    <w:basedOn w:val="1"/>
    <w:qFormat/>
    <w:uiPriority w:val="0"/>
    <w:pPr>
      <w:spacing w:line="360" w:lineRule="auto"/>
    </w:pPr>
    <w:rPr>
      <w:rFonts w:ascii="宋体" w:hAnsi="宋体"/>
      <w:b/>
      <w:bCs/>
      <w:szCs w:val="24"/>
    </w:rPr>
  </w:style>
  <w:style w:type="paragraph" w:customStyle="1" w:styleId="574">
    <w:name w:val="xl43"/>
    <w:basedOn w:val="1"/>
    <w:qFormat/>
    <w:uiPriority w:val="0"/>
    <w:pPr>
      <w:widowControl/>
      <w:pBdr>
        <w:left w:val="single" w:color="000000" w:sz="4" w:space="0"/>
        <w:bottom w:val="single" w:color="000000" w:sz="4" w:space="0"/>
        <w:right w:val="single" w:color="000000" w:sz="4" w:space="0"/>
      </w:pBdr>
      <w:spacing w:before="100" w:beforeAutospacing="1" w:after="100" w:afterAutospacing="1"/>
      <w:jc w:val="center"/>
    </w:pPr>
    <w:rPr>
      <w:rFonts w:ascii="宋体" w:hAnsi="宋体" w:cs="宋体"/>
      <w:b/>
      <w:bCs/>
      <w:sz w:val="20"/>
    </w:rPr>
  </w:style>
  <w:style w:type="paragraph" w:customStyle="1" w:styleId="575">
    <w:name w:val="正文文本缩进1"/>
    <w:basedOn w:val="1"/>
    <w:qFormat/>
    <w:uiPriority w:val="99"/>
    <w:pPr>
      <w:spacing w:after="120"/>
      <w:ind w:left="420"/>
    </w:pPr>
    <w:rPr>
      <w:szCs w:val="24"/>
    </w:rPr>
  </w:style>
  <w:style w:type="paragraph" w:customStyle="1" w:styleId="576">
    <w:name w:val="Char Char Char Char Char1"/>
    <w:basedOn w:val="1"/>
    <w:qFormat/>
    <w:uiPriority w:val="0"/>
    <w:rPr>
      <w:rFonts w:ascii="Tahoma" w:hAnsi="Tahoma"/>
      <w:sz w:val="24"/>
    </w:rPr>
  </w:style>
  <w:style w:type="paragraph" w:customStyle="1" w:styleId="577">
    <w:name w:val="样式 标题 2 + Times New Roman 四号 非加粗 段前: 5 磅 段后: 0 磅 行距: 固定值 20..."/>
    <w:basedOn w:val="188"/>
    <w:qFormat/>
    <w:uiPriority w:val="0"/>
    <w:pPr>
      <w:spacing w:before="100" w:after="0" w:line="400" w:lineRule="exact"/>
      <w:jc w:val="both"/>
    </w:pPr>
    <w:rPr>
      <w:rFonts w:ascii="Times New Roman" w:hAnsi="Times New Roman" w:eastAsia="黑体"/>
      <w:b w:val="0"/>
      <w:sz w:val="28"/>
      <w:szCs w:val="20"/>
    </w:rPr>
  </w:style>
  <w:style w:type="paragraph" w:customStyle="1" w:styleId="578">
    <w:name w:val="Char Char1 Char Char Char Char1 Char Char Char Char Char Char"/>
    <w:basedOn w:val="1"/>
    <w:qFormat/>
    <w:uiPriority w:val="0"/>
    <w:rPr>
      <w:rFonts w:ascii="Tahoma" w:hAnsi="Tahoma"/>
      <w:sz w:val="24"/>
    </w:rPr>
  </w:style>
  <w:style w:type="paragraph" w:customStyle="1" w:styleId="579">
    <w:name w:val="普通文字"/>
    <w:basedOn w:val="1"/>
    <w:next w:val="1"/>
    <w:qFormat/>
    <w:uiPriority w:val="0"/>
    <w:rPr>
      <w:rFonts w:ascii="宋体" w:hAnsi="宋体" w:cs="宋体"/>
      <w:sz w:val="24"/>
    </w:rPr>
  </w:style>
  <w:style w:type="paragraph" w:customStyle="1" w:styleId="580">
    <w:name w:val="font8"/>
    <w:basedOn w:val="1"/>
    <w:qFormat/>
    <w:uiPriority w:val="0"/>
    <w:pPr>
      <w:widowControl/>
      <w:spacing w:before="100" w:beforeAutospacing="1" w:after="100" w:afterAutospacing="1"/>
      <w:jc w:val="left"/>
    </w:pPr>
    <w:rPr>
      <w:rFonts w:ascii="宋体" w:hAnsi="宋体" w:cs="宋体"/>
      <w:b/>
      <w:bCs/>
      <w:i/>
      <w:iCs/>
      <w:sz w:val="20"/>
    </w:rPr>
  </w:style>
  <w:style w:type="paragraph" w:customStyle="1" w:styleId="581">
    <w:name w:val="font6"/>
    <w:basedOn w:val="1"/>
    <w:qFormat/>
    <w:uiPriority w:val="0"/>
    <w:pPr>
      <w:widowControl/>
      <w:spacing w:before="100" w:beforeAutospacing="1" w:after="100" w:afterAutospacing="1"/>
      <w:jc w:val="left"/>
    </w:pPr>
    <w:rPr>
      <w:rFonts w:ascii="宋体" w:hAnsi="宋体" w:cs="宋体"/>
      <w:b/>
      <w:bCs/>
      <w:sz w:val="20"/>
    </w:rPr>
  </w:style>
  <w:style w:type="paragraph" w:customStyle="1" w:styleId="582">
    <w:name w:val="默认段落字体 Para Char Char Char Char Char Char Char Char Char1 Char Char Char Char Char Char Char"/>
    <w:basedOn w:val="216"/>
    <w:qFormat/>
    <w:uiPriority w:val="0"/>
  </w:style>
  <w:style w:type="paragraph" w:customStyle="1" w:styleId="583">
    <w:name w:val="二级条标题"/>
    <w:basedOn w:val="1"/>
    <w:next w:val="385"/>
    <w:qFormat/>
    <w:uiPriority w:val="0"/>
    <w:pPr>
      <w:widowControl/>
      <w:tabs>
        <w:tab w:val="left" w:pos="2240"/>
      </w:tabs>
      <w:ind w:hanging="420"/>
      <w:outlineLvl w:val="3"/>
    </w:pPr>
    <w:rPr>
      <w:rFonts w:eastAsia="黑体"/>
    </w:rPr>
  </w:style>
  <w:style w:type="paragraph" w:customStyle="1" w:styleId="584">
    <w:name w:val="Body Text 21"/>
    <w:basedOn w:val="1"/>
    <w:qFormat/>
    <w:uiPriority w:val="0"/>
    <w:pPr>
      <w:widowControl/>
      <w:ind w:left="720" w:hanging="720"/>
    </w:pPr>
    <w:rPr>
      <w:sz w:val="24"/>
      <w:lang w:val="en-GB"/>
    </w:rPr>
  </w:style>
  <w:style w:type="paragraph" w:customStyle="1" w:styleId="585">
    <w:name w:val="修订1"/>
    <w:qFormat/>
    <w:uiPriority w:val="0"/>
    <w:rPr>
      <w:rFonts w:ascii="Times New Roman" w:hAnsi="Times New Roman" w:eastAsia="宋体" w:cs="Times New Roman"/>
      <w:sz w:val="21"/>
      <w:szCs w:val="24"/>
      <w:lang w:val="en-US" w:eastAsia="zh-CN" w:bidi="ar-SA"/>
    </w:rPr>
  </w:style>
  <w:style w:type="paragraph" w:customStyle="1" w:styleId="586">
    <w:name w:val="符号与编号"/>
    <w:basedOn w:val="1"/>
    <w:qFormat/>
    <w:uiPriority w:val="0"/>
    <w:pPr>
      <w:tabs>
        <w:tab w:val="left" w:pos="900"/>
      </w:tabs>
      <w:spacing w:after="156" w:line="400" w:lineRule="atLeast"/>
      <w:ind w:left="900" w:hanging="420"/>
    </w:pPr>
    <w:rPr>
      <w:sz w:val="24"/>
      <w:szCs w:val="24"/>
    </w:rPr>
  </w:style>
  <w:style w:type="paragraph" w:customStyle="1" w:styleId="587">
    <w:name w:val="xl56"/>
    <w:basedOn w:val="1"/>
    <w:qFormat/>
    <w:uiPriority w:val="0"/>
    <w:pPr>
      <w:widowControl/>
      <w:pBdr>
        <w:top w:val="single" w:color="000000" w:sz="4" w:space="0"/>
        <w:bottom w:val="single" w:color="000000" w:sz="4" w:space="0"/>
        <w:right w:val="single" w:color="000000" w:sz="4" w:space="0"/>
      </w:pBdr>
      <w:shd w:val="clear" w:color="auto" w:fill="969696"/>
      <w:spacing w:before="100" w:beforeAutospacing="1" w:after="100" w:afterAutospacing="1"/>
      <w:jc w:val="center"/>
    </w:pPr>
    <w:rPr>
      <w:b/>
      <w:bCs/>
      <w:sz w:val="20"/>
    </w:rPr>
  </w:style>
  <w:style w:type="paragraph" w:customStyle="1" w:styleId="588">
    <w:name w:val="Bullets L1"/>
    <w:basedOn w:val="1"/>
    <w:qFormat/>
    <w:uiPriority w:val="0"/>
    <w:pPr>
      <w:widowControl/>
      <w:numPr>
        <w:ilvl w:val="0"/>
        <w:numId w:val="4"/>
      </w:numPr>
      <w:spacing w:before="60" w:after="60"/>
      <w:jc w:val="left"/>
    </w:pPr>
    <w:rPr>
      <w:rFonts w:ascii="Arial" w:hAnsi="Arial"/>
      <w:sz w:val="20"/>
    </w:rPr>
  </w:style>
  <w:style w:type="paragraph" w:customStyle="1" w:styleId="589">
    <w:name w:val="xl40"/>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b/>
      <w:bCs/>
      <w:sz w:val="20"/>
    </w:rPr>
  </w:style>
  <w:style w:type="paragraph" w:customStyle="1" w:styleId="590">
    <w:name w:val="xl42"/>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b/>
      <w:bCs/>
      <w:sz w:val="20"/>
    </w:rPr>
  </w:style>
  <w:style w:type="table" w:customStyle="1" w:styleId="591">
    <w:name w:val="Table Normal"/>
    <w:unhideWhenUsed/>
    <w:qFormat/>
    <w:uiPriority w:val="2"/>
    <w:pPr>
      <w:widowControl w:val="0"/>
    </w:pPr>
    <w:rPr>
      <w:sz w:val="22"/>
      <w:szCs w:val="22"/>
      <w:lang w:eastAsia="en-US"/>
    </w:rPr>
    <w:tblPr>
      <w:tblCellMar>
        <w:top w:w="0" w:type="dxa"/>
        <w:left w:w="0" w:type="dxa"/>
        <w:bottom w:w="0" w:type="dxa"/>
        <w:right w:w="0" w:type="dxa"/>
      </w:tblCellMar>
    </w:tblPr>
  </w:style>
  <w:style w:type="paragraph" w:customStyle="1" w:styleId="592">
    <w:name w:val="标题一级"/>
    <w:basedOn w:val="1"/>
    <w:qFormat/>
    <w:uiPriority w:val="0"/>
    <w:rPr>
      <w:rFonts w:ascii="宋体" w:hAnsi="宋体"/>
      <w:b/>
      <w:szCs w:val="21"/>
    </w:rPr>
  </w:style>
  <w:style w:type="paragraph" w:customStyle="1" w:styleId="593">
    <w:name w:val="标题二级"/>
    <w:basedOn w:val="1"/>
    <w:qFormat/>
    <w:uiPriority w:val="0"/>
    <w:rPr>
      <w:rFonts w:ascii="宋体" w:hAnsi="宋体"/>
      <w:szCs w:val="21"/>
    </w:rPr>
  </w:style>
  <w:style w:type="table" w:customStyle="1" w:styleId="594">
    <w:name w:val="网格型1"/>
    <w:basedOn w:val="198"/>
    <w:qFormat/>
    <w:uiPriority w:val="59"/>
    <w:rPr>
      <w:rFonts w:eastAsia="Times New Roman"/>
    </w:rPr>
  </w:style>
  <w:style w:type="character" w:customStyle="1" w:styleId="595">
    <w:name w:val="普通正文 Char"/>
    <w:link w:val="596"/>
    <w:qFormat/>
    <w:uiPriority w:val="0"/>
    <w:rPr>
      <w:rFonts w:ascii="Arial" w:hAnsi="Arial" w:cs="Arial"/>
      <w:sz w:val="24"/>
      <w:szCs w:val="24"/>
    </w:rPr>
  </w:style>
  <w:style w:type="paragraph" w:customStyle="1" w:styleId="596">
    <w:name w:val="普通正文"/>
    <w:basedOn w:val="1"/>
    <w:link w:val="595"/>
    <w:qFormat/>
    <w:uiPriority w:val="0"/>
    <w:pPr>
      <w:spacing w:before="120" w:after="120" w:line="360" w:lineRule="auto"/>
      <w:ind w:firstLine="480"/>
      <w:jc w:val="left"/>
    </w:pPr>
    <w:rPr>
      <w:rFonts w:ascii="Arial" w:hAnsi="Arial"/>
      <w:sz w:val="24"/>
      <w:szCs w:val="24"/>
    </w:rPr>
  </w:style>
  <w:style w:type="character" w:customStyle="1" w:styleId="597">
    <w:name w:val="副标题 Char"/>
    <w:qFormat/>
    <w:uiPriority w:val="0"/>
    <w:rPr>
      <w:rFonts w:ascii="Cambria" w:hAnsi="Cambria" w:cs="Times New Roman"/>
      <w:b/>
      <w:bCs/>
      <w:sz w:val="32"/>
      <w:szCs w:val="32"/>
    </w:rPr>
  </w:style>
  <w:style w:type="character" w:customStyle="1" w:styleId="598">
    <w:name w:val="标题 2 字符"/>
    <w:qFormat/>
    <w:uiPriority w:val="0"/>
    <w:rPr>
      <w:rFonts w:ascii="宋体" w:hAnsi="宋体" w:eastAsia="宋体" w:cs="Times New Roman"/>
      <w:b/>
      <w:szCs w:val="24"/>
    </w:rPr>
  </w:style>
  <w:style w:type="character" w:customStyle="1" w:styleId="599">
    <w:name w:val="rvts37"/>
    <w:qFormat/>
    <w:uiPriority w:val="0"/>
    <w:rPr>
      <w:rFonts w:ascii=";*NDVPKN" w:hAnsi=";*NDVPKN"/>
      <w:color w:val="000000"/>
      <w:sz w:val="72"/>
      <w:szCs w:val="72"/>
    </w:rPr>
  </w:style>
  <w:style w:type="character" w:customStyle="1" w:styleId="600">
    <w:name w:val="正文文本 Char1"/>
    <w:qFormat/>
    <w:uiPriority w:val="0"/>
    <w:rPr>
      <w:rFonts w:ascii="Calibri" w:hAnsi="Calibri" w:eastAsia="宋体" w:cs="Times New Roman"/>
    </w:rPr>
  </w:style>
  <w:style w:type="character" w:customStyle="1" w:styleId="601">
    <w:name w:val="批注主题 Char1"/>
    <w:qFormat/>
    <w:uiPriority w:val="0"/>
    <w:rPr>
      <w:b/>
      <w:bCs/>
      <w:sz w:val="21"/>
      <w:szCs w:val="22"/>
    </w:rPr>
  </w:style>
  <w:style w:type="character" w:customStyle="1" w:styleId="602">
    <w:name w:val="页脚 Char1"/>
    <w:semiHidden/>
    <w:qFormat/>
    <w:uiPriority w:val="99"/>
    <w:rPr>
      <w:rFonts w:ascii="Calibri" w:hAnsi="Calibri" w:eastAsia="宋体" w:cs="Times New Roman"/>
      <w:sz w:val="18"/>
      <w:szCs w:val="18"/>
    </w:rPr>
  </w:style>
  <w:style w:type="character" w:customStyle="1" w:styleId="603">
    <w:name w:val="副标题 Char2"/>
    <w:qFormat/>
    <w:uiPriority w:val="11"/>
    <w:rPr>
      <w:rFonts w:ascii="Cambria" w:hAnsi="Cambria" w:eastAsia="宋体" w:cs="Times New Roman"/>
      <w:b/>
      <w:bCs/>
      <w:sz w:val="32"/>
      <w:szCs w:val="32"/>
    </w:rPr>
  </w:style>
  <w:style w:type="character" w:customStyle="1" w:styleId="604">
    <w:name w:val="标题 5 字符3"/>
    <w:link w:val="6"/>
    <w:qFormat/>
    <w:uiPriority w:val="0"/>
    <w:rPr>
      <w:b/>
      <w:bCs/>
      <w:sz w:val="28"/>
      <w:szCs w:val="28"/>
    </w:rPr>
  </w:style>
  <w:style w:type="character" w:customStyle="1" w:styleId="605">
    <w:name w:val="rvts48"/>
    <w:qFormat/>
    <w:uiPriority w:val="0"/>
    <w:rPr>
      <w:rFonts w:ascii="Times New Roman" w:hAnsi="Times New Roman" w:cs="Times New Roman"/>
      <w:color w:val="000000"/>
      <w:sz w:val="24"/>
      <w:szCs w:val="24"/>
      <w:u w:val="single"/>
    </w:rPr>
  </w:style>
  <w:style w:type="character" w:customStyle="1" w:styleId="606">
    <w:name w:val="引用 Char1"/>
    <w:qFormat/>
    <w:uiPriority w:val="29"/>
    <w:rPr>
      <w:i/>
      <w:iCs/>
      <w:color w:val="000000"/>
      <w:sz w:val="21"/>
    </w:rPr>
  </w:style>
  <w:style w:type="character" w:customStyle="1" w:styleId="607">
    <w:name w:val="rvts46"/>
    <w:qFormat/>
    <w:uiPriority w:val="0"/>
    <w:rPr>
      <w:rFonts w:ascii="KNLe" w:hAnsi="KNLe"/>
      <w:color w:val="000000"/>
    </w:rPr>
  </w:style>
  <w:style w:type="character" w:customStyle="1" w:styleId="608">
    <w:name w:val="rvts11"/>
    <w:qFormat/>
    <w:uiPriority w:val="0"/>
    <w:rPr>
      <w:rFonts w:ascii="Times New Roman" w:hAnsi="Times New Roman" w:cs="Times New Roman"/>
      <w:color w:val="000000"/>
    </w:rPr>
  </w:style>
  <w:style w:type="character" w:customStyle="1" w:styleId="609">
    <w:name w:val="rvts10"/>
    <w:qFormat/>
    <w:uiPriority w:val="0"/>
    <w:rPr>
      <w:rFonts w:ascii="KNLe" w:hAnsi="KNLe"/>
      <w:color w:val="000000"/>
    </w:rPr>
  </w:style>
  <w:style w:type="character" w:customStyle="1" w:styleId="610">
    <w:name w:val="rvts13"/>
    <w:qFormat/>
    <w:uiPriority w:val="0"/>
    <w:rPr>
      <w:rFonts w:ascii=";*NDVPKN" w:hAnsi=";*NDVPKN"/>
      <w:sz w:val="72"/>
      <w:szCs w:val="72"/>
    </w:rPr>
  </w:style>
  <w:style w:type="character" w:customStyle="1" w:styleId="611">
    <w:name w:val="rvts34"/>
    <w:qFormat/>
    <w:uiPriority w:val="0"/>
    <w:rPr>
      <w:rFonts w:ascii="7BKN_gb2312" w:hAnsi="7BKN_gb2312"/>
      <w:color w:val="000000"/>
      <w:sz w:val="32"/>
      <w:szCs w:val="32"/>
    </w:rPr>
  </w:style>
  <w:style w:type="character" w:customStyle="1" w:styleId="612">
    <w:name w:val="rvts45"/>
    <w:qFormat/>
    <w:uiPriority w:val="0"/>
    <w:rPr>
      <w:rFonts w:ascii="MingLiU_HKSCS" w:hAnsi="MingLiU_HKSCS"/>
      <w:color w:val="000000"/>
      <w:sz w:val="24"/>
      <w:szCs w:val="24"/>
      <w:u w:val="single"/>
    </w:rPr>
  </w:style>
  <w:style w:type="character" w:customStyle="1" w:styleId="613">
    <w:name w:val="引用 Char2"/>
    <w:qFormat/>
    <w:uiPriority w:val="29"/>
    <w:rPr>
      <w:rFonts w:ascii="Times New Roman" w:hAnsi="Times New Roman" w:eastAsia="宋体" w:cs="Times New Roman"/>
      <w:i/>
      <w:iCs/>
      <w:color w:val="000000"/>
      <w:szCs w:val="20"/>
    </w:rPr>
  </w:style>
  <w:style w:type="character" w:customStyle="1" w:styleId="614">
    <w:name w:val="rvts5"/>
    <w:qFormat/>
    <w:uiPriority w:val="0"/>
    <w:rPr>
      <w:color w:val="008000"/>
      <w:u w:val="single"/>
    </w:rPr>
  </w:style>
  <w:style w:type="character" w:customStyle="1" w:styleId="615">
    <w:name w:val="rvts32"/>
    <w:qFormat/>
    <w:uiPriority w:val="0"/>
    <w:rPr>
      <w:rFonts w:ascii="KNLe" w:hAnsi="KNLe"/>
      <w:color w:val="000000"/>
      <w:sz w:val="24"/>
      <w:szCs w:val="24"/>
    </w:rPr>
  </w:style>
  <w:style w:type="character" w:customStyle="1" w:styleId="616">
    <w:name w:val="rvts35"/>
    <w:qFormat/>
    <w:uiPriority w:val="0"/>
    <w:rPr>
      <w:rFonts w:ascii="Times New Roman" w:hAnsi="Times New Roman" w:cs="Times New Roman"/>
      <w:color w:val="000000"/>
      <w:sz w:val="32"/>
      <w:szCs w:val="32"/>
    </w:rPr>
  </w:style>
  <w:style w:type="character" w:customStyle="1" w:styleId="617">
    <w:name w:val="rvts33"/>
    <w:qFormat/>
    <w:uiPriority w:val="0"/>
    <w:rPr>
      <w:rFonts w:ascii="KNLe" w:hAnsi="KNLe"/>
      <w:color w:val="000000"/>
      <w:sz w:val="24"/>
      <w:szCs w:val="24"/>
      <w:u w:val="single"/>
    </w:rPr>
  </w:style>
  <w:style w:type="character" w:customStyle="1" w:styleId="618">
    <w:name w:val="rvts44"/>
    <w:qFormat/>
    <w:uiPriority w:val="0"/>
    <w:rPr>
      <w:rFonts w:ascii="KNLe" w:hAnsi="KNLe"/>
      <w:b/>
      <w:bCs/>
      <w:color w:val="000000"/>
      <w:sz w:val="24"/>
      <w:szCs w:val="24"/>
      <w:u w:val="single"/>
    </w:rPr>
  </w:style>
  <w:style w:type="character" w:customStyle="1" w:styleId="619">
    <w:name w:val="明显引用 Char1"/>
    <w:qFormat/>
    <w:uiPriority w:val="30"/>
    <w:rPr>
      <w:b/>
      <w:bCs/>
      <w:i/>
      <w:iCs/>
      <w:color w:val="4F81BD"/>
      <w:sz w:val="21"/>
    </w:rPr>
  </w:style>
  <w:style w:type="character" w:customStyle="1" w:styleId="620">
    <w:name w:val="rvts14"/>
    <w:qFormat/>
    <w:uiPriority w:val="0"/>
    <w:rPr>
      <w:rFonts w:ascii=";*NDVPKN" w:hAnsi=";*NDVPKN"/>
      <w:sz w:val="52"/>
      <w:szCs w:val="52"/>
    </w:rPr>
  </w:style>
  <w:style w:type="character" w:customStyle="1" w:styleId="621">
    <w:name w:val="正文文本 Char2"/>
    <w:semiHidden/>
    <w:qFormat/>
    <w:uiPriority w:val="99"/>
    <w:rPr>
      <w:rFonts w:ascii="Calibri" w:hAnsi="Calibri" w:eastAsia="宋体" w:cs="Times New Roman"/>
    </w:rPr>
  </w:style>
  <w:style w:type="character" w:customStyle="1" w:styleId="622">
    <w:name w:val="日期 Char2"/>
    <w:semiHidden/>
    <w:qFormat/>
    <w:uiPriority w:val="99"/>
    <w:rPr>
      <w:rFonts w:ascii="Calibri" w:hAnsi="Calibri" w:eastAsia="宋体" w:cs="Times New Roman"/>
    </w:rPr>
  </w:style>
  <w:style w:type="character" w:customStyle="1" w:styleId="623">
    <w:name w:val="批注框文本 Char2"/>
    <w:semiHidden/>
    <w:qFormat/>
    <w:uiPriority w:val="99"/>
    <w:rPr>
      <w:rFonts w:ascii="Calibri" w:hAnsi="Calibri" w:eastAsia="宋体" w:cs="Times New Roman"/>
      <w:sz w:val="18"/>
      <w:szCs w:val="18"/>
    </w:rPr>
  </w:style>
  <w:style w:type="character" w:customStyle="1" w:styleId="624">
    <w:name w:val="rvts29"/>
    <w:qFormat/>
    <w:uiPriority w:val="0"/>
    <w:rPr>
      <w:rFonts w:ascii="Times New Roman" w:hAnsi="Times New Roman" w:cs="Times New Roman"/>
      <w:color w:val="000000"/>
      <w:sz w:val="24"/>
      <w:szCs w:val="24"/>
    </w:rPr>
  </w:style>
  <w:style w:type="character" w:customStyle="1" w:styleId="625">
    <w:name w:val="标题4 Char Char"/>
    <w:link w:val="626"/>
    <w:qFormat/>
    <w:uiPriority w:val="0"/>
    <w:rPr>
      <w:rFonts w:ascii="Arial" w:hAnsi="Arial"/>
      <w:b/>
      <w:bCs/>
      <w:sz w:val="24"/>
      <w:szCs w:val="32"/>
    </w:rPr>
  </w:style>
  <w:style w:type="paragraph" w:customStyle="1" w:styleId="626">
    <w:name w:val="标题4"/>
    <w:basedOn w:val="188"/>
    <w:next w:val="230"/>
    <w:link w:val="625"/>
    <w:qFormat/>
    <w:uiPriority w:val="0"/>
    <w:pPr>
      <w:spacing w:before="260" w:after="260" w:line="413" w:lineRule="auto"/>
      <w:jc w:val="both"/>
    </w:pPr>
    <w:rPr>
      <w:rFonts w:ascii="Arial" w:hAnsi="Arial"/>
      <w:bCs/>
      <w:sz w:val="24"/>
      <w:szCs w:val="32"/>
    </w:rPr>
  </w:style>
  <w:style w:type="character" w:customStyle="1" w:styleId="627">
    <w:name w:val="批注主题 Char2"/>
    <w:qFormat/>
    <w:uiPriority w:val="99"/>
    <w:rPr>
      <w:b/>
      <w:bCs/>
      <w:sz w:val="21"/>
    </w:rPr>
  </w:style>
  <w:style w:type="character" w:customStyle="1" w:styleId="628">
    <w:name w:val="rvts43"/>
    <w:qFormat/>
    <w:uiPriority w:val="0"/>
    <w:rPr>
      <w:rFonts w:ascii="MingLiU_HKSCS" w:hAnsi="MingLiU_HKSCS"/>
      <w:b/>
      <w:bCs/>
      <w:color w:val="000000"/>
      <w:sz w:val="24"/>
      <w:szCs w:val="24"/>
      <w:u w:val="single"/>
    </w:rPr>
  </w:style>
  <w:style w:type="character" w:customStyle="1" w:styleId="629">
    <w:name w:val="批注框文本 Char1"/>
    <w:qFormat/>
    <w:uiPriority w:val="0"/>
    <w:rPr>
      <w:sz w:val="18"/>
      <w:szCs w:val="18"/>
    </w:rPr>
  </w:style>
  <w:style w:type="character" w:customStyle="1" w:styleId="630">
    <w:name w:val="rvts0"/>
    <w:qFormat/>
    <w:uiPriority w:val="0"/>
    <w:rPr>
      <w:rFonts w:ascii="Arial" w:hAnsi="Arial" w:cs="Arial"/>
      <w:color w:val="000000"/>
      <w:sz w:val="20"/>
      <w:szCs w:val="20"/>
      <w:u w:val="none"/>
    </w:rPr>
  </w:style>
  <w:style w:type="character" w:customStyle="1" w:styleId="631">
    <w:name w:val="rvts42"/>
    <w:qFormat/>
    <w:uiPriority w:val="0"/>
    <w:rPr>
      <w:rFonts w:ascii="KNLe" w:hAnsi="KNLe"/>
      <w:color w:val="000000"/>
      <w:sz w:val="32"/>
      <w:szCs w:val="32"/>
    </w:rPr>
  </w:style>
  <w:style w:type="character" w:customStyle="1" w:styleId="632">
    <w:name w:val="明显引用 Char2"/>
    <w:qFormat/>
    <w:uiPriority w:val="30"/>
    <w:rPr>
      <w:rFonts w:ascii="Times New Roman" w:hAnsi="Times New Roman" w:eastAsia="宋体" w:cs="Times New Roman"/>
      <w:b/>
      <w:bCs/>
      <w:i/>
      <w:iCs/>
      <w:color w:val="4F81BD"/>
      <w:szCs w:val="20"/>
    </w:rPr>
  </w:style>
  <w:style w:type="character" w:customStyle="1" w:styleId="633">
    <w:name w:val="批注文字 Char1"/>
    <w:qFormat/>
    <w:uiPriority w:val="0"/>
    <w:rPr>
      <w:rFonts w:ascii="Calibri" w:hAnsi="Calibri" w:eastAsia="宋体" w:cs="Times New Roman"/>
    </w:rPr>
  </w:style>
  <w:style w:type="character" w:customStyle="1" w:styleId="634">
    <w:name w:val="rvts1"/>
    <w:qFormat/>
    <w:uiPriority w:val="0"/>
    <w:rPr>
      <w:b/>
      <w:bCs/>
      <w:color w:val="0000FF"/>
    </w:rPr>
  </w:style>
  <w:style w:type="character" w:customStyle="1" w:styleId="635">
    <w:name w:val="html_txt1"/>
    <w:qFormat/>
    <w:uiPriority w:val="0"/>
    <w:rPr>
      <w:color w:val="000000"/>
    </w:rPr>
  </w:style>
  <w:style w:type="character" w:customStyle="1" w:styleId="636">
    <w:name w:val="rvts16"/>
    <w:qFormat/>
    <w:uiPriority w:val="0"/>
    <w:rPr>
      <w:rFonts w:ascii="Times New Roman" w:hAnsi="Times New Roman" w:cs="Times New Roman"/>
      <w:sz w:val="72"/>
      <w:szCs w:val="72"/>
    </w:rPr>
  </w:style>
  <w:style w:type="character" w:customStyle="1" w:styleId="637">
    <w:name w:val="标题5 Char Char"/>
    <w:link w:val="638"/>
    <w:qFormat/>
    <w:uiPriority w:val="0"/>
    <w:rPr>
      <w:rFonts w:ascii="Arial" w:hAnsi="Arial"/>
      <w:b/>
      <w:bCs/>
      <w:sz w:val="24"/>
      <w:szCs w:val="32"/>
    </w:rPr>
  </w:style>
  <w:style w:type="paragraph" w:customStyle="1" w:styleId="638">
    <w:name w:val="标题5"/>
    <w:basedOn w:val="190"/>
    <w:link w:val="637"/>
    <w:qFormat/>
    <w:uiPriority w:val="0"/>
    <w:pPr>
      <w:shd w:val="clear" w:color="auto" w:fill="auto"/>
      <w:spacing w:before="260" w:after="260" w:line="413" w:lineRule="auto"/>
    </w:pPr>
    <w:rPr>
      <w:rFonts w:ascii="Arial" w:hAnsi="Arial"/>
      <w:bCs/>
      <w:sz w:val="24"/>
      <w:szCs w:val="32"/>
    </w:rPr>
  </w:style>
  <w:style w:type="character" w:customStyle="1" w:styleId="639">
    <w:name w:val="文档结构图 Char1"/>
    <w:qFormat/>
    <w:uiPriority w:val="0"/>
    <w:rPr>
      <w:rFonts w:ascii="宋体" w:hAnsi="Calibri" w:eastAsia="宋体" w:cs="Times New Roman"/>
      <w:sz w:val="18"/>
      <w:szCs w:val="18"/>
    </w:rPr>
  </w:style>
  <w:style w:type="character" w:customStyle="1" w:styleId="640">
    <w:name w:val="日期 Char1"/>
    <w:qFormat/>
    <w:uiPriority w:val="0"/>
    <w:rPr>
      <w:rFonts w:ascii="Calibri" w:hAnsi="Calibri" w:eastAsia="宋体" w:cs="Times New Roman"/>
    </w:rPr>
  </w:style>
  <w:style w:type="character" w:customStyle="1" w:styleId="641">
    <w:name w:val="批注文字 Char Char"/>
    <w:qFormat/>
    <w:uiPriority w:val="0"/>
    <w:rPr>
      <w:rFonts w:ascii="宋体" w:hAnsi="Times New Roman" w:eastAsia="宋体" w:cs="Times New Roman"/>
      <w:sz w:val="28"/>
      <w:szCs w:val="20"/>
    </w:rPr>
  </w:style>
  <w:style w:type="character" w:customStyle="1" w:styleId="642">
    <w:name w:val="文档结构图 Char2"/>
    <w:semiHidden/>
    <w:qFormat/>
    <w:uiPriority w:val="99"/>
    <w:rPr>
      <w:rFonts w:ascii="宋体" w:hAnsi="Calibri" w:eastAsia="宋体" w:cs="Times New Roman"/>
      <w:sz w:val="18"/>
      <w:szCs w:val="18"/>
    </w:rPr>
  </w:style>
  <w:style w:type="character" w:customStyle="1" w:styleId="643">
    <w:name w:val="正文文本 字符3"/>
    <w:link w:val="16"/>
    <w:qFormat/>
    <w:uiPriority w:val="0"/>
    <w:rPr>
      <w:rFonts w:ascii="Times New Roman" w:hAnsi="Times New Roman"/>
    </w:rPr>
  </w:style>
  <w:style w:type="character" w:customStyle="1" w:styleId="644">
    <w:name w:val="页眉 Char1"/>
    <w:semiHidden/>
    <w:qFormat/>
    <w:uiPriority w:val="99"/>
    <w:rPr>
      <w:rFonts w:ascii="Calibri" w:hAnsi="Calibri" w:eastAsia="宋体" w:cs="Times New Roman"/>
      <w:sz w:val="18"/>
      <w:szCs w:val="18"/>
    </w:rPr>
  </w:style>
  <w:style w:type="character" w:customStyle="1" w:styleId="645">
    <w:name w:val="rvts12"/>
    <w:qFormat/>
    <w:uiPriority w:val="0"/>
    <w:rPr>
      <w:rFonts w:ascii="KNLe" w:hAnsi="KNLe"/>
      <w:color w:val="000000"/>
    </w:rPr>
  </w:style>
  <w:style w:type="character" w:customStyle="1" w:styleId="646">
    <w:name w:val="批注文字 Char2"/>
    <w:qFormat/>
    <w:uiPriority w:val="0"/>
    <w:rPr>
      <w:sz w:val="21"/>
    </w:rPr>
  </w:style>
  <w:style w:type="character" w:customStyle="1" w:styleId="647">
    <w:name w:val="标题 4 字符3"/>
    <w:link w:val="2"/>
    <w:qFormat/>
    <w:uiPriority w:val="0"/>
    <w:rPr>
      <w:rFonts w:ascii="Arial" w:hAnsi="Arial" w:eastAsia="黑体"/>
      <w:b/>
      <w:sz w:val="28"/>
    </w:rPr>
  </w:style>
  <w:style w:type="character" w:customStyle="1" w:styleId="648">
    <w:name w:val="rvts39"/>
    <w:qFormat/>
    <w:uiPriority w:val="0"/>
    <w:rPr>
      <w:rFonts w:ascii="KNLe" w:hAnsi="KNLe"/>
      <w:b/>
      <w:bCs/>
      <w:color w:val="000000"/>
      <w:sz w:val="32"/>
      <w:szCs w:val="32"/>
    </w:rPr>
  </w:style>
  <w:style w:type="character" w:customStyle="1" w:styleId="649">
    <w:name w:val="正文文本 3 Char1"/>
    <w:semiHidden/>
    <w:qFormat/>
    <w:uiPriority w:val="99"/>
    <w:rPr>
      <w:rFonts w:ascii="Times New Roman" w:hAnsi="Times New Roman" w:eastAsia="宋体" w:cs="Times New Roman"/>
      <w:sz w:val="16"/>
      <w:szCs w:val="16"/>
    </w:rPr>
  </w:style>
  <w:style w:type="character" w:customStyle="1" w:styleId="650">
    <w:name w:val="标题 3 Char Char Char"/>
    <w:qFormat/>
    <w:uiPriority w:val="0"/>
    <w:rPr>
      <w:rFonts w:eastAsia="宋体"/>
      <w:b/>
      <w:sz w:val="32"/>
      <w:lang w:val="en-US" w:eastAsia="zh-CN" w:bidi="ar-SA"/>
    </w:rPr>
  </w:style>
  <w:style w:type="character" w:customStyle="1" w:styleId="651">
    <w:name w:val="font161"/>
    <w:qFormat/>
    <w:uiPriority w:val="0"/>
    <w:rPr>
      <w:b/>
      <w:sz w:val="32"/>
    </w:rPr>
  </w:style>
  <w:style w:type="character" w:customStyle="1" w:styleId="652">
    <w:name w:val="rvts7"/>
    <w:qFormat/>
    <w:uiPriority w:val="0"/>
    <w:rPr>
      <w:rFonts w:ascii=":ZLe" w:hAnsi=":ZLe"/>
      <w:sz w:val="32"/>
      <w:szCs w:val="32"/>
    </w:rPr>
  </w:style>
  <w:style w:type="character" w:customStyle="1" w:styleId="653">
    <w:name w:val="bookmark"/>
    <w:qFormat/>
    <w:uiPriority w:val="0"/>
  </w:style>
  <w:style w:type="character" w:customStyle="1" w:styleId="654">
    <w:name w:val="rvts2"/>
    <w:qFormat/>
    <w:uiPriority w:val="0"/>
    <w:rPr>
      <w:b/>
      <w:bCs/>
      <w:color w:val="000080"/>
    </w:rPr>
  </w:style>
  <w:style w:type="character" w:customStyle="1" w:styleId="655">
    <w:name w:val="rvts6"/>
    <w:qFormat/>
    <w:uiPriority w:val="0"/>
    <w:rPr>
      <w:rFonts w:ascii=":ZLe" w:hAnsi=":ZLe"/>
    </w:rPr>
  </w:style>
  <w:style w:type="character" w:customStyle="1" w:styleId="656">
    <w:name w:val="rvts31"/>
    <w:qFormat/>
    <w:uiPriority w:val="0"/>
    <w:rPr>
      <w:rFonts w:ascii="KNLe" w:hAnsi="KNLe"/>
      <w:b/>
      <w:bCs/>
      <w:color w:val="000000"/>
      <w:sz w:val="24"/>
      <w:szCs w:val="24"/>
    </w:rPr>
  </w:style>
  <w:style w:type="character" w:customStyle="1" w:styleId="657">
    <w:name w:val="rvts38"/>
    <w:qFormat/>
    <w:uiPriority w:val="0"/>
    <w:rPr>
      <w:rFonts w:ascii=";*NDVPKN" w:hAnsi=";*NDVPKN"/>
      <w:color w:val="000000"/>
      <w:sz w:val="52"/>
      <w:szCs w:val="52"/>
    </w:rPr>
  </w:style>
  <w:style w:type="character" w:customStyle="1" w:styleId="658">
    <w:name w:val="rvts3"/>
    <w:qFormat/>
    <w:uiPriority w:val="0"/>
    <w:rPr>
      <w:i/>
      <w:iCs/>
      <w:color w:val="800000"/>
    </w:rPr>
  </w:style>
  <w:style w:type="character" w:customStyle="1" w:styleId="659">
    <w:name w:val="批注主题 Char3"/>
    <w:qFormat/>
    <w:uiPriority w:val="99"/>
    <w:rPr>
      <w:rFonts w:ascii="Times New Roman" w:hAnsi="Times New Roman" w:eastAsia="宋体" w:cs="Times New Roman"/>
      <w:b/>
      <w:bCs/>
      <w:sz w:val="21"/>
      <w:szCs w:val="20"/>
    </w:rPr>
  </w:style>
  <w:style w:type="paragraph" w:customStyle="1" w:styleId="660">
    <w:name w:val="正文_15"/>
    <w:qFormat/>
    <w:uiPriority w:val="0"/>
    <w:pPr>
      <w:widowControl w:val="0"/>
      <w:jc w:val="both"/>
    </w:pPr>
    <w:rPr>
      <w:rFonts w:ascii="Times New Roman" w:hAnsi="Times New Roman" w:eastAsia="宋体" w:cs="Times New Roman"/>
      <w:sz w:val="21"/>
      <w:szCs w:val="22"/>
      <w:lang w:val="en-US" w:eastAsia="zh-CN" w:bidi="ar-SA"/>
    </w:rPr>
  </w:style>
  <w:style w:type="paragraph" w:customStyle="1" w:styleId="661">
    <w:name w:val="正文_11"/>
    <w:qFormat/>
    <w:uiPriority w:val="0"/>
    <w:pPr>
      <w:widowControl w:val="0"/>
      <w:jc w:val="both"/>
    </w:pPr>
    <w:rPr>
      <w:rFonts w:ascii="Times New Roman" w:hAnsi="Times New Roman" w:eastAsia="宋体" w:cs="Times New Roman"/>
      <w:sz w:val="21"/>
      <w:szCs w:val="22"/>
      <w:lang w:val="en-US" w:eastAsia="zh-CN" w:bidi="ar-SA"/>
    </w:rPr>
  </w:style>
  <w:style w:type="paragraph" w:customStyle="1" w:styleId="662">
    <w:name w:val="样式 标题 1 + 黑体 三号 非加粗 居中 段前: 6 磅 段后: 6 磅 行距: 固定值 20 磅"/>
    <w:basedOn w:val="187"/>
    <w:qFormat/>
    <w:uiPriority w:val="0"/>
    <w:pPr>
      <w:keepLines/>
      <w:tabs>
        <w:tab w:val="clear" w:pos="1440"/>
        <w:tab w:val="clear" w:pos="5670"/>
      </w:tabs>
      <w:spacing w:before="120" w:after="120" w:line="400" w:lineRule="exact"/>
      <w:ind w:firstLine="0"/>
      <w:jc w:val="center"/>
    </w:pPr>
    <w:rPr>
      <w:rFonts w:hAnsi="黑体"/>
      <w:b w:val="0"/>
      <w:sz w:val="32"/>
      <w:szCs w:val="20"/>
    </w:rPr>
  </w:style>
  <w:style w:type="paragraph" w:customStyle="1" w:styleId="663">
    <w:name w:val="UserStyle_411"/>
    <w:basedOn w:val="1"/>
    <w:qFormat/>
    <w:uiPriority w:val="0"/>
    <w:pPr>
      <w:keepNext/>
      <w:widowControl/>
      <w:spacing w:before="100" w:line="400" w:lineRule="atLeast"/>
    </w:pPr>
    <w:rPr>
      <w:sz w:val="28"/>
      <w:szCs w:val="28"/>
    </w:rPr>
  </w:style>
  <w:style w:type="paragraph" w:customStyle="1" w:styleId="664">
    <w:name w:val="Normal_9"/>
    <w:qFormat/>
    <w:uiPriority w:val="0"/>
    <w:rPr>
      <w:rFonts w:ascii="黑体" w:hAnsi="黑体" w:eastAsia="黑体" w:cs="Times New Roman"/>
      <w:b/>
      <w:sz w:val="32"/>
      <w:szCs w:val="24"/>
      <w:lang w:val="en-US" w:eastAsia="zh-CN" w:bidi="ar-SA"/>
    </w:rPr>
  </w:style>
  <w:style w:type="paragraph" w:customStyle="1" w:styleId="665">
    <w:name w:val="_Style 34"/>
    <w:next w:val="1"/>
    <w:qFormat/>
    <w:uiPriority w:val="0"/>
    <w:pPr>
      <w:widowControl w:val="0"/>
      <w:jc w:val="both"/>
    </w:pPr>
    <w:rPr>
      <w:rFonts w:ascii="Times New Roman" w:hAnsi="Times New Roman" w:eastAsia="宋体" w:cs="Times New Roman"/>
      <w:sz w:val="21"/>
      <w:lang w:val="en-US" w:eastAsia="zh-CN" w:bidi="ar-SA"/>
    </w:rPr>
  </w:style>
  <w:style w:type="paragraph" w:customStyle="1" w:styleId="666">
    <w:name w:val="rvps1"/>
    <w:basedOn w:val="1"/>
    <w:qFormat/>
    <w:uiPriority w:val="0"/>
    <w:pPr>
      <w:widowControl/>
      <w:jc w:val="center"/>
    </w:pPr>
    <w:rPr>
      <w:sz w:val="24"/>
      <w:szCs w:val="24"/>
    </w:rPr>
  </w:style>
  <w:style w:type="paragraph" w:customStyle="1" w:styleId="667">
    <w:name w:val="Normal_5"/>
    <w:qFormat/>
    <w:uiPriority w:val="0"/>
    <w:rPr>
      <w:rFonts w:ascii="黑体" w:hAnsi="黑体" w:eastAsia="黑体" w:cs="Times New Roman"/>
      <w:b/>
      <w:sz w:val="32"/>
      <w:szCs w:val="24"/>
      <w:lang w:val="en-US" w:eastAsia="zh-CN" w:bidi="ar-SA"/>
    </w:rPr>
  </w:style>
  <w:style w:type="paragraph" w:customStyle="1" w:styleId="668">
    <w:name w:val="Normal_0"/>
    <w:qFormat/>
    <w:uiPriority w:val="0"/>
    <w:rPr>
      <w:rFonts w:ascii="Times New Roman" w:hAnsi="Times New Roman" w:eastAsia="Times New Roman" w:cs="Times New Roman"/>
      <w:sz w:val="24"/>
      <w:szCs w:val="24"/>
      <w:lang w:val="en-US" w:eastAsia="zh-CN" w:bidi="ar-SA"/>
    </w:rPr>
  </w:style>
  <w:style w:type="paragraph" w:customStyle="1" w:styleId="669">
    <w:name w:val="Normal_7"/>
    <w:qFormat/>
    <w:uiPriority w:val="0"/>
    <w:rPr>
      <w:rFonts w:ascii="黑体" w:hAnsi="黑体" w:eastAsia="黑体" w:cs="Times New Roman"/>
      <w:b/>
      <w:sz w:val="32"/>
      <w:szCs w:val="24"/>
      <w:lang w:val="en-US" w:eastAsia="zh-CN" w:bidi="ar-SA"/>
    </w:rPr>
  </w:style>
  <w:style w:type="paragraph" w:customStyle="1" w:styleId="670">
    <w:name w:val="正文_3"/>
    <w:qFormat/>
    <w:uiPriority w:val="0"/>
    <w:pPr>
      <w:widowControl w:val="0"/>
      <w:jc w:val="both"/>
    </w:pPr>
    <w:rPr>
      <w:rFonts w:ascii="Times New Roman" w:hAnsi="Times New Roman" w:eastAsia="宋体" w:cs="Times New Roman"/>
      <w:sz w:val="21"/>
      <w:szCs w:val="22"/>
      <w:lang w:val="en-US" w:eastAsia="zh-CN" w:bidi="ar-SA"/>
    </w:rPr>
  </w:style>
  <w:style w:type="paragraph" w:customStyle="1" w:styleId="671">
    <w:name w:val="正文_12"/>
    <w:qFormat/>
    <w:uiPriority w:val="0"/>
    <w:pPr>
      <w:widowControl w:val="0"/>
      <w:jc w:val="both"/>
    </w:pPr>
    <w:rPr>
      <w:rFonts w:ascii="Times New Roman" w:hAnsi="Times New Roman" w:eastAsia="宋体" w:cs="Times New Roman"/>
      <w:sz w:val="21"/>
      <w:szCs w:val="22"/>
      <w:lang w:val="en-US" w:eastAsia="zh-CN" w:bidi="ar-SA"/>
    </w:rPr>
  </w:style>
  <w:style w:type="paragraph" w:customStyle="1" w:styleId="672">
    <w:name w:val="正文_6"/>
    <w:qFormat/>
    <w:uiPriority w:val="0"/>
    <w:pPr>
      <w:widowControl w:val="0"/>
      <w:jc w:val="both"/>
    </w:pPr>
    <w:rPr>
      <w:rFonts w:ascii="Times New Roman" w:hAnsi="Times New Roman" w:eastAsia="宋体" w:cs="Times New Roman"/>
      <w:sz w:val="21"/>
      <w:szCs w:val="22"/>
      <w:lang w:val="en-US" w:eastAsia="zh-CN" w:bidi="ar-SA"/>
    </w:rPr>
  </w:style>
  <w:style w:type="paragraph" w:customStyle="1" w:styleId="673">
    <w:name w:val="正文_1"/>
    <w:qFormat/>
    <w:uiPriority w:val="0"/>
    <w:pPr>
      <w:widowControl w:val="0"/>
      <w:jc w:val="both"/>
    </w:pPr>
    <w:rPr>
      <w:rFonts w:ascii="Times New Roman" w:hAnsi="Times New Roman" w:eastAsia="宋体" w:cs="Times New Roman"/>
      <w:sz w:val="21"/>
      <w:szCs w:val="22"/>
      <w:lang w:val="en-US" w:eastAsia="zh-CN" w:bidi="ar-SA"/>
    </w:rPr>
  </w:style>
  <w:style w:type="paragraph" w:customStyle="1" w:styleId="674">
    <w:name w:val="Normal_8"/>
    <w:qFormat/>
    <w:uiPriority w:val="0"/>
    <w:rPr>
      <w:rFonts w:ascii="黑体" w:hAnsi="黑体" w:eastAsia="黑体" w:cs="Times New Roman"/>
      <w:b/>
      <w:sz w:val="32"/>
      <w:szCs w:val="24"/>
      <w:lang w:val="en-US" w:eastAsia="zh-CN" w:bidi="ar-SA"/>
    </w:rPr>
  </w:style>
  <w:style w:type="paragraph" w:customStyle="1" w:styleId="675">
    <w:name w:val="正文_5"/>
    <w:qFormat/>
    <w:uiPriority w:val="0"/>
    <w:pPr>
      <w:widowControl w:val="0"/>
      <w:jc w:val="both"/>
    </w:pPr>
    <w:rPr>
      <w:rFonts w:ascii="Times New Roman" w:hAnsi="Times New Roman" w:eastAsia="宋体" w:cs="Times New Roman"/>
      <w:sz w:val="21"/>
      <w:szCs w:val="22"/>
      <w:lang w:val="en-US" w:eastAsia="zh-CN" w:bidi="ar-SA"/>
    </w:rPr>
  </w:style>
  <w:style w:type="paragraph" w:customStyle="1" w:styleId="676">
    <w:name w:val="Normal_1"/>
    <w:qFormat/>
    <w:uiPriority w:val="0"/>
    <w:rPr>
      <w:rFonts w:ascii="黑体" w:hAnsi="黑体" w:eastAsia="黑体" w:cs="Times New Roman"/>
      <w:b/>
      <w:sz w:val="32"/>
      <w:szCs w:val="24"/>
      <w:lang w:val="en-US" w:eastAsia="zh-CN" w:bidi="ar-SA"/>
    </w:rPr>
  </w:style>
  <w:style w:type="paragraph" w:customStyle="1" w:styleId="677">
    <w:name w:val="正文_18"/>
    <w:qFormat/>
    <w:uiPriority w:val="0"/>
    <w:pPr>
      <w:widowControl w:val="0"/>
      <w:jc w:val="both"/>
    </w:pPr>
    <w:rPr>
      <w:rFonts w:ascii="Times New Roman" w:hAnsi="Times New Roman" w:eastAsia="宋体" w:cs="Times New Roman"/>
      <w:sz w:val="21"/>
      <w:szCs w:val="22"/>
      <w:lang w:val="en-US" w:eastAsia="zh-CN" w:bidi="ar-SA"/>
    </w:rPr>
  </w:style>
  <w:style w:type="paragraph" w:customStyle="1" w:styleId="678">
    <w:name w:val="正文_9"/>
    <w:qFormat/>
    <w:uiPriority w:val="0"/>
    <w:pPr>
      <w:widowControl w:val="0"/>
      <w:jc w:val="both"/>
    </w:pPr>
    <w:rPr>
      <w:rFonts w:ascii="Times New Roman" w:hAnsi="Times New Roman" w:eastAsia="宋体" w:cs="Times New Roman"/>
      <w:sz w:val="21"/>
      <w:szCs w:val="22"/>
      <w:lang w:val="en-US" w:eastAsia="zh-CN" w:bidi="ar-SA"/>
    </w:rPr>
  </w:style>
  <w:style w:type="paragraph" w:customStyle="1" w:styleId="679">
    <w:name w:val="正文_10"/>
    <w:qFormat/>
    <w:uiPriority w:val="0"/>
    <w:pPr>
      <w:widowControl w:val="0"/>
      <w:jc w:val="both"/>
    </w:pPr>
    <w:rPr>
      <w:rFonts w:ascii="Times New Roman" w:hAnsi="Times New Roman" w:eastAsia="宋体" w:cs="Times New Roman"/>
      <w:sz w:val="21"/>
      <w:szCs w:val="22"/>
      <w:lang w:val="en-US" w:eastAsia="zh-CN" w:bidi="ar-SA"/>
    </w:rPr>
  </w:style>
  <w:style w:type="paragraph" w:customStyle="1" w:styleId="680">
    <w:name w:val="正文_13"/>
    <w:qFormat/>
    <w:uiPriority w:val="0"/>
    <w:pPr>
      <w:widowControl w:val="0"/>
      <w:jc w:val="both"/>
    </w:pPr>
    <w:rPr>
      <w:rFonts w:ascii="Times New Roman" w:hAnsi="Times New Roman" w:eastAsia="宋体" w:cs="Times New Roman"/>
      <w:sz w:val="21"/>
      <w:szCs w:val="22"/>
      <w:lang w:val="en-US" w:eastAsia="zh-CN" w:bidi="ar-SA"/>
    </w:rPr>
  </w:style>
  <w:style w:type="paragraph" w:customStyle="1" w:styleId="681">
    <w:name w:val="TOC 标题2"/>
    <w:basedOn w:val="187"/>
    <w:next w:val="1"/>
    <w:qFormat/>
    <w:uiPriority w:val="0"/>
    <w:pPr>
      <w:keepLines/>
      <w:tabs>
        <w:tab w:val="clear" w:pos="1440"/>
        <w:tab w:val="clear" w:pos="5670"/>
      </w:tabs>
      <w:spacing w:before="340" w:after="330" w:line="576" w:lineRule="auto"/>
      <w:ind w:firstLine="0"/>
      <w:outlineLvl w:val="9"/>
    </w:pPr>
    <w:rPr>
      <w:rFonts w:ascii="Calibri" w:eastAsia="宋体"/>
      <w:bCs/>
      <w:sz w:val="44"/>
      <w:szCs w:val="44"/>
    </w:rPr>
  </w:style>
  <w:style w:type="paragraph" w:customStyle="1" w:styleId="682">
    <w:name w:val="标书正文格式"/>
    <w:qFormat/>
    <w:uiPriority w:val="0"/>
    <w:pPr>
      <w:spacing w:line="360" w:lineRule="auto"/>
      <w:ind w:firstLine="200"/>
    </w:pPr>
    <w:rPr>
      <w:rFonts w:ascii="Times New Roman" w:hAnsi="Times New Roman" w:eastAsia="楷体_GB2312" w:cs="Times New Roman"/>
      <w:sz w:val="24"/>
      <w:szCs w:val="24"/>
      <w:lang w:val="en-US" w:eastAsia="zh-CN" w:bidi="ar-SA"/>
    </w:rPr>
  </w:style>
  <w:style w:type="paragraph" w:customStyle="1" w:styleId="683">
    <w:name w:val="Normal_13"/>
    <w:qFormat/>
    <w:uiPriority w:val="0"/>
    <w:rPr>
      <w:rFonts w:ascii="Times New Roman" w:hAnsi="Times New Roman" w:eastAsia="Times New Roman" w:cs="Times New Roman"/>
      <w:sz w:val="24"/>
      <w:szCs w:val="24"/>
      <w:lang w:val="en-US" w:eastAsia="zh-CN" w:bidi="ar-SA"/>
    </w:rPr>
  </w:style>
  <w:style w:type="paragraph" w:customStyle="1" w:styleId="684">
    <w:name w:val="Normal_4"/>
    <w:qFormat/>
    <w:uiPriority w:val="0"/>
    <w:rPr>
      <w:rFonts w:ascii="黑体" w:hAnsi="黑体" w:eastAsia="黑体" w:cs="Times New Roman"/>
      <w:b/>
      <w:sz w:val="32"/>
      <w:szCs w:val="24"/>
      <w:lang w:val="en-US" w:eastAsia="zh-CN" w:bidi="ar-SA"/>
    </w:rPr>
  </w:style>
  <w:style w:type="paragraph" w:customStyle="1" w:styleId="685">
    <w:name w:val="正文_7"/>
    <w:qFormat/>
    <w:uiPriority w:val="0"/>
    <w:pPr>
      <w:widowControl w:val="0"/>
      <w:jc w:val="both"/>
    </w:pPr>
    <w:rPr>
      <w:rFonts w:ascii="Times New Roman" w:hAnsi="Times New Roman" w:eastAsia="宋体" w:cs="Times New Roman"/>
      <w:sz w:val="21"/>
      <w:szCs w:val="22"/>
      <w:lang w:val="en-US" w:eastAsia="zh-CN" w:bidi="ar-SA"/>
    </w:rPr>
  </w:style>
  <w:style w:type="paragraph" w:customStyle="1" w:styleId="686">
    <w:name w:val="正文_8"/>
    <w:qFormat/>
    <w:uiPriority w:val="0"/>
    <w:pPr>
      <w:widowControl w:val="0"/>
      <w:jc w:val="both"/>
    </w:pPr>
    <w:rPr>
      <w:rFonts w:ascii="Times New Roman" w:hAnsi="Times New Roman" w:eastAsia="宋体" w:cs="Times New Roman"/>
      <w:sz w:val="21"/>
      <w:szCs w:val="22"/>
      <w:lang w:val="en-US" w:eastAsia="zh-CN" w:bidi="ar-SA"/>
    </w:rPr>
  </w:style>
  <w:style w:type="paragraph" w:customStyle="1" w:styleId="687">
    <w:name w:val="正文 + 行距: 固定值 20 磅"/>
    <w:basedOn w:val="1"/>
    <w:qFormat/>
    <w:uiPriority w:val="0"/>
    <w:pPr>
      <w:spacing w:line="400" w:lineRule="exact"/>
      <w:ind w:firstLine="716"/>
    </w:pPr>
    <w:rPr>
      <w:szCs w:val="22"/>
    </w:rPr>
  </w:style>
  <w:style w:type="paragraph" w:customStyle="1" w:styleId="688">
    <w:name w:val="Normal_12"/>
    <w:qFormat/>
    <w:uiPriority w:val="0"/>
    <w:rPr>
      <w:rFonts w:ascii="黑体" w:hAnsi="黑体" w:eastAsia="黑体" w:cs="Times New Roman"/>
      <w:b/>
      <w:sz w:val="32"/>
      <w:szCs w:val="24"/>
      <w:lang w:val="en-US" w:eastAsia="zh-CN" w:bidi="ar-SA"/>
    </w:rPr>
  </w:style>
  <w:style w:type="paragraph" w:customStyle="1" w:styleId="689">
    <w:name w:val="正文_4"/>
    <w:qFormat/>
    <w:uiPriority w:val="0"/>
    <w:pPr>
      <w:widowControl w:val="0"/>
      <w:jc w:val="both"/>
    </w:pPr>
    <w:rPr>
      <w:rFonts w:ascii="Times New Roman" w:hAnsi="Times New Roman" w:eastAsia="宋体" w:cs="Times New Roman"/>
      <w:sz w:val="21"/>
      <w:szCs w:val="22"/>
      <w:lang w:val="en-US" w:eastAsia="zh-CN" w:bidi="ar-SA"/>
    </w:rPr>
  </w:style>
  <w:style w:type="paragraph" w:customStyle="1" w:styleId="690">
    <w:name w:val="ѹʽ ꌢ 2 + Times New Roman ˄ŠǼӴ֠·: 5 󜺠0 ܺ ̶ֵ 20..."/>
    <w:basedOn w:val="1"/>
    <w:qFormat/>
    <w:uiPriority w:val="0"/>
    <w:pPr>
      <w:keepNext/>
      <w:widowControl/>
      <w:spacing w:before="100" w:line="400" w:lineRule="atLeast"/>
    </w:pPr>
    <w:rPr>
      <w:sz w:val="28"/>
      <w:szCs w:val="28"/>
    </w:rPr>
  </w:style>
  <w:style w:type="paragraph" w:customStyle="1" w:styleId="691">
    <w:name w:val="Normal_6"/>
    <w:qFormat/>
    <w:uiPriority w:val="0"/>
    <w:rPr>
      <w:rFonts w:ascii="黑体" w:hAnsi="黑体" w:eastAsia="黑体" w:cs="Times New Roman"/>
      <w:b/>
      <w:sz w:val="32"/>
      <w:szCs w:val="24"/>
      <w:lang w:val="en-US" w:eastAsia="zh-CN" w:bidi="ar-SA"/>
    </w:rPr>
  </w:style>
  <w:style w:type="paragraph" w:customStyle="1" w:styleId="692">
    <w:name w:val="正文_16"/>
    <w:qFormat/>
    <w:uiPriority w:val="0"/>
    <w:pPr>
      <w:widowControl w:val="0"/>
      <w:jc w:val="both"/>
    </w:pPr>
    <w:rPr>
      <w:rFonts w:ascii="Times New Roman" w:hAnsi="Times New Roman" w:eastAsia="宋体" w:cs="Times New Roman"/>
      <w:sz w:val="21"/>
      <w:szCs w:val="22"/>
      <w:lang w:val="en-US" w:eastAsia="zh-CN" w:bidi="ar-SA"/>
    </w:rPr>
  </w:style>
  <w:style w:type="paragraph" w:customStyle="1" w:styleId="693">
    <w:name w:val="Normal_0_0"/>
    <w:qFormat/>
    <w:uiPriority w:val="0"/>
    <w:rPr>
      <w:rFonts w:ascii="黑体" w:hAnsi="黑体" w:eastAsia="黑体" w:cs="Times New Roman"/>
      <w:b/>
      <w:sz w:val="32"/>
      <w:szCs w:val="24"/>
      <w:lang w:val="en-US" w:eastAsia="zh-CN" w:bidi="ar-SA"/>
    </w:rPr>
  </w:style>
  <w:style w:type="paragraph" w:customStyle="1" w:styleId="694">
    <w:name w:val="Normal_3"/>
    <w:qFormat/>
    <w:uiPriority w:val="0"/>
    <w:rPr>
      <w:rFonts w:ascii="黑体" w:hAnsi="黑体" w:eastAsia="黑体" w:cs="Times New Roman"/>
      <w:b/>
      <w:sz w:val="32"/>
      <w:szCs w:val="24"/>
      <w:lang w:val="en-US" w:eastAsia="zh-CN" w:bidi="ar-SA"/>
    </w:rPr>
  </w:style>
  <w:style w:type="paragraph" w:customStyle="1" w:styleId="695">
    <w:name w:val="正文_0_0"/>
    <w:qFormat/>
    <w:uiPriority w:val="0"/>
    <w:pPr>
      <w:widowControl w:val="0"/>
      <w:jc w:val="both"/>
    </w:pPr>
    <w:rPr>
      <w:rFonts w:ascii="Times New Roman" w:hAnsi="Times New Roman" w:eastAsia="宋体" w:cs="Times New Roman"/>
      <w:sz w:val="21"/>
      <w:szCs w:val="22"/>
      <w:lang w:val="en-US" w:eastAsia="zh-CN" w:bidi="ar-SA"/>
    </w:rPr>
  </w:style>
  <w:style w:type="paragraph" w:customStyle="1" w:styleId="696">
    <w:name w:val="正文_2"/>
    <w:qFormat/>
    <w:uiPriority w:val="0"/>
    <w:pPr>
      <w:widowControl w:val="0"/>
      <w:jc w:val="both"/>
    </w:pPr>
    <w:rPr>
      <w:rFonts w:ascii="Times New Roman" w:hAnsi="Times New Roman" w:eastAsia="宋体" w:cs="Times New Roman"/>
      <w:sz w:val="21"/>
      <w:szCs w:val="22"/>
      <w:lang w:val="en-US" w:eastAsia="zh-CN" w:bidi="ar-SA"/>
    </w:rPr>
  </w:style>
  <w:style w:type="paragraph" w:customStyle="1" w:styleId="697">
    <w:name w:val="Normal_2"/>
    <w:qFormat/>
    <w:uiPriority w:val="0"/>
    <w:rPr>
      <w:rFonts w:ascii="黑体" w:hAnsi="黑体" w:eastAsia="黑体" w:cs="Times New Roman"/>
      <w:b/>
      <w:sz w:val="32"/>
      <w:szCs w:val="24"/>
      <w:lang w:val="en-US" w:eastAsia="zh-CN" w:bidi="ar-SA"/>
    </w:rPr>
  </w:style>
  <w:style w:type="paragraph" w:customStyle="1" w:styleId="698">
    <w:name w:val="正文_0"/>
    <w:qFormat/>
    <w:uiPriority w:val="0"/>
    <w:pPr>
      <w:widowControl w:val="0"/>
      <w:jc w:val="both"/>
    </w:pPr>
    <w:rPr>
      <w:rFonts w:ascii="Times New Roman" w:hAnsi="Times New Roman" w:eastAsia="宋体" w:cs="Times New Roman"/>
      <w:sz w:val="21"/>
      <w:szCs w:val="22"/>
      <w:lang w:val="en-US" w:eastAsia="zh-CN" w:bidi="ar-SA"/>
    </w:rPr>
  </w:style>
  <w:style w:type="paragraph" w:customStyle="1" w:styleId="699">
    <w:name w:val="正文_17"/>
    <w:qFormat/>
    <w:uiPriority w:val="0"/>
    <w:pPr>
      <w:widowControl w:val="0"/>
      <w:jc w:val="both"/>
    </w:pPr>
    <w:rPr>
      <w:rFonts w:ascii="Times New Roman" w:hAnsi="Times New Roman" w:eastAsia="宋体" w:cs="Times New Roman"/>
      <w:sz w:val="21"/>
      <w:szCs w:val="22"/>
      <w:lang w:val="en-US" w:eastAsia="zh-CN" w:bidi="ar-SA"/>
    </w:rPr>
  </w:style>
  <w:style w:type="paragraph" w:customStyle="1" w:styleId="700">
    <w:name w:val="Normal_10"/>
    <w:qFormat/>
    <w:uiPriority w:val="0"/>
    <w:rPr>
      <w:rFonts w:ascii="黑体" w:hAnsi="黑体" w:eastAsia="黑体" w:cs="Times New Roman"/>
      <w:b/>
      <w:sz w:val="32"/>
      <w:szCs w:val="24"/>
      <w:lang w:val="en-US" w:eastAsia="zh-CN" w:bidi="ar-SA"/>
    </w:rPr>
  </w:style>
  <w:style w:type="paragraph" w:customStyle="1" w:styleId="701">
    <w:name w:val="正文_14"/>
    <w:qFormat/>
    <w:uiPriority w:val="0"/>
    <w:pPr>
      <w:widowControl w:val="0"/>
      <w:jc w:val="both"/>
    </w:pPr>
    <w:rPr>
      <w:rFonts w:ascii="Times New Roman" w:hAnsi="Times New Roman" w:eastAsia="宋体" w:cs="Times New Roman"/>
      <w:sz w:val="21"/>
      <w:szCs w:val="22"/>
      <w:lang w:val="en-US" w:eastAsia="zh-CN" w:bidi="ar-SA"/>
    </w:rPr>
  </w:style>
  <w:style w:type="paragraph" w:customStyle="1" w:styleId="702">
    <w:name w:val="空半行"/>
    <w:basedOn w:val="1"/>
    <w:qFormat/>
    <w:uiPriority w:val="0"/>
    <w:pPr>
      <w:spacing w:line="120" w:lineRule="exact"/>
    </w:pPr>
    <w:rPr>
      <w:rFonts w:eastAsia="仿宋_GB2312"/>
      <w:color w:val="FFFFFF"/>
      <w:sz w:val="30"/>
      <w:szCs w:val="22"/>
    </w:rPr>
  </w:style>
  <w:style w:type="paragraph" w:customStyle="1" w:styleId="703">
    <w:name w:val="标题2(第4篇)"/>
    <w:basedOn w:val="1"/>
    <w:qFormat/>
    <w:uiPriority w:val="0"/>
    <w:pPr>
      <w:jc w:val="center"/>
    </w:pPr>
    <w:rPr>
      <w:rFonts w:eastAsia="仿宋_GB2312"/>
      <w:b/>
      <w:sz w:val="32"/>
      <w:szCs w:val="24"/>
    </w:rPr>
  </w:style>
  <w:style w:type="paragraph" w:customStyle="1" w:styleId="704">
    <w:name w:val="列出段落11"/>
    <w:basedOn w:val="1"/>
    <w:qFormat/>
    <w:uiPriority w:val="0"/>
    <w:pPr>
      <w:ind w:firstLine="420"/>
    </w:pPr>
    <w:rPr>
      <w:szCs w:val="22"/>
    </w:rPr>
  </w:style>
  <w:style w:type="paragraph" w:customStyle="1" w:styleId="705">
    <w:name w:val="6'"/>
    <w:basedOn w:val="1"/>
    <w:qFormat/>
    <w:uiPriority w:val="0"/>
    <w:pPr>
      <w:spacing w:line="320" w:lineRule="exact"/>
      <w:jc w:val="center"/>
    </w:pPr>
    <w:rPr>
      <w:spacing w:val="20"/>
      <w:szCs w:val="22"/>
    </w:rPr>
  </w:style>
  <w:style w:type="paragraph" w:customStyle="1" w:styleId="706">
    <w:name w:val="样式 标题 3 + (中文) 黑体 小四 非加粗 段前: 7.8 磅 段后: 0 磅 行距: 固定值 20 磅"/>
    <w:basedOn w:val="190"/>
    <w:qFormat/>
    <w:uiPriority w:val="0"/>
    <w:pPr>
      <w:shd w:val="clear" w:color="auto" w:fill="auto"/>
      <w:spacing w:line="400" w:lineRule="exact"/>
    </w:pPr>
    <w:rPr>
      <w:rFonts w:ascii="Times New Roman" w:hAnsi="Times New Roman" w:eastAsia="黑体"/>
      <w:b w:val="0"/>
      <w:sz w:val="24"/>
      <w:szCs w:val="20"/>
    </w:rPr>
  </w:style>
  <w:style w:type="paragraph" w:customStyle="1" w:styleId="707">
    <w:name w:val="Normal_11"/>
    <w:qFormat/>
    <w:uiPriority w:val="0"/>
    <w:rPr>
      <w:rFonts w:ascii="黑体" w:hAnsi="黑体" w:eastAsia="黑体" w:cs="Times New Roman"/>
      <w:b/>
      <w:sz w:val="32"/>
      <w:szCs w:val="24"/>
      <w:lang w:val="en-US" w:eastAsia="zh-CN" w:bidi="ar-SA"/>
    </w:rPr>
  </w:style>
  <w:style w:type="paragraph" w:customStyle="1" w:styleId="708">
    <w:name w:val="正文文本1"/>
    <w:basedOn w:val="1"/>
    <w:qFormat/>
    <w:uiPriority w:val="0"/>
    <w:pPr>
      <w:spacing w:after="120"/>
    </w:pPr>
    <w:rPr>
      <w:sz w:val="20"/>
    </w:rPr>
  </w:style>
  <w:style w:type="paragraph" w:customStyle="1" w:styleId="709">
    <w:name w:val="目录 1_0"/>
    <w:basedOn w:val="679"/>
    <w:next w:val="679"/>
    <w:qFormat/>
    <w:uiPriority w:val="39"/>
    <w:pPr>
      <w:spacing w:line="440" w:lineRule="exact"/>
      <w:jc w:val="center"/>
    </w:pPr>
  </w:style>
  <w:style w:type="character" w:customStyle="1" w:styleId="710">
    <w:name w:val="标题 1 字符"/>
    <w:qFormat/>
    <w:uiPriority w:val="0"/>
    <w:rPr>
      <w:b/>
      <w:bCs/>
      <w:sz w:val="44"/>
      <w:szCs w:val="44"/>
    </w:rPr>
  </w:style>
  <w:style w:type="character" w:customStyle="1" w:styleId="711">
    <w:name w:val="标题 3 字符"/>
    <w:qFormat/>
    <w:uiPriority w:val="0"/>
    <w:rPr>
      <w:b/>
      <w:bCs/>
      <w:sz w:val="32"/>
      <w:szCs w:val="32"/>
    </w:rPr>
  </w:style>
  <w:style w:type="character" w:customStyle="1" w:styleId="712">
    <w:name w:val="标题 4 字符"/>
    <w:qFormat/>
    <w:uiPriority w:val="0"/>
    <w:rPr>
      <w:rFonts w:ascii="Cambria" w:hAnsi="Cambria" w:eastAsia="宋体" w:cs="Times New Roman"/>
      <w:b/>
      <w:bCs/>
      <w:sz w:val="28"/>
      <w:szCs w:val="28"/>
    </w:rPr>
  </w:style>
  <w:style w:type="character" w:customStyle="1" w:styleId="713">
    <w:name w:val="标题 5 字符"/>
    <w:qFormat/>
    <w:uiPriority w:val="0"/>
    <w:rPr>
      <w:b/>
      <w:bCs/>
      <w:sz w:val="28"/>
      <w:szCs w:val="28"/>
    </w:rPr>
  </w:style>
  <w:style w:type="character" w:customStyle="1" w:styleId="714">
    <w:name w:val="标题 6 字符"/>
    <w:qFormat/>
    <w:uiPriority w:val="0"/>
    <w:rPr>
      <w:rFonts w:ascii="Cambria" w:hAnsi="Cambria" w:eastAsia="宋体" w:cs="Times New Roman"/>
      <w:b/>
      <w:bCs/>
      <w:sz w:val="24"/>
      <w:szCs w:val="24"/>
    </w:rPr>
  </w:style>
  <w:style w:type="character" w:customStyle="1" w:styleId="715">
    <w:name w:val="标题 7 字符"/>
    <w:qFormat/>
    <w:uiPriority w:val="0"/>
    <w:rPr>
      <w:b/>
      <w:bCs/>
      <w:sz w:val="24"/>
      <w:szCs w:val="24"/>
    </w:rPr>
  </w:style>
  <w:style w:type="character" w:customStyle="1" w:styleId="716">
    <w:name w:val="标题 8 字符"/>
    <w:qFormat/>
    <w:uiPriority w:val="0"/>
    <w:rPr>
      <w:rFonts w:ascii="Cambria" w:hAnsi="Cambria" w:eastAsia="宋体" w:cs="Times New Roman"/>
      <w:sz w:val="24"/>
      <w:szCs w:val="24"/>
    </w:rPr>
  </w:style>
  <w:style w:type="character" w:customStyle="1" w:styleId="717">
    <w:name w:val="标题 9 字符"/>
    <w:qFormat/>
    <w:uiPriority w:val="0"/>
    <w:rPr>
      <w:rFonts w:ascii="Cambria" w:hAnsi="Cambria" w:eastAsia="宋体" w:cs="Times New Roman"/>
      <w:sz w:val="21"/>
      <w:szCs w:val="21"/>
    </w:rPr>
  </w:style>
  <w:style w:type="character" w:customStyle="1" w:styleId="718">
    <w:name w:val="文档结构图 字符"/>
    <w:qFormat/>
    <w:uiPriority w:val="0"/>
    <w:rPr>
      <w:rFonts w:ascii="Times New Roman" w:hAnsi="Times New Roman"/>
      <w:szCs w:val="24"/>
      <w:shd w:val="clear" w:color="auto" w:fill="000080"/>
    </w:rPr>
  </w:style>
  <w:style w:type="character" w:customStyle="1" w:styleId="719">
    <w:name w:val="批注文字 字符"/>
    <w:qFormat/>
    <w:uiPriority w:val="0"/>
    <w:rPr>
      <w:sz w:val="21"/>
      <w:szCs w:val="22"/>
    </w:rPr>
  </w:style>
  <w:style w:type="character" w:customStyle="1" w:styleId="720">
    <w:name w:val="正文文本 字符"/>
    <w:qFormat/>
    <w:uiPriority w:val="0"/>
    <w:rPr>
      <w:rFonts w:ascii="Times New Roman" w:hAnsi="Times New Roman"/>
    </w:rPr>
  </w:style>
  <w:style w:type="character" w:customStyle="1" w:styleId="721">
    <w:name w:val="日期 字符"/>
    <w:qFormat/>
    <w:uiPriority w:val="0"/>
    <w:rPr>
      <w:rFonts w:ascii="宋体" w:hAnsi="Times New Roman"/>
      <w:sz w:val="28"/>
    </w:rPr>
  </w:style>
  <w:style w:type="character" w:customStyle="1" w:styleId="722">
    <w:name w:val="批注框文本 字符"/>
    <w:qFormat/>
    <w:uiPriority w:val="0"/>
    <w:rPr>
      <w:rFonts w:ascii="宋体" w:hAnsi="Times New Roman"/>
      <w:sz w:val="18"/>
      <w:szCs w:val="18"/>
    </w:rPr>
  </w:style>
  <w:style w:type="character" w:customStyle="1" w:styleId="723">
    <w:name w:val="页脚 字符"/>
    <w:qFormat/>
    <w:uiPriority w:val="0"/>
    <w:rPr>
      <w:sz w:val="18"/>
      <w:szCs w:val="18"/>
    </w:rPr>
  </w:style>
  <w:style w:type="character" w:customStyle="1" w:styleId="724">
    <w:name w:val="页眉 字符"/>
    <w:qFormat/>
    <w:uiPriority w:val="0"/>
    <w:rPr>
      <w:sz w:val="18"/>
      <w:szCs w:val="18"/>
    </w:rPr>
  </w:style>
  <w:style w:type="character" w:customStyle="1" w:styleId="725">
    <w:name w:val="副标题 字符"/>
    <w:qFormat/>
    <w:uiPriority w:val="0"/>
    <w:rPr>
      <w:rFonts w:ascii="Cambria" w:hAnsi="Cambria" w:cs="Times New Roman"/>
      <w:b/>
      <w:bCs/>
      <w:sz w:val="32"/>
      <w:szCs w:val="32"/>
    </w:rPr>
  </w:style>
  <w:style w:type="character" w:customStyle="1" w:styleId="726">
    <w:name w:val="标题 字符"/>
    <w:qFormat/>
    <w:uiPriority w:val="0"/>
    <w:rPr>
      <w:rFonts w:ascii="Cambria" w:hAnsi="Cambria" w:cs="Times New Roman"/>
      <w:b/>
      <w:bCs/>
      <w:sz w:val="32"/>
      <w:szCs w:val="32"/>
    </w:rPr>
  </w:style>
  <w:style w:type="character" w:customStyle="1" w:styleId="727">
    <w:name w:val="批注主题 字符"/>
    <w:qFormat/>
    <w:uiPriority w:val="0"/>
    <w:rPr>
      <w:rFonts w:ascii="宋体" w:hAnsi="Times New Roman"/>
      <w:b/>
      <w:bCs/>
      <w:sz w:val="28"/>
    </w:rPr>
  </w:style>
  <w:style w:type="character" w:customStyle="1" w:styleId="728">
    <w:name w:val="引用 字符"/>
    <w:qFormat/>
    <w:uiPriority w:val="0"/>
    <w:rPr>
      <w:i/>
      <w:iCs/>
      <w:color w:val="000000"/>
      <w:sz w:val="21"/>
      <w:szCs w:val="22"/>
    </w:rPr>
  </w:style>
  <w:style w:type="character" w:customStyle="1" w:styleId="729">
    <w:name w:val="明显引用 字符"/>
    <w:qFormat/>
    <w:uiPriority w:val="0"/>
    <w:rPr>
      <w:b/>
      <w:bCs/>
      <w:i/>
      <w:iCs/>
      <w:color w:val="4F81BD"/>
      <w:sz w:val="21"/>
      <w:szCs w:val="22"/>
    </w:rPr>
  </w:style>
  <w:style w:type="character" w:customStyle="1" w:styleId="730">
    <w:name w:val="标题 1 字符1"/>
    <w:qFormat/>
    <w:uiPriority w:val="0"/>
    <w:rPr>
      <w:rFonts w:ascii="黑体" w:hAnsi="Calibri" w:eastAsia="黑体" w:cs="Times New Roman"/>
      <w:b/>
      <w:sz w:val="24"/>
      <w:szCs w:val="28"/>
    </w:rPr>
  </w:style>
  <w:style w:type="character" w:customStyle="1" w:styleId="731">
    <w:name w:val="标题 2 字符1"/>
    <w:qFormat/>
    <w:uiPriority w:val="0"/>
    <w:rPr>
      <w:rFonts w:ascii="宋体" w:hAnsi="宋体" w:eastAsia="宋体" w:cs="Times New Roman"/>
      <w:b/>
      <w:szCs w:val="24"/>
    </w:rPr>
  </w:style>
  <w:style w:type="character" w:customStyle="1" w:styleId="732">
    <w:name w:val="标题 4 字符1"/>
    <w:qFormat/>
    <w:uiPriority w:val="0"/>
    <w:rPr>
      <w:rFonts w:ascii="Arial" w:hAnsi="Arial" w:eastAsia="黑体" w:cs="Times New Roman"/>
      <w:b/>
      <w:sz w:val="28"/>
      <w:szCs w:val="20"/>
    </w:rPr>
  </w:style>
  <w:style w:type="character" w:customStyle="1" w:styleId="733">
    <w:name w:val="标题 5 字符1"/>
    <w:qFormat/>
    <w:uiPriority w:val="0"/>
    <w:rPr>
      <w:rFonts w:ascii="黑体" w:hAnsi="Calibri" w:eastAsia="黑体" w:cs="Times New Roman"/>
      <w:b/>
      <w:color w:val="000000"/>
      <w:sz w:val="28"/>
      <w:szCs w:val="20"/>
    </w:rPr>
  </w:style>
  <w:style w:type="character" w:customStyle="1" w:styleId="734">
    <w:name w:val="标题 6 字符1"/>
    <w:qFormat/>
    <w:uiPriority w:val="0"/>
    <w:rPr>
      <w:rFonts w:ascii="Arial" w:hAnsi="Arial" w:eastAsia="黑体" w:cs="Times New Roman"/>
      <w:b/>
      <w:bCs/>
      <w:sz w:val="24"/>
      <w:szCs w:val="24"/>
    </w:rPr>
  </w:style>
  <w:style w:type="character" w:customStyle="1" w:styleId="735">
    <w:name w:val="标题 7 字符1"/>
    <w:qFormat/>
    <w:uiPriority w:val="0"/>
    <w:rPr>
      <w:rFonts w:ascii="Calibri" w:hAnsi="Calibri" w:eastAsia="宋体" w:cs="Times New Roman"/>
      <w:b/>
      <w:bCs/>
      <w:sz w:val="24"/>
      <w:szCs w:val="24"/>
    </w:rPr>
  </w:style>
  <w:style w:type="character" w:customStyle="1" w:styleId="736">
    <w:name w:val="标题 8 字符1"/>
    <w:qFormat/>
    <w:uiPriority w:val="0"/>
    <w:rPr>
      <w:rFonts w:ascii="Arial" w:hAnsi="Arial" w:eastAsia="黑体" w:cs="Times New Roman"/>
      <w:sz w:val="24"/>
      <w:szCs w:val="24"/>
    </w:rPr>
  </w:style>
  <w:style w:type="character" w:customStyle="1" w:styleId="737">
    <w:name w:val="标题 9 字符1"/>
    <w:qFormat/>
    <w:uiPriority w:val="0"/>
    <w:rPr>
      <w:rFonts w:ascii="Arial" w:hAnsi="Arial" w:eastAsia="黑体" w:cs="Times New Roman"/>
      <w:szCs w:val="21"/>
    </w:rPr>
  </w:style>
  <w:style w:type="character" w:customStyle="1" w:styleId="738">
    <w:name w:val="正文缩进 字符"/>
    <w:qFormat/>
    <w:uiPriority w:val="0"/>
    <w:rPr>
      <w:rFonts w:ascii="Calibri" w:hAnsi="Calibri" w:eastAsia="宋体" w:cs="Times New Roman"/>
      <w:szCs w:val="20"/>
    </w:rPr>
  </w:style>
  <w:style w:type="character" w:customStyle="1" w:styleId="739">
    <w:name w:val="标题 3 字符1"/>
    <w:qFormat/>
    <w:uiPriority w:val="0"/>
    <w:rPr>
      <w:rFonts w:ascii="宋体" w:hAnsi="宋体" w:eastAsia="宋体" w:cs="Times New Roman"/>
      <w:b/>
      <w:szCs w:val="21"/>
      <w:shd w:val="clear" w:color="auto" w:fill="FFFFFF"/>
    </w:rPr>
  </w:style>
  <w:style w:type="character" w:customStyle="1" w:styleId="740">
    <w:name w:val="文档结构图 字符1"/>
    <w:qFormat/>
    <w:uiPriority w:val="0"/>
    <w:rPr>
      <w:rFonts w:ascii="Calibri" w:hAnsi="Calibri" w:eastAsia="宋体" w:cs="Times New Roman"/>
      <w:szCs w:val="20"/>
      <w:shd w:val="clear" w:color="auto" w:fill="000080"/>
    </w:rPr>
  </w:style>
  <w:style w:type="character" w:customStyle="1" w:styleId="741">
    <w:name w:val="批注文字 字符1"/>
    <w:qFormat/>
    <w:uiPriority w:val="0"/>
    <w:rPr>
      <w:rFonts w:ascii="Calibri" w:hAnsi="Calibri" w:eastAsia="宋体" w:cs="Times New Roman"/>
      <w:szCs w:val="20"/>
    </w:rPr>
  </w:style>
  <w:style w:type="character" w:customStyle="1" w:styleId="742">
    <w:name w:val="正文文本 3 字符"/>
    <w:qFormat/>
    <w:uiPriority w:val="0"/>
    <w:rPr>
      <w:rFonts w:ascii="仿宋_GB2312" w:hAnsi="Arial" w:eastAsia="仿宋_GB2312" w:cs="Times New Roman"/>
      <w:sz w:val="32"/>
      <w:szCs w:val="20"/>
    </w:rPr>
  </w:style>
  <w:style w:type="character" w:customStyle="1" w:styleId="743">
    <w:name w:val="正文文本 字符1"/>
    <w:qFormat/>
    <w:uiPriority w:val="0"/>
    <w:rPr>
      <w:rFonts w:ascii="楷体_GB2312" w:hAnsi="Arial" w:eastAsia="楷体_GB2312" w:cs="Times New Roman"/>
      <w:sz w:val="28"/>
      <w:szCs w:val="20"/>
    </w:rPr>
  </w:style>
  <w:style w:type="character" w:customStyle="1" w:styleId="744">
    <w:name w:val="正文文本缩进 字符"/>
    <w:qFormat/>
    <w:uiPriority w:val="0"/>
    <w:rPr>
      <w:rFonts w:ascii="楷体_GB2312" w:hAnsi="Calibri" w:eastAsia="楷体_GB2312" w:cs="Times New Roman"/>
      <w:sz w:val="32"/>
      <w:szCs w:val="20"/>
    </w:rPr>
  </w:style>
  <w:style w:type="character" w:customStyle="1" w:styleId="745">
    <w:name w:val="纯文本 字符"/>
    <w:qFormat/>
    <w:uiPriority w:val="0"/>
    <w:rPr>
      <w:rFonts w:ascii="宋体" w:hAnsi="Courier New" w:eastAsia="宋体" w:cs="Times New Roman"/>
      <w:szCs w:val="20"/>
    </w:rPr>
  </w:style>
  <w:style w:type="character" w:customStyle="1" w:styleId="746">
    <w:name w:val="日期 字符1"/>
    <w:qFormat/>
    <w:uiPriority w:val="0"/>
    <w:rPr>
      <w:rFonts w:ascii="Calibri" w:hAnsi="Calibri" w:eastAsia="宋体" w:cs="Times New Roman"/>
      <w:sz w:val="28"/>
      <w:szCs w:val="20"/>
    </w:rPr>
  </w:style>
  <w:style w:type="character" w:customStyle="1" w:styleId="747">
    <w:name w:val="正文文本缩进 2 字符"/>
    <w:qFormat/>
    <w:uiPriority w:val="0"/>
    <w:rPr>
      <w:rFonts w:ascii="Arial" w:hAnsi="Arial" w:eastAsia="仿宋_GB2312" w:cs="Times New Roman"/>
      <w:sz w:val="32"/>
      <w:szCs w:val="20"/>
    </w:rPr>
  </w:style>
  <w:style w:type="character" w:customStyle="1" w:styleId="748">
    <w:name w:val="批注框文本 字符1"/>
    <w:qFormat/>
    <w:uiPriority w:val="0"/>
    <w:rPr>
      <w:rFonts w:ascii="Calibri" w:hAnsi="Calibri" w:eastAsia="宋体" w:cs="Times New Roman"/>
      <w:sz w:val="18"/>
      <w:szCs w:val="18"/>
    </w:rPr>
  </w:style>
  <w:style w:type="character" w:customStyle="1" w:styleId="749">
    <w:name w:val="页脚 字符1"/>
    <w:qFormat/>
    <w:uiPriority w:val="99"/>
    <w:rPr>
      <w:rFonts w:ascii="Calibri" w:hAnsi="Calibri" w:eastAsia="宋体" w:cs="Times New Roman"/>
      <w:sz w:val="18"/>
      <w:szCs w:val="20"/>
    </w:rPr>
  </w:style>
  <w:style w:type="character" w:customStyle="1" w:styleId="750">
    <w:name w:val="页眉 字符1"/>
    <w:qFormat/>
    <w:uiPriority w:val="0"/>
    <w:rPr>
      <w:rFonts w:ascii="Calibri" w:hAnsi="Calibri" w:eastAsia="宋体" w:cs="Times New Roman"/>
      <w:sz w:val="18"/>
      <w:szCs w:val="20"/>
    </w:rPr>
  </w:style>
  <w:style w:type="character" w:customStyle="1" w:styleId="751">
    <w:name w:val="正文文本缩进 3 字符"/>
    <w:qFormat/>
    <w:uiPriority w:val="0"/>
    <w:rPr>
      <w:rFonts w:ascii="Arial" w:hAnsi="Arial" w:eastAsia="仿宋_GB2312" w:cs="Times New Roman"/>
      <w:color w:val="FFFF00"/>
      <w:sz w:val="32"/>
      <w:szCs w:val="20"/>
    </w:rPr>
  </w:style>
  <w:style w:type="character" w:customStyle="1" w:styleId="752">
    <w:name w:val="正文文本 2 字符"/>
    <w:qFormat/>
    <w:uiPriority w:val="0"/>
    <w:rPr>
      <w:rFonts w:ascii="楷体_GB2312" w:hAnsi="Calibri" w:eastAsia="楷体_GB2312" w:cs="Times New Roman"/>
      <w:sz w:val="28"/>
      <w:szCs w:val="20"/>
    </w:rPr>
  </w:style>
  <w:style w:type="character" w:customStyle="1" w:styleId="753">
    <w:name w:val="HTML 预设格式 字符"/>
    <w:qFormat/>
    <w:uiPriority w:val="0"/>
    <w:rPr>
      <w:rFonts w:ascii="黑体" w:hAnsi="Courier New" w:eastAsia="黑体" w:cs="Courier New"/>
      <w:sz w:val="20"/>
      <w:szCs w:val="20"/>
    </w:rPr>
  </w:style>
  <w:style w:type="character" w:customStyle="1" w:styleId="754">
    <w:name w:val="标题 字符1"/>
    <w:qFormat/>
    <w:uiPriority w:val="0"/>
    <w:rPr>
      <w:rFonts w:ascii="Calibri" w:hAnsi="Calibri" w:eastAsia="黑体" w:cs="Times New Roman"/>
      <w:b/>
      <w:sz w:val="28"/>
      <w:szCs w:val="20"/>
      <w:lang w:val="en-GB"/>
    </w:rPr>
  </w:style>
  <w:style w:type="character" w:customStyle="1" w:styleId="755">
    <w:name w:val="批注主题 字符1"/>
    <w:qFormat/>
    <w:uiPriority w:val="0"/>
    <w:rPr>
      <w:rFonts w:ascii="Calibri" w:hAnsi="Calibri" w:eastAsia="宋体" w:cs="Times New Roman"/>
      <w:b/>
      <w:bCs/>
      <w:szCs w:val="20"/>
    </w:rPr>
  </w:style>
  <w:style w:type="character" w:customStyle="1" w:styleId="756">
    <w:name w:val="Char Char211"/>
    <w:qFormat/>
    <w:uiPriority w:val="0"/>
    <w:rPr>
      <w:rFonts w:ascii="Arial" w:hAnsi="Arial" w:eastAsia="黑体"/>
      <w:sz w:val="24"/>
      <w:szCs w:val="24"/>
    </w:rPr>
  </w:style>
  <w:style w:type="character" w:customStyle="1" w:styleId="757">
    <w:name w:val="Char Char201"/>
    <w:qFormat/>
    <w:uiPriority w:val="0"/>
    <w:rPr>
      <w:rFonts w:ascii="Arial" w:hAnsi="Arial" w:eastAsia="黑体"/>
      <w:sz w:val="21"/>
      <w:szCs w:val="21"/>
    </w:rPr>
  </w:style>
  <w:style w:type="character" w:customStyle="1" w:styleId="758">
    <w:name w:val="Char Char221"/>
    <w:qFormat/>
    <w:uiPriority w:val="0"/>
    <w:rPr>
      <w:b/>
      <w:bCs/>
      <w:sz w:val="24"/>
      <w:szCs w:val="24"/>
    </w:rPr>
  </w:style>
  <w:style w:type="character" w:customStyle="1" w:styleId="759">
    <w:name w:val="无间隔 字符"/>
    <w:qFormat/>
    <w:uiPriority w:val="0"/>
    <w:rPr>
      <w:rFonts w:eastAsia="微软雅黑"/>
      <w:sz w:val="24"/>
    </w:rPr>
  </w:style>
  <w:style w:type="character" w:customStyle="1" w:styleId="760">
    <w:name w:val="Char Char241"/>
    <w:qFormat/>
    <w:uiPriority w:val="0"/>
    <w:rPr>
      <w:b/>
      <w:bCs/>
      <w:sz w:val="28"/>
      <w:szCs w:val="28"/>
    </w:rPr>
  </w:style>
  <w:style w:type="character" w:customStyle="1" w:styleId="761">
    <w:name w:val="Char Char261"/>
    <w:qFormat/>
    <w:uiPriority w:val="0"/>
    <w:rPr>
      <w:b/>
      <w:bCs/>
      <w:sz w:val="32"/>
      <w:szCs w:val="32"/>
    </w:rPr>
  </w:style>
  <w:style w:type="character" w:customStyle="1" w:styleId="762">
    <w:name w:val="Char Char291"/>
    <w:qFormat/>
    <w:uiPriority w:val="0"/>
    <w:rPr>
      <w:rFonts w:ascii="Times New Roman" w:hAnsi="Times New Roman" w:eastAsia="宋体" w:cs="Times New Roman"/>
      <w:b/>
      <w:bCs/>
      <w:sz w:val="44"/>
      <w:szCs w:val="44"/>
    </w:rPr>
  </w:style>
  <w:style w:type="character" w:customStyle="1" w:styleId="763">
    <w:name w:val="Char Char171"/>
    <w:qFormat/>
    <w:uiPriority w:val="0"/>
    <w:rPr>
      <w:rFonts w:ascii="宋体" w:hAnsi="Courier New"/>
      <w:sz w:val="21"/>
      <w:szCs w:val="21"/>
    </w:rPr>
  </w:style>
  <w:style w:type="character" w:customStyle="1" w:styleId="764">
    <w:name w:val="Char Char251"/>
    <w:qFormat/>
    <w:uiPriority w:val="0"/>
    <w:rPr>
      <w:rFonts w:ascii="Arial" w:hAnsi="Arial" w:eastAsia="黑体"/>
      <w:b/>
      <w:sz w:val="28"/>
    </w:rPr>
  </w:style>
  <w:style w:type="character" w:customStyle="1" w:styleId="765">
    <w:name w:val="Char Char210"/>
    <w:qFormat/>
    <w:uiPriority w:val="0"/>
    <w:rPr>
      <w:rFonts w:ascii="宋体" w:hAnsi="Courier New" w:eastAsia="宋体"/>
      <w:sz w:val="21"/>
      <w:szCs w:val="21"/>
      <w:lang w:val="en-US" w:eastAsia="zh-CN" w:bidi="ar-SA"/>
    </w:rPr>
  </w:style>
  <w:style w:type="character" w:customStyle="1" w:styleId="766">
    <w:name w:val="Char Char231"/>
    <w:qFormat/>
    <w:uiPriority w:val="0"/>
    <w:rPr>
      <w:rFonts w:ascii="Arial" w:hAnsi="Arial" w:eastAsia="黑体"/>
      <w:b/>
      <w:bCs/>
      <w:sz w:val="24"/>
      <w:szCs w:val="24"/>
    </w:rPr>
  </w:style>
  <w:style w:type="character" w:customStyle="1" w:styleId="767">
    <w:name w:val="Char Char281"/>
    <w:qFormat/>
    <w:uiPriority w:val="0"/>
    <w:rPr>
      <w:rFonts w:ascii="Arial" w:hAnsi="Arial" w:eastAsia="黑体" w:cs="Arial"/>
      <w:b/>
      <w:bCs/>
      <w:sz w:val="32"/>
      <w:szCs w:val="32"/>
    </w:rPr>
  </w:style>
  <w:style w:type="character" w:customStyle="1" w:styleId="768">
    <w:name w:val="明显引用 字符1"/>
    <w:qFormat/>
    <w:uiPriority w:val="0"/>
    <w:rPr>
      <w:rFonts w:ascii="Calibri" w:hAnsi="Calibri" w:eastAsia="宋体"/>
      <w:b/>
      <w:bCs/>
      <w:i/>
      <w:iCs/>
      <w:sz w:val="22"/>
      <w:lang w:eastAsia="en-US" w:bidi="en-US"/>
    </w:rPr>
  </w:style>
  <w:style w:type="character" w:customStyle="1" w:styleId="769">
    <w:name w:val="引用 字符1"/>
    <w:qFormat/>
    <w:uiPriority w:val="0"/>
    <w:rPr>
      <w:rFonts w:ascii="Calibri" w:hAnsi="Calibri" w:eastAsia="宋体"/>
      <w:i/>
      <w:iCs/>
      <w:sz w:val="22"/>
      <w:lang w:eastAsia="en-US" w:bidi="en-US"/>
    </w:rPr>
  </w:style>
  <w:style w:type="paragraph" w:customStyle="1" w:styleId="770">
    <w:name w:val="正文缩进1"/>
    <w:basedOn w:val="1"/>
    <w:qFormat/>
    <w:uiPriority w:val="0"/>
    <w:pPr>
      <w:ind w:firstLine="420"/>
    </w:pPr>
    <w:rPr>
      <w:rFonts w:ascii="Calibri" w:hAnsi="Calibri"/>
      <w:szCs w:val="22"/>
    </w:rPr>
  </w:style>
  <w:style w:type="character" w:customStyle="1" w:styleId="771">
    <w:name w:val="Char Char271"/>
    <w:qFormat/>
    <w:uiPriority w:val="0"/>
    <w:rPr>
      <w:b/>
      <w:bCs/>
      <w:sz w:val="44"/>
      <w:szCs w:val="44"/>
    </w:rPr>
  </w:style>
  <w:style w:type="paragraph" w:customStyle="1" w:styleId="772">
    <w:name w:val="正文文本 22"/>
    <w:basedOn w:val="1"/>
    <w:qFormat/>
    <w:uiPriority w:val="0"/>
    <w:pPr>
      <w:widowControl/>
      <w:ind w:left="720" w:hanging="720"/>
    </w:pPr>
    <w:rPr>
      <w:sz w:val="24"/>
      <w:lang w:val="en-GB"/>
    </w:rPr>
  </w:style>
  <w:style w:type="paragraph" w:customStyle="1" w:styleId="773">
    <w:name w:val="无间隔11"/>
    <w:qFormat/>
    <w:uiPriority w:val="0"/>
    <w:pPr>
      <w:widowControl w:val="0"/>
      <w:jc w:val="both"/>
    </w:pPr>
    <w:rPr>
      <w:rFonts w:ascii="Times New Roman" w:hAnsi="Times New Roman" w:eastAsia="微软雅黑" w:cs="Times New Roman"/>
      <w:sz w:val="24"/>
      <w:szCs w:val="22"/>
      <w:lang w:val="en-US" w:eastAsia="zh-CN" w:bidi="ar-SA"/>
    </w:rPr>
  </w:style>
  <w:style w:type="paragraph" w:customStyle="1" w:styleId="774">
    <w:name w:val="列出段落3"/>
    <w:basedOn w:val="1"/>
    <w:qFormat/>
    <w:uiPriority w:val="0"/>
    <w:pPr>
      <w:widowControl/>
      <w:ind w:left="720"/>
      <w:contextualSpacing/>
      <w:jc w:val="left"/>
    </w:pPr>
    <w:rPr>
      <w:rFonts w:ascii="Arial" w:hAnsi="Arial" w:eastAsia="黑体"/>
      <w:sz w:val="24"/>
      <w:szCs w:val="24"/>
      <w:lang w:eastAsia="en-US"/>
    </w:rPr>
  </w:style>
  <w:style w:type="paragraph" w:customStyle="1" w:styleId="775">
    <w:name w:val="Char Char1 Char Char Char Char1 Char Char Char Char Char Char1"/>
    <w:basedOn w:val="1"/>
    <w:qFormat/>
    <w:uiPriority w:val="0"/>
    <w:rPr>
      <w:rFonts w:ascii="Tahoma" w:hAnsi="Tahoma"/>
      <w:sz w:val="24"/>
    </w:rPr>
  </w:style>
  <w:style w:type="character" w:customStyle="1" w:styleId="776">
    <w:name w:val="副标题 字符1"/>
    <w:qFormat/>
    <w:uiPriority w:val="11"/>
    <w:rPr>
      <w:rFonts w:ascii="Cambria" w:hAnsi="Cambria" w:eastAsia="宋体" w:cs="Times New Roman"/>
      <w:i/>
      <w:iCs/>
      <w:spacing w:val="13"/>
      <w:sz w:val="24"/>
      <w:szCs w:val="24"/>
      <w:lang w:eastAsia="en-US" w:bidi="en-US"/>
    </w:rPr>
  </w:style>
  <w:style w:type="paragraph" w:customStyle="1" w:styleId="777">
    <w:name w:val="标题 51"/>
    <w:basedOn w:val="398"/>
    <w:next w:val="398"/>
    <w:qFormat/>
    <w:uiPriority w:val="0"/>
    <w:pPr>
      <w:keepNext/>
      <w:keepLines/>
      <w:spacing w:before="280" w:after="290" w:line="372" w:lineRule="auto"/>
      <w:ind w:firstLine="0"/>
      <w:outlineLvl w:val="4"/>
    </w:pPr>
    <w:rPr>
      <w:rFonts w:ascii="Calibri" w:hAnsi="Calibri"/>
      <w:b/>
      <w:bCs/>
      <w:sz w:val="28"/>
      <w:szCs w:val="28"/>
    </w:rPr>
  </w:style>
  <w:style w:type="paragraph" w:customStyle="1" w:styleId="778">
    <w:name w:val="标题 41"/>
    <w:basedOn w:val="398"/>
    <w:next w:val="398"/>
    <w:qFormat/>
    <w:uiPriority w:val="0"/>
    <w:pPr>
      <w:keepNext/>
      <w:keepLines/>
      <w:spacing w:before="280" w:after="290" w:line="372" w:lineRule="auto"/>
      <w:ind w:firstLine="0"/>
      <w:outlineLvl w:val="3"/>
    </w:pPr>
    <w:rPr>
      <w:rFonts w:ascii="Arial" w:hAnsi="Arial" w:eastAsia="黑体"/>
      <w:b/>
      <w:sz w:val="28"/>
      <w:szCs w:val="22"/>
    </w:rPr>
  </w:style>
  <w:style w:type="character" w:customStyle="1" w:styleId="779">
    <w:name w:val="页眉 Char2"/>
    <w:qFormat/>
    <w:uiPriority w:val="0"/>
    <w:rPr>
      <w:sz w:val="18"/>
      <w:szCs w:val="18"/>
    </w:rPr>
  </w:style>
  <w:style w:type="character" w:customStyle="1" w:styleId="780">
    <w:name w:val="页脚 Char2"/>
    <w:qFormat/>
    <w:uiPriority w:val="0"/>
    <w:rPr>
      <w:sz w:val="18"/>
      <w:szCs w:val="18"/>
    </w:rPr>
  </w:style>
  <w:style w:type="paragraph" w:customStyle="1" w:styleId="781">
    <w:name w:val="_Style 38"/>
    <w:basedOn w:val="1"/>
    <w:next w:val="432"/>
    <w:qFormat/>
    <w:uiPriority w:val="0"/>
    <w:pPr>
      <w:ind w:firstLine="420"/>
    </w:pPr>
    <w:rPr>
      <w:rFonts w:eastAsia="等线"/>
      <w:szCs w:val="24"/>
      <w:lang w:val="zh-CN"/>
    </w:rPr>
  </w:style>
  <w:style w:type="character" w:customStyle="1" w:styleId="782">
    <w:name w:val="称呼 Char"/>
    <w:qFormat/>
    <w:uiPriority w:val="0"/>
    <w:rPr>
      <w:rFonts w:ascii="仿宋_GB2312" w:hAnsi="Calibri" w:eastAsia="仿宋_GB2312" w:cs="Times New Roman"/>
      <w:sz w:val="28"/>
      <w:szCs w:val="20"/>
      <w:lang w:val="zh-CN" w:eastAsia="zh-CN"/>
    </w:rPr>
  </w:style>
  <w:style w:type="character" w:customStyle="1" w:styleId="783">
    <w:name w:val="尾注文本 Char"/>
    <w:qFormat/>
    <w:uiPriority w:val="0"/>
    <w:rPr>
      <w:rFonts w:ascii="Calibri" w:hAnsi="Calibri" w:eastAsia="宋体" w:cs="Times New Roman"/>
      <w:sz w:val="20"/>
      <w:szCs w:val="24"/>
      <w:lang w:val="zh-CN" w:eastAsia="zh-CN"/>
    </w:rPr>
  </w:style>
  <w:style w:type="character" w:customStyle="1" w:styleId="784">
    <w:name w:val="签名 Char"/>
    <w:qFormat/>
    <w:uiPriority w:val="0"/>
    <w:rPr>
      <w:rFonts w:ascii="Calibri" w:hAnsi="Calibri" w:eastAsia="仿宋_GB2312" w:cs="Times New Roman"/>
      <w:sz w:val="24"/>
      <w:szCs w:val="20"/>
      <w:lang w:val="zh-CN" w:eastAsia="zh-CN"/>
    </w:rPr>
  </w:style>
  <w:style w:type="character" w:customStyle="1" w:styleId="785">
    <w:name w:val="脚注文本 Char"/>
    <w:qFormat/>
    <w:uiPriority w:val="0"/>
    <w:rPr>
      <w:rFonts w:ascii="Calibri" w:hAnsi="Calibri" w:eastAsia="宋体" w:cs="Times New Roman"/>
      <w:sz w:val="18"/>
      <w:szCs w:val="18"/>
      <w:lang w:val="zh-CN" w:eastAsia="zh-CN"/>
    </w:rPr>
  </w:style>
  <w:style w:type="character" w:customStyle="1" w:styleId="786">
    <w:name w:val="不明显参考11"/>
    <w:qFormat/>
    <w:uiPriority w:val="0"/>
    <w:rPr>
      <w:smallCaps/>
    </w:rPr>
  </w:style>
  <w:style w:type="character" w:customStyle="1" w:styleId="787">
    <w:name w:val="明显参考11"/>
    <w:qFormat/>
    <w:uiPriority w:val="0"/>
    <w:rPr>
      <w:smallCaps/>
      <w:spacing w:val="5"/>
      <w:u w:val="single"/>
    </w:rPr>
  </w:style>
  <w:style w:type="character" w:customStyle="1" w:styleId="788">
    <w:name w:val="书籍标题11"/>
    <w:qFormat/>
    <w:uiPriority w:val="0"/>
    <w:rPr>
      <w:i/>
      <w:iCs/>
      <w:smallCaps/>
      <w:spacing w:val="5"/>
    </w:rPr>
  </w:style>
  <w:style w:type="character" w:customStyle="1" w:styleId="789">
    <w:name w:val="明显强调11"/>
    <w:qFormat/>
    <w:uiPriority w:val="0"/>
    <w:rPr>
      <w:b/>
      <w:bCs/>
    </w:rPr>
  </w:style>
  <w:style w:type="character" w:customStyle="1" w:styleId="790">
    <w:name w:val="不明显强调11"/>
    <w:qFormat/>
    <w:uiPriority w:val="0"/>
    <w:rPr>
      <w:i/>
      <w:iCs/>
    </w:rPr>
  </w:style>
  <w:style w:type="paragraph" w:customStyle="1" w:styleId="791">
    <w:name w:val="No Spacing1"/>
    <w:qFormat/>
    <w:uiPriority w:val="0"/>
    <w:pPr>
      <w:widowControl w:val="0"/>
      <w:jc w:val="both"/>
    </w:pPr>
    <w:rPr>
      <w:rFonts w:ascii="Times New Roman" w:hAnsi="Times New Roman" w:eastAsia="微软雅黑" w:cs="Times New Roman"/>
      <w:sz w:val="24"/>
      <w:szCs w:val="22"/>
      <w:lang w:val="en-US" w:eastAsia="zh-CN" w:bidi="ar-SA"/>
    </w:rPr>
  </w:style>
  <w:style w:type="paragraph" w:customStyle="1" w:styleId="792">
    <w:name w:val="List Paragraph1"/>
    <w:basedOn w:val="1"/>
    <w:qFormat/>
    <w:uiPriority w:val="0"/>
    <w:pPr>
      <w:widowControl/>
      <w:ind w:left="720"/>
      <w:contextualSpacing/>
      <w:jc w:val="left"/>
    </w:pPr>
    <w:rPr>
      <w:rFonts w:ascii="Arial" w:hAnsi="Arial" w:eastAsia="黑体"/>
      <w:sz w:val="24"/>
      <w:szCs w:val="24"/>
      <w:lang w:eastAsia="en-US"/>
    </w:rPr>
  </w:style>
  <w:style w:type="paragraph" w:customStyle="1" w:styleId="793">
    <w:name w:val="修订11"/>
    <w:qFormat/>
    <w:uiPriority w:val="0"/>
    <w:rPr>
      <w:rFonts w:ascii="Times New Roman" w:hAnsi="Times New Roman" w:eastAsia="宋体" w:cs="Times New Roman"/>
      <w:sz w:val="21"/>
      <w:szCs w:val="24"/>
      <w:lang w:val="en-US" w:eastAsia="zh-CN" w:bidi="ar-SA"/>
    </w:rPr>
  </w:style>
  <w:style w:type="paragraph" w:customStyle="1" w:styleId="794">
    <w:name w:val="TOC 标题11"/>
    <w:basedOn w:val="187"/>
    <w:next w:val="1"/>
    <w:qFormat/>
    <w:uiPriority w:val="0"/>
    <w:pPr>
      <w:keepLines/>
      <w:tabs>
        <w:tab w:val="clear" w:pos="1440"/>
        <w:tab w:val="clear" w:pos="5670"/>
      </w:tabs>
      <w:spacing w:before="340" w:after="330" w:line="576" w:lineRule="auto"/>
      <w:ind w:firstLine="0"/>
      <w:outlineLvl w:val="9"/>
    </w:pPr>
    <w:rPr>
      <w:rFonts w:ascii="Calibri" w:eastAsia="宋体"/>
      <w:bCs/>
      <w:sz w:val="44"/>
      <w:szCs w:val="44"/>
      <w:lang w:val="zh-CN"/>
    </w:rPr>
  </w:style>
  <w:style w:type="paragraph" w:customStyle="1" w:styleId="795">
    <w:name w:val="ѹʽ ꌢ 2 + Times New Roman ˄ŠǼӴ֠·: 5 󜺠0 ܺ ̶ֵ 20...1"/>
    <w:basedOn w:val="1"/>
    <w:qFormat/>
    <w:uiPriority w:val="0"/>
    <w:pPr>
      <w:keepNext/>
      <w:widowControl/>
      <w:spacing w:before="100" w:line="400" w:lineRule="atLeast"/>
    </w:pPr>
    <w:rPr>
      <w:sz w:val="28"/>
      <w:szCs w:val="28"/>
    </w:rPr>
  </w:style>
  <w:style w:type="character" w:customStyle="1" w:styleId="796">
    <w:name w:val="正文首行缩进 Char"/>
    <w:semiHidden/>
    <w:qFormat/>
    <w:uiPriority w:val="99"/>
    <w:rPr>
      <w:rFonts w:ascii="Calibri" w:hAnsi="Calibri" w:eastAsia="宋体" w:cs="Times New Roman"/>
      <w:sz w:val="28"/>
      <w:szCs w:val="20"/>
      <w:lang w:val="zh-CN" w:eastAsia="zh-CN"/>
    </w:rPr>
  </w:style>
  <w:style w:type="character" w:customStyle="1" w:styleId="797">
    <w:name w:val="fontstyle11"/>
    <w:qFormat/>
    <w:uiPriority w:val="0"/>
    <w:rPr>
      <w:rFonts w:hint="eastAsia" w:ascii="宋体" w:hAnsi="宋体" w:eastAsia="宋体"/>
      <w:color w:val="000000"/>
      <w:sz w:val="24"/>
      <w:szCs w:val="24"/>
    </w:rPr>
  </w:style>
  <w:style w:type="character" w:customStyle="1" w:styleId="798">
    <w:name w:val="font31"/>
    <w:basedOn w:val="36"/>
    <w:qFormat/>
    <w:uiPriority w:val="0"/>
    <w:rPr>
      <w:rFonts w:hint="eastAsia" w:ascii="宋体" w:hAnsi="宋体" w:eastAsia="宋体" w:cs="宋体"/>
      <w:color w:val="000000"/>
      <w:sz w:val="20"/>
      <w:szCs w:val="20"/>
      <w:u w:val="none"/>
    </w:rPr>
  </w:style>
  <w:style w:type="character" w:customStyle="1" w:styleId="799">
    <w:name w:val="font61"/>
    <w:basedOn w:val="36"/>
    <w:qFormat/>
    <w:uiPriority w:val="0"/>
    <w:rPr>
      <w:rFonts w:hint="default" w:ascii="Times New Roman" w:hAnsi="Times New Roman" w:cs="Times New Roman"/>
      <w:color w:val="000000"/>
      <w:sz w:val="20"/>
      <w:szCs w:val="20"/>
      <w:u w:val="none"/>
    </w:rPr>
  </w:style>
  <w:style w:type="character" w:customStyle="1" w:styleId="800">
    <w:name w:val="font141"/>
    <w:basedOn w:val="36"/>
    <w:qFormat/>
    <w:uiPriority w:val="0"/>
    <w:rPr>
      <w:rFonts w:hint="eastAsia" w:ascii="宋体" w:hAnsi="宋体" w:eastAsia="宋体" w:cs="宋体"/>
      <w:color w:val="000000"/>
      <w:sz w:val="20"/>
      <w:szCs w:val="20"/>
      <w:u w:val="none"/>
      <w:vertAlign w:val="subscript"/>
    </w:rPr>
  </w:style>
  <w:style w:type="character" w:customStyle="1" w:styleId="801">
    <w:name w:val="font91"/>
    <w:basedOn w:val="36"/>
    <w:qFormat/>
    <w:uiPriority w:val="0"/>
    <w:rPr>
      <w:rFonts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黑体"/>
        <a:cs typeface="Arial"/>
      </a:majorFont>
      <a:minorFont>
        <a:latin typeface="Arial"/>
        <a:ea typeface="宋体"/>
        <a:cs typeface="Arial"/>
      </a:minorFont>
    </a:fontScheme>
    <a:fmtScheme name="">
      <a:fillStyleLst>
        <a:solidFill>
          <a:schemeClr val="phClr"/>
        </a:solidFill>
        <a:solidFill>
          <a:srgbClr val="FFFFFF"/>
        </a:solidFill>
        <a:solidFill>
          <a:srgbClr val="FFFFFF"/>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49</Pages>
  <Words>19416</Words>
  <Characters>20880</Characters>
  <Lines>178</Lines>
  <Paragraphs>50</Paragraphs>
  <TotalTime>0</TotalTime>
  <ScaleCrop>false</ScaleCrop>
  <LinksUpToDate>false</LinksUpToDate>
  <CharactersWithSpaces>21354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2026-01-07T06:29:00Z</dcterms:created>
  <dc:creator>whh</dc:creator>
  <cp:lastModifiedBy>❣</cp:lastModifiedBy>
  <dcterms:modified xsi:type="dcterms:W3CDTF">2026-01-16T03:27:58Z</dcterms:modified>
  <dc:title>  </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eyJoZGlkIjoiMzgyOTIwNTEzMDdlMmI2ODA5YTFjYmFmOWRmZDlmYmEiLCJ1c2VySWQiOiIzNjcxMjE2NzMifQ==</vt:lpwstr>
  </property>
  <property fmtid="{D5CDD505-2E9C-101B-9397-08002B2CF9AE}" pid="3" name="KSOProductBuildVer">
    <vt:lpwstr>2052-12.1.0.23125</vt:lpwstr>
  </property>
  <property fmtid="{D5CDD505-2E9C-101B-9397-08002B2CF9AE}" pid="4" name="ICV">
    <vt:lpwstr>857E49866A934F65AD9ED04BFDA8EC71_12</vt:lpwstr>
  </property>
</Properties>
</file>