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58EE35">
      <w:pPr>
        <w:jc w:val="center"/>
        <w:rPr>
          <w:rFonts w:ascii="仿宋" w:hAnsi="仿宋" w:eastAsia="仿宋" w:cs="仿宋"/>
          <w:b/>
          <w:sz w:val="84"/>
          <w:szCs w:val="84"/>
        </w:rPr>
      </w:pPr>
    </w:p>
    <w:p w14:paraId="6E4861E8">
      <w:pPr>
        <w:pStyle w:val="17"/>
        <w:ind w:firstLine="560"/>
      </w:pPr>
    </w:p>
    <w:p w14:paraId="3BA8A316">
      <w:pPr>
        <w:jc w:val="center"/>
        <w:rPr>
          <w:rFonts w:ascii="仿宋" w:hAnsi="仿宋" w:eastAsia="仿宋" w:cs="仿宋"/>
          <w:b/>
          <w:sz w:val="84"/>
          <w:szCs w:val="84"/>
        </w:rPr>
      </w:pPr>
      <w:r>
        <w:rPr>
          <w:rFonts w:hint="eastAsia" w:ascii="仿宋" w:hAnsi="仿宋" w:eastAsia="仿宋" w:cs="仿宋"/>
          <w:b/>
          <w:sz w:val="84"/>
          <w:szCs w:val="84"/>
        </w:rPr>
        <w:t>竞争性谈判文件</w:t>
      </w:r>
    </w:p>
    <w:p w14:paraId="49253102">
      <w:pPr>
        <w:jc w:val="center"/>
        <w:rPr>
          <w:rFonts w:ascii="仿宋" w:hAnsi="仿宋" w:eastAsia="仿宋" w:cs="仿宋"/>
          <w:b/>
          <w:szCs w:val="21"/>
        </w:rPr>
      </w:pPr>
    </w:p>
    <w:p w14:paraId="5665BA09">
      <w:pPr>
        <w:jc w:val="left"/>
        <w:rPr>
          <w:rFonts w:ascii="仿宋" w:hAnsi="仿宋" w:eastAsia="仿宋" w:cs="仿宋"/>
          <w:szCs w:val="21"/>
        </w:rPr>
      </w:pPr>
    </w:p>
    <w:p w14:paraId="15292F63">
      <w:pPr>
        <w:jc w:val="left"/>
        <w:rPr>
          <w:rFonts w:ascii="仿宋" w:hAnsi="仿宋" w:eastAsia="仿宋" w:cs="仿宋"/>
          <w:szCs w:val="21"/>
        </w:rPr>
      </w:pPr>
    </w:p>
    <w:p w14:paraId="0481D9FA">
      <w:pPr>
        <w:spacing w:line="360" w:lineRule="auto"/>
        <w:ind w:firstLine="1205" w:firstLineChars="300"/>
        <w:rPr>
          <w:rFonts w:ascii="仿宋" w:hAnsi="仿宋" w:eastAsia="仿宋" w:cs="仿宋"/>
          <w:b/>
          <w:bCs/>
          <w:sz w:val="40"/>
          <w:szCs w:val="40"/>
        </w:rPr>
      </w:pPr>
    </w:p>
    <w:p w14:paraId="2FBEF439">
      <w:pPr>
        <w:spacing w:line="360" w:lineRule="auto"/>
        <w:ind w:firstLine="1205" w:firstLineChars="300"/>
        <w:rPr>
          <w:rFonts w:ascii="仿宋" w:hAnsi="仿宋" w:eastAsia="仿宋" w:cs="仿宋"/>
          <w:b/>
          <w:bCs/>
          <w:sz w:val="40"/>
          <w:szCs w:val="40"/>
        </w:rPr>
      </w:pPr>
    </w:p>
    <w:p w14:paraId="6E4B2CD9">
      <w:pPr>
        <w:spacing w:line="360" w:lineRule="auto"/>
        <w:ind w:firstLine="1205" w:firstLineChars="300"/>
        <w:rPr>
          <w:rFonts w:ascii="仿宋" w:hAnsi="仿宋" w:eastAsia="仿宋" w:cs="仿宋"/>
          <w:b/>
          <w:bCs/>
          <w:sz w:val="40"/>
          <w:szCs w:val="40"/>
        </w:rPr>
      </w:pPr>
    </w:p>
    <w:p w14:paraId="3B1F6C3C">
      <w:pPr>
        <w:jc w:val="center"/>
        <w:rPr>
          <w:rFonts w:hint="eastAsia" w:ascii="仿宋" w:hAnsi="仿宋" w:eastAsia="仿宋" w:cs="仿宋"/>
          <w:b/>
          <w:bCs/>
          <w:sz w:val="40"/>
          <w:szCs w:val="40"/>
          <w:lang w:eastAsia="zh-CN"/>
        </w:rPr>
      </w:pPr>
      <w:r>
        <w:rPr>
          <w:rFonts w:ascii="仿宋" w:hAnsi="仿宋" w:eastAsia="仿宋" w:cs="仿宋"/>
          <w:b/>
          <w:bCs/>
          <w:sz w:val="40"/>
          <w:szCs w:val="40"/>
        </w:rPr>
        <w:t>项目</w:t>
      </w:r>
      <w:r>
        <w:rPr>
          <w:rFonts w:ascii="仿宋" w:hAnsi="仿宋" w:eastAsia="仿宋" w:cs="仿宋"/>
          <w:b/>
          <w:bCs/>
          <w:color w:val="auto"/>
          <w:sz w:val="40"/>
          <w:szCs w:val="40"/>
        </w:rPr>
        <w:t>名称：</w:t>
      </w:r>
      <w:r>
        <w:rPr>
          <w:rFonts w:hint="eastAsia" w:ascii="仿宋" w:hAnsi="仿宋" w:eastAsia="仿宋" w:cs="仿宋"/>
          <w:b/>
          <w:bCs/>
          <w:color w:val="auto"/>
          <w:sz w:val="40"/>
          <w:szCs w:val="40"/>
          <w:lang w:eastAsia="zh-CN"/>
        </w:rPr>
        <w:t>2026年保安服务外包项目</w:t>
      </w:r>
    </w:p>
    <w:p w14:paraId="05CD301A">
      <w:pPr>
        <w:ind w:firstLine="1205" w:firstLineChars="300"/>
        <w:rPr>
          <w:rFonts w:hint="eastAsia" w:ascii="仿宋" w:hAnsi="仿宋" w:eastAsia="仿宋" w:cs="仿宋"/>
          <w:b/>
          <w:bCs/>
          <w:sz w:val="40"/>
          <w:szCs w:val="40"/>
        </w:rPr>
      </w:pPr>
    </w:p>
    <w:p w14:paraId="06C6D29B">
      <w:pPr>
        <w:ind w:firstLine="1205" w:firstLineChars="300"/>
        <w:rPr>
          <w:rFonts w:hint="eastAsia" w:ascii="仿宋" w:hAnsi="仿宋" w:eastAsia="仿宋" w:cs="仿宋"/>
          <w:b/>
          <w:bCs/>
          <w:sz w:val="40"/>
          <w:szCs w:val="40"/>
          <w:lang w:val="en-US" w:eastAsia="zh-CN"/>
        </w:rPr>
      </w:pPr>
      <w:r>
        <w:rPr>
          <w:rFonts w:hint="eastAsia" w:ascii="仿宋" w:hAnsi="仿宋" w:eastAsia="仿宋" w:cs="仿宋"/>
          <w:b/>
          <w:bCs/>
          <w:sz w:val="40"/>
          <w:szCs w:val="40"/>
        </w:rPr>
        <w:t>项目编号：</w:t>
      </w:r>
      <w:r>
        <w:rPr>
          <w:rFonts w:hint="eastAsia" w:ascii="仿宋" w:hAnsi="仿宋" w:eastAsia="仿宋" w:cs="仿宋"/>
          <w:b/>
          <w:bCs/>
          <w:sz w:val="40"/>
          <w:szCs w:val="40"/>
          <w:lang w:val="en-US" w:eastAsia="zh-CN"/>
        </w:rPr>
        <w:t>NJDCX-202512051928</w:t>
      </w:r>
    </w:p>
    <w:p w14:paraId="6F6BA97C">
      <w:pPr>
        <w:ind w:firstLine="1205" w:firstLineChars="300"/>
        <w:rPr>
          <w:rFonts w:hint="default" w:ascii="仿宋" w:hAnsi="仿宋" w:eastAsia="仿宋" w:cs="仿宋"/>
          <w:b/>
          <w:bCs/>
          <w:sz w:val="40"/>
          <w:szCs w:val="40"/>
          <w:lang w:val="en-US" w:eastAsia="zh-CN"/>
        </w:rPr>
      </w:pPr>
      <w:r>
        <w:rPr>
          <w:rFonts w:hint="eastAsia" w:ascii="仿宋" w:hAnsi="仿宋" w:eastAsia="仿宋" w:cs="仿宋"/>
          <w:b/>
          <w:bCs/>
          <w:sz w:val="40"/>
          <w:szCs w:val="40"/>
          <w:lang w:val="en-US" w:eastAsia="zh-CN"/>
        </w:rPr>
        <w:t xml:space="preserve">                                                                                                                                                                                                                                                                                                                                                                                                                                                                                                                                                                                                                                                                                                                                                                                             </w:t>
      </w:r>
    </w:p>
    <w:p w14:paraId="049BA716">
      <w:pPr>
        <w:spacing w:line="720" w:lineRule="auto"/>
        <w:jc w:val="center"/>
        <w:rPr>
          <w:rFonts w:ascii="仿宋" w:hAnsi="仿宋" w:eastAsia="仿宋" w:cs="仿宋"/>
          <w:b/>
          <w:bCs/>
          <w:sz w:val="40"/>
          <w:szCs w:val="40"/>
        </w:rPr>
      </w:pPr>
    </w:p>
    <w:p w14:paraId="7067167D">
      <w:pPr>
        <w:rPr>
          <w:rFonts w:ascii="仿宋" w:hAnsi="仿宋" w:eastAsia="仿宋" w:cs="仿宋"/>
          <w:sz w:val="32"/>
          <w:szCs w:val="32"/>
        </w:rPr>
      </w:pPr>
    </w:p>
    <w:p w14:paraId="7491B84E">
      <w:pPr>
        <w:pStyle w:val="21"/>
        <w:spacing w:line="500" w:lineRule="exact"/>
        <w:ind w:left="0" w:leftChars="0" w:right="105" w:rightChars="50" w:firstLine="0" w:firstLineChars="0"/>
        <w:jc w:val="both"/>
        <w:rPr>
          <w:rFonts w:hint="eastAsia" w:ascii="仿宋" w:hAnsi="仿宋" w:eastAsia="仿宋" w:cs="仿宋"/>
          <w:b/>
          <w:bCs/>
          <w:sz w:val="36"/>
          <w:szCs w:val="36"/>
        </w:rPr>
      </w:pPr>
    </w:p>
    <w:p w14:paraId="593B630B">
      <w:pPr>
        <w:pStyle w:val="21"/>
        <w:spacing w:line="500" w:lineRule="exact"/>
        <w:ind w:left="0" w:leftChars="0" w:right="105" w:rightChars="50" w:firstLine="0" w:firstLineChars="0"/>
        <w:jc w:val="center"/>
        <w:rPr>
          <w:rFonts w:hint="eastAsia" w:ascii="仿宋" w:hAnsi="仿宋" w:eastAsia="仿宋" w:cs="仿宋"/>
          <w:b/>
          <w:bCs/>
          <w:sz w:val="36"/>
          <w:szCs w:val="36"/>
          <w:lang w:eastAsia="zh-CN"/>
        </w:rPr>
      </w:pPr>
      <w:r>
        <w:rPr>
          <w:rFonts w:hint="eastAsia" w:ascii="仿宋" w:hAnsi="仿宋" w:eastAsia="仿宋" w:cs="仿宋"/>
          <w:b/>
          <w:bCs/>
          <w:sz w:val="36"/>
          <w:szCs w:val="36"/>
        </w:rPr>
        <w:t>采购人：</w:t>
      </w:r>
      <w:bookmarkStart w:id="0" w:name="OLE_LINK2"/>
      <w:r>
        <w:rPr>
          <w:rFonts w:hint="eastAsia" w:ascii="仿宋" w:hAnsi="仿宋" w:eastAsia="仿宋" w:cs="仿宋"/>
          <w:b/>
          <w:bCs/>
          <w:sz w:val="36"/>
          <w:szCs w:val="36"/>
          <w:lang w:eastAsia="zh-CN"/>
        </w:rPr>
        <w:t>南京市秦淮区人民政府大光路</w:t>
      </w:r>
      <w:r>
        <w:rPr>
          <w:rFonts w:hint="eastAsia" w:ascii="仿宋" w:hAnsi="仿宋" w:eastAsia="仿宋" w:cs="仿宋"/>
          <w:b/>
          <w:bCs/>
          <w:color w:val="auto"/>
          <w:sz w:val="36"/>
          <w:szCs w:val="36"/>
          <w:highlight w:val="none"/>
          <w:lang w:val="en-US" w:eastAsia="zh-CN"/>
        </w:rPr>
        <w:t>街道</w:t>
      </w:r>
      <w:r>
        <w:rPr>
          <w:rFonts w:hint="eastAsia" w:ascii="仿宋" w:hAnsi="仿宋" w:eastAsia="仿宋" w:cs="仿宋"/>
          <w:b/>
          <w:bCs/>
          <w:color w:val="auto"/>
          <w:sz w:val="36"/>
          <w:szCs w:val="36"/>
          <w:highlight w:val="none"/>
          <w:lang w:eastAsia="zh-CN"/>
        </w:rPr>
        <w:t>办事处</w:t>
      </w:r>
    </w:p>
    <w:bookmarkEnd w:id="0"/>
    <w:p w14:paraId="74C29FD0">
      <w:pPr>
        <w:pStyle w:val="21"/>
        <w:spacing w:line="500" w:lineRule="exact"/>
        <w:ind w:left="105" w:leftChars="50" w:right="105" w:rightChars="50" w:firstLine="0"/>
        <w:jc w:val="center"/>
        <w:rPr>
          <w:rFonts w:hint="eastAsia" w:ascii="仿宋" w:hAnsi="仿宋" w:eastAsia="仿宋" w:cs="仿宋"/>
          <w:sz w:val="36"/>
          <w:szCs w:val="36"/>
          <w:lang w:eastAsia="zh-CN"/>
        </w:rPr>
      </w:pPr>
      <w:r>
        <w:rPr>
          <w:rFonts w:hint="eastAsia" w:ascii="仿宋" w:hAnsi="仿宋" w:eastAsia="仿宋" w:cs="仿宋"/>
          <w:b/>
          <w:bCs/>
          <w:sz w:val="36"/>
          <w:szCs w:val="36"/>
        </w:rPr>
        <w:t>代理机构：</w:t>
      </w:r>
      <w:r>
        <w:rPr>
          <w:rFonts w:hint="eastAsia" w:ascii="仿宋" w:hAnsi="仿宋" w:eastAsia="仿宋" w:cs="仿宋"/>
          <w:b/>
          <w:bCs/>
          <w:sz w:val="36"/>
          <w:szCs w:val="36"/>
          <w:lang w:eastAsia="zh-CN"/>
        </w:rPr>
        <w:t>南京达琛鑫工程咨询有限公司</w:t>
      </w:r>
    </w:p>
    <w:p w14:paraId="49E664CB">
      <w:pPr>
        <w:jc w:val="center"/>
        <w:rPr>
          <w:rFonts w:ascii="仿宋" w:hAnsi="仿宋" w:eastAsia="仿宋" w:cs="仿宋"/>
          <w:b/>
          <w:bCs/>
          <w:sz w:val="36"/>
          <w:szCs w:val="36"/>
        </w:rPr>
      </w:pPr>
    </w:p>
    <w:p w14:paraId="56D6EB16">
      <w:pPr>
        <w:jc w:val="center"/>
        <w:rPr>
          <w:rFonts w:ascii="仿宋" w:hAnsi="仿宋" w:eastAsia="仿宋" w:cs="仿宋"/>
          <w:sz w:val="36"/>
          <w:szCs w:val="36"/>
        </w:rPr>
        <w:sectPr>
          <w:headerReference r:id="rId4" w:type="first"/>
          <w:headerReference r:id="rId3" w:type="default"/>
          <w:pgSz w:w="11906" w:h="16838"/>
          <w:pgMar w:top="1440" w:right="1800" w:bottom="1440" w:left="1800" w:header="851" w:footer="992" w:gutter="0"/>
          <w:cols w:space="720" w:num="1"/>
          <w:docGrid w:type="lines" w:linePitch="312" w:charSpace="0"/>
        </w:sectPr>
      </w:pPr>
      <w:r>
        <w:rPr>
          <w:rFonts w:hint="eastAsia" w:ascii="仿宋" w:hAnsi="仿宋" w:eastAsia="仿宋" w:cs="仿宋"/>
          <w:b/>
          <w:bCs/>
          <w:sz w:val="36"/>
          <w:szCs w:val="36"/>
        </w:rPr>
        <w:t xml:space="preserve">    二 ○ 二 </w:t>
      </w:r>
      <w:r>
        <w:rPr>
          <w:rFonts w:hint="eastAsia" w:ascii="仿宋" w:hAnsi="仿宋" w:eastAsia="仿宋" w:cs="仿宋"/>
          <w:b/>
          <w:bCs/>
          <w:sz w:val="36"/>
          <w:szCs w:val="36"/>
          <w:lang w:val="en-US" w:eastAsia="zh-CN"/>
        </w:rPr>
        <w:t>五</w:t>
      </w:r>
      <w:r>
        <w:rPr>
          <w:rFonts w:hint="eastAsia" w:ascii="仿宋" w:hAnsi="仿宋" w:eastAsia="仿宋" w:cs="仿宋"/>
          <w:b/>
          <w:bCs/>
          <w:sz w:val="36"/>
          <w:szCs w:val="36"/>
        </w:rPr>
        <w:t xml:space="preserve"> 年 </w:t>
      </w:r>
      <w:r>
        <w:rPr>
          <w:rFonts w:hint="eastAsia" w:ascii="仿宋" w:hAnsi="仿宋" w:eastAsia="仿宋" w:cs="仿宋"/>
          <w:b/>
          <w:bCs/>
          <w:sz w:val="36"/>
          <w:szCs w:val="36"/>
          <w:lang w:val="en-US" w:eastAsia="zh-CN"/>
        </w:rPr>
        <w:t>十 二</w:t>
      </w:r>
      <w:r>
        <w:rPr>
          <w:rFonts w:hint="eastAsia" w:ascii="仿宋" w:hAnsi="仿宋" w:eastAsia="仿宋" w:cs="仿宋"/>
          <w:b/>
          <w:bCs/>
          <w:sz w:val="36"/>
          <w:szCs w:val="36"/>
        </w:rPr>
        <w:t xml:space="preserve"> 月</w:t>
      </w:r>
    </w:p>
    <w:p w14:paraId="3CBCB96E">
      <w:pPr>
        <w:rPr>
          <w:rFonts w:ascii="仿宋" w:hAnsi="仿宋" w:eastAsia="仿宋" w:cs="仿宋"/>
          <w:b/>
          <w:sz w:val="36"/>
          <w:szCs w:val="36"/>
        </w:rPr>
      </w:pPr>
    </w:p>
    <w:p w14:paraId="302E1D0E">
      <w:pPr>
        <w:jc w:val="center"/>
        <w:rPr>
          <w:rFonts w:ascii="仿宋" w:hAnsi="仿宋" w:eastAsia="仿宋" w:cs="仿宋"/>
          <w:b/>
          <w:sz w:val="36"/>
          <w:szCs w:val="36"/>
        </w:rPr>
      </w:pPr>
      <w:r>
        <w:rPr>
          <w:rFonts w:hint="eastAsia" w:ascii="仿宋" w:hAnsi="仿宋" w:eastAsia="仿宋" w:cs="仿宋"/>
          <w:b/>
          <w:sz w:val="36"/>
          <w:szCs w:val="36"/>
        </w:rPr>
        <w:t>目   录</w:t>
      </w:r>
    </w:p>
    <w:p w14:paraId="7614C716">
      <w:pPr>
        <w:pStyle w:val="15"/>
        <w:tabs>
          <w:tab w:val="right" w:leader="dot" w:pos="9746"/>
          <w:tab w:val="clear" w:pos="8296"/>
        </w:tabs>
      </w:pPr>
      <w:bookmarkStart w:id="1" w:name="_Toc9694"/>
      <w:bookmarkStart w:id="2" w:name="_Toc24375"/>
      <w:bookmarkStart w:id="3" w:name="_Toc78882126"/>
      <w:bookmarkStart w:id="4" w:name="_Toc449081328"/>
      <w:bookmarkStart w:id="5" w:name="_Toc76893583"/>
      <w:bookmarkStart w:id="6" w:name="_Toc479456119"/>
      <w:r>
        <w:rPr>
          <w:rFonts w:hint="eastAsia" w:ascii="仿宋" w:hAnsi="仿宋" w:eastAsia="仿宋" w:cs="仿宋"/>
          <w:sz w:val="24"/>
          <w:szCs w:val="22"/>
        </w:rPr>
        <w:fldChar w:fldCharType="begin"/>
      </w:r>
      <w:r>
        <w:rPr>
          <w:rFonts w:hint="eastAsia" w:ascii="仿宋" w:hAnsi="仿宋" w:eastAsia="仿宋" w:cs="仿宋"/>
          <w:sz w:val="24"/>
          <w:szCs w:val="22"/>
        </w:rPr>
        <w:instrText xml:space="preserve">TOC \o "1-1" \h \u </w:instrText>
      </w:r>
      <w:r>
        <w:rPr>
          <w:rFonts w:hint="eastAsia" w:ascii="仿宋" w:hAnsi="仿宋" w:eastAsia="仿宋" w:cs="仿宋"/>
          <w:sz w:val="24"/>
          <w:szCs w:val="22"/>
        </w:rPr>
        <w:fldChar w:fldCharType="separate"/>
      </w:r>
      <w:r>
        <w:fldChar w:fldCharType="begin"/>
      </w:r>
      <w:r>
        <w:instrText xml:space="preserve"> HYPERLINK \l "_Toc9408" </w:instrText>
      </w:r>
      <w:r>
        <w:fldChar w:fldCharType="separate"/>
      </w:r>
      <w:r>
        <w:rPr>
          <w:rFonts w:hint="eastAsia" w:ascii="仿宋" w:hAnsi="仿宋" w:eastAsia="仿宋" w:cs="仿宋"/>
          <w:szCs w:val="48"/>
        </w:rPr>
        <w:t>第一章 谈判邀请</w:t>
      </w:r>
      <w:r>
        <w:tab/>
      </w:r>
      <w:r>
        <w:fldChar w:fldCharType="begin"/>
      </w:r>
      <w:r>
        <w:instrText xml:space="preserve"> PAGEREF _Toc9408 \h </w:instrText>
      </w:r>
      <w:r>
        <w:fldChar w:fldCharType="separate"/>
      </w:r>
      <w:r>
        <w:t>1</w:t>
      </w:r>
      <w:r>
        <w:fldChar w:fldCharType="end"/>
      </w:r>
      <w:r>
        <w:fldChar w:fldCharType="end"/>
      </w:r>
    </w:p>
    <w:p w14:paraId="71A5A3A7">
      <w:pPr>
        <w:pStyle w:val="15"/>
        <w:tabs>
          <w:tab w:val="right" w:leader="dot" w:pos="9746"/>
          <w:tab w:val="clear" w:pos="8296"/>
        </w:tabs>
      </w:pPr>
      <w:r>
        <w:fldChar w:fldCharType="begin"/>
      </w:r>
      <w:r>
        <w:instrText xml:space="preserve"> HYPERLINK \l "_Toc7364" </w:instrText>
      </w:r>
      <w:r>
        <w:fldChar w:fldCharType="separate"/>
      </w:r>
      <w:r>
        <w:rPr>
          <w:rFonts w:hint="eastAsia" w:ascii="仿宋" w:hAnsi="仿宋" w:eastAsia="仿宋" w:cs="仿宋"/>
          <w:szCs w:val="48"/>
        </w:rPr>
        <w:t>第二章 谈判须知</w:t>
      </w:r>
      <w:r>
        <w:tab/>
      </w:r>
      <w:r>
        <w:fldChar w:fldCharType="begin"/>
      </w:r>
      <w:r>
        <w:instrText xml:space="preserve"> PAGEREF _Toc7364 \h </w:instrText>
      </w:r>
      <w:r>
        <w:fldChar w:fldCharType="separate"/>
      </w:r>
      <w:r>
        <w:t>5</w:t>
      </w:r>
      <w:r>
        <w:fldChar w:fldCharType="end"/>
      </w:r>
      <w:r>
        <w:fldChar w:fldCharType="end"/>
      </w:r>
    </w:p>
    <w:p w14:paraId="49043D6D">
      <w:pPr>
        <w:pStyle w:val="15"/>
        <w:tabs>
          <w:tab w:val="right" w:leader="dot" w:pos="9746"/>
          <w:tab w:val="clear" w:pos="8296"/>
        </w:tabs>
      </w:pPr>
      <w:r>
        <w:fldChar w:fldCharType="begin"/>
      </w:r>
      <w:r>
        <w:instrText xml:space="preserve"> HYPERLINK \l "_Toc22025" </w:instrText>
      </w:r>
      <w:r>
        <w:fldChar w:fldCharType="separate"/>
      </w:r>
      <w:r>
        <w:rPr>
          <w:rFonts w:hint="eastAsia" w:ascii="仿宋" w:hAnsi="仿宋" w:eastAsia="仿宋" w:cs="仿宋"/>
          <w:szCs w:val="48"/>
        </w:rPr>
        <w:t>第三章 合同条款及格式</w:t>
      </w:r>
      <w:r>
        <w:tab/>
      </w:r>
      <w:r>
        <w:fldChar w:fldCharType="begin"/>
      </w:r>
      <w:r>
        <w:instrText xml:space="preserve"> PAGEREF _Toc22025 \h </w:instrText>
      </w:r>
      <w:r>
        <w:fldChar w:fldCharType="separate"/>
      </w:r>
      <w:r>
        <w:t>20</w:t>
      </w:r>
      <w:r>
        <w:fldChar w:fldCharType="end"/>
      </w:r>
      <w:r>
        <w:fldChar w:fldCharType="end"/>
      </w:r>
    </w:p>
    <w:p w14:paraId="7D433DCE">
      <w:pPr>
        <w:pStyle w:val="15"/>
        <w:tabs>
          <w:tab w:val="right" w:leader="dot" w:pos="9746"/>
          <w:tab w:val="clear" w:pos="8296"/>
        </w:tabs>
      </w:pPr>
      <w:r>
        <w:fldChar w:fldCharType="begin"/>
      </w:r>
      <w:r>
        <w:instrText xml:space="preserve"> HYPERLINK \l "_Toc12730" </w:instrText>
      </w:r>
      <w:r>
        <w:fldChar w:fldCharType="separate"/>
      </w:r>
      <w:r>
        <w:rPr>
          <w:rFonts w:hint="eastAsia" w:ascii="仿宋" w:hAnsi="仿宋" w:eastAsia="仿宋" w:cs="仿宋"/>
          <w:szCs w:val="48"/>
        </w:rPr>
        <w:t>第四章 项目需求</w:t>
      </w:r>
      <w:r>
        <w:tab/>
      </w:r>
      <w:r>
        <w:fldChar w:fldCharType="begin"/>
      </w:r>
      <w:r>
        <w:instrText xml:space="preserve"> PAGEREF _Toc12730 \h </w:instrText>
      </w:r>
      <w:r>
        <w:fldChar w:fldCharType="separate"/>
      </w:r>
      <w:r>
        <w:t>22</w:t>
      </w:r>
      <w:r>
        <w:fldChar w:fldCharType="end"/>
      </w:r>
      <w:r>
        <w:fldChar w:fldCharType="end"/>
      </w:r>
    </w:p>
    <w:p w14:paraId="66AFBC0C">
      <w:pPr>
        <w:pStyle w:val="15"/>
        <w:tabs>
          <w:tab w:val="right" w:leader="dot" w:pos="9746"/>
          <w:tab w:val="clear" w:pos="8296"/>
        </w:tabs>
      </w:pPr>
      <w:r>
        <w:fldChar w:fldCharType="begin"/>
      </w:r>
      <w:r>
        <w:instrText xml:space="preserve"> HYPERLINK \l "_Toc4360" </w:instrText>
      </w:r>
      <w:r>
        <w:fldChar w:fldCharType="separate"/>
      </w:r>
      <w:r>
        <w:rPr>
          <w:rFonts w:hint="eastAsia" w:ascii="仿宋" w:hAnsi="仿宋" w:eastAsia="仿宋" w:cs="仿宋"/>
          <w:szCs w:val="48"/>
        </w:rPr>
        <w:t>第五章 响应文件的组成和格式</w:t>
      </w:r>
      <w:r>
        <w:tab/>
      </w:r>
      <w:r>
        <w:fldChar w:fldCharType="begin"/>
      </w:r>
      <w:r>
        <w:instrText xml:space="preserve"> PAGEREF _Toc4360 \h </w:instrText>
      </w:r>
      <w:r>
        <w:fldChar w:fldCharType="separate"/>
      </w:r>
      <w:r>
        <w:t>24</w:t>
      </w:r>
      <w:r>
        <w:fldChar w:fldCharType="end"/>
      </w:r>
      <w:r>
        <w:fldChar w:fldCharType="end"/>
      </w:r>
    </w:p>
    <w:p w14:paraId="1D77B0C1">
      <w:pPr>
        <w:pStyle w:val="15"/>
        <w:tabs>
          <w:tab w:val="right" w:leader="dot" w:pos="9451"/>
          <w:tab w:val="clear" w:pos="8296"/>
        </w:tabs>
        <w:spacing w:line="360" w:lineRule="auto"/>
        <w:rPr>
          <w:rFonts w:ascii="仿宋" w:hAnsi="仿宋" w:eastAsia="仿宋" w:cs="仿宋"/>
          <w:sz w:val="24"/>
          <w:szCs w:val="22"/>
        </w:rPr>
        <w:sectPr>
          <w:headerReference r:id="rId5" w:type="default"/>
          <w:footerReference r:id="rId6" w:type="default"/>
          <w:pgSz w:w="11906" w:h="16838"/>
          <w:pgMar w:top="1440" w:right="1080" w:bottom="1440" w:left="1080" w:header="1020" w:footer="907" w:gutter="0"/>
          <w:pgNumType w:start="1"/>
          <w:cols w:space="0" w:num="1"/>
          <w:docGrid w:type="lines" w:linePitch="286" w:charSpace="0"/>
        </w:sectPr>
      </w:pPr>
      <w:r>
        <w:rPr>
          <w:rFonts w:hint="eastAsia" w:ascii="仿宋" w:hAnsi="仿宋" w:eastAsia="仿宋" w:cs="仿宋"/>
          <w:szCs w:val="22"/>
        </w:rPr>
        <w:fldChar w:fldCharType="end"/>
      </w:r>
    </w:p>
    <w:p w14:paraId="54E5A980">
      <w:pPr>
        <w:pStyle w:val="3"/>
        <w:numPr>
          <w:ilvl w:val="0"/>
          <w:numId w:val="1"/>
        </w:numPr>
        <w:jc w:val="center"/>
        <w:rPr>
          <w:rFonts w:ascii="仿宋" w:hAnsi="仿宋" w:eastAsia="仿宋" w:cs="仿宋"/>
          <w:sz w:val="48"/>
          <w:szCs w:val="48"/>
        </w:rPr>
      </w:pPr>
      <w:bookmarkStart w:id="7" w:name="_Toc9408"/>
      <w:bookmarkStart w:id="8" w:name="_Toc10598"/>
      <w:r>
        <w:rPr>
          <w:rFonts w:hint="eastAsia" w:ascii="仿宋" w:hAnsi="仿宋" w:eastAsia="仿宋" w:cs="仿宋"/>
          <w:sz w:val="48"/>
          <w:szCs w:val="48"/>
        </w:rPr>
        <w:t>谈判邀请</w:t>
      </w:r>
      <w:bookmarkEnd w:id="1"/>
      <w:bookmarkEnd w:id="2"/>
      <w:bookmarkEnd w:id="7"/>
      <w:bookmarkEnd w:id="8"/>
    </w:p>
    <w:p w14:paraId="3C259A1A">
      <w:pPr>
        <w:snapToGrid w:val="0"/>
        <w:spacing w:line="360" w:lineRule="auto"/>
        <w:ind w:firstLine="480" w:firstLineChars="200"/>
        <w:rPr>
          <w:rFonts w:hint="eastAsia" w:ascii="仿宋" w:hAnsi="仿宋" w:eastAsia="仿宋" w:cs="仿宋"/>
          <w:b/>
          <w:bCs/>
          <w:sz w:val="24"/>
          <w:szCs w:val="24"/>
        </w:rPr>
      </w:pPr>
      <w:r>
        <w:rPr>
          <w:rFonts w:hint="eastAsia" w:ascii="仿宋" w:hAnsi="仿宋" w:eastAsia="仿宋" w:cs="仿宋"/>
          <w:color w:val="auto"/>
          <w:sz w:val="24"/>
          <w:lang w:eastAsia="zh-CN"/>
        </w:rPr>
        <w:t>南京达琛鑫工程咨询有限公司</w:t>
      </w:r>
      <w:r>
        <w:rPr>
          <w:rFonts w:hint="eastAsia" w:ascii="仿宋" w:hAnsi="仿宋" w:eastAsia="仿宋" w:cs="仿宋"/>
          <w:color w:val="auto"/>
          <w:sz w:val="24"/>
        </w:rPr>
        <w:t>受</w:t>
      </w:r>
      <w:r>
        <w:rPr>
          <w:rFonts w:hint="eastAsia" w:ascii="仿宋" w:hAnsi="仿宋" w:eastAsia="仿宋" w:cs="仿宋"/>
          <w:b/>
          <w:bCs/>
          <w:color w:val="auto"/>
          <w:sz w:val="24"/>
          <w:lang w:eastAsia="zh-CN"/>
        </w:rPr>
        <w:t>南京市秦淮区人民政府大光路</w:t>
      </w:r>
      <w:r>
        <w:rPr>
          <w:rFonts w:hint="eastAsia" w:ascii="仿宋" w:hAnsi="仿宋" w:eastAsia="仿宋" w:cs="仿宋"/>
          <w:b/>
          <w:bCs/>
          <w:color w:val="auto"/>
          <w:sz w:val="24"/>
          <w:highlight w:val="none"/>
          <w:lang w:val="en-US" w:eastAsia="zh-CN"/>
        </w:rPr>
        <w:t>街道</w:t>
      </w:r>
      <w:r>
        <w:rPr>
          <w:rFonts w:hint="eastAsia" w:ascii="仿宋" w:hAnsi="仿宋" w:eastAsia="仿宋" w:cs="仿宋"/>
          <w:b/>
          <w:bCs/>
          <w:color w:val="auto"/>
          <w:sz w:val="24"/>
          <w:highlight w:val="none"/>
          <w:lang w:eastAsia="zh-CN"/>
        </w:rPr>
        <w:t>办事处</w:t>
      </w:r>
      <w:r>
        <w:rPr>
          <w:rFonts w:hint="eastAsia" w:ascii="仿宋" w:hAnsi="仿宋" w:eastAsia="仿宋" w:cs="仿宋"/>
          <w:color w:val="auto"/>
          <w:sz w:val="24"/>
          <w:highlight w:val="none"/>
        </w:rPr>
        <w:t>的委托，决定就</w:t>
      </w:r>
      <w:r>
        <w:rPr>
          <w:rFonts w:hint="eastAsia" w:ascii="仿宋" w:hAnsi="仿宋" w:eastAsia="仿宋" w:cs="仿宋"/>
          <w:b/>
          <w:bCs/>
          <w:color w:val="auto"/>
          <w:sz w:val="24"/>
          <w:highlight w:val="none"/>
          <w:lang w:eastAsia="zh-CN"/>
        </w:rPr>
        <w:t>2026年保安服务外包项目</w:t>
      </w:r>
      <w:r>
        <w:rPr>
          <w:rFonts w:hint="eastAsia" w:ascii="仿宋" w:hAnsi="仿宋" w:eastAsia="仿宋" w:cs="仿宋"/>
          <w:color w:val="auto"/>
          <w:sz w:val="24"/>
          <w:highlight w:val="none"/>
        </w:rPr>
        <w:t>实施</w:t>
      </w:r>
      <w:r>
        <w:rPr>
          <w:rFonts w:hint="eastAsia" w:ascii="仿宋" w:hAnsi="仿宋" w:eastAsia="仿宋" w:cs="仿宋"/>
          <w:b/>
          <w:bCs/>
          <w:color w:val="auto"/>
          <w:sz w:val="24"/>
          <w:highlight w:val="none"/>
        </w:rPr>
        <w:t>竞争性谈判</w:t>
      </w:r>
      <w:r>
        <w:rPr>
          <w:rFonts w:hint="eastAsia" w:ascii="仿宋" w:hAnsi="仿宋" w:eastAsia="仿宋" w:cs="仿宋"/>
          <w:color w:val="auto"/>
          <w:sz w:val="24"/>
          <w:highlight w:val="none"/>
        </w:rPr>
        <w:t>采购，兹邀请符合条件的供应商参加</w:t>
      </w:r>
      <w:r>
        <w:rPr>
          <w:rFonts w:hint="eastAsia" w:ascii="仿宋" w:hAnsi="仿宋" w:eastAsia="仿宋" w:cs="仿宋"/>
          <w:color w:val="auto"/>
          <w:sz w:val="24"/>
        </w:rPr>
        <w:t>报价及谈判</w:t>
      </w:r>
      <w:r>
        <w:rPr>
          <w:rFonts w:hint="eastAsia" w:ascii="仿宋" w:hAnsi="仿宋" w:eastAsia="仿宋" w:cs="仿宋"/>
          <w:sz w:val="24"/>
          <w:szCs w:val="24"/>
        </w:rPr>
        <w:t>。</w:t>
      </w:r>
    </w:p>
    <w:p w14:paraId="099599D6">
      <w:pPr>
        <w:pBdr>
          <w:top w:val="single" w:color="auto" w:sz="4" w:space="1"/>
          <w:left w:val="single" w:color="auto" w:sz="4" w:space="0"/>
          <w:bottom w:val="single" w:color="auto" w:sz="4" w:space="1"/>
          <w:right w:val="single" w:color="auto" w:sz="4" w:space="4"/>
        </w:pBdr>
        <w:rPr>
          <w:rFonts w:hint="eastAsia" w:ascii="仿宋" w:hAnsi="仿宋" w:eastAsia="仿宋" w:cs="仿宋"/>
          <w:b/>
          <w:bCs/>
          <w:sz w:val="24"/>
          <w:szCs w:val="24"/>
        </w:rPr>
      </w:pPr>
      <w:r>
        <w:rPr>
          <w:rFonts w:hint="eastAsia" w:ascii="仿宋" w:hAnsi="仿宋" w:eastAsia="仿宋" w:cs="仿宋"/>
          <w:b/>
          <w:bCs/>
          <w:sz w:val="24"/>
          <w:szCs w:val="24"/>
        </w:rPr>
        <w:t>项目概况</w:t>
      </w:r>
    </w:p>
    <w:p w14:paraId="4B3B57AC">
      <w:pPr>
        <w:pBdr>
          <w:top w:val="single" w:color="auto" w:sz="4" w:space="1"/>
          <w:left w:val="single" w:color="auto" w:sz="4" w:space="0"/>
          <w:bottom w:val="single" w:color="auto" w:sz="4" w:space="1"/>
          <w:right w:val="single" w:color="auto" w:sz="4" w:space="4"/>
        </w:pBdr>
        <w:ind w:firstLine="482" w:firstLineChars="200"/>
        <w:rPr>
          <w:rFonts w:hint="eastAsia" w:ascii="仿宋" w:hAnsi="仿宋" w:eastAsia="仿宋" w:cs="仿宋"/>
          <w:sz w:val="24"/>
          <w:szCs w:val="24"/>
        </w:rPr>
      </w:pPr>
      <w:r>
        <w:rPr>
          <w:rFonts w:hint="eastAsia" w:ascii="仿宋" w:hAnsi="仿宋" w:eastAsia="仿宋" w:cs="仿宋"/>
          <w:b/>
          <w:bCs/>
          <w:sz w:val="24"/>
          <w:szCs w:val="24"/>
          <w:u w:val="single"/>
          <w:lang w:eastAsia="zh-CN"/>
        </w:rPr>
        <w:t>2026年保安服务外包项目</w:t>
      </w:r>
      <w:r>
        <w:rPr>
          <w:rFonts w:hint="eastAsia" w:ascii="仿宋" w:hAnsi="仿宋" w:eastAsia="仿宋" w:cs="仿宋"/>
          <w:sz w:val="24"/>
          <w:szCs w:val="24"/>
        </w:rPr>
        <w:t>的潜在供应商应在</w:t>
      </w:r>
      <w:r>
        <w:rPr>
          <w:rFonts w:hint="eastAsia" w:ascii="仿宋" w:hAnsi="仿宋" w:eastAsia="仿宋" w:cs="仿宋"/>
          <w:sz w:val="24"/>
          <w:szCs w:val="24"/>
          <w:u w:val="single"/>
          <w:lang w:eastAsia="zh-CN"/>
        </w:rPr>
        <w:t>南京市秦淮区光华东街6号世界之窗产业园15号楼4楼</w:t>
      </w:r>
      <w:r>
        <w:rPr>
          <w:rFonts w:hint="eastAsia" w:ascii="仿宋" w:hAnsi="仿宋" w:eastAsia="仿宋" w:cs="仿宋"/>
          <w:sz w:val="24"/>
          <w:szCs w:val="24"/>
        </w:rPr>
        <w:t>获取采购文件，并于</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26</w:t>
      </w:r>
      <w:r>
        <w:rPr>
          <w:rFonts w:hint="eastAsia" w:ascii="仿宋" w:hAnsi="仿宋" w:eastAsia="仿宋" w:cs="仿宋"/>
          <w:sz w:val="24"/>
          <w:szCs w:val="24"/>
          <w:u w:val="single"/>
        </w:rPr>
        <w:t>日</w:t>
      </w:r>
      <w:r>
        <w:rPr>
          <w:rFonts w:hint="eastAsia" w:ascii="仿宋" w:hAnsi="仿宋" w:eastAsia="仿宋" w:cs="仿宋"/>
          <w:sz w:val="24"/>
          <w:szCs w:val="24"/>
          <w:u w:val="single"/>
          <w:lang w:val="en-US" w:eastAsia="zh-CN"/>
        </w:rPr>
        <w:t>10</w:t>
      </w:r>
      <w:r>
        <w:rPr>
          <w:rFonts w:hint="eastAsia" w:ascii="仿宋" w:hAnsi="仿宋" w:eastAsia="仿宋" w:cs="仿宋"/>
          <w:sz w:val="24"/>
          <w:szCs w:val="24"/>
          <w:u w:val="single"/>
        </w:rPr>
        <w:t>点</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0分</w:t>
      </w:r>
      <w:r>
        <w:rPr>
          <w:rFonts w:hint="eastAsia" w:ascii="仿宋" w:hAnsi="仿宋" w:eastAsia="仿宋" w:cs="仿宋"/>
          <w:bCs/>
          <w:sz w:val="24"/>
          <w:szCs w:val="24"/>
        </w:rPr>
        <w:t>（北京时间）前提交响应文件</w:t>
      </w:r>
      <w:r>
        <w:rPr>
          <w:rFonts w:hint="eastAsia" w:ascii="仿宋" w:hAnsi="仿宋" w:eastAsia="仿宋" w:cs="仿宋"/>
          <w:sz w:val="24"/>
          <w:szCs w:val="24"/>
        </w:rPr>
        <w:t>。</w:t>
      </w:r>
    </w:p>
    <w:p w14:paraId="3E9F2C6A">
      <w:pPr>
        <w:snapToGrid w:val="0"/>
        <w:spacing w:line="360" w:lineRule="auto"/>
        <w:rPr>
          <w:rFonts w:hint="eastAsia" w:ascii="仿宋" w:hAnsi="仿宋" w:eastAsia="仿宋" w:cs="仿宋"/>
          <w:b/>
        </w:rPr>
      </w:pPr>
    </w:p>
    <w:p w14:paraId="7B77AA8F">
      <w:pPr>
        <w:numPr>
          <w:ilvl w:val="0"/>
          <w:numId w:val="2"/>
        </w:numPr>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项目基本概况</w:t>
      </w:r>
    </w:p>
    <w:p w14:paraId="38D717CD">
      <w:pPr>
        <w:pStyle w:val="30"/>
        <w:numPr>
          <w:ilvl w:val="0"/>
          <w:numId w:val="3"/>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项目编号：</w:t>
      </w:r>
      <w:r>
        <w:rPr>
          <w:rFonts w:hint="eastAsia" w:ascii="仿宋" w:hAnsi="仿宋" w:eastAsia="仿宋" w:cs="仿宋"/>
          <w:sz w:val="24"/>
          <w:szCs w:val="24"/>
          <w:lang w:eastAsia="zh-CN"/>
        </w:rPr>
        <w:t>NJDCX-202512051928</w:t>
      </w:r>
    </w:p>
    <w:p w14:paraId="2EB8E406">
      <w:pPr>
        <w:pStyle w:val="30"/>
        <w:numPr>
          <w:ilvl w:val="0"/>
          <w:numId w:val="3"/>
        </w:numPr>
        <w:spacing w:line="360" w:lineRule="auto"/>
        <w:ind w:firstLineChars="0"/>
        <w:rPr>
          <w:rFonts w:hint="eastAsia" w:ascii="仿宋" w:hAnsi="仿宋" w:eastAsia="仿宋" w:cs="仿宋"/>
          <w:sz w:val="24"/>
          <w:szCs w:val="24"/>
          <w:highlight w:val="none"/>
        </w:rPr>
      </w:pPr>
      <w:r>
        <w:rPr>
          <w:rFonts w:hint="eastAsia" w:ascii="仿宋" w:hAnsi="仿宋" w:eastAsia="仿宋" w:cs="仿宋"/>
          <w:sz w:val="24"/>
          <w:szCs w:val="24"/>
        </w:rPr>
        <w:t>项目名称：</w:t>
      </w:r>
      <w:bookmarkStart w:id="9" w:name="OLE_LINK6"/>
      <w:r>
        <w:rPr>
          <w:rFonts w:hint="eastAsia" w:ascii="仿宋" w:hAnsi="仿宋" w:eastAsia="仿宋" w:cs="仿宋"/>
          <w:sz w:val="24"/>
          <w:szCs w:val="24"/>
          <w:lang w:eastAsia="zh-CN"/>
        </w:rPr>
        <w:t>2026年保安服务外包项目</w:t>
      </w:r>
    </w:p>
    <w:bookmarkEnd w:id="9"/>
    <w:p w14:paraId="061077C6">
      <w:pPr>
        <w:pStyle w:val="30"/>
        <w:numPr>
          <w:ilvl w:val="0"/>
          <w:numId w:val="3"/>
        </w:numPr>
        <w:spacing w:line="360" w:lineRule="auto"/>
        <w:ind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预算金额</w:t>
      </w:r>
      <w:r>
        <w:rPr>
          <w:rFonts w:hint="eastAsia" w:ascii="仿宋" w:hAnsi="仿宋" w:eastAsia="仿宋" w:cs="仿宋"/>
          <w:sz w:val="24"/>
          <w:szCs w:val="24"/>
          <w:highlight w:val="none"/>
          <w:lang w:val="en-US" w:eastAsia="zh-CN"/>
        </w:rPr>
        <w:t>及最高限价</w:t>
      </w:r>
      <w:r>
        <w:rPr>
          <w:rFonts w:hint="eastAsia" w:ascii="仿宋" w:hAnsi="仿宋" w:eastAsia="仿宋" w:cs="仿宋"/>
          <w:sz w:val="24"/>
          <w:szCs w:val="24"/>
          <w:highlight w:val="none"/>
        </w:rPr>
        <w:t>：人民币</w:t>
      </w:r>
      <w:r>
        <w:rPr>
          <w:rFonts w:hint="eastAsia" w:ascii="仿宋" w:hAnsi="仿宋" w:eastAsia="仿宋" w:cs="仿宋"/>
          <w:sz w:val="24"/>
          <w:szCs w:val="24"/>
          <w:highlight w:val="none"/>
          <w:lang w:val="en-US" w:eastAsia="zh-CN"/>
        </w:rPr>
        <w:t>29</w:t>
      </w:r>
      <w:r>
        <w:rPr>
          <w:rFonts w:hint="eastAsia" w:ascii="仿宋" w:hAnsi="仿宋" w:eastAsia="仿宋" w:cs="仿宋"/>
          <w:sz w:val="24"/>
          <w:szCs w:val="24"/>
          <w:highlight w:val="none"/>
          <w:lang w:eastAsia="zh-CN"/>
        </w:rPr>
        <w:t>万</w:t>
      </w:r>
      <w:r>
        <w:rPr>
          <w:rFonts w:hint="eastAsia" w:ascii="仿宋" w:hAnsi="仿宋" w:eastAsia="仿宋" w:cs="仿宋"/>
          <w:sz w:val="24"/>
          <w:szCs w:val="24"/>
          <w:highlight w:val="none"/>
        </w:rPr>
        <w:t>元</w:t>
      </w:r>
      <w:r>
        <w:rPr>
          <w:rFonts w:hint="eastAsia" w:ascii="仿宋" w:hAnsi="仿宋" w:eastAsia="仿宋" w:cs="仿宋"/>
          <w:sz w:val="24"/>
          <w:szCs w:val="24"/>
          <w:highlight w:val="none"/>
          <w:lang w:val="en-US" w:eastAsia="zh-CN"/>
        </w:rPr>
        <w:t>整</w:t>
      </w:r>
    </w:p>
    <w:p w14:paraId="79298504">
      <w:pPr>
        <w:pStyle w:val="30"/>
        <w:spacing w:line="360" w:lineRule="auto"/>
        <w:ind w:left="420" w:firstLine="482"/>
        <w:rPr>
          <w:rFonts w:hint="eastAsia" w:ascii="仿宋" w:hAnsi="仿宋" w:eastAsia="仿宋" w:cs="仿宋"/>
          <w:sz w:val="24"/>
          <w:szCs w:val="24"/>
        </w:rPr>
      </w:pPr>
      <w:r>
        <w:rPr>
          <w:rFonts w:hint="eastAsia" w:ascii="仿宋" w:hAnsi="仿宋" w:eastAsia="仿宋" w:cs="仿宋"/>
          <w:b/>
          <w:bCs/>
          <w:i/>
          <w:iCs/>
          <w:sz w:val="24"/>
          <w:szCs w:val="24"/>
          <w:u w:val="single"/>
        </w:rPr>
        <w:t>最终报价超过政府采购预算和最高限价的为无效报价，按照无效响应处理。</w:t>
      </w:r>
    </w:p>
    <w:p w14:paraId="48E0EB41">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14:textFill>
            <w14:solidFill>
              <w14:schemeClr w14:val="tx1"/>
            </w14:solidFill>
          </w14:textFill>
        </w:rPr>
        <w:t>采购需求（简介）：</w:t>
      </w:r>
      <w:r>
        <w:rPr>
          <w:rFonts w:hint="eastAsia" w:ascii="仿宋" w:hAnsi="仿宋" w:eastAsia="仿宋" w:cs="仿宋"/>
          <w:color w:val="000000" w:themeColor="text1"/>
          <w:sz w:val="24"/>
          <w:szCs w:val="24"/>
          <w:lang w:eastAsia="zh-CN"/>
          <w14:textFill>
            <w14:solidFill>
              <w14:schemeClr w14:val="tx1"/>
            </w14:solidFill>
          </w14:textFill>
        </w:rPr>
        <w:t>南京市秦淮区人民政府大光</w:t>
      </w:r>
      <w:r>
        <w:rPr>
          <w:rFonts w:hint="eastAsia" w:ascii="仿宋" w:hAnsi="仿宋" w:eastAsia="仿宋" w:cs="仿宋"/>
          <w:color w:val="auto"/>
          <w:sz w:val="24"/>
          <w:szCs w:val="24"/>
          <w:highlight w:val="none"/>
          <w:lang w:eastAsia="zh-CN"/>
        </w:rPr>
        <w:t>路</w:t>
      </w:r>
      <w:r>
        <w:rPr>
          <w:rFonts w:hint="eastAsia" w:ascii="仿宋" w:hAnsi="仿宋" w:eastAsia="仿宋" w:cs="仿宋"/>
          <w:color w:val="auto"/>
          <w:sz w:val="24"/>
          <w:szCs w:val="24"/>
          <w:highlight w:val="none"/>
          <w:lang w:val="en-US" w:eastAsia="zh-CN"/>
        </w:rPr>
        <w:t>街道</w:t>
      </w:r>
      <w:r>
        <w:rPr>
          <w:rFonts w:hint="eastAsia" w:ascii="仿宋" w:hAnsi="仿宋" w:eastAsia="仿宋" w:cs="仿宋"/>
          <w:color w:val="auto"/>
          <w:sz w:val="24"/>
          <w:szCs w:val="24"/>
          <w:highlight w:val="none"/>
          <w:lang w:eastAsia="zh-CN"/>
        </w:rPr>
        <w:t>办事处</w:t>
      </w:r>
      <w:r>
        <w:rPr>
          <w:rFonts w:hint="eastAsia" w:ascii="仿宋" w:hAnsi="仿宋" w:eastAsia="仿宋" w:cs="仿宋"/>
          <w:color w:val="auto"/>
          <w:sz w:val="24"/>
          <w:szCs w:val="24"/>
          <w:highlight w:val="none"/>
          <w:lang w:val="en-US" w:eastAsia="zh-CN"/>
        </w:rPr>
        <w:t>拟采购2026年度秦淮区大光路街道办事处</w:t>
      </w:r>
      <w:r>
        <w:rPr>
          <w:rFonts w:hint="eastAsia" w:ascii="仿宋" w:hAnsi="仿宋" w:eastAsia="仿宋" w:cs="仿宋"/>
          <w:color w:val="auto"/>
          <w:sz w:val="24"/>
          <w:szCs w:val="24"/>
          <w:highlight w:val="none"/>
        </w:rPr>
        <w:t>安保服务</w:t>
      </w:r>
      <w:r>
        <w:rPr>
          <w:rFonts w:hint="eastAsia" w:ascii="仿宋" w:hAnsi="仿宋" w:eastAsia="仿宋" w:cs="仿宋"/>
          <w:color w:val="auto"/>
          <w:sz w:val="24"/>
          <w:szCs w:val="32"/>
          <w:highlight w:val="none"/>
          <w:lang w:val="en-US" w:eastAsia="zh-CN"/>
        </w:rPr>
        <w:t>。</w:t>
      </w:r>
    </w:p>
    <w:p w14:paraId="6E33AC1A">
      <w:pPr>
        <w:pStyle w:val="30"/>
        <w:numPr>
          <w:ilvl w:val="0"/>
          <w:numId w:val="0"/>
        </w:numPr>
        <w:spacing w:line="360" w:lineRule="auto"/>
        <w:ind w:left="420" w:left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5.服务期限：2026年01月04日至2027年1月3日内完成项目（具体时间以甲方通知为</w:t>
      </w:r>
    </w:p>
    <w:p w14:paraId="77ADFFBE">
      <w:pPr>
        <w:pStyle w:val="30"/>
        <w:numPr>
          <w:ilvl w:val="0"/>
          <w:numId w:val="0"/>
        </w:numPr>
        <w:spacing w:line="360" w:lineRule="auto"/>
        <w:rPr>
          <w:rFonts w:hint="eastAsia" w:ascii="仿宋" w:hAnsi="仿宋" w:eastAsia="仿宋" w:cs="仿宋"/>
          <w:highlight w:val="none"/>
        </w:rPr>
      </w:pPr>
      <w:r>
        <w:rPr>
          <w:rFonts w:hint="eastAsia" w:ascii="仿宋" w:hAnsi="仿宋" w:eastAsia="仿宋" w:cs="仿宋"/>
          <w:sz w:val="24"/>
          <w:szCs w:val="24"/>
          <w:highlight w:val="none"/>
          <w:lang w:val="en-US" w:eastAsia="zh-CN"/>
        </w:rPr>
        <w:t>准）。</w:t>
      </w:r>
    </w:p>
    <w:p w14:paraId="693901C6">
      <w:pPr>
        <w:pStyle w:val="30"/>
        <w:numPr>
          <w:ilvl w:val="0"/>
          <w:numId w:val="0"/>
        </w:numPr>
        <w:spacing w:line="360" w:lineRule="auto"/>
        <w:ind w:left="420" w:leftChars="0"/>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本项目（是/否）接受联合体：不接受联合体。</w:t>
      </w:r>
    </w:p>
    <w:p w14:paraId="4B05FC8B">
      <w:pPr>
        <w:tabs>
          <w:tab w:val="left" w:pos="7810"/>
        </w:tabs>
        <w:snapToGrid w:val="0"/>
        <w:spacing w:line="360" w:lineRule="auto"/>
        <w:ind w:firstLine="482" w:firstLineChars="200"/>
        <w:rPr>
          <w:rFonts w:hint="eastAsia" w:ascii="仿宋" w:hAnsi="仿宋" w:eastAsia="仿宋" w:cs="仿宋"/>
          <w:sz w:val="24"/>
          <w:szCs w:val="24"/>
        </w:rPr>
      </w:pPr>
      <w:r>
        <w:rPr>
          <w:rFonts w:hint="eastAsia" w:ascii="仿宋" w:hAnsi="仿宋" w:eastAsia="仿宋" w:cs="仿宋"/>
          <w:b/>
          <w:bCs/>
          <w:sz w:val="24"/>
          <w:szCs w:val="24"/>
        </w:rPr>
        <w:t xml:space="preserve">二、申请人的资格要求 </w:t>
      </w:r>
      <w:r>
        <w:rPr>
          <w:rFonts w:hint="eastAsia" w:ascii="仿宋" w:hAnsi="仿宋" w:eastAsia="仿宋" w:cs="仿宋"/>
          <w:b/>
          <w:bCs/>
          <w:sz w:val="24"/>
          <w:szCs w:val="24"/>
        </w:rPr>
        <w:tab/>
      </w:r>
    </w:p>
    <w:p w14:paraId="3FB644C0">
      <w:pPr>
        <w:snapToGrid w:val="0"/>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 xml:space="preserve">（一）满足《中华人民共和国政府采购法》第二十二条规定： </w:t>
      </w:r>
    </w:p>
    <w:p w14:paraId="4E7854F0">
      <w:pPr>
        <w:snapToGrid w:val="0"/>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1、具有独立承担民事责任的能力（提供法人或者其他组织的营业执照复印件并加盖公章，或者自然人的身份证明）；</w:t>
      </w:r>
    </w:p>
    <w:p w14:paraId="795F5732">
      <w:pPr>
        <w:snapToGrid w:val="0"/>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2、具有良好的商业信誉和健全的财务会计制度（提供202</w:t>
      </w: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14:textFill>
            <w14:solidFill>
              <w14:schemeClr w14:val="tx1"/>
            </w14:solidFill>
          </w14:textFill>
        </w:rPr>
        <w:t>年度财务报告或银行出具的企业资信证明，法人或者其他组织成立未满一年的可提供近半年内任一月的资产负债和利润表）；</w:t>
      </w:r>
    </w:p>
    <w:p w14:paraId="59A11B77">
      <w:pPr>
        <w:snapToGrid w:val="0"/>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3、具有履行合同所必需的设备和专业技术能力（根据项目需求提供履行合同所必需的设备和专业技术能力的证明材料或声明函）；</w:t>
      </w:r>
    </w:p>
    <w:p w14:paraId="14A77947">
      <w:pPr>
        <w:snapToGrid w:val="0"/>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4、有依法缴纳税收和社会保障资金的良好记录（提供参加本次采购活动前近六个月内任一月份依法缴纳税收及社会保险的凭据。依法免缴、迟缴的应提供相应文件证明）；</w:t>
      </w:r>
    </w:p>
    <w:p w14:paraId="77E4527C">
      <w:pPr>
        <w:snapToGrid w:val="0"/>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5、参加本次采购活动前3年内在经营活动中没有重大违法记录（提供参加本次采购活动前3年内在经营活动中没有重大违法记录的书面声明）；</w:t>
      </w:r>
    </w:p>
    <w:p w14:paraId="0D3D5A02">
      <w:pPr>
        <w:snapToGrid w:val="0"/>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6.法律、行政法规规定的其他条件。</w:t>
      </w:r>
    </w:p>
    <w:p w14:paraId="05B2B50E">
      <w:pPr>
        <w:snapToGrid w:val="0"/>
        <w:spacing w:line="360" w:lineRule="auto"/>
        <w:ind w:firstLine="480" w:firstLineChars="200"/>
        <w:rPr>
          <w:rFonts w:hint="eastAsia" w:ascii="仿宋" w:hAnsi="仿宋" w:eastAsia="仿宋" w:cs="仿宋"/>
          <w:color w:val="000000"/>
          <w:sz w:val="24"/>
          <w:szCs w:val="24"/>
          <w:highlight w:val="yellow"/>
          <w:lang w:val="en-US" w:eastAsia="zh-CN"/>
        </w:rPr>
      </w:pPr>
      <w:r>
        <w:rPr>
          <w:rFonts w:hint="eastAsia" w:ascii="仿宋" w:hAnsi="仿宋" w:eastAsia="仿宋" w:cs="仿宋"/>
          <w:bCs/>
          <w:sz w:val="24"/>
        </w:rPr>
        <w:t>（二）落实政府采购政策需满足的资格要求：</w:t>
      </w:r>
      <w:r>
        <w:rPr>
          <w:rFonts w:hint="eastAsia" w:ascii="仿宋" w:hAnsi="仿宋" w:eastAsia="仿宋" w:cs="仿宋"/>
          <w:bCs/>
          <w:sz w:val="24"/>
          <w:lang w:eastAsia="zh-CN"/>
        </w:rPr>
        <w:t>无。</w:t>
      </w:r>
    </w:p>
    <w:p w14:paraId="13F2938D">
      <w:pPr>
        <w:numPr>
          <w:ilvl w:val="0"/>
          <w:numId w:val="4"/>
        </w:num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本项目的特定资格要求：无。</w:t>
      </w:r>
    </w:p>
    <w:p w14:paraId="5C133E52">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（四）拒绝下述供应商参加本次采购活动</w:t>
      </w:r>
    </w:p>
    <w:p w14:paraId="694AAF2C">
      <w:pPr>
        <w:snapToGrid w:val="0"/>
        <w:spacing w:line="360" w:lineRule="auto"/>
        <w:ind w:firstLine="480" w:firstLineChars="200"/>
        <w:rPr>
          <w:rFonts w:hint="eastAsia" w:ascii="仿宋" w:hAnsi="仿宋" w:eastAsia="仿宋" w:cs="仿宋"/>
          <w:color w:val="000000" w:themeColor="text1"/>
          <w:sz w:val="24"/>
          <w:szCs w:val="32"/>
          <w14:textFill>
            <w14:solidFill>
              <w14:schemeClr w14:val="tx1"/>
            </w14:solidFill>
          </w14:textFill>
        </w:rPr>
      </w:pPr>
      <w:r>
        <w:rPr>
          <w:rFonts w:hint="eastAsia" w:ascii="仿宋" w:hAnsi="仿宋" w:eastAsia="仿宋" w:cs="仿宋"/>
          <w:color w:val="000000" w:themeColor="text1"/>
          <w:sz w:val="24"/>
          <w:szCs w:val="32"/>
          <w14:textFill>
            <w14:solidFill>
              <w14:schemeClr w14:val="tx1"/>
            </w14:solidFill>
          </w14:textFill>
        </w:rPr>
        <w:t>1、凡为采购项目提供整体设计、规范编制或者项目管理、监理、检测等服务的供应商，不得再参加该采购项目的其他采购活动。</w:t>
      </w:r>
    </w:p>
    <w:p w14:paraId="712F0D96">
      <w:pPr>
        <w:snapToGrid w:val="0"/>
        <w:spacing w:line="360" w:lineRule="auto"/>
        <w:ind w:firstLine="480" w:firstLineChars="200"/>
        <w:rPr>
          <w:rFonts w:hint="eastAsia" w:ascii="仿宋" w:hAnsi="仿宋" w:eastAsia="仿宋" w:cs="仿宋"/>
          <w:color w:val="000000" w:themeColor="text1"/>
          <w:sz w:val="24"/>
          <w:szCs w:val="32"/>
          <w14:textFill>
            <w14:solidFill>
              <w14:schemeClr w14:val="tx1"/>
            </w14:solidFill>
          </w14:textFill>
        </w:rPr>
      </w:pPr>
      <w:r>
        <w:rPr>
          <w:rFonts w:hint="eastAsia" w:ascii="仿宋" w:hAnsi="仿宋" w:eastAsia="仿宋" w:cs="仿宋"/>
          <w:color w:val="000000" w:themeColor="text1"/>
          <w:sz w:val="24"/>
          <w:szCs w:val="32"/>
          <w14:textFill>
            <w14:solidFill>
              <w14:schemeClr w14:val="tx1"/>
            </w14:solidFill>
          </w14:textFill>
        </w:rPr>
        <w:t>2、供应商单位负责人为同一人或者存在直接控股、管理关系的不同供应商,不得参加同一合同项下的采购活动。</w:t>
      </w:r>
    </w:p>
    <w:p w14:paraId="35293532">
      <w:pPr>
        <w:spacing w:line="360" w:lineRule="auto"/>
        <w:ind w:firstLine="480"/>
        <w:rPr>
          <w:rFonts w:hint="eastAsia" w:ascii="仿宋" w:hAnsi="仿宋" w:eastAsia="仿宋" w:cs="仿宋"/>
          <w:bCs/>
          <w:sz w:val="24"/>
        </w:rPr>
      </w:pPr>
      <w:r>
        <w:rPr>
          <w:rFonts w:hint="eastAsia" w:ascii="仿宋" w:hAnsi="仿宋" w:eastAsia="仿宋" w:cs="仿宋"/>
          <w:color w:val="000000" w:themeColor="text1"/>
          <w:sz w:val="24"/>
          <w:szCs w:val="32"/>
          <w14:textFill>
            <w14:solidFill>
              <w14:schemeClr w14:val="tx1"/>
            </w14:solidFill>
          </w14:textFill>
        </w:rPr>
        <w:t>3、在</w:t>
      </w:r>
      <w:r>
        <w:rPr>
          <w:rFonts w:hint="eastAsia" w:ascii="仿宋" w:hAnsi="仿宋" w:eastAsia="仿宋" w:cs="仿宋"/>
          <w:color w:val="000000" w:themeColor="text1"/>
          <w:sz w:val="24"/>
          <w:szCs w:val="32"/>
          <w:lang w:eastAsia="zh-CN"/>
          <w14:textFill>
            <w14:solidFill>
              <w14:schemeClr w14:val="tx1"/>
            </w14:solidFill>
          </w14:textFill>
        </w:rPr>
        <w:t>谈判</w:t>
      </w:r>
      <w:r>
        <w:rPr>
          <w:rFonts w:hint="eastAsia" w:ascii="仿宋" w:hAnsi="仿宋" w:eastAsia="仿宋" w:cs="仿宋"/>
          <w:color w:val="000000" w:themeColor="text1"/>
          <w:sz w:val="24"/>
          <w:szCs w:val="32"/>
          <w14:textFill>
            <w14:solidFill>
              <w14:schemeClr w14:val="tx1"/>
            </w14:solidFill>
          </w14:textFill>
        </w:rPr>
        <w:t>截止日前被“信用中国”网站(www.creditchina.gov.cn)、中国政府采购网(www.ccgp.gov.cn) 列入失信被执行人、重大税收违法案件当事人、政府采购严重违法失信行为记录名单的供应商（提供网页截图）</w:t>
      </w:r>
      <w:r>
        <w:rPr>
          <w:rFonts w:hint="eastAsia" w:ascii="仿宋" w:hAnsi="仿宋" w:eastAsia="仿宋" w:cs="仿宋"/>
          <w:sz w:val="24"/>
          <w:szCs w:val="24"/>
        </w:rPr>
        <w:t>。</w:t>
      </w:r>
    </w:p>
    <w:p w14:paraId="08EA82D4">
      <w:pPr>
        <w:tabs>
          <w:tab w:val="left" w:pos="7810"/>
        </w:tabs>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三、获取采购文件</w:t>
      </w:r>
    </w:p>
    <w:p w14:paraId="27A9B351">
      <w:pPr>
        <w:adjustRightInd w:val="0"/>
        <w:snapToGrid w:val="0"/>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1.</w:t>
      </w:r>
      <w:r>
        <w:rPr>
          <w:rFonts w:hint="eastAsia" w:ascii="仿宋" w:hAnsi="仿宋" w:eastAsia="仿宋" w:cs="仿宋"/>
          <w:bCs/>
          <w:sz w:val="24"/>
          <w:lang w:val="en-US" w:eastAsia="zh-CN"/>
        </w:rPr>
        <w:t>谈判邀请发出后</w:t>
      </w:r>
      <w:r>
        <w:rPr>
          <w:rFonts w:hint="eastAsia" w:ascii="仿宋" w:hAnsi="仿宋" w:eastAsia="仿宋" w:cs="仿宋"/>
          <w:sz w:val="24"/>
          <w:szCs w:val="24"/>
        </w:rPr>
        <w:t>，</w:t>
      </w:r>
      <w:r>
        <w:rPr>
          <w:rFonts w:hint="eastAsia" w:ascii="仿宋" w:hAnsi="仿宋" w:eastAsia="仿宋" w:cs="仿宋"/>
          <w:bCs/>
          <w:sz w:val="24"/>
        </w:rPr>
        <w:t>投标人如确定参加投标，须获取招标文件。</w:t>
      </w:r>
    </w:p>
    <w:p w14:paraId="3450FC06">
      <w:pPr>
        <w:snapToGrid w:val="0"/>
        <w:spacing w:line="360" w:lineRule="auto"/>
        <w:ind w:firstLine="480" w:firstLineChars="200"/>
        <w:jc w:val="left"/>
        <w:rPr>
          <w:rFonts w:hint="eastAsia" w:ascii="仿宋" w:hAnsi="仿宋" w:eastAsia="仿宋" w:cs="仿宋"/>
          <w:bCs/>
          <w:sz w:val="24"/>
        </w:rPr>
      </w:pPr>
      <w:r>
        <w:rPr>
          <w:rFonts w:hint="eastAsia" w:ascii="仿宋" w:hAnsi="仿宋" w:eastAsia="仿宋" w:cs="仿宋"/>
          <w:sz w:val="24"/>
          <w:szCs w:val="24"/>
        </w:rPr>
        <w:t>2.获取</w:t>
      </w:r>
      <w:r>
        <w:rPr>
          <w:rFonts w:hint="eastAsia" w:ascii="仿宋" w:hAnsi="仿宋" w:eastAsia="仿宋" w:cs="仿宋"/>
          <w:sz w:val="24"/>
          <w:szCs w:val="24"/>
          <w:lang w:val="en-US" w:eastAsia="zh-CN"/>
        </w:rPr>
        <w:t>谈判</w:t>
      </w:r>
      <w:r>
        <w:rPr>
          <w:rFonts w:hint="eastAsia" w:ascii="仿宋" w:hAnsi="仿宋" w:eastAsia="仿宋" w:cs="仿宋"/>
          <w:sz w:val="24"/>
          <w:szCs w:val="24"/>
        </w:rPr>
        <w:t>文件时间：</w:t>
      </w:r>
      <w:r>
        <w:rPr>
          <w:rFonts w:hint="eastAsia" w:ascii="仿宋" w:hAnsi="仿宋" w:eastAsia="仿宋" w:cs="仿宋"/>
          <w:bCs/>
          <w:sz w:val="24"/>
        </w:rPr>
        <w:t>20</w:t>
      </w:r>
      <w:r>
        <w:rPr>
          <w:rFonts w:hint="eastAsia" w:ascii="仿宋" w:hAnsi="仿宋" w:eastAsia="仿宋" w:cs="仿宋"/>
          <w:bCs/>
          <w:sz w:val="24"/>
          <w:highlight w:val="none"/>
        </w:rPr>
        <w:t>2</w:t>
      </w:r>
      <w:r>
        <w:rPr>
          <w:rFonts w:hint="eastAsia" w:ascii="仿宋" w:hAnsi="仿宋" w:eastAsia="仿宋" w:cs="仿宋"/>
          <w:bCs/>
          <w:sz w:val="24"/>
          <w:highlight w:val="none"/>
          <w:lang w:val="en-US" w:eastAsia="zh-CN"/>
        </w:rPr>
        <w:t>5</w:t>
      </w:r>
      <w:r>
        <w:rPr>
          <w:rFonts w:hint="eastAsia" w:ascii="仿宋" w:hAnsi="仿宋" w:eastAsia="仿宋" w:cs="仿宋"/>
          <w:bCs/>
          <w:sz w:val="24"/>
          <w:highlight w:val="none"/>
        </w:rPr>
        <w:t>年</w:t>
      </w:r>
      <w:r>
        <w:rPr>
          <w:rFonts w:hint="eastAsia" w:ascii="仿宋" w:hAnsi="仿宋" w:eastAsia="仿宋" w:cs="仿宋"/>
          <w:bCs/>
          <w:sz w:val="24"/>
          <w:highlight w:val="none"/>
          <w:lang w:val="en-US" w:eastAsia="zh-CN"/>
        </w:rPr>
        <w:t>12</w:t>
      </w:r>
      <w:r>
        <w:rPr>
          <w:rFonts w:hint="eastAsia" w:ascii="仿宋" w:hAnsi="仿宋" w:eastAsia="仿宋" w:cs="仿宋"/>
          <w:bCs/>
          <w:sz w:val="24"/>
          <w:highlight w:val="none"/>
        </w:rPr>
        <w:t>月</w:t>
      </w:r>
      <w:r>
        <w:rPr>
          <w:rFonts w:hint="eastAsia" w:ascii="仿宋" w:hAnsi="仿宋" w:eastAsia="仿宋" w:cs="仿宋"/>
          <w:bCs/>
          <w:sz w:val="24"/>
          <w:highlight w:val="none"/>
          <w:lang w:val="en-US" w:eastAsia="zh-CN"/>
        </w:rPr>
        <w:t>18</w:t>
      </w:r>
      <w:r>
        <w:rPr>
          <w:rFonts w:hint="eastAsia" w:ascii="仿宋" w:hAnsi="仿宋" w:eastAsia="仿宋" w:cs="仿宋"/>
          <w:bCs/>
          <w:sz w:val="24"/>
          <w:highlight w:val="none"/>
        </w:rPr>
        <w:t>日起至202</w:t>
      </w:r>
      <w:r>
        <w:rPr>
          <w:rFonts w:hint="eastAsia" w:ascii="仿宋" w:hAnsi="仿宋" w:eastAsia="仿宋" w:cs="仿宋"/>
          <w:bCs/>
          <w:sz w:val="24"/>
          <w:highlight w:val="none"/>
          <w:lang w:val="en-US" w:eastAsia="zh-CN"/>
        </w:rPr>
        <w:t>5</w:t>
      </w:r>
      <w:r>
        <w:rPr>
          <w:rFonts w:hint="eastAsia" w:ascii="仿宋" w:hAnsi="仿宋" w:eastAsia="仿宋" w:cs="仿宋"/>
          <w:bCs/>
          <w:sz w:val="24"/>
          <w:highlight w:val="none"/>
        </w:rPr>
        <w:t>年</w:t>
      </w:r>
      <w:r>
        <w:rPr>
          <w:rFonts w:hint="eastAsia" w:ascii="仿宋" w:hAnsi="仿宋" w:eastAsia="仿宋" w:cs="仿宋"/>
          <w:bCs/>
          <w:sz w:val="24"/>
          <w:highlight w:val="none"/>
          <w:lang w:val="en-US" w:eastAsia="zh-CN"/>
        </w:rPr>
        <w:t>12</w:t>
      </w:r>
      <w:r>
        <w:rPr>
          <w:rFonts w:hint="eastAsia" w:ascii="仿宋" w:hAnsi="仿宋" w:eastAsia="仿宋" w:cs="仿宋"/>
          <w:bCs/>
          <w:sz w:val="24"/>
          <w:highlight w:val="none"/>
        </w:rPr>
        <w:t>月</w:t>
      </w:r>
      <w:r>
        <w:rPr>
          <w:rFonts w:hint="eastAsia" w:ascii="仿宋" w:hAnsi="仿宋" w:eastAsia="仿宋" w:cs="仿宋"/>
          <w:bCs/>
          <w:sz w:val="24"/>
          <w:highlight w:val="none"/>
          <w:lang w:val="en-US" w:eastAsia="zh-CN"/>
        </w:rPr>
        <w:t>22</w:t>
      </w:r>
      <w:r>
        <w:rPr>
          <w:rFonts w:hint="eastAsia" w:ascii="仿宋" w:hAnsi="仿宋" w:eastAsia="仿宋" w:cs="仿宋"/>
          <w:bCs/>
          <w:sz w:val="24"/>
          <w:highlight w:val="none"/>
        </w:rPr>
        <w:t>日每天</w:t>
      </w:r>
      <w:r>
        <w:rPr>
          <w:rFonts w:hint="eastAsia" w:ascii="仿宋" w:hAnsi="仿宋" w:eastAsia="仿宋" w:cs="仿宋"/>
          <w:sz w:val="24"/>
          <w:szCs w:val="32"/>
          <w:highlight w:val="none"/>
        </w:rPr>
        <w:t>（节假日</w:t>
      </w:r>
      <w:r>
        <w:rPr>
          <w:rFonts w:hint="eastAsia" w:ascii="仿宋" w:hAnsi="仿宋" w:eastAsia="仿宋" w:cs="仿宋"/>
          <w:sz w:val="24"/>
          <w:szCs w:val="32"/>
        </w:rPr>
        <w:t>除外）北京时间</w:t>
      </w:r>
      <w:r>
        <w:rPr>
          <w:rFonts w:hint="eastAsia" w:ascii="仿宋" w:hAnsi="仿宋" w:eastAsia="仿宋" w:cs="仿宋"/>
          <w:bCs/>
          <w:sz w:val="24"/>
        </w:rPr>
        <w:t>09:00-12:00、13:30-17:30</w:t>
      </w:r>
    </w:p>
    <w:p w14:paraId="21E1449A">
      <w:pPr>
        <w:adjustRightInd w:val="0"/>
        <w:snapToGrid w:val="0"/>
        <w:spacing w:line="360" w:lineRule="auto"/>
        <w:ind w:firstLine="480" w:firstLineChars="200"/>
        <w:rPr>
          <w:rFonts w:hint="eastAsia" w:ascii="仿宋" w:hAnsi="仿宋" w:eastAsia="仿宋" w:cs="仿宋"/>
          <w:b/>
          <w:bCs/>
          <w:sz w:val="24"/>
          <w:szCs w:val="32"/>
        </w:rPr>
      </w:pPr>
      <w:r>
        <w:rPr>
          <w:rFonts w:hint="eastAsia" w:ascii="仿宋" w:hAnsi="仿宋" w:eastAsia="仿宋" w:cs="仿宋"/>
          <w:sz w:val="24"/>
          <w:szCs w:val="24"/>
        </w:rPr>
        <w:t>3.获取</w:t>
      </w:r>
      <w:r>
        <w:rPr>
          <w:rFonts w:hint="eastAsia" w:ascii="仿宋" w:hAnsi="仿宋" w:eastAsia="仿宋" w:cs="仿宋"/>
          <w:bCs/>
          <w:sz w:val="24"/>
          <w:lang w:val="en-US" w:eastAsia="zh-CN"/>
        </w:rPr>
        <w:t>谈判</w:t>
      </w:r>
      <w:r>
        <w:rPr>
          <w:rFonts w:hint="eastAsia" w:ascii="仿宋" w:hAnsi="仿宋" w:eastAsia="仿宋" w:cs="仿宋"/>
          <w:bCs/>
          <w:sz w:val="24"/>
        </w:rPr>
        <w:t>文件地点：</w:t>
      </w:r>
      <w:r>
        <w:rPr>
          <w:rFonts w:hint="eastAsia" w:ascii="仿宋" w:hAnsi="仿宋" w:eastAsia="仿宋" w:cs="仿宋"/>
          <w:spacing w:val="-6"/>
          <w:sz w:val="24"/>
          <w:szCs w:val="24"/>
          <w:lang w:eastAsia="zh-CN"/>
        </w:rPr>
        <w:t>南京市秦淮区光华东街6号世界之窗产业园15号楼4楼</w:t>
      </w:r>
      <w:r>
        <w:rPr>
          <w:rFonts w:hint="eastAsia" w:ascii="仿宋" w:hAnsi="仿宋" w:eastAsia="仿宋" w:cs="仿宋"/>
          <w:spacing w:val="-6"/>
          <w:sz w:val="24"/>
          <w:szCs w:val="24"/>
        </w:rPr>
        <w:t>，</w:t>
      </w:r>
      <w:r>
        <w:rPr>
          <w:rFonts w:hint="eastAsia" w:ascii="仿宋" w:hAnsi="仿宋" w:eastAsia="仿宋" w:cs="仿宋"/>
          <w:bCs/>
          <w:sz w:val="24"/>
          <w:lang w:eastAsia="zh-CN"/>
        </w:rPr>
        <w:t>南京达琛鑫工程咨询有限公司</w:t>
      </w:r>
      <w:r>
        <w:rPr>
          <w:rFonts w:hint="eastAsia" w:ascii="仿宋" w:hAnsi="仿宋" w:eastAsia="仿宋" w:cs="仿宋"/>
          <w:bCs/>
          <w:sz w:val="24"/>
        </w:rPr>
        <w:t>，联系电话</w:t>
      </w:r>
      <w:r>
        <w:rPr>
          <w:rFonts w:hint="eastAsia" w:ascii="仿宋" w:hAnsi="仿宋" w:eastAsia="仿宋" w:cs="仿宋"/>
          <w:bCs/>
          <w:sz w:val="24"/>
          <w:lang w:eastAsia="zh-CN"/>
        </w:rPr>
        <w:t>025-52639995（转8006）</w:t>
      </w:r>
      <w:r>
        <w:rPr>
          <w:rFonts w:hint="eastAsia" w:ascii="仿宋" w:hAnsi="仿宋" w:eastAsia="仿宋" w:cs="仿宋"/>
          <w:bCs/>
          <w:sz w:val="24"/>
        </w:rPr>
        <w:t>。</w:t>
      </w:r>
    </w:p>
    <w:p w14:paraId="5A119A4A">
      <w:pPr>
        <w:tabs>
          <w:tab w:val="left" w:pos="7810"/>
        </w:tabs>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四、提交响应文件截止时间、开标时间和地点</w:t>
      </w:r>
    </w:p>
    <w:p w14:paraId="7058FA9F">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1.提交响应文件截止时间、开标时间202</w:t>
      </w:r>
      <w:r>
        <w:rPr>
          <w:rFonts w:hint="eastAsia" w:ascii="仿宋" w:hAnsi="仿宋" w:eastAsia="仿宋" w:cs="仿宋"/>
          <w:sz w:val="24"/>
          <w:szCs w:val="24"/>
          <w:lang w:val="en-US" w:eastAsia="zh-CN"/>
        </w:rPr>
        <w:t>5</w:t>
      </w:r>
      <w:r>
        <w:rPr>
          <w:rFonts w:hint="eastAsia" w:ascii="仿宋" w:hAnsi="仿宋" w:eastAsia="仿宋" w:cs="仿宋"/>
          <w:sz w:val="24"/>
          <w:szCs w:val="24"/>
        </w:rPr>
        <w:t>年</w:t>
      </w:r>
      <w:r>
        <w:rPr>
          <w:rFonts w:hint="eastAsia" w:ascii="仿宋" w:hAnsi="仿宋" w:eastAsia="仿宋" w:cs="仿宋"/>
          <w:sz w:val="24"/>
          <w:szCs w:val="24"/>
          <w:lang w:val="en-US" w:eastAsia="zh-CN"/>
        </w:rPr>
        <w:t>12</w:t>
      </w:r>
      <w:r>
        <w:rPr>
          <w:rFonts w:hint="eastAsia" w:ascii="仿宋" w:hAnsi="仿宋" w:eastAsia="仿宋" w:cs="仿宋"/>
          <w:sz w:val="24"/>
          <w:szCs w:val="24"/>
        </w:rPr>
        <w:t>月</w:t>
      </w:r>
      <w:r>
        <w:rPr>
          <w:rFonts w:hint="eastAsia" w:ascii="仿宋" w:hAnsi="仿宋" w:eastAsia="仿宋" w:cs="仿宋"/>
          <w:sz w:val="24"/>
          <w:szCs w:val="24"/>
          <w:lang w:val="en-US" w:eastAsia="zh-CN"/>
        </w:rPr>
        <w:t>26</w:t>
      </w:r>
      <w:r>
        <w:rPr>
          <w:rFonts w:hint="eastAsia" w:ascii="仿宋" w:hAnsi="仿宋" w:eastAsia="仿宋" w:cs="仿宋"/>
          <w:sz w:val="24"/>
          <w:szCs w:val="24"/>
        </w:rPr>
        <w:t>日</w:t>
      </w:r>
      <w:r>
        <w:rPr>
          <w:rFonts w:hint="eastAsia" w:ascii="仿宋" w:hAnsi="仿宋" w:eastAsia="仿宋" w:cs="仿宋"/>
          <w:sz w:val="24"/>
          <w:szCs w:val="24"/>
          <w:lang w:val="en-US" w:eastAsia="zh-CN"/>
        </w:rPr>
        <w:t>10</w:t>
      </w:r>
      <w:r>
        <w:rPr>
          <w:rFonts w:hint="eastAsia" w:ascii="仿宋" w:hAnsi="仿宋" w:eastAsia="仿宋" w:cs="仿宋"/>
          <w:sz w:val="24"/>
          <w:szCs w:val="24"/>
        </w:rPr>
        <w:t>点</w:t>
      </w:r>
      <w:r>
        <w:rPr>
          <w:rFonts w:hint="eastAsia" w:ascii="仿宋" w:hAnsi="仿宋" w:eastAsia="仿宋" w:cs="仿宋"/>
          <w:sz w:val="24"/>
          <w:szCs w:val="24"/>
          <w:lang w:val="en-US" w:eastAsia="zh-CN"/>
        </w:rPr>
        <w:t>3</w:t>
      </w:r>
      <w:r>
        <w:rPr>
          <w:rFonts w:hint="eastAsia" w:ascii="仿宋" w:hAnsi="仿宋" w:eastAsia="仿宋" w:cs="仿宋"/>
          <w:sz w:val="24"/>
          <w:szCs w:val="24"/>
        </w:rPr>
        <w:t>0</w:t>
      </w:r>
      <w:r>
        <w:rPr>
          <w:rFonts w:hint="eastAsia" w:ascii="仿宋" w:hAnsi="仿宋" w:eastAsia="仿宋" w:cs="仿宋"/>
          <w:sz w:val="24"/>
          <w:szCs w:val="24"/>
          <w:lang w:val="en-US" w:eastAsia="zh-CN"/>
        </w:rPr>
        <w:t>分</w:t>
      </w:r>
      <w:r>
        <w:rPr>
          <w:rFonts w:hint="eastAsia" w:ascii="仿宋" w:hAnsi="仿宋" w:eastAsia="仿宋" w:cs="仿宋"/>
          <w:sz w:val="24"/>
          <w:szCs w:val="24"/>
        </w:rPr>
        <w:t>（北京时间）。</w:t>
      </w:r>
    </w:p>
    <w:p w14:paraId="12B2C700">
      <w:pPr>
        <w:adjustRightInd w:val="0"/>
        <w:snapToGrid w:val="0"/>
        <w:spacing w:line="360" w:lineRule="auto"/>
        <w:ind w:firstLine="480" w:firstLineChars="200"/>
        <w:rPr>
          <w:rFonts w:hint="eastAsia" w:ascii="仿宋" w:hAnsi="仿宋" w:eastAsia="仿宋" w:cs="仿宋"/>
          <w:spacing w:val="-6"/>
          <w:sz w:val="24"/>
          <w:szCs w:val="24"/>
        </w:rPr>
      </w:pPr>
      <w:r>
        <w:rPr>
          <w:rFonts w:hint="eastAsia" w:ascii="仿宋" w:hAnsi="仿宋" w:eastAsia="仿宋" w:cs="仿宋"/>
          <w:sz w:val="24"/>
          <w:szCs w:val="24"/>
        </w:rPr>
        <w:t>2.</w:t>
      </w:r>
      <w:r>
        <w:rPr>
          <w:rFonts w:hint="eastAsia" w:ascii="仿宋" w:hAnsi="仿宋" w:eastAsia="仿宋" w:cs="仿宋"/>
          <w:bCs/>
          <w:sz w:val="24"/>
        </w:rPr>
        <w:t>地点：</w:t>
      </w:r>
      <w:r>
        <w:rPr>
          <w:rFonts w:hint="eastAsia" w:ascii="仿宋" w:hAnsi="仿宋" w:eastAsia="仿宋" w:cs="仿宋"/>
          <w:spacing w:val="-6"/>
          <w:sz w:val="24"/>
          <w:szCs w:val="24"/>
          <w:lang w:eastAsia="zh-CN"/>
        </w:rPr>
        <w:t>南京市秦淮区光华东街6号世界之窗创意产业园15号楼3楼</w:t>
      </w:r>
      <w:r>
        <w:rPr>
          <w:rFonts w:hint="eastAsia" w:ascii="仿宋" w:hAnsi="仿宋" w:eastAsia="仿宋" w:cs="仿宋"/>
          <w:spacing w:val="-6"/>
          <w:sz w:val="24"/>
          <w:szCs w:val="24"/>
        </w:rPr>
        <w:t>开标室。</w:t>
      </w:r>
    </w:p>
    <w:p w14:paraId="20939BA0">
      <w:pPr>
        <w:adjustRightInd w:val="0"/>
        <w:snapToGrid w:val="0"/>
        <w:spacing w:line="360" w:lineRule="auto"/>
        <w:ind w:firstLine="456" w:firstLineChars="200"/>
        <w:rPr>
          <w:rFonts w:hint="default" w:ascii="仿宋" w:hAnsi="仿宋" w:eastAsia="仿宋" w:cs="仿宋"/>
          <w:sz w:val="24"/>
          <w:szCs w:val="24"/>
          <w:lang w:val="en-US" w:eastAsia="zh-CN"/>
        </w:rPr>
      </w:pPr>
      <w:r>
        <w:rPr>
          <w:rFonts w:hint="eastAsia" w:ascii="仿宋" w:hAnsi="仿宋" w:eastAsia="仿宋" w:cs="仿宋"/>
          <w:spacing w:val="-6"/>
          <w:sz w:val="24"/>
          <w:szCs w:val="24"/>
          <w:lang w:val="en-US" w:eastAsia="zh-CN"/>
        </w:rPr>
        <w:t>3.响应文件制作份数要求：</w:t>
      </w:r>
      <w:bookmarkStart w:id="10" w:name="OLE_LINK1"/>
      <w:r>
        <w:rPr>
          <w:rFonts w:hint="eastAsia" w:ascii="仿宋" w:hAnsi="仿宋" w:eastAsia="仿宋" w:cs="仿宋"/>
          <w:spacing w:val="-6"/>
          <w:sz w:val="24"/>
          <w:szCs w:val="24"/>
          <w:lang w:val="en-US" w:eastAsia="zh-CN"/>
        </w:rPr>
        <w:t>正本份数：1份   副本份数：3份   电子文档1份（提供PDF版，封面及签章部分须盖章签字，U盘与正本封装）</w:t>
      </w:r>
      <w:bookmarkEnd w:id="10"/>
    </w:p>
    <w:p w14:paraId="58709F55">
      <w:pPr>
        <w:tabs>
          <w:tab w:val="left" w:pos="7810"/>
        </w:tabs>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lang w:val="en-US" w:eastAsia="zh-CN"/>
        </w:rPr>
        <w:t>五、</w:t>
      </w:r>
      <w:r>
        <w:rPr>
          <w:rFonts w:hint="eastAsia" w:ascii="仿宋" w:hAnsi="仿宋" w:eastAsia="仿宋" w:cs="仿宋"/>
          <w:b/>
          <w:bCs/>
          <w:sz w:val="24"/>
          <w:szCs w:val="24"/>
        </w:rPr>
        <w:t>开启</w:t>
      </w:r>
    </w:p>
    <w:p w14:paraId="739D65A1">
      <w:pPr>
        <w:adjustRightInd w:val="0"/>
        <w:snapToGrid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1.时间：202</w:t>
      </w:r>
      <w:r>
        <w:rPr>
          <w:rFonts w:hint="eastAsia" w:ascii="仿宋" w:hAnsi="仿宋" w:eastAsia="仿宋" w:cs="仿宋"/>
          <w:sz w:val="24"/>
          <w:szCs w:val="24"/>
          <w:lang w:val="en-US" w:eastAsia="zh-CN"/>
        </w:rPr>
        <w:t>5</w:t>
      </w:r>
      <w:r>
        <w:rPr>
          <w:rFonts w:hint="eastAsia" w:ascii="仿宋" w:hAnsi="仿宋" w:eastAsia="仿宋" w:cs="仿宋"/>
          <w:sz w:val="24"/>
          <w:szCs w:val="24"/>
        </w:rPr>
        <w:t>年</w:t>
      </w:r>
      <w:r>
        <w:rPr>
          <w:rFonts w:hint="eastAsia" w:ascii="仿宋" w:hAnsi="仿宋" w:eastAsia="仿宋" w:cs="仿宋"/>
          <w:sz w:val="24"/>
          <w:szCs w:val="24"/>
          <w:lang w:val="en-US" w:eastAsia="zh-CN"/>
        </w:rPr>
        <w:t>12</w:t>
      </w:r>
      <w:r>
        <w:rPr>
          <w:rFonts w:hint="eastAsia" w:ascii="仿宋" w:hAnsi="仿宋" w:eastAsia="仿宋" w:cs="仿宋"/>
          <w:sz w:val="24"/>
          <w:szCs w:val="24"/>
        </w:rPr>
        <w:t>月</w:t>
      </w:r>
      <w:r>
        <w:rPr>
          <w:rFonts w:hint="eastAsia" w:ascii="仿宋" w:hAnsi="仿宋" w:eastAsia="仿宋" w:cs="仿宋"/>
          <w:sz w:val="24"/>
          <w:szCs w:val="24"/>
          <w:lang w:val="en-US" w:eastAsia="zh-CN"/>
        </w:rPr>
        <w:t>26</w:t>
      </w:r>
      <w:r>
        <w:rPr>
          <w:rFonts w:hint="eastAsia" w:ascii="仿宋" w:hAnsi="仿宋" w:eastAsia="仿宋" w:cs="仿宋"/>
          <w:sz w:val="24"/>
          <w:szCs w:val="24"/>
        </w:rPr>
        <w:t>日</w:t>
      </w:r>
      <w:r>
        <w:rPr>
          <w:rFonts w:hint="eastAsia" w:ascii="仿宋" w:hAnsi="仿宋" w:eastAsia="仿宋" w:cs="仿宋"/>
          <w:sz w:val="24"/>
          <w:szCs w:val="24"/>
          <w:lang w:val="en-US" w:eastAsia="zh-CN"/>
        </w:rPr>
        <w:t>10</w:t>
      </w:r>
      <w:r>
        <w:rPr>
          <w:rFonts w:hint="eastAsia" w:ascii="仿宋" w:hAnsi="仿宋" w:eastAsia="仿宋" w:cs="仿宋"/>
          <w:sz w:val="24"/>
          <w:szCs w:val="24"/>
        </w:rPr>
        <w:t>点</w:t>
      </w:r>
      <w:r>
        <w:rPr>
          <w:rFonts w:hint="eastAsia" w:ascii="仿宋" w:hAnsi="仿宋" w:eastAsia="仿宋" w:cs="仿宋"/>
          <w:sz w:val="24"/>
          <w:szCs w:val="24"/>
          <w:lang w:val="en-US" w:eastAsia="zh-CN"/>
        </w:rPr>
        <w:t>3</w:t>
      </w:r>
      <w:r>
        <w:rPr>
          <w:rFonts w:hint="eastAsia" w:ascii="仿宋" w:hAnsi="仿宋" w:eastAsia="仿宋" w:cs="仿宋"/>
          <w:sz w:val="24"/>
          <w:szCs w:val="24"/>
        </w:rPr>
        <w:t>0</w:t>
      </w:r>
      <w:r>
        <w:rPr>
          <w:rFonts w:hint="eastAsia" w:ascii="仿宋" w:hAnsi="仿宋" w:eastAsia="仿宋" w:cs="仿宋"/>
          <w:sz w:val="24"/>
          <w:szCs w:val="24"/>
          <w:lang w:val="en-US" w:eastAsia="zh-CN"/>
        </w:rPr>
        <w:t>分</w:t>
      </w:r>
      <w:r>
        <w:rPr>
          <w:rFonts w:hint="eastAsia" w:ascii="仿宋" w:hAnsi="仿宋" w:eastAsia="仿宋" w:cs="仿宋"/>
          <w:sz w:val="24"/>
          <w:szCs w:val="24"/>
          <w:lang w:eastAsia="zh-CN"/>
        </w:rPr>
        <w:t>。</w:t>
      </w:r>
    </w:p>
    <w:p w14:paraId="7850C4F3">
      <w:pPr>
        <w:adjustRightInd w:val="0"/>
        <w:snapToGrid w:val="0"/>
        <w:spacing w:line="360" w:lineRule="auto"/>
        <w:ind w:firstLine="480" w:firstLineChars="200"/>
        <w:rPr>
          <w:rFonts w:hint="eastAsia" w:ascii="仿宋" w:hAnsi="仿宋" w:eastAsia="仿宋" w:cs="仿宋"/>
          <w:b/>
          <w:bCs/>
          <w:sz w:val="24"/>
          <w:szCs w:val="24"/>
          <w:lang w:eastAsia="zh-CN"/>
        </w:rPr>
      </w:pPr>
      <w:r>
        <w:rPr>
          <w:rFonts w:hint="eastAsia" w:ascii="仿宋" w:hAnsi="仿宋" w:eastAsia="仿宋" w:cs="仿宋"/>
          <w:sz w:val="24"/>
          <w:szCs w:val="24"/>
        </w:rPr>
        <w:t>2.地点：</w:t>
      </w:r>
      <w:r>
        <w:rPr>
          <w:rFonts w:hint="eastAsia" w:ascii="仿宋" w:hAnsi="仿宋" w:eastAsia="仿宋" w:cs="仿宋"/>
          <w:spacing w:val="-6"/>
          <w:sz w:val="24"/>
          <w:szCs w:val="24"/>
          <w:lang w:eastAsia="zh-CN"/>
        </w:rPr>
        <w:t>南京市秦淮区光华东街6号世界之窗产业园15号楼4楼</w:t>
      </w:r>
      <w:r>
        <w:rPr>
          <w:rFonts w:hint="eastAsia" w:ascii="仿宋" w:hAnsi="仿宋" w:eastAsia="仿宋" w:cs="仿宋"/>
          <w:sz w:val="24"/>
          <w:szCs w:val="24"/>
        </w:rPr>
        <w:t>会议室</w:t>
      </w:r>
      <w:r>
        <w:rPr>
          <w:rFonts w:hint="eastAsia" w:ascii="仿宋" w:hAnsi="仿宋" w:eastAsia="仿宋" w:cs="仿宋"/>
          <w:sz w:val="24"/>
          <w:szCs w:val="24"/>
          <w:lang w:eastAsia="zh-CN"/>
        </w:rPr>
        <w:t>。</w:t>
      </w:r>
    </w:p>
    <w:p w14:paraId="4DA09B08">
      <w:pPr>
        <w:tabs>
          <w:tab w:val="left" w:pos="7810"/>
        </w:tabs>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lang w:val="en-US" w:eastAsia="zh-CN"/>
        </w:rPr>
        <w:t>六</w:t>
      </w:r>
      <w:r>
        <w:rPr>
          <w:rFonts w:hint="eastAsia" w:ascii="仿宋" w:hAnsi="仿宋" w:eastAsia="仿宋" w:cs="仿宋"/>
          <w:b/>
          <w:bCs/>
          <w:sz w:val="24"/>
          <w:szCs w:val="24"/>
        </w:rPr>
        <w:t>、其他补充事宜</w:t>
      </w:r>
    </w:p>
    <w:p w14:paraId="25686C62">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1.本次</w:t>
      </w:r>
      <w:r>
        <w:rPr>
          <w:rFonts w:hint="eastAsia" w:ascii="仿宋" w:hAnsi="仿宋" w:eastAsia="仿宋" w:cs="仿宋"/>
          <w:sz w:val="24"/>
          <w:szCs w:val="24"/>
          <w:lang w:eastAsia="zh-CN"/>
        </w:rPr>
        <w:t>谈判</w:t>
      </w:r>
      <w:r>
        <w:rPr>
          <w:rFonts w:hint="eastAsia" w:ascii="仿宋" w:hAnsi="仿宋" w:eastAsia="仿宋" w:cs="仿宋"/>
          <w:sz w:val="24"/>
          <w:szCs w:val="24"/>
        </w:rPr>
        <w:t>不收取</w:t>
      </w:r>
      <w:r>
        <w:rPr>
          <w:rFonts w:hint="eastAsia" w:ascii="仿宋" w:hAnsi="仿宋" w:eastAsia="仿宋" w:cs="仿宋"/>
          <w:sz w:val="24"/>
          <w:szCs w:val="24"/>
          <w:lang w:eastAsia="zh-CN"/>
        </w:rPr>
        <w:t>谈判</w:t>
      </w:r>
      <w:r>
        <w:rPr>
          <w:rFonts w:hint="eastAsia" w:ascii="仿宋" w:hAnsi="仿宋" w:eastAsia="仿宋" w:cs="仿宋"/>
          <w:sz w:val="24"/>
          <w:szCs w:val="24"/>
        </w:rPr>
        <w:t>保证金。</w:t>
      </w:r>
    </w:p>
    <w:p w14:paraId="3212A359">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2.现场勘察及答疑：采购人不组织集中考察或答疑，供应商如果对采购需求有疑问请咨询采购单位联系人。</w:t>
      </w:r>
    </w:p>
    <w:p w14:paraId="414E0153">
      <w:pPr>
        <w:snapToGrid w:val="0"/>
        <w:spacing w:line="360" w:lineRule="auto"/>
        <w:ind w:firstLine="480" w:firstLineChars="2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sz w:val="24"/>
          <w:szCs w:val="24"/>
        </w:rPr>
        <w:t>3.</w:t>
      </w:r>
      <w:r>
        <w:rPr>
          <w:rFonts w:hint="eastAsia" w:ascii="仿宋" w:hAnsi="仿宋" w:eastAsia="仿宋" w:cs="仿宋"/>
          <w:color w:val="000000" w:themeColor="text1"/>
          <w:sz w:val="24"/>
          <w:szCs w:val="24"/>
          <w14:textFill>
            <w14:solidFill>
              <w14:schemeClr w14:val="tx1"/>
            </w14:solidFill>
          </w14:textFill>
        </w:rPr>
        <w:t>请各位供应商领取</w:t>
      </w:r>
      <w:r>
        <w:rPr>
          <w:rFonts w:hint="eastAsia" w:ascii="仿宋" w:hAnsi="仿宋" w:eastAsia="仿宋" w:cs="仿宋"/>
          <w:color w:val="000000" w:themeColor="text1"/>
          <w:sz w:val="24"/>
          <w:szCs w:val="24"/>
          <w:lang w:eastAsia="zh-CN"/>
          <w14:textFill>
            <w14:solidFill>
              <w14:schemeClr w14:val="tx1"/>
            </w14:solidFill>
          </w14:textFill>
        </w:rPr>
        <w:t>谈判</w:t>
      </w:r>
      <w:r>
        <w:rPr>
          <w:rFonts w:hint="eastAsia" w:ascii="仿宋" w:hAnsi="仿宋" w:eastAsia="仿宋" w:cs="仿宋"/>
          <w:color w:val="000000" w:themeColor="text1"/>
          <w:sz w:val="24"/>
          <w:szCs w:val="24"/>
          <w14:textFill>
            <w14:solidFill>
              <w14:schemeClr w14:val="tx1"/>
            </w14:solidFill>
          </w14:textFill>
        </w:rPr>
        <w:t>文件后，认真阅读各项内容，进行必要的准备，按照</w:t>
      </w:r>
      <w:r>
        <w:rPr>
          <w:rFonts w:hint="eastAsia" w:ascii="仿宋" w:hAnsi="仿宋" w:eastAsia="仿宋" w:cs="仿宋"/>
          <w:color w:val="000000" w:themeColor="text1"/>
          <w:sz w:val="24"/>
          <w:szCs w:val="24"/>
          <w:lang w:eastAsia="zh-CN"/>
          <w14:textFill>
            <w14:solidFill>
              <w14:schemeClr w14:val="tx1"/>
            </w14:solidFill>
          </w14:textFill>
        </w:rPr>
        <w:t>谈判</w:t>
      </w:r>
      <w:r>
        <w:rPr>
          <w:rFonts w:hint="eastAsia" w:ascii="仿宋" w:hAnsi="仿宋" w:eastAsia="仿宋" w:cs="仿宋"/>
          <w:color w:val="000000" w:themeColor="text1"/>
          <w:sz w:val="24"/>
          <w:szCs w:val="24"/>
          <w14:textFill>
            <w14:solidFill>
              <w14:schemeClr w14:val="tx1"/>
            </w14:solidFill>
          </w14:textFill>
        </w:rPr>
        <w:t>文件的要求详细填写和编制响应文件，并按以上确定的时间、地点准时参加</w:t>
      </w:r>
      <w:r>
        <w:rPr>
          <w:rFonts w:hint="eastAsia" w:ascii="仿宋" w:hAnsi="仿宋" w:eastAsia="仿宋" w:cs="仿宋"/>
          <w:color w:val="000000" w:themeColor="text1"/>
          <w:sz w:val="24"/>
          <w:szCs w:val="24"/>
          <w:lang w:eastAsia="zh-CN"/>
          <w14:textFill>
            <w14:solidFill>
              <w14:schemeClr w14:val="tx1"/>
            </w14:solidFill>
          </w14:textFill>
        </w:rPr>
        <w:t>谈判</w:t>
      </w:r>
      <w:r>
        <w:rPr>
          <w:rFonts w:hint="eastAsia" w:ascii="仿宋" w:hAnsi="仿宋" w:eastAsia="仿宋" w:cs="仿宋"/>
          <w:color w:val="000000" w:themeColor="text1"/>
          <w:sz w:val="24"/>
          <w:szCs w:val="24"/>
          <w14:textFill>
            <w14:solidFill>
              <w14:schemeClr w14:val="tx1"/>
            </w14:solidFill>
          </w14:textFill>
        </w:rPr>
        <w:t>活动。</w:t>
      </w:r>
      <w:r>
        <w:rPr>
          <w:rFonts w:hint="eastAsia" w:ascii="仿宋" w:hAnsi="仿宋" w:eastAsia="仿宋" w:cs="仿宋"/>
          <w:bCs/>
          <w:color w:val="000000" w:themeColor="text1"/>
          <w:sz w:val="24"/>
          <w14:textFill>
            <w14:solidFill>
              <w14:schemeClr w14:val="tx1"/>
            </w14:solidFill>
          </w14:textFill>
        </w:rPr>
        <w:t>有关本次</w:t>
      </w:r>
      <w:r>
        <w:rPr>
          <w:rFonts w:hint="eastAsia" w:ascii="仿宋" w:hAnsi="仿宋" w:eastAsia="仿宋" w:cs="仿宋"/>
          <w:bCs/>
          <w:color w:val="000000" w:themeColor="text1"/>
          <w:sz w:val="24"/>
          <w:lang w:eastAsia="zh-CN"/>
          <w14:textFill>
            <w14:solidFill>
              <w14:schemeClr w14:val="tx1"/>
            </w14:solidFill>
          </w14:textFill>
        </w:rPr>
        <w:t>谈判</w:t>
      </w:r>
      <w:r>
        <w:rPr>
          <w:rFonts w:hint="eastAsia" w:ascii="仿宋" w:hAnsi="仿宋" w:eastAsia="仿宋" w:cs="仿宋"/>
          <w:bCs/>
          <w:color w:val="000000" w:themeColor="text1"/>
          <w:sz w:val="24"/>
          <w14:textFill>
            <w14:solidFill>
              <w14:schemeClr w14:val="tx1"/>
            </w14:solidFill>
          </w14:textFill>
        </w:rPr>
        <w:t>的事项若存在变动或修改，敬请及时关注更正信息。</w:t>
      </w:r>
    </w:p>
    <w:p w14:paraId="53961831">
      <w:pPr>
        <w:snapToGrid w:val="0"/>
        <w:spacing w:line="360" w:lineRule="auto"/>
        <w:ind w:firstLine="480" w:firstLineChars="200"/>
        <w:rPr>
          <w:rFonts w:hint="eastAsia" w:ascii="仿宋" w:hAnsi="仿宋" w:eastAsia="仿宋" w:cs="仿宋"/>
          <w:color w:val="000000" w:themeColor="text1"/>
          <w:sz w:val="24"/>
          <w:szCs w:val="32"/>
          <w14:textFill>
            <w14:solidFill>
              <w14:schemeClr w14:val="tx1"/>
            </w14:solidFill>
          </w14:textFill>
        </w:rPr>
      </w:pPr>
      <w:r>
        <w:rPr>
          <w:rFonts w:hint="eastAsia" w:ascii="仿宋" w:hAnsi="仿宋" w:eastAsia="仿宋" w:cs="仿宋"/>
          <w:color w:val="000000" w:themeColor="text1"/>
          <w:sz w:val="24"/>
          <w:szCs w:val="32"/>
          <w:lang w:val="en-US" w:eastAsia="zh-CN"/>
          <w14:textFill>
            <w14:solidFill>
              <w14:schemeClr w14:val="tx1"/>
            </w14:solidFill>
          </w14:textFill>
        </w:rPr>
        <w:t>4.</w:t>
      </w:r>
      <w:r>
        <w:rPr>
          <w:rFonts w:hint="eastAsia" w:ascii="仿宋" w:hAnsi="仿宋" w:eastAsia="仿宋" w:cs="仿宋"/>
          <w:color w:val="000000" w:themeColor="text1"/>
          <w:sz w:val="24"/>
          <w:szCs w:val="32"/>
          <w14:textFill>
            <w14:solidFill>
              <w14:schemeClr w14:val="tx1"/>
            </w14:solidFill>
          </w14:textFill>
        </w:rPr>
        <w:t>供应商需提供“政府采购信用承诺”</w:t>
      </w:r>
    </w:p>
    <w:p w14:paraId="1986AA00">
      <w:pPr>
        <w:snapToGrid w:val="0"/>
        <w:spacing w:line="360" w:lineRule="auto"/>
        <w:ind w:firstLine="480" w:firstLineChars="200"/>
        <w:rPr>
          <w:rFonts w:hint="eastAsia" w:ascii="仿宋" w:hAnsi="仿宋" w:eastAsia="仿宋" w:cs="仿宋"/>
          <w:color w:val="000000" w:themeColor="text1"/>
          <w:sz w:val="24"/>
          <w:szCs w:val="32"/>
          <w14:textFill>
            <w14:solidFill>
              <w14:schemeClr w14:val="tx1"/>
            </w14:solidFill>
          </w14:textFill>
        </w:rPr>
      </w:pPr>
      <w:r>
        <w:rPr>
          <w:rFonts w:hint="eastAsia" w:ascii="仿宋" w:hAnsi="仿宋" w:eastAsia="仿宋" w:cs="仿宋"/>
          <w:color w:val="000000" w:themeColor="text1"/>
          <w:sz w:val="24"/>
          <w:szCs w:val="32"/>
          <w14:textFill>
            <w14:solidFill>
              <w14:schemeClr w14:val="tx1"/>
            </w14:solidFill>
          </w14:textFill>
        </w:rPr>
        <w:t>（1）“根据《关于在政府采购活动中推行信用承诺制的通知》宁财购通〔2021〕5号规定， 参加南京地区政府采购活动的供应商，应以书面形式向采购人或政府采购代理机构作出信用承诺。点击‘南京公共采购信息网’首页（https://njgc.jfh.com/）‘南京市政府采购供应商诚信档案’系统链接打开系统页面登录（未注册的供应商应先点击‘供应商注册点这里’并按 要求完成注册），然后在“信用记录”模块页面点击“信用记录打印”下载本单位《南京市政府采购供应商信用记录表暨信用承诺书》，由法人签字并盖单位公章，随响应文件一并递交。</w:t>
      </w:r>
    </w:p>
    <w:p w14:paraId="1A5A415A">
      <w:pPr>
        <w:snapToGrid w:val="0"/>
        <w:spacing w:line="360" w:lineRule="auto"/>
        <w:ind w:firstLine="480" w:firstLineChars="200"/>
        <w:rPr>
          <w:rFonts w:hint="eastAsia" w:ascii="仿宋" w:hAnsi="仿宋" w:eastAsia="仿宋" w:cs="仿宋"/>
          <w:color w:val="000000" w:themeColor="text1"/>
          <w:sz w:val="24"/>
          <w:szCs w:val="32"/>
          <w14:textFill>
            <w14:solidFill>
              <w14:schemeClr w14:val="tx1"/>
            </w14:solidFill>
          </w14:textFill>
        </w:rPr>
      </w:pPr>
      <w:r>
        <w:rPr>
          <w:rFonts w:hint="eastAsia" w:ascii="仿宋" w:hAnsi="仿宋" w:eastAsia="仿宋" w:cs="仿宋"/>
          <w:color w:val="000000" w:themeColor="text1"/>
          <w:sz w:val="24"/>
          <w:szCs w:val="32"/>
          <w14:textFill>
            <w14:solidFill>
              <w14:schemeClr w14:val="tx1"/>
            </w14:solidFill>
          </w14:textFill>
        </w:rPr>
        <w:t>（2）在政府采购资格审查环节，供应商只需提供书面《南京市政府采购供应商信用记录表暨信用承诺书》，即可替代以下证明材料：</w:t>
      </w:r>
    </w:p>
    <w:p w14:paraId="4F64D04E">
      <w:pPr>
        <w:snapToGrid w:val="0"/>
        <w:spacing w:line="360" w:lineRule="auto"/>
        <w:ind w:firstLine="480" w:firstLineChars="200"/>
        <w:rPr>
          <w:rFonts w:hint="eastAsia" w:ascii="仿宋" w:hAnsi="仿宋" w:eastAsia="仿宋" w:cs="仿宋"/>
          <w:color w:val="000000" w:themeColor="text1"/>
          <w:sz w:val="24"/>
          <w:szCs w:val="32"/>
          <w14:textFill>
            <w14:solidFill>
              <w14:schemeClr w14:val="tx1"/>
            </w14:solidFill>
          </w14:textFill>
        </w:rPr>
      </w:pPr>
      <w:r>
        <w:rPr>
          <w:rFonts w:hint="eastAsia" w:ascii="仿宋" w:hAnsi="仿宋" w:eastAsia="仿宋" w:cs="仿宋"/>
          <w:color w:val="000000" w:themeColor="text1"/>
          <w:sz w:val="24"/>
          <w:szCs w:val="32"/>
          <w14:textFill>
            <w14:solidFill>
              <w14:schemeClr w14:val="tx1"/>
            </w14:solidFill>
          </w14:textFill>
        </w:rPr>
        <w:t xml:space="preserve">  ①符合国家相关规定的财务状况报告；</w:t>
      </w:r>
    </w:p>
    <w:p w14:paraId="466031E7">
      <w:pPr>
        <w:snapToGrid w:val="0"/>
        <w:spacing w:line="360" w:lineRule="auto"/>
        <w:ind w:firstLine="480" w:firstLineChars="200"/>
        <w:rPr>
          <w:rFonts w:hint="eastAsia" w:ascii="仿宋" w:hAnsi="仿宋" w:eastAsia="仿宋" w:cs="仿宋"/>
          <w:color w:val="000000" w:themeColor="text1"/>
          <w:sz w:val="24"/>
          <w:szCs w:val="32"/>
          <w14:textFill>
            <w14:solidFill>
              <w14:schemeClr w14:val="tx1"/>
            </w14:solidFill>
          </w14:textFill>
        </w:rPr>
      </w:pPr>
      <w:r>
        <w:rPr>
          <w:rFonts w:hint="eastAsia" w:ascii="仿宋" w:hAnsi="仿宋" w:eastAsia="仿宋" w:cs="仿宋"/>
          <w:color w:val="000000" w:themeColor="text1"/>
          <w:sz w:val="24"/>
          <w:szCs w:val="32"/>
          <w14:textFill>
            <w14:solidFill>
              <w14:schemeClr w14:val="tx1"/>
            </w14:solidFill>
          </w14:textFill>
        </w:rPr>
        <w:t xml:space="preserve">  ②依法缴纳税收的证明材料；</w:t>
      </w:r>
    </w:p>
    <w:p w14:paraId="4B4F8F68">
      <w:pPr>
        <w:snapToGrid w:val="0"/>
        <w:spacing w:line="360" w:lineRule="auto"/>
        <w:ind w:firstLine="480" w:firstLineChars="200"/>
        <w:rPr>
          <w:rFonts w:hint="eastAsia" w:ascii="仿宋" w:hAnsi="仿宋" w:eastAsia="仿宋" w:cs="仿宋"/>
          <w:color w:val="000000" w:themeColor="text1"/>
          <w:sz w:val="24"/>
          <w:szCs w:val="32"/>
          <w14:textFill>
            <w14:solidFill>
              <w14:schemeClr w14:val="tx1"/>
            </w14:solidFill>
          </w14:textFill>
        </w:rPr>
      </w:pPr>
      <w:r>
        <w:rPr>
          <w:rFonts w:hint="eastAsia" w:ascii="仿宋" w:hAnsi="仿宋" w:eastAsia="仿宋" w:cs="仿宋"/>
          <w:color w:val="000000" w:themeColor="text1"/>
          <w:sz w:val="24"/>
          <w:szCs w:val="32"/>
          <w14:textFill>
            <w14:solidFill>
              <w14:schemeClr w14:val="tx1"/>
            </w14:solidFill>
          </w14:textFill>
        </w:rPr>
        <w:t xml:space="preserve">  ③依法缴纳社会保障资金的证明材料；</w:t>
      </w:r>
    </w:p>
    <w:p w14:paraId="43CD870C">
      <w:pPr>
        <w:snapToGrid w:val="0"/>
        <w:spacing w:line="360" w:lineRule="auto"/>
        <w:ind w:firstLine="480" w:firstLineChars="200"/>
        <w:rPr>
          <w:rFonts w:hint="eastAsia" w:ascii="仿宋" w:hAnsi="仿宋" w:eastAsia="仿宋" w:cs="仿宋"/>
          <w:color w:val="000000" w:themeColor="text1"/>
          <w:sz w:val="24"/>
          <w:szCs w:val="32"/>
          <w14:textFill>
            <w14:solidFill>
              <w14:schemeClr w14:val="tx1"/>
            </w14:solidFill>
          </w14:textFill>
        </w:rPr>
      </w:pPr>
      <w:r>
        <w:rPr>
          <w:rFonts w:hint="eastAsia" w:ascii="仿宋" w:hAnsi="仿宋" w:eastAsia="仿宋" w:cs="仿宋"/>
          <w:color w:val="000000" w:themeColor="text1"/>
          <w:sz w:val="24"/>
          <w:szCs w:val="32"/>
          <w14:textFill>
            <w14:solidFill>
              <w14:schemeClr w14:val="tx1"/>
            </w14:solidFill>
          </w14:textFill>
        </w:rPr>
        <w:t xml:space="preserve">  ④具备履行政府采购合同所必需的设备和专业技术能力的证明材料；</w:t>
      </w:r>
    </w:p>
    <w:p w14:paraId="4713CAA5">
      <w:pPr>
        <w:snapToGrid w:val="0"/>
        <w:spacing w:line="360" w:lineRule="auto"/>
        <w:ind w:firstLine="480" w:firstLineChars="200"/>
        <w:rPr>
          <w:rFonts w:hint="eastAsia" w:ascii="仿宋" w:hAnsi="仿宋" w:eastAsia="仿宋" w:cs="仿宋"/>
          <w:color w:val="000000" w:themeColor="text1"/>
          <w:sz w:val="24"/>
          <w:szCs w:val="32"/>
          <w14:textFill>
            <w14:solidFill>
              <w14:schemeClr w14:val="tx1"/>
            </w14:solidFill>
          </w14:textFill>
        </w:rPr>
      </w:pPr>
      <w:r>
        <w:rPr>
          <w:rFonts w:hint="eastAsia" w:ascii="仿宋" w:hAnsi="仿宋" w:eastAsia="仿宋" w:cs="仿宋"/>
          <w:color w:val="000000" w:themeColor="text1"/>
          <w:sz w:val="24"/>
          <w:szCs w:val="32"/>
          <w14:textFill>
            <w14:solidFill>
              <w14:schemeClr w14:val="tx1"/>
            </w14:solidFill>
          </w14:textFill>
        </w:rPr>
        <w:t xml:space="preserve">  ⑤参加政府采购活动前三年内在经营活动中没有重大违法记录的证明材料；</w:t>
      </w:r>
    </w:p>
    <w:p w14:paraId="1F88864C">
      <w:pPr>
        <w:snapToGrid w:val="0"/>
        <w:spacing w:line="360" w:lineRule="auto"/>
        <w:ind w:firstLine="480" w:firstLineChars="200"/>
        <w:rPr>
          <w:rFonts w:hint="eastAsia" w:ascii="仿宋" w:hAnsi="仿宋" w:eastAsia="仿宋" w:cs="仿宋"/>
          <w:color w:val="000000" w:themeColor="text1"/>
          <w:sz w:val="24"/>
          <w:szCs w:val="32"/>
          <w14:textFill>
            <w14:solidFill>
              <w14:schemeClr w14:val="tx1"/>
            </w14:solidFill>
          </w14:textFill>
        </w:rPr>
      </w:pPr>
      <w:r>
        <w:rPr>
          <w:rFonts w:hint="eastAsia" w:ascii="仿宋" w:hAnsi="仿宋" w:eastAsia="仿宋" w:cs="仿宋"/>
          <w:color w:val="000000" w:themeColor="text1"/>
          <w:sz w:val="24"/>
          <w:szCs w:val="32"/>
          <w14:textFill>
            <w14:solidFill>
              <w14:schemeClr w14:val="tx1"/>
            </w14:solidFill>
          </w14:textFill>
        </w:rPr>
        <w:t xml:space="preserve">  ⑥未被列入失信被执行人、重大税收违法失信主体、政府采购严重违法失信行为记录名单的证明材料。</w:t>
      </w:r>
    </w:p>
    <w:p w14:paraId="09B12DBF">
      <w:pPr>
        <w:snapToGrid w:val="0"/>
        <w:spacing w:line="360" w:lineRule="auto"/>
        <w:ind w:firstLine="480" w:firstLineChars="200"/>
        <w:rPr>
          <w:rFonts w:hint="eastAsia" w:ascii="仿宋" w:hAnsi="仿宋" w:eastAsia="仿宋" w:cs="仿宋"/>
          <w:color w:val="000000" w:themeColor="text1"/>
          <w:sz w:val="24"/>
          <w:szCs w:val="32"/>
          <w14:textFill>
            <w14:solidFill>
              <w14:schemeClr w14:val="tx1"/>
            </w14:solidFill>
          </w14:textFill>
        </w:rPr>
      </w:pPr>
      <w:r>
        <w:rPr>
          <w:rFonts w:hint="eastAsia" w:ascii="仿宋" w:hAnsi="仿宋" w:eastAsia="仿宋" w:cs="仿宋"/>
          <w:color w:val="000000" w:themeColor="text1"/>
          <w:sz w:val="24"/>
          <w:szCs w:val="32"/>
          <w14:textFill>
            <w14:solidFill>
              <w14:schemeClr w14:val="tx1"/>
            </w14:solidFill>
          </w14:textFill>
        </w:rPr>
        <w:t>（3）供应商在中标（成交）后，应按采购文件要求，将上述由信用承诺书替代的证明材料提交采购人或采购代理机构核验。经核验无误后，由采购人或采购代理机构发出中标（成交）通知书。供应商涉及以下情形的，不适用信用承诺：</w:t>
      </w:r>
    </w:p>
    <w:p w14:paraId="6760B2FA">
      <w:pPr>
        <w:snapToGrid w:val="0"/>
        <w:spacing w:line="360" w:lineRule="auto"/>
        <w:ind w:firstLine="480" w:firstLineChars="200"/>
        <w:rPr>
          <w:rFonts w:hint="eastAsia" w:ascii="仿宋" w:hAnsi="仿宋" w:eastAsia="仿宋" w:cs="仿宋"/>
          <w:color w:val="000000" w:themeColor="text1"/>
          <w:sz w:val="24"/>
          <w:szCs w:val="32"/>
          <w14:textFill>
            <w14:solidFill>
              <w14:schemeClr w14:val="tx1"/>
            </w14:solidFill>
          </w14:textFill>
        </w:rPr>
      </w:pPr>
      <w:r>
        <w:rPr>
          <w:rFonts w:hint="eastAsia" w:ascii="仿宋" w:hAnsi="仿宋" w:eastAsia="仿宋" w:cs="仿宋"/>
          <w:color w:val="000000" w:themeColor="text1"/>
          <w:sz w:val="24"/>
          <w:szCs w:val="32"/>
          <w14:textFill>
            <w14:solidFill>
              <w14:schemeClr w14:val="tx1"/>
            </w14:solidFill>
          </w14:textFill>
        </w:rPr>
        <w:t xml:space="preserve">  ①供应商被列入严重失信主体名单；</w:t>
      </w:r>
    </w:p>
    <w:p w14:paraId="796ECCD6">
      <w:pPr>
        <w:snapToGrid w:val="0"/>
        <w:spacing w:line="360" w:lineRule="auto"/>
        <w:ind w:firstLine="480" w:firstLineChars="200"/>
        <w:rPr>
          <w:rFonts w:hint="eastAsia" w:ascii="仿宋" w:hAnsi="仿宋" w:eastAsia="仿宋" w:cs="仿宋"/>
          <w:color w:val="000000" w:themeColor="text1"/>
          <w:sz w:val="24"/>
          <w:szCs w:val="32"/>
          <w14:textFill>
            <w14:solidFill>
              <w14:schemeClr w14:val="tx1"/>
            </w14:solidFill>
          </w14:textFill>
        </w:rPr>
      </w:pPr>
      <w:r>
        <w:rPr>
          <w:rFonts w:hint="eastAsia" w:ascii="仿宋" w:hAnsi="仿宋" w:eastAsia="仿宋" w:cs="仿宋"/>
          <w:color w:val="000000" w:themeColor="text1"/>
          <w:sz w:val="24"/>
          <w:szCs w:val="32"/>
          <w14:textFill>
            <w14:solidFill>
              <w14:schemeClr w14:val="tx1"/>
            </w14:solidFill>
          </w14:textFill>
        </w:rPr>
        <w:t xml:space="preserve">  ②被相关监管部门作出行政处罚且尚在处罚有效期内；</w:t>
      </w:r>
    </w:p>
    <w:p w14:paraId="348A8EA6">
      <w:pPr>
        <w:snapToGrid w:val="0"/>
        <w:spacing w:line="360" w:lineRule="auto"/>
        <w:ind w:firstLine="480" w:firstLineChars="200"/>
        <w:rPr>
          <w:rFonts w:hint="eastAsia" w:ascii="仿宋" w:hAnsi="仿宋" w:eastAsia="仿宋" w:cs="仿宋"/>
          <w:color w:val="000000" w:themeColor="text1"/>
          <w:sz w:val="24"/>
          <w:szCs w:val="32"/>
          <w14:textFill>
            <w14:solidFill>
              <w14:schemeClr w14:val="tx1"/>
            </w14:solidFill>
          </w14:textFill>
        </w:rPr>
      </w:pPr>
      <w:r>
        <w:rPr>
          <w:rFonts w:hint="eastAsia" w:ascii="仿宋" w:hAnsi="仿宋" w:eastAsia="仿宋" w:cs="仿宋"/>
          <w:color w:val="000000" w:themeColor="text1"/>
          <w:sz w:val="24"/>
          <w:szCs w:val="32"/>
          <w14:textFill>
            <w14:solidFill>
              <w14:schemeClr w14:val="tx1"/>
            </w14:solidFill>
          </w14:textFill>
        </w:rPr>
        <w:t xml:space="preserve">  ③其他法律、行政法规规定的不适用信用承诺的情形。供应商对信用承诺内容的真实性、合法性、有效性负责。如作出虚假信用承诺，视同为“提供虚假材料谋取中标、成交”的违法行为。</w:t>
      </w:r>
    </w:p>
    <w:p w14:paraId="779B9937">
      <w:pPr>
        <w:snapToGrid w:val="0"/>
        <w:spacing w:line="360" w:lineRule="auto"/>
        <w:ind w:firstLine="480" w:firstLineChars="200"/>
        <w:rPr>
          <w:rFonts w:hint="eastAsia" w:ascii="仿宋" w:hAnsi="仿宋" w:eastAsia="仿宋" w:cs="仿宋"/>
          <w:color w:val="000000" w:themeColor="text1"/>
          <w:sz w:val="24"/>
          <w:szCs w:val="32"/>
          <w14:textFill>
            <w14:solidFill>
              <w14:schemeClr w14:val="tx1"/>
            </w14:solidFill>
          </w14:textFill>
        </w:rPr>
      </w:pPr>
      <w:r>
        <w:rPr>
          <w:rFonts w:hint="eastAsia" w:ascii="仿宋" w:hAnsi="仿宋" w:eastAsia="仿宋" w:cs="仿宋"/>
          <w:color w:val="000000" w:themeColor="text1"/>
          <w:sz w:val="24"/>
          <w:szCs w:val="32"/>
          <w14:textFill>
            <w14:solidFill>
              <w14:schemeClr w14:val="tx1"/>
            </w14:solidFill>
          </w14:textFill>
        </w:rPr>
        <w:t xml:space="preserve">  ④南京市政府采购供应商诚信档案管理系统客服电话：025-52718366；供应商可就用户注册与打印“《南京市政府采购供应商信用记录表暨信用承诺书》”等事宜进行咨询。</w:t>
      </w:r>
    </w:p>
    <w:p w14:paraId="077ECB59">
      <w:pPr>
        <w:adjustRightInd w:val="0"/>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八、凡对本次采购提出询问，请按以下方式联系。</w:t>
      </w:r>
    </w:p>
    <w:p w14:paraId="264BD28D">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1.采购人信息</w:t>
      </w:r>
    </w:p>
    <w:p w14:paraId="45D92E0F">
      <w:pPr>
        <w:adjustRightInd w:val="0"/>
        <w:snapToGrid w:val="0"/>
        <w:spacing w:line="360" w:lineRule="auto"/>
        <w:ind w:firstLine="480" w:firstLineChars="200"/>
        <w:rPr>
          <w:rFonts w:hint="eastAsia" w:ascii="仿宋" w:hAnsi="仿宋" w:eastAsia="仿宋" w:cs="仿宋"/>
          <w:color w:val="auto"/>
          <w:sz w:val="24"/>
          <w:szCs w:val="24"/>
          <w:highlight w:val="none"/>
          <w:lang w:eastAsia="zh-CN"/>
        </w:rPr>
      </w:pPr>
      <w:bookmarkStart w:id="11" w:name="OLE_LINK3"/>
      <w:r>
        <w:rPr>
          <w:rFonts w:hint="eastAsia" w:ascii="仿宋" w:hAnsi="仿宋" w:eastAsia="仿宋" w:cs="仿宋"/>
          <w:sz w:val="24"/>
          <w:szCs w:val="24"/>
          <w:lang w:eastAsia="zh-CN"/>
        </w:rPr>
        <w:t>单位名称：</w:t>
      </w:r>
      <w:r>
        <w:rPr>
          <w:rFonts w:hint="eastAsia" w:ascii="仿宋" w:hAnsi="仿宋" w:eastAsia="仿宋" w:cs="仿宋"/>
          <w:color w:val="auto"/>
          <w:sz w:val="24"/>
          <w:szCs w:val="24"/>
          <w:highlight w:val="none"/>
          <w:lang w:eastAsia="zh-CN"/>
        </w:rPr>
        <w:t>南京市秦淮区人民政府大光路</w:t>
      </w:r>
      <w:r>
        <w:rPr>
          <w:rFonts w:hint="eastAsia" w:ascii="仿宋" w:hAnsi="仿宋" w:eastAsia="仿宋" w:cs="仿宋"/>
          <w:color w:val="auto"/>
          <w:sz w:val="24"/>
          <w:szCs w:val="24"/>
          <w:highlight w:val="none"/>
          <w:lang w:val="en-US" w:eastAsia="zh-CN"/>
        </w:rPr>
        <w:t>街道</w:t>
      </w:r>
      <w:r>
        <w:rPr>
          <w:rFonts w:hint="eastAsia" w:ascii="仿宋" w:hAnsi="仿宋" w:eastAsia="仿宋" w:cs="仿宋"/>
          <w:color w:val="auto"/>
          <w:sz w:val="24"/>
          <w:szCs w:val="24"/>
          <w:highlight w:val="none"/>
          <w:lang w:eastAsia="zh-CN"/>
        </w:rPr>
        <w:t>办事处</w:t>
      </w:r>
    </w:p>
    <w:bookmarkEnd w:id="11"/>
    <w:p w14:paraId="37C8D030">
      <w:pPr>
        <w:adjustRightInd w:val="0"/>
        <w:snapToGrid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单位地址：</w:t>
      </w:r>
      <w:r>
        <w:rPr>
          <w:rFonts w:hint="eastAsia" w:ascii="仿宋" w:hAnsi="仿宋" w:eastAsia="仿宋" w:cs="仿宋"/>
          <w:color w:val="auto"/>
          <w:sz w:val="24"/>
          <w:szCs w:val="24"/>
          <w:highlight w:val="none"/>
          <w:lang w:eastAsia="zh-CN"/>
        </w:rPr>
        <w:t>南京市秦淮区大光路大光里08幢</w:t>
      </w:r>
    </w:p>
    <w:p w14:paraId="3C18DADE">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eastAsia="zh-CN"/>
        </w:rPr>
        <w:t>方盛</w:t>
      </w:r>
      <w:r>
        <w:rPr>
          <w:rFonts w:hint="eastAsia" w:ascii="仿宋" w:hAnsi="仿宋" w:eastAsia="仿宋" w:cs="仿宋"/>
          <w:color w:val="auto"/>
          <w:sz w:val="24"/>
          <w:szCs w:val="24"/>
          <w:highlight w:val="none"/>
        </w:rPr>
        <w:t xml:space="preserve">     </w:t>
      </w:r>
    </w:p>
    <w:p w14:paraId="035FA3DB">
      <w:pPr>
        <w:adjustRightInd w:val="0"/>
        <w:snapToGrid w:val="0"/>
        <w:spacing w:line="360" w:lineRule="auto"/>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lang w:eastAsia="zh-CN"/>
        </w:rPr>
        <w:t>025-</w:t>
      </w:r>
      <w:r>
        <w:rPr>
          <w:rFonts w:hint="eastAsia" w:ascii="仿宋" w:hAnsi="仿宋" w:eastAsia="仿宋" w:cs="仿宋"/>
          <w:color w:val="auto"/>
          <w:sz w:val="24"/>
          <w:szCs w:val="24"/>
          <w:highlight w:val="none"/>
          <w:lang w:val="en-US" w:eastAsia="zh-CN"/>
        </w:rPr>
        <w:t>84688689</w:t>
      </w:r>
    </w:p>
    <w:p w14:paraId="489CDA7A">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2.采购代理机构信息</w:t>
      </w:r>
    </w:p>
    <w:p w14:paraId="4476688A">
      <w:pPr>
        <w:adjustRightInd w:val="0"/>
        <w:snapToGrid w:val="0"/>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单位名称：</w:t>
      </w:r>
      <w:r>
        <w:rPr>
          <w:rFonts w:hint="eastAsia" w:ascii="仿宋" w:hAnsi="仿宋" w:eastAsia="仿宋" w:cs="仿宋"/>
          <w:sz w:val="24"/>
          <w:szCs w:val="24"/>
          <w:lang w:eastAsia="zh-CN"/>
        </w:rPr>
        <w:t>南京达琛鑫工程咨询有限公司</w:t>
      </w:r>
    </w:p>
    <w:p w14:paraId="0D955765">
      <w:pPr>
        <w:adjustRightInd w:val="0"/>
        <w:snapToGrid w:val="0"/>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单位地址：</w:t>
      </w:r>
      <w:r>
        <w:rPr>
          <w:rFonts w:hint="eastAsia" w:ascii="仿宋" w:hAnsi="仿宋" w:eastAsia="仿宋" w:cs="仿宋"/>
          <w:sz w:val="24"/>
          <w:szCs w:val="24"/>
          <w:lang w:eastAsia="zh-CN"/>
        </w:rPr>
        <w:t>南京市秦淮区光华东街6号世界之窗产业园15号楼4楼</w:t>
      </w:r>
    </w:p>
    <w:p w14:paraId="35466854">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联系人：</w:t>
      </w:r>
      <w:r>
        <w:rPr>
          <w:rFonts w:hint="eastAsia" w:ascii="仿宋" w:hAnsi="仿宋" w:eastAsia="仿宋" w:cs="仿宋"/>
          <w:sz w:val="24"/>
          <w:szCs w:val="24"/>
          <w:lang w:eastAsia="zh-CN"/>
        </w:rPr>
        <w:t>周工</w:t>
      </w:r>
      <w:r>
        <w:rPr>
          <w:rFonts w:hint="eastAsia" w:ascii="仿宋" w:hAnsi="仿宋" w:eastAsia="仿宋" w:cs="仿宋"/>
          <w:sz w:val="24"/>
          <w:szCs w:val="24"/>
        </w:rPr>
        <w:t xml:space="preserve">    </w:t>
      </w:r>
    </w:p>
    <w:p w14:paraId="691D1F8D">
      <w:pPr>
        <w:adjustRightInd w:val="0"/>
        <w:snapToGrid w:val="0"/>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电话：</w:t>
      </w:r>
      <w:r>
        <w:rPr>
          <w:rFonts w:hint="eastAsia" w:ascii="仿宋" w:hAnsi="仿宋" w:eastAsia="仿宋" w:cs="仿宋"/>
          <w:sz w:val="24"/>
          <w:szCs w:val="24"/>
          <w:lang w:eastAsia="zh-CN"/>
        </w:rPr>
        <w:t>025-52639995（转8006）</w:t>
      </w:r>
    </w:p>
    <w:p w14:paraId="1D50578A">
      <w:pPr>
        <w:numPr>
          <w:ilvl w:val="0"/>
          <w:numId w:val="5"/>
        </w:num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项目联系方式</w:t>
      </w:r>
    </w:p>
    <w:p w14:paraId="2E3B1184">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项目联系人：</w:t>
      </w:r>
      <w:r>
        <w:rPr>
          <w:rFonts w:hint="eastAsia" w:ascii="仿宋" w:hAnsi="仿宋" w:eastAsia="仿宋" w:cs="仿宋"/>
          <w:sz w:val="24"/>
          <w:szCs w:val="24"/>
          <w:lang w:eastAsia="zh-CN"/>
        </w:rPr>
        <w:t>周工</w:t>
      </w:r>
      <w:r>
        <w:rPr>
          <w:rFonts w:hint="eastAsia" w:ascii="仿宋" w:hAnsi="仿宋" w:eastAsia="仿宋" w:cs="仿宋"/>
          <w:sz w:val="24"/>
          <w:szCs w:val="24"/>
        </w:rPr>
        <w:t xml:space="preserve">     </w:t>
      </w:r>
    </w:p>
    <w:p w14:paraId="2B1BBA43">
      <w:pPr>
        <w:adjustRightInd w:val="0"/>
        <w:snapToGrid w:val="0"/>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电话：</w:t>
      </w:r>
      <w:r>
        <w:rPr>
          <w:rFonts w:hint="eastAsia" w:ascii="仿宋" w:hAnsi="仿宋" w:eastAsia="仿宋" w:cs="仿宋"/>
          <w:sz w:val="24"/>
          <w:szCs w:val="24"/>
          <w:lang w:eastAsia="zh-CN"/>
        </w:rPr>
        <w:t>025-52639995（转8006）</w:t>
      </w:r>
    </w:p>
    <w:p w14:paraId="661671E9">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邮箱：</w:t>
      </w:r>
      <w:r>
        <w:rPr>
          <w:rFonts w:hint="eastAsia" w:ascii="仿宋" w:hAnsi="仿宋" w:eastAsia="仿宋" w:cs="仿宋"/>
          <w:sz w:val="24"/>
          <w:szCs w:val="24"/>
          <w:lang w:val="en-US" w:eastAsia="zh-CN"/>
        </w:rPr>
        <w:t>njdcx_gczx@163.com</w:t>
      </w:r>
    </w:p>
    <w:p w14:paraId="68C67775">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联系地址：</w:t>
      </w:r>
      <w:r>
        <w:rPr>
          <w:rFonts w:hint="eastAsia" w:ascii="仿宋" w:hAnsi="仿宋" w:eastAsia="仿宋" w:cs="仿宋"/>
          <w:sz w:val="24"/>
          <w:szCs w:val="24"/>
          <w:lang w:eastAsia="zh-CN"/>
        </w:rPr>
        <w:t>南京市秦淮区光华东街6号世界之窗产业园15号楼4楼</w:t>
      </w:r>
    </w:p>
    <w:p w14:paraId="5BE73F73">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对项目需求部分的询问、质疑请与采购人联系，由采购人负责答复。</w:t>
      </w:r>
    </w:p>
    <w:bookmarkEnd w:id="3"/>
    <w:bookmarkEnd w:id="4"/>
    <w:bookmarkEnd w:id="5"/>
    <w:bookmarkEnd w:id="6"/>
    <w:p w14:paraId="0D9AF30E">
      <w:pPr>
        <w:rPr>
          <w:lang w:val="zh-TW" w:eastAsia="zh-TW"/>
        </w:rPr>
      </w:pPr>
      <w:bookmarkStart w:id="12" w:name="_Toc5439"/>
      <w:bookmarkStart w:id="13" w:name="_Toc78882127"/>
      <w:bookmarkStart w:id="14" w:name="_Toc479500509"/>
    </w:p>
    <w:bookmarkEnd w:id="12"/>
    <w:p w14:paraId="18BB8A18">
      <w:pPr>
        <w:spacing w:afterLines="50" w:line="360" w:lineRule="auto"/>
        <w:ind w:left="1" w:firstLine="360" w:firstLineChars="150"/>
        <w:rPr>
          <w:rFonts w:ascii="仿宋" w:hAnsi="仿宋" w:eastAsia="仿宋" w:cs="仿宋"/>
          <w:sz w:val="24"/>
        </w:rPr>
      </w:pPr>
      <w:r>
        <w:rPr>
          <w:rFonts w:hint="eastAsia" w:ascii="仿宋" w:hAnsi="仿宋" w:eastAsia="仿宋" w:cs="仿宋"/>
          <w:sz w:val="24"/>
        </w:rPr>
        <w:br w:type="page"/>
      </w:r>
    </w:p>
    <w:bookmarkEnd w:id="13"/>
    <w:bookmarkEnd w:id="14"/>
    <w:p w14:paraId="21D6EDF8">
      <w:pPr>
        <w:pStyle w:val="3"/>
        <w:numPr>
          <w:ilvl w:val="0"/>
          <w:numId w:val="1"/>
        </w:numPr>
        <w:jc w:val="center"/>
        <w:rPr>
          <w:rFonts w:ascii="仿宋" w:hAnsi="仿宋" w:eastAsia="仿宋" w:cs="仿宋"/>
          <w:sz w:val="48"/>
          <w:szCs w:val="48"/>
        </w:rPr>
      </w:pPr>
      <w:bookmarkStart w:id="15" w:name="_Toc7364"/>
      <w:bookmarkStart w:id="16" w:name="_Toc9832"/>
      <w:r>
        <w:rPr>
          <w:rFonts w:hint="eastAsia" w:ascii="仿宋" w:hAnsi="仿宋" w:eastAsia="仿宋" w:cs="仿宋"/>
          <w:sz w:val="48"/>
          <w:szCs w:val="48"/>
        </w:rPr>
        <w:t>谈判须知</w:t>
      </w:r>
      <w:bookmarkEnd w:id="15"/>
      <w:bookmarkEnd w:id="16"/>
    </w:p>
    <w:p w14:paraId="614C1F56">
      <w:pPr>
        <w:spacing w:afterLines="50" w:line="360" w:lineRule="auto"/>
        <w:jc w:val="center"/>
        <w:rPr>
          <w:rFonts w:hint="eastAsia" w:ascii="仿宋" w:hAnsi="仿宋" w:eastAsia="仿宋" w:cs="仿宋"/>
          <w:bCs/>
          <w:sz w:val="24"/>
        </w:rPr>
      </w:pPr>
      <w:bookmarkStart w:id="17" w:name="_Toc14577347"/>
      <w:bookmarkStart w:id="18" w:name="_Toc513029209"/>
      <w:bookmarkStart w:id="19" w:name="_Toc61149549"/>
      <w:bookmarkStart w:id="20" w:name="_Toc78882134"/>
      <w:bookmarkStart w:id="21" w:name="_Toc479500548"/>
      <w:r>
        <w:rPr>
          <w:rFonts w:hint="eastAsia" w:ascii="仿宋" w:hAnsi="仿宋" w:eastAsia="仿宋" w:cs="仿宋"/>
          <w:bCs/>
          <w:sz w:val="24"/>
        </w:rPr>
        <w:t>（参加竞争性谈判的供应商以下简称“供应商”）</w:t>
      </w:r>
    </w:p>
    <w:p w14:paraId="6F6D7337">
      <w:pPr>
        <w:snapToGrid w:val="0"/>
        <w:spacing w:line="360" w:lineRule="auto"/>
        <w:jc w:val="center"/>
        <w:rPr>
          <w:rFonts w:hint="eastAsia" w:ascii="仿宋" w:hAnsi="仿宋" w:eastAsia="仿宋" w:cs="仿宋"/>
          <w:b/>
          <w:bCs/>
          <w:sz w:val="24"/>
          <w:szCs w:val="24"/>
        </w:rPr>
      </w:pPr>
      <w:bookmarkStart w:id="22" w:name="_Toc14072"/>
      <w:r>
        <w:rPr>
          <w:rFonts w:hint="eastAsia" w:ascii="仿宋" w:hAnsi="仿宋" w:eastAsia="仿宋" w:cs="仿宋"/>
          <w:b/>
          <w:bCs/>
          <w:sz w:val="24"/>
          <w:szCs w:val="24"/>
        </w:rPr>
        <w:t>供应商须知前附表</w:t>
      </w:r>
    </w:p>
    <w:tbl>
      <w:tblPr>
        <w:tblStyle w:val="18"/>
        <w:tblW w:w="9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2012"/>
        <w:gridCol w:w="6736"/>
      </w:tblGrid>
      <w:tr w14:paraId="4D5D5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blHeader/>
          <w:jc w:val="center"/>
        </w:trPr>
        <w:tc>
          <w:tcPr>
            <w:tcW w:w="725" w:type="dxa"/>
            <w:vAlign w:val="center"/>
          </w:tcPr>
          <w:p w14:paraId="54EA0602">
            <w:pPr>
              <w:snapToGrid w:val="0"/>
              <w:spacing w:line="0" w:lineRule="atLeast"/>
              <w:rPr>
                <w:rFonts w:hint="eastAsia" w:ascii="仿宋" w:hAnsi="仿宋" w:eastAsia="仿宋" w:cs="仿宋"/>
                <w:b/>
                <w:bCs/>
                <w:sz w:val="24"/>
                <w:szCs w:val="24"/>
              </w:rPr>
            </w:pPr>
            <w:r>
              <w:rPr>
                <w:rFonts w:hint="eastAsia" w:ascii="仿宋" w:hAnsi="仿宋" w:eastAsia="仿宋" w:cs="仿宋"/>
                <w:b/>
                <w:bCs/>
                <w:sz w:val="24"/>
                <w:szCs w:val="24"/>
              </w:rPr>
              <w:t>序号</w:t>
            </w:r>
          </w:p>
        </w:tc>
        <w:tc>
          <w:tcPr>
            <w:tcW w:w="2012" w:type="dxa"/>
            <w:vAlign w:val="center"/>
          </w:tcPr>
          <w:p w14:paraId="30F54C79">
            <w:pPr>
              <w:snapToGrid w:val="0"/>
              <w:spacing w:line="0" w:lineRule="atLeast"/>
              <w:jc w:val="center"/>
              <w:rPr>
                <w:rFonts w:hint="eastAsia" w:ascii="仿宋" w:hAnsi="仿宋" w:eastAsia="仿宋" w:cs="仿宋"/>
                <w:b/>
                <w:bCs/>
                <w:sz w:val="24"/>
                <w:szCs w:val="24"/>
              </w:rPr>
            </w:pPr>
            <w:r>
              <w:rPr>
                <w:rFonts w:hint="eastAsia" w:ascii="仿宋" w:hAnsi="仿宋" w:eastAsia="仿宋" w:cs="仿宋"/>
                <w:b/>
                <w:bCs/>
                <w:sz w:val="24"/>
                <w:szCs w:val="24"/>
              </w:rPr>
              <w:t>项目</w:t>
            </w:r>
          </w:p>
        </w:tc>
        <w:tc>
          <w:tcPr>
            <w:tcW w:w="6736" w:type="dxa"/>
            <w:vAlign w:val="center"/>
          </w:tcPr>
          <w:p w14:paraId="4D839E50">
            <w:pPr>
              <w:snapToGrid w:val="0"/>
              <w:spacing w:line="0" w:lineRule="atLeast"/>
              <w:jc w:val="center"/>
              <w:rPr>
                <w:rFonts w:hint="eastAsia" w:ascii="仿宋" w:hAnsi="仿宋" w:eastAsia="仿宋" w:cs="仿宋"/>
                <w:b/>
                <w:bCs/>
                <w:sz w:val="24"/>
                <w:szCs w:val="24"/>
              </w:rPr>
            </w:pPr>
            <w:r>
              <w:rPr>
                <w:rFonts w:hint="eastAsia" w:ascii="仿宋" w:hAnsi="仿宋" w:eastAsia="仿宋" w:cs="仿宋"/>
                <w:b/>
                <w:bCs/>
                <w:sz w:val="24"/>
                <w:szCs w:val="24"/>
              </w:rPr>
              <w:t>具  体  内  容</w:t>
            </w:r>
          </w:p>
        </w:tc>
      </w:tr>
      <w:tr w14:paraId="57120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25" w:type="dxa"/>
            <w:vAlign w:val="center"/>
          </w:tcPr>
          <w:p w14:paraId="105A5489">
            <w:pPr>
              <w:snapToGrid w:val="0"/>
              <w:spacing w:line="0" w:lineRule="atLeast"/>
              <w:jc w:val="center"/>
              <w:rPr>
                <w:rFonts w:hint="eastAsia" w:ascii="仿宋" w:hAnsi="仿宋" w:eastAsia="仿宋" w:cs="仿宋"/>
                <w:sz w:val="24"/>
                <w:szCs w:val="24"/>
              </w:rPr>
            </w:pPr>
            <w:r>
              <w:rPr>
                <w:rFonts w:hint="eastAsia" w:ascii="仿宋" w:hAnsi="仿宋" w:eastAsia="仿宋" w:cs="仿宋"/>
                <w:sz w:val="24"/>
                <w:szCs w:val="24"/>
              </w:rPr>
              <w:t>1</w:t>
            </w:r>
          </w:p>
        </w:tc>
        <w:tc>
          <w:tcPr>
            <w:tcW w:w="2012" w:type="dxa"/>
            <w:vAlign w:val="center"/>
          </w:tcPr>
          <w:p w14:paraId="7469D439">
            <w:pPr>
              <w:snapToGrid w:val="0"/>
              <w:spacing w:line="0" w:lineRule="atLeast"/>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736" w:type="dxa"/>
            <w:vAlign w:val="center"/>
          </w:tcPr>
          <w:p w14:paraId="1AFF815A">
            <w:pPr>
              <w:snapToGrid w:val="0"/>
              <w:spacing w:line="0" w:lineRule="atLeast"/>
              <w:rPr>
                <w:rFonts w:hint="eastAsia" w:ascii="仿宋" w:hAnsi="仿宋" w:eastAsia="仿宋" w:cs="仿宋"/>
                <w:sz w:val="24"/>
                <w:szCs w:val="24"/>
                <w:lang w:eastAsia="zh-CN"/>
              </w:rPr>
            </w:pPr>
            <w:r>
              <w:rPr>
                <w:rFonts w:hint="eastAsia" w:ascii="仿宋" w:hAnsi="仿宋" w:eastAsia="仿宋" w:cs="仿宋"/>
                <w:sz w:val="24"/>
                <w:szCs w:val="24"/>
                <w:lang w:eastAsia="zh-CN"/>
              </w:rPr>
              <w:t>2026年保安服务外包项目</w:t>
            </w:r>
          </w:p>
        </w:tc>
      </w:tr>
      <w:tr w14:paraId="3138B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725" w:type="dxa"/>
            <w:vAlign w:val="center"/>
          </w:tcPr>
          <w:p w14:paraId="6A11A858">
            <w:pPr>
              <w:snapToGrid w:val="0"/>
              <w:spacing w:line="0" w:lineRule="atLeast"/>
              <w:jc w:val="center"/>
              <w:rPr>
                <w:rFonts w:hint="eastAsia" w:ascii="仿宋" w:hAnsi="仿宋" w:eastAsia="仿宋" w:cs="仿宋"/>
                <w:sz w:val="24"/>
                <w:szCs w:val="24"/>
              </w:rPr>
            </w:pPr>
            <w:r>
              <w:rPr>
                <w:rFonts w:hint="eastAsia" w:ascii="仿宋" w:hAnsi="仿宋" w:eastAsia="仿宋" w:cs="仿宋"/>
                <w:sz w:val="24"/>
                <w:szCs w:val="24"/>
              </w:rPr>
              <w:t>2</w:t>
            </w:r>
          </w:p>
        </w:tc>
        <w:tc>
          <w:tcPr>
            <w:tcW w:w="2012" w:type="dxa"/>
            <w:vAlign w:val="center"/>
          </w:tcPr>
          <w:p w14:paraId="42742D3B">
            <w:pPr>
              <w:snapToGrid w:val="0"/>
              <w:spacing w:line="0" w:lineRule="atLeast"/>
              <w:jc w:val="center"/>
              <w:rPr>
                <w:rFonts w:hint="eastAsia" w:ascii="仿宋" w:hAnsi="仿宋" w:eastAsia="仿宋" w:cs="仿宋"/>
                <w:sz w:val="24"/>
                <w:szCs w:val="24"/>
              </w:rPr>
            </w:pPr>
            <w:r>
              <w:rPr>
                <w:rFonts w:hint="eastAsia" w:ascii="仿宋" w:hAnsi="仿宋" w:eastAsia="仿宋" w:cs="仿宋"/>
                <w:sz w:val="24"/>
                <w:szCs w:val="24"/>
              </w:rPr>
              <w:t>采购方式</w:t>
            </w:r>
          </w:p>
        </w:tc>
        <w:tc>
          <w:tcPr>
            <w:tcW w:w="6736" w:type="dxa"/>
            <w:vAlign w:val="center"/>
          </w:tcPr>
          <w:p w14:paraId="7DF81489">
            <w:pPr>
              <w:snapToGrid w:val="0"/>
              <w:spacing w:line="0" w:lineRule="atLeast"/>
              <w:rPr>
                <w:rFonts w:hint="eastAsia" w:ascii="仿宋" w:hAnsi="仿宋" w:eastAsia="仿宋" w:cs="仿宋"/>
                <w:sz w:val="24"/>
                <w:szCs w:val="24"/>
                <w:lang w:eastAsia="zh-CN"/>
              </w:rPr>
            </w:pPr>
            <w:r>
              <w:rPr>
                <w:rFonts w:hint="eastAsia" w:ascii="仿宋" w:hAnsi="仿宋" w:eastAsia="仿宋" w:cs="仿宋"/>
                <w:sz w:val="24"/>
                <w:szCs w:val="24"/>
              </w:rPr>
              <w:t>竞争性</w:t>
            </w:r>
            <w:r>
              <w:rPr>
                <w:rFonts w:hint="eastAsia" w:ascii="仿宋" w:hAnsi="仿宋" w:eastAsia="仿宋" w:cs="仿宋"/>
                <w:sz w:val="24"/>
                <w:szCs w:val="24"/>
                <w:lang w:eastAsia="zh-CN"/>
              </w:rPr>
              <w:t>谈判</w:t>
            </w:r>
          </w:p>
        </w:tc>
      </w:tr>
      <w:tr w14:paraId="2722F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25" w:type="dxa"/>
            <w:vAlign w:val="center"/>
          </w:tcPr>
          <w:p w14:paraId="6912F6EE">
            <w:pPr>
              <w:snapToGrid w:val="0"/>
              <w:spacing w:line="0" w:lineRule="atLeast"/>
              <w:jc w:val="center"/>
              <w:rPr>
                <w:rFonts w:hint="eastAsia" w:ascii="仿宋" w:hAnsi="仿宋" w:eastAsia="仿宋" w:cs="仿宋"/>
                <w:sz w:val="24"/>
                <w:szCs w:val="24"/>
              </w:rPr>
            </w:pPr>
            <w:r>
              <w:rPr>
                <w:rFonts w:hint="eastAsia" w:ascii="仿宋" w:hAnsi="仿宋" w:eastAsia="仿宋" w:cs="仿宋"/>
                <w:sz w:val="24"/>
                <w:szCs w:val="24"/>
              </w:rPr>
              <w:t>3</w:t>
            </w:r>
          </w:p>
        </w:tc>
        <w:tc>
          <w:tcPr>
            <w:tcW w:w="2012" w:type="dxa"/>
            <w:vAlign w:val="center"/>
          </w:tcPr>
          <w:p w14:paraId="1797EA9F">
            <w:pPr>
              <w:snapToGrid w:val="0"/>
              <w:spacing w:line="0" w:lineRule="atLeast"/>
              <w:jc w:val="center"/>
              <w:rPr>
                <w:rFonts w:hint="eastAsia" w:ascii="仿宋" w:hAnsi="仿宋" w:eastAsia="仿宋" w:cs="仿宋"/>
                <w:sz w:val="24"/>
                <w:szCs w:val="24"/>
              </w:rPr>
            </w:pPr>
            <w:r>
              <w:rPr>
                <w:rFonts w:hint="eastAsia" w:ascii="仿宋" w:hAnsi="仿宋" w:eastAsia="仿宋" w:cs="仿宋"/>
                <w:sz w:val="24"/>
                <w:szCs w:val="24"/>
              </w:rPr>
              <w:t>项目编号</w:t>
            </w:r>
          </w:p>
        </w:tc>
        <w:tc>
          <w:tcPr>
            <w:tcW w:w="6736" w:type="dxa"/>
            <w:vAlign w:val="center"/>
          </w:tcPr>
          <w:p w14:paraId="117FE9D3">
            <w:pPr>
              <w:snapToGrid w:val="0"/>
              <w:spacing w:line="0" w:lineRule="atLeast"/>
              <w:rPr>
                <w:rFonts w:hint="eastAsia" w:ascii="仿宋" w:hAnsi="仿宋" w:eastAsia="仿宋" w:cs="仿宋"/>
                <w:sz w:val="24"/>
                <w:szCs w:val="24"/>
                <w:lang w:eastAsia="zh-CN"/>
              </w:rPr>
            </w:pPr>
            <w:r>
              <w:rPr>
                <w:rFonts w:hint="eastAsia" w:ascii="仿宋" w:hAnsi="仿宋" w:eastAsia="仿宋" w:cs="仿宋"/>
                <w:sz w:val="24"/>
                <w:szCs w:val="24"/>
                <w:lang w:eastAsia="zh-CN"/>
              </w:rPr>
              <w:t>NJDCX-202512051928</w:t>
            </w:r>
          </w:p>
        </w:tc>
      </w:tr>
      <w:tr w14:paraId="2D870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25" w:type="dxa"/>
            <w:vAlign w:val="center"/>
          </w:tcPr>
          <w:p w14:paraId="047E959D">
            <w:pPr>
              <w:snapToGrid w:val="0"/>
              <w:spacing w:line="0" w:lineRule="atLeast"/>
              <w:jc w:val="center"/>
              <w:rPr>
                <w:rFonts w:hint="eastAsia" w:ascii="仿宋" w:hAnsi="仿宋" w:eastAsia="仿宋" w:cs="仿宋"/>
                <w:sz w:val="24"/>
                <w:szCs w:val="24"/>
              </w:rPr>
            </w:pPr>
            <w:r>
              <w:rPr>
                <w:rFonts w:hint="eastAsia" w:ascii="仿宋" w:hAnsi="仿宋" w:eastAsia="仿宋" w:cs="仿宋"/>
                <w:sz w:val="24"/>
                <w:szCs w:val="24"/>
              </w:rPr>
              <w:t>4</w:t>
            </w:r>
          </w:p>
        </w:tc>
        <w:tc>
          <w:tcPr>
            <w:tcW w:w="2012" w:type="dxa"/>
            <w:vAlign w:val="center"/>
          </w:tcPr>
          <w:p w14:paraId="073E6C86">
            <w:pPr>
              <w:snapToGrid w:val="0"/>
              <w:spacing w:line="0" w:lineRule="atLeast"/>
              <w:jc w:val="center"/>
              <w:rPr>
                <w:rFonts w:hint="eastAsia" w:ascii="仿宋" w:hAnsi="仿宋" w:eastAsia="仿宋" w:cs="仿宋"/>
                <w:sz w:val="24"/>
                <w:szCs w:val="24"/>
              </w:rPr>
            </w:pPr>
            <w:r>
              <w:rPr>
                <w:rFonts w:hint="eastAsia" w:ascii="仿宋" w:hAnsi="仿宋" w:eastAsia="仿宋" w:cs="仿宋"/>
                <w:sz w:val="24"/>
                <w:szCs w:val="24"/>
              </w:rPr>
              <w:t>分包号</w:t>
            </w:r>
          </w:p>
        </w:tc>
        <w:tc>
          <w:tcPr>
            <w:tcW w:w="6736" w:type="dxa"/>
            <w:vAlign w:val="center"/>
          </w:tcPr>
          <w:p w14:paraId="00D604E9">
            <w:pPr>
              <w:snapToGrid w:val="0"/>
              <w:spacing w:line="0" w:lineRule="atLeast"/>
              <w:rPr>
                <w:rFonts w:hint="eastAsia" w:ascii="仿宋" w:hAnsi="仿宋" w:eastAsia="仿宋" w:cs="仿宋"/>
                <w:sz w:val="24"/>
                <w:szCs w:val="24"/>
              </w:rPr>
            </w:pPr>
            <w:r>
              <w:rPr>
                <w:rFonts w:hint="eastAsia" w:ascii="仿宋" w:hAnsi="仿宋" w:eastAsia="仿宋" w:cs="仿宋"/>
                <w:sz w:val="24"/>
                <w:szCs w:val="24"/>
              </w:rPr>
              <w:t>无</w:t>
            </w:r>
          </w:p>
        </w:tc>
      </w:tr>
      <w:tr w14:paraId="35F7D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25" w:type="dxa"/>
            <w:vAlign w:val="center"/>
          </w:tcPr>
          <w:p w14:paraId="2F877B30">
            <w:pPr>
              <w:snapToGrid w:val="0"/>
              <w:spacing w:line="0" w:lineRule="atLeast"/>
              <w:jc w:val="center"/>
              <w:rPr>
                <w:rFonts w:hint="eastAsia" w:ascii="仿宋" w:hAnsi="仿宋" w:eastAsia="仿宋" w:cs="仿宋"/>
                <w:sz w:val="24"/>
                <w:szCs w:val="24"/>
              </w:rPr>
            </w:pPr>
            <w:r>
              <w:rPr>
                <w:rFonts w:hint="eastAsia" w:ascii="仿宋" w:hAnsi="仿宋" w:eastAsia="仿宋" w:cs="仿宋"/>
                <w:sz w:val="24"/>
                <w:szCs w:val="24"/>
              </w:rPr>
              <w:t>5</w:t>
            </w:r>
          </w:p>
        </w:tc>
        <w:tc>
          <w:tcPr>
            <w:tcW w:w="2012" w:type="dxa"/>
            <w:vAlign w:val="center"/>
          </w:tcPr>
          <w:p w14:paraId="7B8DBDE8">
            <w:pPr>
              <w:snapToGrid w:val="0"/>
              <w:spacing w:line="0" w:lineRule="atLeast"/>
              <w:jc w:val="center"/>
              <w:rPr>
                <w:rFonts w:hint="eastAsia" w:ascii="仿宋" w:hAnsi="仿宋" w:eastAsia="仿宋" w:cs="仿宋"/>
                <w:sz w:val="24"/>
                <w:szCs w:val="24"/>
              </w:rPr>
            </w:pPr>
            <w:r>
              <w:rPr>
                <w:rFonts w:hint="eastAsia" w:ascii="仿宋" w:hAnsi="仿宋" w:eastAsia="仿宋" w:cs="仿宋"/>
                <w:sz w:val="24"/>
                <w:szCs w:val="24"/>
              </w:rPr>
              <w:t>公告发布</w:t>
            </w:r>
          </w:p>
          <w:p w14:paraId="07BB7132">
            <w:pPr>
              <w:snapToGrid w:val="0"/>
              <w:spacing w:line="0" w:lineRule="atLeast"/>
              <w:jc w:val="center"/>
              <w:rPr>
                <w:rFonts w:hint="eastAsia" w:ascii="仿宋" w:hAnsi="仿宋" w:eastAsia="仿宋" w:cs="仿宋"/>
                <w:sz w:val="24"/>
                <w:szCs w:val="24"/>
              </w:rPr>
            </w:pPr>
            <w:r>
              <w:rPr>
                <w:rFonts w:hint="eastAsia" w:ascii="仿宋" w:hAnsi="仿宋" w:eastAsia="仿宋" w:cs="仿宋"/>
                <w:sz w:val="24"/>
                <w:szCs w:val="24"/>
              </w:rPr>
              <w:t>媒体</w:t>
            </w:r>
          </w:p>
        </w:tc>
        <w:tc>
          <w:tcPr>
            <w:tcW w:w="6736" w:type="dxa"/>
            <w:vAlign w:val="center"/>
          </w:tcPr>
          <w:p w14:paraId="3CF2496E">
            <w:pPr>
              <w:snapToGrid w:val="0"/>
              <w:spacing w:line="0" w:lineRule="atLeast"/>
              <w:rPr>
                <w:rFonts w:hint="eastAsia" w:ascii="仿宋" w:hAnsi="仿宋" w:eastAsia="仿宋" w:cs="仿宋"/>
                <w:sz w:val="24"/>
                <w:szCs w:val="24"/>
              </w:rPr>
            </w:pPr>
            <w:r>
              <w:rPr>
                <w:rFonts w:hint="eastAsia" w:ascii="仿宋" w:hAnsi="仿宋" w:eastAsia="仿宋" w:cs="仿宋"/>
                <w:bCs/>
                <w:sz w:val="24"/>
                <w:szCs w:val="24"/>
              </w:rPr>
              <w:t>南京公共采购信息网（https://njgc.jfh.com/）</w:t>
            </w:r>
          </w:p>
        </w:tc>
      </w:tr>
      <w:tr w14:paraId="0D0B0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25" w:type="dxa"/>
            <w:vAlign w:val="center"/>
          </w:tcPr>
          <w:p w14:paraId="003E5FE6">
            <w:pPr>
              <w:snapToGrid w:val="0"/>
              <w:spacing w:line="0" w:lineRule="atLeast"/>
              <w:jc w:val="center"/>
              <w:rPr>
                <w:rFonts w:hint="eastAsia" w:ascii="仿宋" w:hAnsi="仿宋" w:eastAsia="仿宋" w:cs="仿宋"/>
                <w:sz w:val="24"/>
                <w:szCs w:val="24"/>
              </w:rPr>
            </w:pPr>
            <w:r>
              <w:rPr>
                <w:rFonts w:hint="eastAsia" w:ascii="仿宋" w:hAnsi="仿宋" w:eastAsia="仿宋" w:cs="仿宋"/>
                <w:sz w:val="24"/>
                <w:szCs w:val="24"/>
              </w:rPr>
              <w:t>6</w:t>
            </w:r>
          </w:p>
        </w:tc>
        <w:tc>
          <w:tcPr>
            <w:tcW w:w="2012" w:type="dxa"/>
            <w:vAlign w:val="center"/>
          </w:tcPr>
          <w:p w14:paraId="73F1B200">
            <w:pPr>
              <w:snapToGrid w:val="0"/>
              <w:spacing w:line="0" w:lineRule="atLeast"/>
              <w:jc w:val="center"/>
              <w:rPr>
                <w:rFonts w:hint="eastAsia" w:ascii="仿宋" w:hAnsi="仿宋" w:eastAsia="仿宋" w:cs="仿宋"/>
                <w:sz w:val="24"/>
                <w:szCs w:val="24"/>
              </w:rPr>
            </w:pPr>
            <w:r>
              <w:rPr>
                <w:rFonts w:hint="eastAsia" w:ascii="仿宋" w:hAnsi="仿宋" w:eastAsia="仿宋" w:cs="仿宋"/>
                <w:sz w:val="24"/>
                <w:szCs w:val="24"/>
              </w:rPr>
              <w:t>采购预算及资金来源</w:t>
            </w:r>
          </w:p>
        </w:tc>
        <w:tc>
          <w:tcPr>
            <w:tcW w:w="6736" w:type="dxa"/>
            <w:vAlign w:val="center"/>
          </w:tcPr>
          <w:p w14:paraId="1A4693BA">
            <w:pPr>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rPr>
              <w:t>项目预算及最高限</w:t>
            </w:r>
            <w:r>
              <w:rPr>
                <w:rFonts w:hint="eastAsia" w:ascii="仿宋" w:hAnsi="仿宋" w:eastAsia="仿宋" w:cs="仿宋"/>
                <w:sz w:val="24"/>
                <w:szCs w:val="24"/>
                <w:highlight w:val="none"/>
              </w:rPr>
              <w:t>价：人民币</w:t>
            </w:r>
            <w:r>
              <w:rPr>
                <w:rFonts w:hint="eastAsia" w:ascii="仿宋" w:hAnsi="仿宋" w:eastAsia="仿宋" w:cs="仿宋"/>
                <w:sz w:val="24"/>
                <w:szCs w:val="24"/>
                <w:highlight w:val="none"/>
                <w:lang w:val="en-US" w:eastAsia="zh-CN"/>
              </w:rPr>
              <w:t>29万</w:t>
            </w:r>
            <w:r>
              <w:rPr>
                <w:rFonts w:hint="eastAsia" w:ascii="仿宋" w:hAnsi="仿宋" w:eastAsia="仿宋" w:cs="仿宋"/>
                <w:sz w:val="24"/>
                <w:szCs w:val="24"/>
                <w:highlight w:val="none"/>
              </w:rPr>
              <w:t>元</w:t>
            </w:r>
            <w:r>
              <w:rPr>
                <w:rFonts w:hint="eastAsia" w:ascii="仿宋" w:hAnsi="仿宋" w:eastAsia="仿宋" w:cs="仿宋"/>
                <w:sz w:val="24"/>
                <w:szCs w:val="24"/>
                <w:highlight w:val="none"/>
                <w:lang w:val="en-US" w:eastAsia="zh-CN"/>
              </w:rPr>
              <w:t>整</w:t>
            </w:r>
          </w:p>
          <w:p w14:paraId="209E13D3">
            <w:pPr>
              <w:snapToGrid w:val="0"/>
              <w:spacing w:line="360" w:lineRule="auto"/>
              <w:rPr>
                <w:rFonts w:hint="eastAsia" w:ascii="仿宋" w:hAnsi="仿宋" w:eastAsia="仿宋" w:cs="仿宋"/>
                <w:sz w:val="24"/>
                <w:szCs w:val="24"/>
              </w:rPr>
            </w:pPr>
            <w:r>
              <w:rPr>
                <w:rFonts w:hint="eastAsia" w:ascii="仿宋" w:hAnsi="仿宋" w:eastAsia="仿宋" w:cs="仿宋"/>
                <w:b/>
                <w:bCs/>
                <w:sz w:val="24"/>
                <w:szCs w:val="24"/>
              </w:rPr>
              <w:t>最终报价超过政府采购预算及最高限价金额将作无效响应处理。</w:t>
            </w:r>
          </w:p>
          <w:p w14:paraId="6B6B438A">
            <w:pPr>
              <w:snapToGrid w:val="0"/>
              <w:spacing w:line="360" w:lineRule="auto"/>
              <w:rPr>
                <w:rFonts w:hint="eastAsia" w:ascii="仿宋" w:hAnsi="仿宋" w:eastAsia="仿宋" w:cs="仿宋"/>
                <w:sz w:val="24"/>
                <w:szCs w:val="24"/>
              </w:rPr>
            </w:pPr>
            <w:r>
              <w:rPr>
                <w:rFonts w:hint="eastAsia" w:ascii="仿宋" w:hAnsi="仿宋" w:eastAsia="仿宋" w:cs="仿宋"/>
                <w:b/>
                <w:bCs/>
                <w:sz w:val="24"/>
                <w:szCs w:val="24"/>
              </w:rPr>
              <w:t>资金来源：</w:t>
            </w:r>
            <w:r>
              <w:rPr>
                <w:rFonts w:hint="eastAsia" w:ascii="仿宋" w:hAnsi="仿宋" w:eastAsia="仿宋" w:cs="仿宋"/>
                <w:color w:val="auto"/>
                <w:sz w:val="24"/>
                <w:szCs w:val="24"/>
                <w:highlight w:val="none"/>
              </w:rPr>
              <w:t>财政</w:t>
            </w:r>
            <w:r>
              <w:rPr>
                <w:rFonts w:hint="eastAsia" w:ascii="仿宋" w:hAnsi="仿宋" w:eastAsia="仿宋" w:cs="仿宋"/>
                <w:color w:val="auto"/>
                <w:sz w:val="24"/>
                <w:szCs w:val="24"/>
                <w:highlight w:val="none"/>
                <w:lang w:eastAsia="zh-CN"/>
              </w:rPr>
              <w:t>性</w:t>
            </w:r>
            <w:r>
              <w:rPr>
                <w:rFonts w:hint="eastAsia" w:ascii="仿宋" w:hAnsi="仿宋" w:eastAsia="仿宋" w:cs="仿宋"/>
                <w:color w:val="auto"/>
                <w:sz w:val="24"/>
                <w:szCs w:val="24"/>
                <w:highlight w:val="none"/>
              </w:rPr>
              <w:t>资金</w:t>
            </w:r>
          </w:p>
        </w:tc>
      </w:tr>
      <w:tr w14:paraId="1CC09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25" w:type="dxa"/>
            <w:vAlign w:val="center"/>
          </w:tcPr>
          <w:p w14:paraId="7B0C43A8">
            <w:pPr>
              <w:snapToGrid w:val="0"/>
              <w:spacing w:line="0" w:lineRule="atLeast"/>
              <w:jc w:val="center"/>
              <w:rPr>
                <w:rFonts w:hint="eastAsia" w:ascii="仿宋" w:hAnsi="仿宋" w:eastAsia="仿宋" w:cs="仿宋"/>
                <w:sz w:val="24"/>
                <w:szCs w:val="24"/>
              </w:rPr>
            </w:pPr>
            <w:r>
              <w:rPr>
                <w:rFonts w:hint="eastAsia" w:ascii="仿宋" w:hAnsi="仿宋" w:eastAsia="仿宋" w:cs="仿宋"/>
                <w:sz w:val="24"/>
                <w:szCs w:val="24"/>
              </w:rPr>
              <w:t>7</w:t>
            </w:r>
          </w:p>
        </w:tc>
        <w:tc>
          <w:tcPr>
            <w:tcW w:w="2012" w:type="dxa"/>
            <w:vAlign w:val="center"/>
          </w:tcPr>
          <w:p w14:paraId="208C8D4D">
            <w:pPr>
              <w:snapToGrid w:val="0"/>
              <w:spacing w:line="0" w:lineRule="atLeast"/>
              <w:jc w:val="center"/>
              <w:rPr>
                <w:rFonts w:hint="eastAsia" w:ascii="仿宋" w:hAnsi="仿宋" w:eastAsia="仿宋" w:cs="仿宋"/>
                <w:sz w:val="24"/>
                <w:szCs w:val="24"/>
              </w:rPr>
            </w:pPr>
            <w:r>
              <w:rPr>
                <w:rFonts w:hint="eastAsia" w:ascii="仿宋" w:hAnsi="仿宋" w:eastAsia="仿宋" w:cs="仿宋"/>
                <w:sz w:val="24"/>
                <w:szCs w:val="24"/>
              </w:rPr>
              <w:t>标的所属</w:t>
            </w:r>
          </w:p>
          <w:p w14:paraId="4B1593D2">
            <w:pPr>
              <w:snapToGrid w:val="0"/>
              <w:spacing w:line="0" w:lineRule="atLeast"/>
              <w:jc w:val="center"/>
              <w:rPr>
                <w:rFonts w:hint="eastAsia" w:ascii="仿宋" w:hAnsi="仿宋" w:eastAsia="仿宋" w:cs="仿宋"/>
                <w:sz w:val="24"/>
                <w:szCs w:val="24"/>
              </w:rPr>
            </w:pPr>
            <w:r>
              <w:rPr>
                <w:rFonts w:hint="eastAsia" w:ascii="仿宋" w:hAnsi="仿宋" w:eastAsia="仿宋" w:cs="仿宋"/>
                <w:sz w:val="24"/>
                <w:szCs w:val="24"/>
              </w:rPr>
              <w:t>行业</w:t>
            </w:r>
          </w:p>
        </w:tc>
        <w:tc>
          <w:tcPr>
            <w:tcW w:w="6736" w:type="dxa"/>
            <w:vAlign w:val="center"/>
          </w:tcPr>
          <w:p w14:paraId="15D4B8C2">
            <w:pPr>
              <w:snapToGrid w:val="0"/>
              <w:spacing w:line="360" w:lineRule="auto"/>
              <w:rPr>
                <w:rFonts w:hint="eastAsia" w:ascii="仿宋" w:hAnsi="仿宋" w:eastAsia="仿宋" w:cs="仿宋"/>
                <w:b/>
                <w:bCs/>
                <w:sz w:val="24"/>
                <w:szCs w:val="24"/>
              </w:rPr>
            </w:pPr>
            <w:r>
              <w:rPr>
                <w:rFonts w:hint="eastAsia" w:ascii="仿宋" w:hAnsi="仿宋" w:eastAsia="仿宋" w:cs="仿宋"/>
                <w:bCs/>
                <w:sz w:val="24"/>
                <w:szCs w:val="24"/>
              </w:rPr>
              <w:t>本项目采购标的对应的中小企业划分标准所属行业为</w:t>
            </w:r>
            <w:r>
              <w:rPr>
                <w:rFonts w:hint="eastAsia" w:ascii="仿宋" w:hAnsi="仿宋" w:eastAsia="仿宋" w:cs="仿宋"/>
                <w:b/>
                <w:sz w:val="24"/>
                <w:szCs w:val="24"/>
              </w:rPr>
              <w:t>：</w:t>
            </w:r>
            <w:r>
              <w:rPr>
                <w:rFonts w:hint="eastAsia" w:ascii="仿宋" w:hAnsi="仿宋" w:eastAsia="仿宋" w:cs="仿宋"/>
                <w:bCs/>
                <w:sz w:val="24"/>
                <w:u w:val="single"/>
                <w:lang w:eastAsia="zh-CN"/>
              </w:rPr>
              <w:t>其他未列明行业</w:t>
            </w:r>
            <w:r>
              <w:rPr>
                <w:rFonts w:hint="eastAsia" w:ascii="仿宋" w:hAnsi="仿宋" w:eastAsia="仿宋" w:cs="仿宋"/>
                <w:bCs/>
                <w:sz w:val="24"/>
                <w:szCs w:val="24"/>
              </w:rPr>
              <w:t>。</w:t>
            </w:r>
          </w:p>
        </w:tc>
      </w:tr>
      <w:tr w14:paraId="06AF8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725" w:type="dxa"/>
            <w:vAlign w:val="center"/>
          </w:tcPr>
          <w:p w14:paraId="23C63355">
            <w:pPr>
              <w:snapToGrid w:val="0"/>
              <w:spacing w:line="0" w:lineRule="atLeast"/>
              <w:ind w:right="102"/>
              <w:jc w:val="center"/>
              <w:rPr>
                <w:rFonts w:hint="eastAsia" w:ascii="仿宋" w:hAnsi="仿宋" w:eastAsia="仿宋" w:cs="仿宋"/>
                <w:sz w:val="24"/>
                <w:szCs w:val="24"/>
              </w:rPr>
            </w:pPr>
            <w:r>
              <w:rPr>
                <w:rFonts w:hint="eastAsia" w:ascii="仿宋" w:hAnsi="仿宋" w:eastAsia="仿宋" w:cs="仿宋"/>
                <w:sz w:val="24"/>
                <w:szCs w:val="24"/>
              </w:rPr>
              <w:t xml:space="preserve"> 8</w:t>
            </w:r>
          </w:p>
        </w:tc>
        <w:tc>
          <w:tcPr>
            <w:tcW w:w="2012" w:type="dxa"/>
            <w:vAlign w:val="center"/>
          </w:tcPr>
          <w:p w14:paraId="05AC103C">
            <w:pPr>
              <w:snapToGrid w:val="0"/>
              <w:spacing w:line="0" w:lineRule="atLeast"/>
              <w:jc w:val="center"/>
              <w:rPr>
                <w:rFonts w:hint="eastAsia" w:ascii="仿宋" w:hAnsi="仿宋" w:eastAsia="仿宋" w:cs="仿宋"/>
                <w:sz w:val="24"/>
                <w:szCs w:val="24"/>
              </w:rPr>
            </w:pPr>
            <w:r>
              <w:rPr>
                <w:rFonts w:hint="eastAsia" w:ascii="仿宋" w:hAnsi="仿宋" w:eastAsia="仿宋" w:cs="仿宋"/>
                <w:sz w:val="24"/>
                <w:szCs w:val="24"/>
              </w:rPr>
              <w:t>代理机构</w:t>
            </w:r>
          </w:p>
        </w:tc>
        <w:tc>
          <w:tcPr>
            <w:tcW w:w="6736" w:type="dxa"/>
            <w:vAlign w:val="center"/>
          </w:tcPr>
          <w:p w14:paraId="34F784CC">
            <w:pPr>
              <w:snapToGrid w:val="0"/>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南京达琛鑫工程咨询有限公司</w:t>
            </w:r>
          </w:p>
          <w:p w14:paraId="16AE4607">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联系人：</w:t>
            </w:r>
            <w:r>
              <w:rPr>
                <w:rFonts w:hint="eastAsia" w:ascii="仿宋" w:hAnsi="仿宋" w:eastAsia="仿宋" w:cs="仿宋"/>
                <w:sz w:val="24"/>
                <w:szCs w:val="24"/>
                <w:lang w:eastAsia="zh-CN"/>
              </w:rPr>
              <w:t>周工</w:t>
            </w:r>
            <w:r>
              <w:rPr>
                <w:rFonts w:hint="eastAsia" w:ascii="仿宋" w:hAnsi="仿宋" w:eastAsia="仿宋" w:cs="仿宋"/>
                <w:sz w:val="24"/>
                <w:szCs w:val="24"/>
              </w:rPr>
              <w:t xml:space="preserve">     </w:t>
            </w:r>
          </w:p>
          <w:p w14:paraId="36C12BB2">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联系电话：</w:t>
            </w:r>
            <w:r>
              <w:rPr>
                <w:rFonts w:hint="eastAsia" w:ascii="仿宋" w:hAnsi="仿宋" w:eastAsia="仿宋" w:cs="仿宋"/>
                <w:sz w:val="24"/>
                <w:szCs w:val="24"/>
                <w:lang w:eastAsia="zh-CN"/>
              </w:rPr>
              <w:t>025-52639995（转8006）</w:t>
            </w:r>
          </w:p>
          <w:p w14:paraId="2BB62B80">
            <w:pPr>
              <w:snapToGrid w:val="0"/>
              <w:spacing w:line="360" w:lineRule="auto"/>
              <w:rPr>
                <w:rFonts w:hint="eastAsia" w:ascii="仿宋" w:hAnsi="仿宋" w:eastAsia="仿宋" w:cs="仿宋"/>
                <w:sz w:val="24"/>
                <w:szCs w:val="24"/>
                <w:lang w:eastAsia="zh-CN"/>
              </w:rPr>
            </w:pPr>
            <w:r>
              <w:rPr>
                <w:rFonts w:hint="eastAsia" w:ascii="仿宋" w:hAnsi="仿宋" w:eastAsia="仿宋" w:cs="仿宋"/>
                <w:sz w:val="24"/>
                <w:szCs w:val="24"/>
              </w:rPr>
              <w:t>地址：</w:t>
            </w:r>
            <w:r>
              <w:rPr>
                <w:rFonts w:hint="eastAsia" w:ascii="仿宋" w:hAnsi="仿宋" w:eastAsia="仿宋" w:cs="仿宋"/>
                <w:spacing w:val="-6"/>
                <w:sz w:val="24"/>
                <w:szCs w:val="24"/>
                <w:lang w:eastAsia="zh-CN"/>
              </w:rPr>
              <w:t>南京市秦淮区光华东街6号世界之窗产业园15号楼4楼</w:t>
            </w:r>
          </w:p>
        </w:tc>
      </w:tr>
      <w:tr w14:paraId="64701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725" w:type="dxa"/>
            <w:vAlign w:val="center"/>
          </w:tcPr>
          <w:p w14:paraId="17C8536A">
            <w:pPr>
              <w:snapToGrid w:val="0"/>
              <w:spacing w:line="0" w:lineRule="atLeast"/>
              <w:ind w:right="102"/>
              <w:jc w:val="center"/>
              <w:rPr>
                <w:rFonts w:hint="eastAsia" w:ascii="仿宋" w:hAnsi="仿宋" w:eastAsia="仿宋" w:cs="仿宋"/>
                <w:sz w:val="24"/>
                <w:szCs w:val="24"/>
              </w:rPr>
            </w:pPr>
            <w:r>
              <w:rPr>
                <w:rFonts w:hint="eastAsia" w:ascii="仿宋" w:hAnsi="仿宋" w:eastAsia="仿宋" w:cs="仿宋"/>
                <w:sz w:val="24"/>
                <w:szCs w:val="24"/>
              </w:rPr>
              <w:t xml:space="preserve"> 9</w:t>
            </w:r>
          </w:p>
        </w:tc>
        <w:tc>
          <w:tcPr>
            <w:tcW w:w="2012" w:type="dxa"/>
            <w:vAlign w:val="center"/>
          </w:tcPr>
          <w:p w14:paraId="7B34CF56">
            <w:pPr>
              <w:snapToGrid w:val="0"/>
              <w:spacing w:line="0" w:lineRule="atLeast"/>
              <w:jc w:val="center"/>
              <w:rPr>
                <w:rFonts w:hint="eastAsia" w:ascii="仿宋" w:hAnsi="仿宋" w:eastAsia="仿宋" w:cs="仿宋"/>
                <w:sz w:val="24"/>
                <w:szCs w:val="24"/>
              </w:rPr>
            </w:pPr>
            <w:r>
              <w:rPr>
                <w:rFonts w:hint="eastAsia" w:ascii="仿宋" w:hAnsi="仿宋" w:eastAsia="仿宋" w:cs="仿宋"/>
                <w:sz w:val="24"/>
                <w:szCs w:val="24"/>
              </w:rPr>
              <w:t>采购人</w:t>
            </w:r>
          </w:p>
        </w:tc>
        <w:tc>
          <w:tcPr>
            <w:tcW w:w="6736" w:type="dxa"/>
            <w:vAlign w:val="center"/>
          </w:tcPr>
          <w:p w14:paraId="3E754F05">
            <w:pPr>
              <w:adjustRightInd w:val="0"/>
              <w:snapToGrid w:val="0"/>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南京市秦淮区人民政府大光路</w:t>
            </w:r>
            <w:r>
              <w:rPr>
                <w:rFonts w:hint="eastAsia" w:ascii="仿宋" w:hAnsi="仿宋" w:eastAsia="仿宋" w:cs="仿宋"/>
                <w:color w:val="auto"/>
                <w:sz w:val="24"/>
                <w:szCs w:val="24"/>
                <w:highlight w:val="none"/>
                <w:lang w:val="en-US" w:eastAsia="zh-CN"/>
              </w:rPr>
              <w:t>街道</w:t>
            </w:r>
            <w:r>
              <w:rPr>
                <w:rFonts w:hint="eastAsia" w:ascii="仿宋" w:hAnsi="仿宋" w:eastAsia="仿宋" w:cs="仿宋"/>
                <w:color w:val="auto"/>
                <w:sz w:val="24"/>
                <w:szCs w:val="24"/>
                <w:highlight w:val="none"/>
                <w:lang w:eastAsia="zh-CN"/>
              </w:rPr>
              <w:t>办事处</w:t>
            </w:r>
          </w:p>
          <w:p w14:paraId="2C9FCF52">
            <w:pPr>
              <w:snapToGrid w:val="0"/>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联系人：</w:t>
            </w:r>
            <w:bookmarkStart w:id="23" w:name="OLE_LINK4"/>
            <w:r>
              <w:rPr>
                <w:rFonts w:hint="eastAsia" w:ascii="仿宋" w:hAnsi="仿宋" w:eastAsia="仿宋" w:cs="仿宋"/>
                <w:color w:val="auto"/>
                <w:sz w:val="24"/>
                <w:szCs w:val="24"/>
                <w:highlight w:val="none"/>
                <w:lang w:eastAsia="zh-CN"/>
              </w:rPr>
              <w:t>方盛</w:t>
            </w:r>
            <w:r>
              <w:rPr>
                <w:rFonts w:hint="eastAsia" w:ascii="仿宋" w:hAnsi="仿宋" w:eastAsia="仿宋" w:cs="仿宋"/>
                <w:color w:val="auto"/>
                <w:sz w:val="24"/>
                <w:szCs w:val="24"/>
                <w:highlight w:val="none"/>
              </w:rPr>
              <w:t>  </w:t>
            </w:r>
          </w:p>
          <w:p w14:paraId="25212955">
            <w:pPr>
              <w:snapToGrid w:val="0"/>
              <w:spacing w:line="360"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lang w:eastAsia="zh-CN"/>
              </w:rPr>
              <w:t>025-</w:t>
            </w:r>
            <w:r>
              <w:rPr>
                <w:rFonts w:hint="eastAsia" w:ascii="仿宋" w:hAnsi="仿宋" w:eastAsia="仿宋" w:cs="仿宋"/>
                <w:color w:val="auto"/>
                <w:sz w:val="24"/>
                <w:szCs w:val="24"/>
                <w:highlight w:val="none"/>
                <w:lang w:val="en-US" w:eastAsia="zh-CN"/>
              </w:rPr>
              <w:t>84688689</w:t>
            </w:r>
          </w:p>
          <w:bookmarkEnd w:id="23"/>
          <w:p w14:paraId="722083E0">
            <w:pPr>
              <w:snapToGrid w:val="0"/>
              <w:spacing w:line="360" w:lineRule="auto"/>
              <w:rPr>
                <w:rFonts w:hint="eastAsia" w:ascii="仿宋" w:hAnsi="仿宋" w:eastAsia="仿宋" w:cs="仿宋"/>
                <w:sz w:val="24"/>
                <w:szCs w:val="24"/>
                <w:lang w:eastAsia="zh-CN"/>
              </w:rPr>
            </w:pPr>
            <w:r>
              <w:rPr>
                <w:rFonts w:hint="eastAsia" w:ascii="仿宋" w:hAnsi="仿宋" w:eastAsia="仿宋" w:cs="仿宋"/>
                <w:sz w:val="24"/>
                <w:szCs w:val="24"/>
              </w:rPr>
              <w:t>地址：</w:t>
            </w:r>
            <w:r>
              <w:rPr>
                <w:rFonts w:hint="eastAsia" w:ascii="仿宋" w:hAnsi="仿宋" w:eastAsia="仿宋" w:cs="仿宋"/>
                <w:color w:val="000000" w:themeColor="text1"/>
                <w:sz w:val="24"/>
                <w:szCs w:val="24"/>
                <w:lang w:eastAsia="zh-CN"/>
                <w14:textFill>
                  <w14:solidFill>
                    <w14:schemeClr w14:val="tx1"/>
                  </w14:solidFill>
                </w14:textFill>
              </w:rPr>
              <w:t>南京市秦淮区大光路大光里08幢</w:t>
            </w:r>
          </w:p>
        </w:tc>
      </w:tr>
      <w:tr w14:paraId="52B7B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25" w:type="dxa"/>
            <w:vAlign w:val="center"/>
          </w:tcPr>
          <w:p w14:paraId="3A7BCDFF">
            <w:pPr>
              <w:snapToGrid w:val="0"/>
              <w:spacing w:line="0" w:lineRule="atLeast"/>
              <w:jc w:val="center"/>
              <w:rPr>
                <w:rFonts w:hint="eastAsia" w:ascii="仿宋" w:hAnsi="仿宋" w:eastAsia="仿宋" w:cs="仿宋"/>
                <w:sz w:val="24"/>
                <w:szCs w:val="24"/>
              </w:rPr>
            </w:pPr>
            <w:r>
              <w:rPr>
                <w:rFonts w:hint="eastAsia" w:ascii="仿宋" w:hAnsi="仿宋" w:eastAsia="仿宋" w:cs="仿宋"/>
                <w:sz w:val="24"/>
                <w:szCs w:val="24"/>
              </w:rPr>
              <w:t>10</w:t>
            </w:r>
          </w:p>
        </w:tc>
        <w:tc>
          <w:tcPr>
            <w:tcW w:w="2012" w:type="dxa"/>
            <w:vAlign w:val="center"/>
          </w:tcPr>
          <w:p w14:paraId="3A9A934B">
            <w:pPr>
              <w:snapToGrid w:val="0"/>
              <w:spacing w:line="0" w:lineRule="atLeast"/>
              <w:jc w:val="center"/>
              <w:rPr>
                <w:rFonts w:hint="eastAsia" w:ascii="仿宋" w:hAnsi="仿宋" w:eastAsia="仿宋" w:cs="仿宋"/>
                <w:sz w:val="24"/>
                <w:szCs w:val="24"/>
              </w:rPr>
            </w:pPr>
            <w:r>
              <w:rPr>
                <w:rFonts w:hint="eastAsia" w:ascii="仿宋" w:hAnsi="仿宋" w:eastAsia="仿宋" w:cs="仿宋"/>
                <w:sz w:val="24"/>
                <w:szCs w:val="24"/>
                <w:lang w:eastAsia="zh-CN"/>
              </w:rPr>
              <w:t>谈判</w:t>
            </w:r>
            <w:r>
              <w:rPr>
                <w:rFonts w:hint="eastAsia" w:ascii="仿宋" w:hAnsi="仿宋" w:eastAsia="仿宋" w:cs="仿宋"/>
                <w:sz w:val="24"/>
                <w:szCs w:val="24"/>
              </w:rPr>
              <w:t>保证金</w:t>
            </w:r>
          </w:p>
        </w:tc>
        <w:tc>
          <w:tcPr>
            <w:tcW w:w="6736" w:type="dxa"/>
            <w:vAlign w:val="center"/>
          </w:tcPr>
          <w:p w14:paraId="57116E0D">
            <w:pPr>
              <w:snapToGrid w:val="0"/>
              <w:spacing w:line="0" w:lineRule="atLeast"/>
              <w:rPr>
                <w:rFonts w:hint="eastAsia" w:ascii="仿宋" w:hAnsi="仿宋" w:eastAsia="仿宋" w:cs="仿宋"/>
                <w:b/>
                <w:bCs/>
                <w:sz w:val="24"/>
                <w:szCs w:val="24"/>
              </w:rPr>
            </w:pPr>
            <w:r>
              <w:rPr>
                <w:rFonts w:hint="eastAsia" w:ascii="仿宋" w:hAnsi="仿宋" w:eastAsia="仿宋" w:cs="仿宋"/>
                <w:sz w:val="24"/>
                <w:szCs w:val="24"/>
              </w:rPr>
              <w:t>本项目不收取保证金。</w:t>
            </w:r>
          </w:p>
        </w:tc>
      </w:tr>
      <w:tr w14:paraId="14A3A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25" w:type="dxa"/>
            <w:vAlign w:val="center"/>
          </w:tcPr>
          <w:p w14:paraId="6E34458B">
            <w:pPr>
              <w:snapToGrid w:val="0"/>
              <w:spacing w:line="0" w:lineRule="atLeast"/>
              <w:jc w:val="center"/>
              <w:rPr>
                <w:rFonts w:hint="eastAsia" w:ascii="仿宋" w:hAnsi="仿宋" w:eastAsia="仿宋" w:cs="仿宋"/>
                <w:sz w:val="24"/>
                <w:szCs w:val="24"/>
              </w:rPr>
            </w:pPr>
            <w:r>
              <w:rPr>
                <w:rFonts w:hint="eastAsia" w:ascii="仿宋" w:hAnsi="仿宋" w:eastAsia="仿宋" w:cs="仿宋"/>
                <w:sz w:val="24"/>
                <w:szCs w:val="24"/>
              </w:rPr>
              <w:t>11</w:t>
            </w:r>
          </w:p>
        </w:tc>
        <w:tc>
          <w:tcPr>
            <w:tcW w:w="2012" w:type="dxa"/>
            <w:vAlign w:val="center"/>
          </w:tcPr>
          <w:p w14:paraId="665CD6A3">
            <w:pPr>
              <w:snapToGrid w:val="0"/>
              <w:spacing w:line="0" w:lineRule="atLeas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代理服务费</w:t>
            </w:r>
          </w:p>
        </w:tc>
        <w:tc>
          <w:tcPr>
            <w:tcW w:w="6736" w:type="dxa"/>
            <w:vAlign w:val="center"/>
          </w:tcPr>
          <w:p w14:paraId="12A30FD9">
            <w:pPr>
              <w:snapToGrid w:val="0"/>
              <w:spacing w:line="360" w:lineRule="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lang w:val="en-US" w:eastAsia="zh-CN"/>
              </w:rPr>
              <w:t>代理服务费参考《江苏省招标代理服务收费的指导意见》苏招协[2022]002号文规定的收费标准</w:t>
            </w:r>
            <w:r>
              <w:rPr>
                <w:rFonts w:hint="eastAsia" w:ascii="仿宋" w:hAnsi="仿宋" w:eastAsia="仿宋" w:cs="仿宋"/>
                <w:color w:val="auto"/>
                <w:sz w:val="24"/>
                <w:szCs w:val="24"/>
                <w:highlight w:val="none"/>
              </w:rPr>
              <w:t>，由</w:t>
            </w:r>
            <w:r>
              <w:rPr>
                <w:rFonts w:hint="eastAsia" w:ascii="仿宋" w:hAnsi="仿宋" w:eastAsia="仿宋" w:cs="仿宋"/>
                <w:color w:val="auto"/>
                <w:sz w:val="24"/>
                <w:szCs w:val="24"/>
                <w:highlight w:val="none"/>
                <w:lang w:val="en-US" w:eastAsia="zh-CN"/>
              </w:rPr>
              <w:t>采购人支付</w:t>
            </w:r>
            <w:r>
              <w:rPr>
                <w:rFonts w:hint="eastAsia" w:ascii="仿宋" w:hAnsi="仿宋" w:eastAsia="仿宋" w:cs="仿宋"/>
                <w:color w:val="auto"/>
                <w:sz w:val="24"/>
                <w:szCs w:val="24"/>
                <w:highlight w:val="none"/>
              </w:rPr>
              <w:t>。根据财库〔2018〕2号《政府招标代理机构管理暂行办法》第十五条之规定，成交人凭《成交通知书》与采购人签订合同。</w:t>
            </w:r>
          </w:p>
        </w:tc>
      </w:tr>
      <w:tr w14:paraId="75CBF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5" w:type="dxa"/>
            <w:vAlign w:val="center"/>
          </w:tcPr>
          <w:p w14:paraId="659C6B1F">
            <w:pPr>
              <w:snapToGrid w:val="0"/>
              <w:spacing w:line="0" w:lineRule="atLeast"/>
              <w:jc w:val="center"/>
              <w:rPr>
                <w:rFonts w:hint="eastAsia" w:ascii="仿宋" w:hAnsi="仿宋" w:eastAsia="仿宋" w:cs="仿宋"/>
                <w:sz w:val="24"/>
                <w:szCs w:val="24"/>
              </w:rPr>
            </w:pPr>
            <w:r>
              <w:rPr>
                <w:rFonts w:hint="eastAsia" w:ascii="仿宋" w:hAnsi="仿宋" w:eastAsia="仿宋" w:cs="仿宋"/>
                <w:sz w:val="24"/>
                <w:szCs w:val="24"/>
              </w:rPr>
              <w:t>12</w:t>
            </w:r>
          </w:p>
        </w:tc>
        <w:tc>
          <w:tcPr>
            <w:tcW w:w="2012" w:type="dxa"/>
            <w:vAlign w:val="center"/>
          </w:tcPr>
          <w:p w14:paraId="3CC66213">
            <w:pPr>
              <w:snapToGrid w:val="0"/>
              <w:spacing w:line="0" w:lineRule="atLeast"/>
              <w:jc w:val="center"/>
              <w:rPr>
                <w:rFonts w:hint="eastAsia" w:ascii="仿宋" w:hAnsi="仿宋" w:eastAsia="仿宋" w:cs="仿宋"/>
                <w:sz w:val="24"/>
                <w:szCs w:val="24"/>
              </w:rPr>
            </w:pPr>
            <w:r>
              <w:rPr>
                <w:rFonts w:hint="eastAsia" w:ascii="仿宋" w:hAnsi="仿宋" w:eastAsia="仿宋" w:cs="仿宋"/>
                <w:sz w:val="24"/>
                <w:szCs w:val="24"/>
              </w:rPr>
              <w:t>提交响应文件截止时间和地点</w:t>
            </w:r>
          </w:p>
        </w:tc>
        <w:tc>
          <w:tcPr>
            <w:tcW w:w="6736" w:type="dxa"/>
            <w:vAlign w:val="center"/>
          </w:tcPr>
          <w:p w14:paraId="21AD3644">
            <w:pPr>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接收响应文件时间：202</w:t>
            </w:r>
            <w:r>
              <w:rPr>
                <w:rFonts w:hint="eastAsia" w:ascii="仿宋" w:hAnsi="仿宋" w:eastAsia="仿宋" w:cs="仿宋"/>
                <w:sz w:val="24"/>
                <w:szCs w:val="24"/>
                <w:lang w:val="en-US" w:eastAsia="zh-CN"/>
              </w:rPr>
              <w:t>5</w:t>
            </w:r>
            <w:r>
              <w:rPr>
                <w:rFonts w:hint="eastAsia" w:ascii="仿宋" w:hAnsi="仿宋" w:eastAsia="仿宋" w:cs="仿宋"/>
                <w:sz w:val="24"/>
                <w:szCs w:val="24"/>
              </w:rPr>
              <w:t>年</w:t>
            </w:r>
            <w:r>
              <w:rPr>
                <w:rFonts w:hint="eastAsia" w:ascii="仿宋" w:hAnsi="仿宋" w:eastAsia="仿宋" w:cs="仿宋"/>
                <w:sz w:val="24"/>
                <w:szCs w:val="24"/>
                <w:lang w:val="en-US" w:eastAsia="zh-CN"/>
              </w:rPr>
              <w:t>12</w:t>
            </w:r>
            <w:r>
              <w:rPr>
                <w:rFonts w:hint="eastAsia" w:ascii="仿宋" w:hAnsi="仿宋" w:eastAsia="仿宋" w:cs="仿宋"/>
                <w:sz w:val="24"/>
                <w:szCs w:val="24"/>
              </w:rPr>
              <w:t>月</w:t>
            </w:r>
            <w:r>
              <w:rPr>
                <w:rFonts w:hint="eastAsia" w:ascii="仿宋" w:hAnsi="仿宋" w:eastAsia="仿宋" w:cs="仿宋"/>
                <w:sz w:val="24"/>
                <w:szCs w:val="24"/>
                <w:lang w:val="en-US" w:eastAsia="zh-CN"/>
              </w:rPr>
              <w:t>26</w:t>
            </w:r>
            <w:r>
              <w:rPr>
                <w:rFonts w:hint="eastAsia" w:ascii="仿宋" w:hAnsi="仿宋" w:eastAsia="仿宋" w:cs="仿宋"/>
                <w:sz w:val="24"/>
                <w:szCs w:val="24"/>
              </w:rPr>
              <w:t>日</w:t>
            </w:r>
            <w:r>
              <w:rPr>
                <w:rFonts w:hint="eastAsia" w:ascii="仿宋" w:hAnsi="仿宋" w:eastAsia="仿宋" w:cs="仿宋"/>
                <w:sz w:val="24"/>
                <w:szCs w:val="24"/>
                <w:lang w:val="en-US" w:eastAsia="zh-CN"/>
              </w:rPr>
              <w:t>上</w:t>
            </w:r>
            <w:r>
              <w:rPr>
                <w:rFonts w:hint="eastAsia" w:ascii="仿宋" w:hAnsi="仿宋" w:eastAsia="仿宋" w:cs="仿宋"/>
                <w:sz w:val="24"/>
                <w:szCs w:val="24"/>
              </w:rPr>
              <w:t>午</w:t>
            </w:r>
            <w:r>
              <w:rPr>
                <w:rFonts w:hint="eastAsia" w:ascii="仿宋" w:hAnsi="仿宋" w:eastAsia="仿宋" w:cs="仿宋"/>
                <w:sz w:val="24"/>
                <w:szCs w:val="24"/>
                <w:lang w:val="en-US" w:eastAsia="zh-CN"/>
              </w:rPr>
              <w:t>10</w:t>
            </w:r>
            <w:r>
              <w:rPr>
                <w:rFonts w:hint="eastAsia" w:ascii="仿宋" w:hAnsi="仿宋" w:eastAsia="仿宋" w:cs="仿宋"/>
                <w:sz w:val="24"/>
                <w:szCs w:val="24"/>
              </w:rPr>
              <w:t>：</w:t>
            </w:r>
            <w:r>
              <w:rPr>
                <w:rFonts w:hint="eastAsia" w:ascii="仿宋" w:hAnsi="仿宋" w:eastAsia="仿宋" w:cs="仿宋"/>
                <w:sz w:val="24"/>
                <w:szCs w:val="24"/>
                <w:lang w:val="en-US" w:eastAsia="zh-CN"/>
              </w:rPr>
              <w:t>0</w:t>
            </w:r>
            <w:r>
              <w:rPr>
                <w:rFonts w:hint="eastAsia" w:ascii="仿宋" w:hAnsi="仿宋" w:eastAsia="仿宋" w:cs="仿宋"/>
                <w:sz w:val="24"/>
                <w:szCs w:val="24"/>
              </w:rPr>
              <w:t>0 -</w:t>
            </w:r>
            <w:r>
              <w:rPr>
                <w:rFonts w:hint="eastAsia" w:ascii="仿宋" w:hAnsi="仿宋" w:eastAsia="仿宋" w:cs="仿宋"/>
                <w:sz w:val="24"/>
                <w:szCs w:val="24"/>
                <w:lang w:val="en-US" w:eastAsia="zh-CN"/>
              </w:rPr>
              <w:t>10</w:t>
            </w:r>
            <w:r>
              <w:rPr>
                <w:rFonts w:hint="eastAsia" w:ascii="仿宋" w:hAnsi="仿宋" w:eastAsia="仿宋" w:cs="仿宋"/>
                <w:sz w:val="24"/>
                <w:szCs w:val="24"/>
              </w:rPr>
              <w:t>：</w:t>
            </w:r>
            <w:r>
              <w:rPr>
                <w:rFonts w:hint="eastAsia" w:ascii="仿宋" w:hAnsi="仿宋" w:eastAsia="仿宋" w:cs="仿宋"/>
                <w:sz w:val="24"/>
                <w:szCs w:val="24"/>
                <w:lang w:val="en-US" w:eastAsia="zh-CN"/>
              </w:rPr>
              <w:t>3</w:t>
            </w:r>
            <w:r>
              <w:rPr>
                <w:rFonts w:hint="eastAsia" w:ascii="仿宋" w:hAnsi="仿宋" w:eastAsia="仿宋" w:cs="仿宋"/>
                <w:sz w:val="24"/>
                <w:szCs w:val="24"/>
              </w:rPr>
              <w:t>0</w:t>
            </w:r>
          </w:p>
          <w:p w14:paraId="0D078D7F">
            <w:pPr>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接收地点：</w:t>
            </w:r>
            <w:r>
              <w:rPr>
                <w:rFonts w:hint="eastAsia" w:ascii="仿宋" w:hAnsi="仿宋" w:eastAsia="仿宋" w:cs="仿宋"/>
                <w:spacing w:val="-6"/>
                <w:sz w:val="24"/>
                <w:szCs w:val="24"/>
                <w:lang w:eastAsia="zh-CN"/>
              </w:rPr>
              <w:t>南京市秦淮区光华东街6号世界之窗创意产业园15号楼3楼</w:t>
            </w:r>
            <w:r>
              <w:rPr>
                <w:rFonts w:hint="eastAsia" w:ascii="仿宋" w:hAnsi="仿宋" w:eastAsia="仿宋" w:cs="仿宋"/>
                <w:sz w:val="24"/>
                <w:szCs w:val="24"/>
              </w:rPr>
              <w:t>会议室</w:t>
            </w:r>
          </w:p>
        </w:tc>
      </w:tr>
      <w:tr w14:paraId="2863F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725" w:type="dxa"/>
            <w:vAlign w:val="center"/>
          </w:tcPr>
          <w:p w14:paraId="2DB02E7C">
            <w:pPr>
              <w:snapToGrid w:val="0"/>
              <w:spacing w:line="0" w:lineRule="atLeast"/>
              <w:jc w:val="center"/>
              <w:rPr>
                <w:rFonts w:hint="eastAsia" w:ascii="仿宋" w:hAnsi="仿宋" w:eastAsia="仿宋" w:cs="仿宋"/>
                <w:sz w:val="24"/>
                <w:szCs w:val="24"/>
              </w:rPr>
            </w:pPr>
            <w:r>
              <w:rPr>
                <w:rFonts w:hint="eastAsia" w:ascii="仿宋" w:hAnsi="仿宋" w:eastAsia="仿宋" w:cs="仿宋"/>
                <w:sz w:val="24"/>
                <w:szCs w:val="24"/>
              </w:rPr>
              <w:t>13</w:t>
            </w:r>
          </w:p>
        </w:tc>
        <w:tc>
          <w:tcPr>
            <w:tcW w:w="2012" w:type="dxa"/>
            <w:vAlign w:val="center"/>
          </w:tcPr>
          <w:p w14:paraId="5AF4051D">
            <w:pPr>
              <w:snapToGrid w:val="0"/>
              <w:spacing w:line="0" w:lineRule="atLeast"/>
              <w:jc w:val="center"/>
              <w:rPr>
                <w:rFonts w:hint="eastAsia" w:ascii="仿宋" w:hAnsi="仿宋" w:eastAsia="仿宋" w:cs="仿宋"/>
                <w:sz w:val="24"/>
                <w:szCs w:val="24"/>
              </w:rPr>
            </w:pPr>
            <w:r>
              <w:rPr>
                <w:rFonts w:hint="eastAsia" w:ascii="仿宋" w:hAnsi="仿宋" w:eastAsia="仿宋" w:cs="仿宋"/>
                <w:sz w:val="24"/>
                <w:szCs w:val="24"/>
              </w:rPr>
              <w:t>响应文件</w:t>
            </w:r>
          </w:p>
          <w:p w14:paraId="5E7520F8">
            <w:pPr>
              <w:snapToGrid w:val="0"/>
              <w:spacing w:line="0" w:lineRule="atLeast"/>
              <w:jc w:val="center"/>
              <w:rPr>
                <w:rFonts w:hint="eastAsia" w:ascii="仿宋" w:hAnsi="仿宋" w:eastAsia="仿宋" w:cs="仿宋"/>
                <w:sz w:val="24"/>
                <w:szCs w:val="24"/>
              </w:rPr>
            </w:pPr>
            <w:r>
              <w:rPr>
                <w:rFonts w:hint="eastAsia" w:ascii="仿宋" w:hAnsi="仿宋" w:eastAsia="仿宋" w:cs="仿宋"/>
                <w:sz w:val="24"/>
                <w:szCs w:val="24"/>
              </w:rPr>
              <w:t>数量</w:t>
            </w:r>
          </w:p>
        </w:tc>
        <w:tc>
          <w:tcPr>
            <w:tcW w:w="6736" w:type="dxa"/>
            <w:vAlign w:val="center"/>
          </w:tcPr>
          <w:p w14:paraId="77F90C91">
            <w:pPr>
              <w:snapToGrid w:val="0"/>
              <w:spacing w:line="360" w:lineRule="auto"/>
              <w:rPr>
                <w:rFonts w:hint="eastAsia" w:ascii="仿宋" w:hAnsi="仿宋" w:eastAsia="仿宋" w:cs="仿宋"/>
                <w:sz w:val="24"/>
                <w:szCs w:val="24"/>
              </w:rPr>
            </w:pPr>
            <w:r>
              <w:rPr>
                <w:rFonts w:hint="eastAsia" w:ascii="仿宋" w:hAnsi="仿宋" w:eastAsia="仿宋" w:cs="仿宋"/>
                <w:spacing w:val="-6"/>
                <w:sz w:val="24"/>
                <w:szCs w:val="24"/>
                <w:lang w:val="en-US" w:eastAsia="zh-CN"/>
              </w:rPr>
              <w:t>正本份数：1份   副本份数：3份   电子文档1份</w:t>
            </w:r>
            <w:r>
              <w:rPr>
                <w:rFonts w:hint="eastAsia" w:ascii="仿宋" w:hAnsi="仿宋" w:eastAsia="仿宋" w:cs="仿宋"/>
                <w:b/>
                <w:bCs/>
                <w:i/>
                <w:iCs/>
                <w:sz w:val="24"/>
                <w:szCs w:val="24"/>
                <w:u w:val="single"/>
              </w:rPr>
              <w:t>（提供PDF版，封面及签章部分须盖章签字，U盘与正本封装）</w:t>
            </w:r>
          </w:p>
        </w:tc>
      </w:tr>
      <w:tr w14:paraId="778D9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25" w:type="dxa"/>
            <w:vAlign w:val="center"/>
          </w:tcPr>
          <w:p w14:paraId="1F36B0DF">
            <w:pPr>
              <w:snapToGrid w:val="0"/>
              <w:spacing w:line="0" w:lineRule="atLeast"/>
              <w:jc w:val="center"/>
              <w:rPr>
                <w:rFonts w:hint="eastAsia" w:ascii="仿宋" w:hAnsi="仿宋" w:eastAsia="仿宋" w:cs="仿宋"/>
                <w:sz w:val="24"/>
                <w:szCs w:val="24"/>
              </w:rPr>
            </w:pPr>
            <w:r>
              <w:rPr>
                <w:rFonts w:hint="eastAsia" w:ascii="仿宋" w:hAnsi="仿宋" w:eastAsia="仿宋" w:cs="仿宋"/>
                <w:sz w:val="24"/>
                <w:szCs w:val="24"/>
              </w:rPr>
              <w:t>14</w:t>
            </w:r>
          </w:p>
        </w:tc>
        <w:tc>
          <w:tcPr>
            <w:tcW w:w="2012" w:type="dxa"/>
            <w:vAlign w:val="center"/>
          </w:tcPr>
          <w:p w14:paraId="102C2365">
            <w:pPr>
              <w:snapToGrid w:val="0"/>
              <w:spacing w:line="0" w:lineRule="atLeast"/>
              <w:jc w:val="center"/>
              <w:rPr>
                <w:rFonts w:hint="eastAsia" w:ascii="仿宋" w:hAnsi="仿宋" w:eastAsia="仿宋" w:cs="仿宋"/>
                <w:sz w:val="24"/>
                <w:szCs w:val="24"/>
              </w:rPr>
            </w:pPr>
            <w:r>
              <w:rPr>
                <w:rFonts w:hint="eastAsia" w:ascii="仿宋" w:hAnsi="仿宋" w:eastAsia="仿宋" w:cs="仿宋"/>
                <w:sz w:val="24"/>
                <w:szCs w:val="24"/>
              </w:rPr>
              <w:t>响应文件开启时间和地点</w:t>
            </w:r>
          </w:p>
        </w:tc>
        <w:tc>
          <w:tcPr>
            <w:tcW w:w="6736" w:type="dxa"/>
            <w:vAlign w:val="center"/>
          </w:tcPr>
          <w:p w14:paraId="08569F01">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时间：202</w:t>
            </w:r>
            <w:r>
              <w:rPr>
                <w:rFonts w:hint="eastAsia" w:ascii="仿宋" w:hAnsi="仿宋" w:eastAsia="仿宋" w:cs="仿宋"/>
                <w:sz w:val="24"/>
                <w:szCs w:val="24"/>
                <w:lang w:val="en-US" w:eastAsia="zh-CN"/>
              </w:rPr>
              <w:t>5</w:t>
            </w:r>
            <w:r>
              <w:rPr>
                <w:rFonts w:hint="eastAsia" w:ascii="仿宋" w:hAnsi="仿宋" w:eastAsia="仿宋" w:cs="仿宋"/>
                <w:sz w:val="24"/>
                <w:szCs w:val="24"/>
              </w:rPr>
              <w:t>年</w:t>
            </w:r>
            <w:r>
              <w:rPr>
                <w:rFonts w:hint="eastAsia" w:ascii="仿宋" w:hAnsi="仿宋" w:eastAsia="仿宋" w:cs="仿宋"/>
                <w:sz w:val="24"/>
                <w:szCs w:val="24"/>
                <w:lang w:val="en-US" w:eastAsia="zh-CN"/>
              </w:rPr>
              <w:t>12</w:t>
            </w:r>
            <w:r>
              <w:rPr>
                <w:rFonts w:hint="eastAsia" w:ascii="仿宋" w:hAnsi="仿宋" w:eastAsia="仿宋" w:cs="仿宋"/>
                <w:sz w:val="24"/>
                <w:szCs w:val="24"/>
              </w:rPr>
              <w:t>月</w:t>
            </w:r>
            <w:r>
              <w:rPr>
                <w:rFonts w:hint="eastAsia" w:ascii="仿宋" w:hAnsi="仿宋" w:eastAsia="仿宋" w:cs="仿宋"/>
                <w:sz w:val="24"/>
                <w:szCs w:val="24"/>
                <w:lang w:val="en-US" w:eastAsia="zh-CN"/>
              </w:rPr>
              <w:t>26</w:t>
            </w:r>
            <w:r>
              <w:rPr>
                <w:rFonts w:hint="eastAsia" w:ascii="仿宋" w:hAnsi="仿宋" w:eastAsia="仿宋" w:cs="仿宋"/>
                <w:sz w:val="24"/>
                <w:szCs w:val="24"/>
              </w:rPr>
              <w:t>日</w:t>
            </w:r>
            <w:r>
              <w:rPr>
                <w:rFonts w:hint="eastAsia" w:ascii="仿宋" w:hAnsi="仿宋" w:eastAsia="仿宋" w:cs="仿宋"/>
                <w:sz w:val="24"/>
                <w:szCs w:val="24"/>
                <w:lang w:val="en-US" w:eastAsia="zh-CN"/>
              </w:rPr>
              <w:t>上</w:t>
            </w:r>
            <w:r>
              <w:rPr>
                <w:rFonts w:hint="eastAsia" w:ascii="仿宋" w:hAnsi="仿宋" w:eastAsia="仿宋" w:cs="仿宋"/>
                <w:sz w:val="24"/>
                <w:szCs w:val="24"/>
              </w:rPr>
              <w:t>午</w:t>
            </w:r>
            <w:r>
              <w:rPr>
                <w:rFonts w:hint="eastAsia" w:ascii="仿宋" w:hAnsi="仿宋" w:eastAsia="仿宋" w:cs="仿宋"/>
                <w:sz w:val="24"/>
                <w:szCs w:val="24"/>
                <w:lang w:val="en-US" w:eastAsia="zh-CN"/>
              </w:rPr>
              <w:t>10</w:t>
            </w:r>
            <w:r>
              <w:rPr>
                <w:rFonts w:hint="eastAsia" w:ascii="仿宋" w:hAnsi="仿宋" w:eastAsia="仿宋" w:cs="仿宋"/>
                <w:sz w:val="24"/>
                <w:szCs w:val="24"/>
              </w:rPr>
              <w:t>：</w:t>
            </w:r>
            <w:r>
              <w:rPr>
                <w:rFonts w:hint="eastAsia" w:ascii="仿宋" w:hAnsi="仿宋" w:eastAsia="仿宋" w:cs="仿宋"/>
                <w:sz w:val="24"/>
                <w:szCs w:val="24"/>
                <w:lang w:val="en-US" w:eastAsia="zh-CN"/>
              </w:rPr>
              <w:t>3</w:t>
            </w:r>
            <w:r>
              <w:rPr>
                <w:rFonts w:hint="eastAsia" w:ascii="仿宋" w:hAnsi="仿宋" w:eastAsia="仿宋" w:cs="仿宋"/>
                <w:sz w:val="24"/>
                <w:szCs w:val="24"/>
              </w:rPr>
              <w:t>0</w:t>
            </w:r>
          </w:p>
          <w:p w14:paraId="7E1E9D83">
            <w:pPr>
              <w:spacing w:line="360" w:lineRule="auto"/>
              <w:rPr>
                <w:rFonts w:hint="eastAsia" w:ascii="仿宋" w:hAnsi="仿宋" w:eastAsia="仿宋" w:cs="仿宋"/>
                <w:sz w:val="24"/>
                <w:szCs w:val="24"/>
              </w:rPr>
            </w:pPr>
            <w:r>
              <w:rPr>
                <w:rFonts w:hint="eastAsia" w:ascii="仿宋" w:hAnsi="仿宋" w:eastAsia="仿宋" w:cs="仿宋"/>
                <w:sz w:val="24"/>
                <w:szCs w:val="24"/>
              </w:rPr>
              <w:t>地点：</w:t>
            </w:r>
            <w:r>
              <w:rPr>
                <w:rFonts w:hint="eastAsia" w:ascii="仿宋" w:hAnsi="仿宋" w:eastAsia="仿宋" w:cs="仿宋"/>
                <w:spacing w:val="-6"/>
                <w:sz w:val="24"/>
                <w:szCs w:val="24"/>
                <w:lang w:eastAsia="zh-CN"/>
              </w:rPr>
              <w:t>南京市秦淮区光华东街6号世界之窗产业园15号楼4楼</w:t>
            </w:r>
            <w:r>
              <w:rPr>
                <w:rFonts w:hint="eastAsia" w:ascii="仿宋" w:hAnsi="仿宋" w:eastAsia="仿宋" w:cs="仿宋"/>
                <w:sz w:val="24"/>
                <w:szCs w:val="24"/>
              </w:rPr>
              <w:t>会议室</w:t>
            </w:r>
          </w:p>
        </w:tc>
      </w:tr>
      <w:tr w14:paraId="492E2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25" w:type="dxa"/>
            <w:vAlign w:val="center"/>
          </w:tcPr>
          <w:p w14:paraId="0D8B25C7">
            <w:pPr>
              <w:snapToGrid w:val="0"/>
              <w:spacing w:line="0" w:lineRule="atLeast"/>
              <w:jc w:val="center"/>
              <w:rPr>
                <w:rFonts w:hint="eastAsia" w:ascii="仿宋" w:hAnsi="仿宋" w:eastAsia="仿宋" w:cs="仿宋"/>
                <w:sz w:val="24"/>
                <w:szCs w:val="24"/>
              </w:rPr>
            </w:pPr>
            <w:r>
              <w:rPr>
                <w:rFonts w:hint="eastAsia" w:ascii="仿宋" w:hAnsi="仿宋" w:eastAsia="仿宋" w:cs="仿宋"/>
                <w:sz w:val="24"/>
                <w:szCs w:val="24"/>
              </w:rPr>
              <w:t>15</w:t>
            </w:r>
          </w:p>
        </w:tc>
        <w:tc>
          <w:tcPr>
            <w:tcW w:w="2012" w:type="dxa"/>
            <w:vAlign w:val="center"/>
          </w:tcPr>
          <w:p w14:paraId="2E34F592">
            <w:pPr>
              <w:snapToGrid w:val="0"/>
              <w:spacing w:line="0" w:lineRule="atLeast"/>
              <w:jc w:val="center"/>
              <w:rPr>
                <w:rFonts w:hint="eastAsia" w:ascii="仿宋" w:hAnsi="仿宋" w:eastAsia="仿宋" w:cs="仿宋"/>
                <w:sz w:val="24"/>
                <w:szCs w:val="24"/>
              </w:rPr>
            </w:pPr>
            <w:r>
              <w:rPr>
                <w:rFonts w:hint="eastAsia" w:ascii="仿宋" w:hAnsi="仿宋" w:eastAsia="仿宋" w:cs="仿宋"/>
                <w:sz w:val="24"/>
                <w:szCs w:val="24"/>
              </w:rPr>
              <w:t>响应</w:t>
            </w:r>
            <w:r>
              <w:rPr>
                <w:rFonts w:hint="eastAsia" w:ascii="仿宋" w:hAnsi="仿宋" w:eastAsia="仿宋" w:cs="仿宋"/>
                <w:sz w:val="24"/>
                <w:szCs w:val="24"/>
                <w:lang w:eastAsia="zh-CN"/>
              </w:rPr>
              <w:t>文件</w:t>
            </w:r>
            <w:r>
              <w:rPr>
                <w:rFonts w:hint="eastAsia" w:ascii="仿宋" w:hAnsi="仿宋" w:eastAsia="仿宋" w:cs="仿宋"/>
                <w:sz w:val="24"/>
                <w:szCs w:val="24"/>
              </w:rPr>
              <w:t>有效期</w:t>
            </w:r>
          </w:p>
        </w:tc>
        <w:tc>
          <w:tcPr>
            <w:tcW w:w="6736" w:type="dxa"/>
            <w:vAlign w:val="center"/>
          </w:tcPr>
          <w:p w14:paraId="40BDB74F">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提交响应文件截止时间起九十天，有效期短于此规定的响应文件将作无效响应处理。</w:t>
            </w:r>
          </w:p>
        </w:tc>
      </w:tr>
      <w:tr w14:paraId="368C2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25" w:type="dxa"/>
            <w:vAlign w:val="center"/>
          </w:tcPr>
          <w:p w14:paraId="0999F235">
            <w:pPr>
              <w:snapToGrid w:val="0"/>
              <w:spacing w:line="0" w:lineRule="atLeast"/>
              <w:jc w:val="center"/>
              <w:rPr>
                <w:rFonts w:hint="eastAsia" w:ascii="仿宋" w:hAnsi="仿宋" w:eastAsia="仿宋" w:cs="仿宋"/>
                <w:sz w:val="24"/>
                <w:szCs w:val="24"/>
              </w:rPr>
            </w:pPr>
            <w:r>
              <w:rPr>
                <w:rFonts w:hint="eastAsia" w:ascii="仿宋" w:hAnsi="仿宋" w:eastAsia="仿宋" w:cs="仿宋"/>
                <w:sz w:val="24"/>
                <w:szCs w:val="24"/>
              </w:rPr>
              <w:t>16</w:t>
            </w:r>
          </w:p>
        </w:tc>
        <w:tc>
          <w:tcPr>
            <w:tcW w:w="2012" w:type="dxa"/>
            <w:vAlign w:val="center"/>
          </w:tcPr>
          <w:p w14:paraId="71ED92A0">
            <w:pPr>
              <w:snapToGrid w:val="0"/>
              <w:spacing w:line="0" w:lineRule="atLeast"/>
              <w:jc w:val="center"/>
              <w:rPr>
                <w:rFonts w:hint="eastAsia" w:ascii="仿宋" w:hAnsi="仿宋" w:eastAsia="仿宋" w:cs="仿宋"/>
                <w:sz w:val="24"/>
                <w:szCs w:val="24"/>
              </w:rPr>
            </w:pPr>
            <w:r>
              <w:rPr>
                <w:rFonts w:hint="eastAsia" w:ascii="仿宋" w:hAnsi="仿宋" w:eastAsia="仿宋" w:cs="仿宋"/>
                <w:sz w:val="24"/>
                <w:szCs w:val="24"/>
              </w:rPr>
              <w:t>评审办法</w:t>
            </w:r>
          </w:p>
        </w:tc>
        <w:tc>
          <w:tcPr>
            <w:tcW w:w="6736" w:type="dxa"/>
            <w:vAlign w:val="center"/>
          </w:tcPr>
          <w:p w14:paraId="421EE6E1">
            <w:pPr>
              <w:snapToGrid w:val="0"/>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最低评标价法</w:t>
            </w:r>
          </w:p>
        </w:tc>
      </w:tr>
      <w:tr w14:paraId="21F43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25" w:type="dxa"/>
            <w:vAlign w:val="center"/>
          </w:tcPr>
          <w:p w14:paraId="3AFA278A">
            <w:pPr>
              <w:snapToGrid w:val="0"/>
              <w:spacing w:line="0" w:lineRule="atLeast"/>
              <w:jc w:val="center"/>
              <w:rPr>
                <w:rFonts w:hint="eastAsia" w:ascii="仿宋" w:hAnsi="仿宋" w:eastAsia="仿宋" w:cs="仿宋"/>
                <w:sz w:val="24"/>
                <w:szCs w:val="24"/>
              </w:rPr>
            </w:pPr>
            <w:r>
              <w:rPr>
                <w:rFonts w:hint="eastAsia" w:ascii="仿宋" w:hAnsi="仿宋" w:eastAsia="仿宋" w:cs="仿宋"/>
                <w:sz w:val="24"/>
                <w:szCs w:val="24"/>
              </w:rPr>
              <w:t>17</w:t>
            </w:r>
          </w:p>
        </w:tc>
        <w:tc>
          <w:tcPr>
            <w:tcW w:w="2012" w:type="dxa"/>
            <w:vAlign w:val="center"/>
          </w:tcPr>
          <w:p w14:paraId="29CBA556">
            <w:pPr>
              <w:snapToGrid w:val="0"/>
              <w:spacing w:line="0" w:lineRule="atLeast"/>
              <w:jc w:val="center"/>
              <w:rPr>
                <w:rFonts w:hint="eastAsia" w:ascii="仿宋" w:hAnsi="仿宋" w:eastAsia="仿宋" w:cs="仿宋"/>
                <w:sz w:val="24"/>
                <w:szCs w:val="24"/>
              </w:rPr>
            </w:pPr>
            <w:r>
              <w:rPr>
                <w:rFonts w:hint="eastAsia" w:ascii="仿宋" w:hAnsi="仿宋" w:eastAsia="仿宋" w:cs="仿宋"/>
                <w:sz w:val="24"/>
                <w:szCs w:val="24"/>
              </w:rPr>
              <w:t>报价</w:t>
            </w:r>
          </w:p>
        </w:tc>
        <w:tc>
          <w:tcPr>
            <w:tcW w:w="6736" w:type="dxa"/>
            <w:vAlign w:val="center"/>
          </w:tcPr>
          <w:p w14:paraId="0492A3AC">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1.所有</w:t>
            </w:r>
            <w:r>
              <w:rPr>
                <w:rFonts w:hint="eastAsia" w:ascii="仿宋" w:hAnsi="仿宋" w:eastAsia="仿宋" w:cs="仿宋"/>
                <w:sz w:val="24"/>
                <w:szCs w:val="24"/>
                <w:lang w:eastAsia="zh-CN"/>
              </w:rPr>
              <w:t>谈判</w:t>
            </w:r>
            <w:r>
              <w:rPr>
                <w:rFonts w:hint="eastAsia" w:ascii="仿宋" w:hAnsi="仿宋" w:eastAsia="仿宋" w:cs="仿宋"/>
                <w:sz w:val="24"/>
                <w:szCs w:val="24"/>
              </w:rPr>
              <w:t>响应均以人民币报价。</w:t>
            </w:r>
          </w:p>
          <w:p w14:paraId="089D9F48">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2.供应商应按照</w:t>
            </w:r>
            <w:r>
              <w:rPr>
                <w:rFonts w:hint="eastAsia" w:ascii="仿宋" w:hAnsi="仿宋" w:eastAsia="仿宋" w:cs="仿宋"/>
                <w:sz w:val="24"/>
                <w:szCs w:val="24"/>
                <w:lang w:eastAsia="zh-CN"/>
              </w:rPr>
              <w:t>谈判</w:t>
            </w:r>
            <w:r>
              <w:rPr>
                <w:rFonts w:hint="eastAsia" w:ascii="仿宋" w:hAnsi="仿宋" w:eastAsia="仿宋" w:cs="仿宋"/>
                <w:sz w:val="24"/>
                <w:szCs w:val="24"/>
              </w:rPr>
              <w:t>文件规定格式填报响应报价表(报价一览表）。每项产品或服务只允许有一个报价，任何有选择的报价或备选方案（每项产品多品牌报价或每项服务多方案报价）将不予接受，</w:t>
            </w:r>
            <w:r>
              <w:rPr>
                <w:rFonts w:hint="eastAsia" w:ascii="仿宋" w:hAnsi="仿宋" w:eastAsia="仿宋" w:cs="仿宋"/>
                <w:sz w:val="24"/>
                <w:szCs w:val="24"/>
                <w:lang w:eastAsia="zh-CN"/>
              </w:rPr>
              <w:t>谈判</w:t>
            </w:r>
            <w:r>
              <w:rPr>
                <w:rFonts w:hint="eastAsia" w:ascii="仿宋" w:hAnsi="仿宋" w:eastAsia="仿宋" w:cs="仿宋"/>
                <w:sz w:val="24"/>
                <w:szCs w:val="24"/>
              </w:rPr>
              <w:t>文件中另有规定的按规定执行。(如有备选配件，备选配件的报价不属于选择的报价)。</w:t>
            </w:r>
          </w:p>
        </w:tc>
      </w:tr>
      <w:tr w14:paraId="243BC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725" w:type="dxa"/>
            <w:vAlign w:val="center"/>
          </w:tcPr>
          <w:p w14:paraId="31EA7DD4">
            <w:pPr>
              <w:snapToGrid w:val="0"/>
              <w:spacing w:line="0" w:lineRule="atLeast"/>
              <w:jc w:val="center"/>
              <w:rPr>
                <w:rFonts w:hint="eastAsia" w:ascii="仿宋" w:hAnsi="仿宋" w:eastAsia="仿宋" w:cs="仿宋"/>
                <w:sz w:val="24"/>
                <w:szCs w:val="24"/>
              </w:rPr>
            </w:pPr>
            <w:r>
              <w:rPr>
                <w:rFonts w:hint="eastAsia" w:ascii="仿宋" w:hAnsi="仿宋" w:eastAsia="仿宋" w:cs="仿宋"/>
                <w:sz w:val="24"/>
                <w:szCs w:val="24"/>
              </w:rPr>
              <w:t>18</w:t>
            </w:r>
          </w:p>
        </w:tc>
        <w:tc>
          <w:tcPr>
            <w:tcW w:w="2012" w:type="dxa"/>
            <w:vAlign w:val="center"/>
          </w:tcPr>
          <w:p w14:paraId="0BE9F08E">
            <w:pPr>
              <w:snapToGrid w:val="0"/>
              <w:spacing w:line="0" w:lineRule="atLeast"/>
              <w:jc w:val="center"/>
              <w:rPr>
                <w:rFonts w:hint="eastAsia" w:ascii="仿宋" w:hAnsi="仿宋" w:eastAsia="仿宋" w:cs="仿宋"/>
                <w:sz w:val="24"/>
                <w:szCs w:val="24"/>
              </w:rPr>
            </w:pPr>
            <w:r>
              <w:rPr>
                <w:rFonts w:hint="eastAsia" w:ascii="仿宋" w:hAnsi="仿宋" w:eastAsia="仿宋" w:cs="仿宋"/>
                <w:sz w:val="24"/>
                <w:szCs w:val="24"/>
              </w:rPr>
              <w:t>成交人推荐资格</w:t>
            </w:r>
          </w:p>
        </w:tc>
        <w:tc>
          <w:tcPr>
            <w:tcW w:w="6736" w:type="dxa"/>
            <w:vAlign w:val="center"/>
          </w:tcPr>
          <w:p w14:paraId="28BE3674">
            <w:pPr>
              <w:pStyle w:val="17"/>
              <w:ind w:firstLine="0" w:firstLineChars="0"/>
              <w:rPr>
                <w:rFonts w:hint="eastAsia" w:ascii="仿宋" w:hAnsi="仿宋" w:eastAsia="仿宋" w:cs="仿宋"/>
                <w:sz w:val="24"/>
                <w:szCs w:val="24"/>
              </w:rPr>
            </w:pPr>
            <w:r>
              <w:rPr>
                <w:rFonts w:hint="eastAsia" w:ascii="仿宋" w:hAnsi="仿宋" w:eastAsia="仿宋" w:cs="仿宋"/>
                <w:color w:val="000000" w:themeColor="text1"/>
                <w:sz w:val="24"/>
                <w:szCs w:val="24"/>
                <w:lang w:eastAsia="zh-CN"/>
                <w14:textFill>
                  <w14:solidFill>
                    <w14:schemeClr w14:val="tx1"/>
                  </w14:solidFill>
                </w14:textFill>
              </w:rPr>
              <w:t>响应文件通过</w:t>
            </w:r>
            <w:r>
              <w:rPr>
                <w:rFonts w:hint="eastAsia" w:ascii="仿宋" w:hAnsi="仿宋" w:eastAsia="仿宋" w:cs="仿宋"/>
                <w:color w:val="000000" w:themeColor="text1"/>
                <w:sz w:val="24"/>
                <w:szCs w:val="24"/>
                <w14:textFill>
                  <w14:solidFill>
                    <w14:schemeClr w14:val="tx1"/>
                  </w14:solidFill>
                </w14:textFill>
              </w:rPr>
              <w:t>进行</w:t>
            </w:r>
            <w:r>
              <w:rPr>
                <w:rFonts w:hint="eastAsia" w:ascii="仿宋" w:hAnsi="仿宋" w:eastAsia="仿宋" w:cs="仿宋"/>
                <w:color w:val="000000" w:themeColor="text1"/>
                <w:sz w:val="24"/>
                <w:szCs w:val="24"/>
                <w:lang w:eastAsia="zh-CN"/>
                <w14:textFill>
                  <w14:solidFill>
                    <w14:schemeClr w14:val="tx1"/>
                  </w14:solidFill>
                </w14:textFill>
              </w:rPr>
              <w:t>资格性和符合性，供应商做出最终报价后，谈判</w:t>
            </w:r>
            <w:r>
              <w:rPr>
                <w:rFonts w:hint="eastAsia" w:ascii="仿宋" w:hAnsi="仿宋" w:eastAsia="仿宋" w:cs="仿宋"/>
                <w:color w:val="000000" w:themeColor="text1"/>
                <w:sz w:val="24"/>
                <w:szCs w:val="24"/>
                <w14:textFill>
                  <w14:solidFill>
                    <w14:schemeClr w14:val="tx1"/>
                  </w14:solidFill>
                </w14:textFill>
              </w:rPr>
              <w:t>小组按</w:t>
            </w:r>
            <w:r>
              <w:rPr>
                <w:rFonts w:hint="eastAsia" w:ascii="仿宋" w:hAnsi="仿宋" w:eastAsia="仿宋" w:cs="仿宋"/>
                <w:color w:val="000000" w:themeColor="text1"/>
                <w:sz w:val="24"/>
                <w:szCs w:val="24"/>
                <w:lang w:eastAsia="zh-CN"/>
                <w14:textFill>
                  <w14:solidFill>
                    <w14:schemeClr w14:val="tx1"/>
                  </w14:solidFill>
                </w14:textFill>
              </w:rPr>
              <w:t>报价由</w:t>
            </w:r>
            <w:r>
              <w:rPr>
                <w:rFonts w:hint="eastAsia" w:ascii="仿宋" w:hAnsi="仿宋" w:eastAsia="仿宋" w:cs="仿宋"/>
                <w:color w:val="000000" w:themeColor="text1"/>
                <w:sz w:val="24"/>
                <w:szCs w:val="24"/>
                <w14:textFill>
                  <w14:solidFill>
                    <w14:schemeClr w14:val="tx1"/>
                  </w14:solidFill>
                </w14:textFill>
              </w:rPr>
              <w:t>低到高推荐三名成交候选供应商，采购人在推荐的成交候选供应商中按顺序确定一名成交供应商。</w:t>
            </w:r>
          </w:p>
        </w:tc>
      </w:tr>
      <w:tr w14:paraId="0EA14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25" w:type="dxa"/>
            <w:vAlign w:val="center"/>
          </w:tcPr>
          <w:p w14:paraId="23AE0BD2">
            <w:pPr>
              <w:snapToGrid w:val="0"/>
              <w:spacing w:line="0" w:lineRule="atLeast"/>
              <w:jc w:val="center"/>
              <w:rPr>
                <w:rFonts w:hint="eastAsia" w:ascii="仿宋" w:hAnsi="仿宋" w:eastAsia="仿宋" w:cs="仿宋"/>
                <w:sz w:val="24"/>
                <w:szCs w:val="24"/>
              </w:rPr>
            </w:pPr>
            <w:r>
              <w:rPr>
                <w:rFonts w:hint="eastAsia" w:ascii="仿宋" w:hAnsi="仿宋" w:eastAsia="仿宋" w:cs="仿宋"/>
                <w:sz w:val="24"/>
                <w:szCs w:val="24"/>
              </w:rPr>
              <w:t>19</w:t>
            </w:r>
          </w:p>
        </w:tc>
        <w:tc>
          <w:tcPr>
            <w:tcW w:w="2012" w:type="dxa"/>
            <w:vAlign w:val="center"/>
          </w:tcPr>
          <w:p w14:paraId="670831BB">
            <w:pPr>
              <w:snapToGrid w:val="0"/>
              <w:spacing w:line="0" w:lineRule="atLeast"/>
              <w:jc w:val="center"/>
              <w:rPr>
                <w:rFonts w:hint="eastAsia" w:ascii="仿宋" w:hAnsi="仿宋" w:eastAsia="仿宋" w:cs="仿宋"/>
                <w:sz w:val="24"/>
                <w:szCs w:val="24"/>
              </w:rPr>
            </w:pPr>
            <w:r>
              <w:rPr>
                <w:rFonts w:hint="eastAsia" w:ascii="仿宋" w:hAnsi="仿宋" w:eastAsia="仿宋" w:cs="仿宋"/>
                <w:sz w:val="24"/>
                <w:szCs w:val="24"/>
              </w:rPr>
              <w:t>采购合同签订</w:t>
            </w:r>
          </w:p>
        </w:tc>
        <w:tc>
          <w:tcPr>
            <w:tcW w:w="6736" w:type="dxa"/>
            <w:vAlign w:val="center"/>
          </w:tcPr>
          <w:p w14:paraId="4068C6D9">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合同签订，成交通知书发出后30日内。</w:t>
            </w:r>
          </w:p>
        </w:tc>
      </w:tr>
      <w:tr w14:paraId="103B6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25" w:type="dxa"/>
            <w:vAlign w:val="center"/>
          </w:tcPr>
          <w:p w14:paraId="5D045449">
            <w:pPr>
              <w:snapToGrid w:val="0"/>
              <w:spacing w:line="0" w:lineRule="atLeast"/>
              <w:jc w:val="center"/>
              <w:rPr>
                <w:rFonts w:hint="eastAsia" w:ascii="仿宋" w:hAnsi="仿宋" w:eastAsia="仿宋" w:cs="仿宋"/>
                <w:sz w:val="24"/>
                <w:szCs w:val="24"/>
              </w:rPr>
            </w:pPr>
            <w:r>
              <w:rPr>
                <w:rFonts w:hint="eastAsia" w:ascii="仿宋" w:hAnsi="仿宋" w:eastAsia="仿宋" w:cs="仿宋"/>
                <w:sz w:val="24"/>
                <w:szCs w:val="24"/>
              </w:rPr>
              <w:t>20</w:t>
            </w:r>
          </w:p>
        </w:tc>
        <w:tc>
          <w:tcPr>
            <w:tcW w:w="2012" w:type="dxa"/>
            <w:vAlign w:val="center"/>
          </w:tcPr>
          <w:p w14:paraId="0A225209">
            <w:pPr>
              <w:snapToGrid w:val="0"/>
              <w:spacing w:line="0" w:lineRule="atLeast"/>
              <w:jc w:val="center"/>
              <w:rPr>
                <w:rFonts w:hint="eastAsia" w:ascii="仿宋" w:hAnsi="仿宋" w:eastAsia="仿宋" w:cs="仿宋"/>
                <w:sz w:val="24"/>
                <w:szCs w:val="24"/>
              </w:rPr>
            </w:pPr>
            <w:r>
              <w:rPr>
                <w:rFonts w:hint="eastAsia" w:ascii="仿宋" w:hAnsi="仿宋" w:eastAsia="仿宋" w:cs="仿宋"/>
                <w:sz w:val="24"/>
              </w:rPr>
              <w:t>未</w:t>
            </w:r>
            <w:r>
              <w:rPr>
                <w:rFonts w:hint="eastAsia" w:ascii="仿宋" w:hAnsi="仿宋" w:eastAsia="仿宋" w:cs="仿宋"/>
                <w:sz w:val="24"/>
                <w:lang w:eastAsia="zh-CN"/>
              </w:rPr>
              <w:t>通过资格性和符合性审查</w:t>
            </w:r>
            <w:r>
              <w:rPr>
                <w:rFonts w:hint="eastAsia" w:ascii="仿宋" w:hAnsi="仿宋" w:eastAsia="仿宋" w:cs="仿宋"/>
                <w:sz w:val="24"/>
              </w:rPr>
              <w:t>的情形</w:t>
            </w:r>
          </w:p>
        </w:tc>
        <w:tc>
          <w:tcPr>
            <w:tcW w:w="6736" w:type="dxa"/>
            <w:vAlign w:val="center"/>
          </w:tcPr>
          <w:p w14:paraId="6B34F6F9">
            <w:pPr>
              <w:spacing w:line="360" w:lineRule="auto"/>
              <w:jc w:val="both"/>
              <w:rPr>
                <w:rFonts w:ascii="仿宋" w:hAnsi="仿宋" w:eastAsia="仿宋" w:cs="仿宋"/>
                <w:sz w:val="24"/>
              </w:rPr>
            </w:pPr>
            <w:r>
              <w:rPr>
                <w:rFonts w:hint="eastAsia" w:ascii="仿宋" w:hAnsi="仿宋" w:eastAsia="仿宋" w:cs="仿宋"/>
                <w:sz w:val="24"/>
              </w:rPr>
              <w:t>（1）未按照谈判文件规定要求密封、签署、盖章的；</w:t>
            </w:r>
          </w:p>
          <w:p w14:paraId="5D68E2CA">
            <w:pPr>
              <w:spacing w:line="360" w:lineRule="auto"/>
              <w:jc w:val="both"/>
              <w:rPr>
                <w:rFonts w:ascii="仿宋" w:hAnsi="仿宋" w:eastAsia="仿宋" w:cs="仿宋"/>
                <w:sz w:val="24"/>
              </w:rPr>
            </w:pPr>
            <w:r>
              <w:rPr>
                <w:rFonts w:hint="eastAsia" w:ascii="仿宋" w:hAnsi="仿宋" w:eastAsia="仿宋" w:cs="仿宋"/>
                <w:sz w:val="24"/>
              </w:rPr>
              <w:t>（2）供应商在报价时报价超过了采购预算</w:t>
            </w:r>
            <w:r>
              <w:rPr>
                <w:rFonts w:hint="eastAsia" w:ascii="仿宋" w:hAnsi="仿宋" w:eastAsia="仿宋" w:cs="仿宋"/>
                <w:sz w:val="24"/>
                <w:lang w:eastAsia="zh-CN"/>
              </w:rPr>
              <w:t>或</w:t>
            </w:r>
            <w:r>
              <w:rPr>
                <w:rFonts w:hint="eastAsia" w:ascii="仿宋" w:hAnsi="仿宋" w:eastAsia="仿宋" w:cs="仿宋"/>
                <w:sz w:val="24"/>
              </w:rPr>
              <w:t>采用选择性报价；</w:t>
            </w:r>
          </w:p>
          <w:p w14:paraId="7FD5A862">
            <w:pPr>
              <w:spacing w:line="360" w:lineRule="auto"/>
              <w:jc w:val="both"/>
              <w:rPr>
                <w:rFonts w:hint="eastAsia" w:ascii="仿宋" w:hAnsi="仿宋" w:eastAsia="仿宋" w:cs="仿宋"/>
                <w:sz w:val="24"/>
              </w:rPr>
            </w:pPr>
            <w:r>
              <w:rPr>
                <w:rFonts w:hint="eastAsia" w:ascii="仿宋" w:hAnsi="仿宋" w:eastAsia="仿宋" w:cs="仿宋"/>
                <w:sz w:val="24"/>
              </w:rPr>
              <w:t>（3）供应商不符合谈判文件中规定的合格供应商资格要求</w:t>
            </w:r>
            <w:r>
              <w:rPr>
                <w:rFonts w:hint="eastAsia" w:ascii="仿宋" w:hAnsi="仿宋" w:eastAsia="仿宋" w:cs="仿宋"/>
                <w:sz w:val="24"/>
                <w:lang w:eastAsia="zh-CN"/>
              </w:rPr>
              <w:t>或属于</w:t>
            </w:r>
            <w:r>
              <w:rPr>
                <w:rFonts w:hint="eastAsia" w:ascii="仿宋" w:hAnsi="仿宋" w:eastAsia="仿宋" w:cs="仿宋"/>
                <w:sz w:val="24"/>
              </w:rPr>
              <w:t>财政部财库（2016）125号文件规定</w:t>
            </w:r>
            <w:r>
              <w:rPr>
                <w:rFonts w:hint="eastAsia" w:ascii="仿宋" w:hAnsi="仿宋" w:eastAsia="仿宋" w:cs="仿宋"/>
                <w:sz w:val="24"/>
                <w:lang w:eastAsia="zh-CN"/>
              </w:rPr>
              <w:t>联合惩戒</w:t>
            </w:r>
            <w:r>
              <w:rPr>
                <w:rFonts w:hint="eastAsia" w:ascii="仿宋" w:hAnsi="仿宋" w:eastAsia="仿宋" w:cs="仿宋"/>
                <w:sz w:val="24"/>
              </w:rPr>
              <w:t>的</w:t>
            </w:r>
            <w:r>
              <w:rPr>
                <w:rFonts w:hint="eastAsia" w:ascii="仿宋" w:hAnsi="仿宋" w:eastAsia="仿宋" w:cs="仿宋"/>
                <w:sz w:val="24"/>
                <w:lang w:eastAsia="zh-CN"/>
              </w:rPr>
              <w:t>情形</w:t>
            </w:r>
            <w:r>
              <w:rPr>
                <w:rFonts w:hint="eastAsia" w:ascii="仿宋" w:hAnsi="仿宋" w:eastAsia="仿宋" w:cs="仿宋"/>
                <w:sz w:val="24"/>
              </w:rPr>
              <w:t>；</w:t>
            </w:r>
          </w:p>
          <w:p w14:paraId="7D71BFCD">
            <w:pPr>
              <w:spacing w:line="360" w:lineRule="auto"/>
              <w:jc w:val="both"/>
              <w:rPr>
                <w:rFonts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4</w:t>
            </w:r>
            <w:r>
              <w:rPr>
                <w:rFonts w:hint="eastAsia" w:ascii="仿宋" w:hAnsi="仿宋" w:eastAsia="仿宋" w:cs="仿宋"/>
                <w:sz w:val="24"/>
                <w:lang w:eastAsia="zh-CN"/>
              </w:rPr>
              <w:t>）</w:t>
            </w:r>
            <w:r>
              <w:rPr>
                <w:rFonts w:hint="eastAsia" w:ascii="仿宋" w:hAnsi="仿宋" w:eastAsia="仿宋" w:cs="仿宋"/>
                <w:sz w:val="24"/>
              </w:rPr>
              <w:t>不能完全满足采购需求，未通过符合性检查的；</w:t>
            </w:r>
          </w:p>
          <w:p w14:paraId="5DA98BCC">
            <w:pPr>
              <w:spacing w:line="360" w:lineRule="auto"/>
              <w:jc w:val="both"/>
              <w:rPr>
                <w:rFonts w:hint="eastAsia" w:ascii="仿宋" w:hAnsi="仿宋" w:eastAsia="仿宋" w:cs="仿宋"/>
                <w:sz w:val="24"/>
                <w:szCs w:val="24"/>
              </w:rPr>
            </w:pPr>
            <w:r>
              <w:rPr>
                <w:rFonts w:hint="eastAsia" w:ascii="仿宋" w:hAnsi="仿宋" w:eastAsia="仿宋" w:cs="仿宋"/>
                <w:sz w:val="24"/>
              </w:rPr>
              <w:t>（</w:t>
            </w:r>
            <w:r>
              <w:rPr>
                <w:rFonts w:hint="eastAsia" w:ascii="仿宋" w:hAnsi="仿宋" w:eastAsia="仿宋" w:cs="仿宋"/>
                <w:sz w:val="24"/>
                <w:lang w:val="en-US" w:eastAsia="zh-CN"/>
              </w:rPr>
              <w:t>5</w:t>
            </w:r>
            <w:r>
              <w:rPr>
                <w:rFonts w:hint="eastAsia" w:ascii="仿宋" w:hAnsi="仿宋" w:eastAsia="仿宋" w:cs="仿宋"/>
                <w:sz w:val="24"/>
              </w:rPr>
              <w:t>）不符合法律、法规和谈判文件中规定的其他实质性要求和条件的（本谈判文件中斜体且有下划线部分为实质性要求和条件）；</w:t>
            </w:r>
          </w:p>
        </w:tc>
      </w:tr>
      <w:tr w14:paraId="052F2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25" w:type="dxa"/>
            <w:vAlign w:val="center"/>
          </w:tcPr>
          <w:p w14:paraId="52235F9E">
            <w:pPr>
              <w:snapToGrid w:val="0"/>
              <w:spacing w:line="0" w:lineRule="atLeast"/>
              <w:jc w:val="center"/>
              <w:rPr>
                <w:rFonts w:hint="eastAsia" w:ascii="仿宋" w:hAnsi="仿宋" w:eastAsia="仿宋" w:cs="仿宋"/>
                <w:sz w:val="24"/>
                <w:szCs w:val="24"/>
              </w:rPr>
            </w:pPr>
            <w:r>
              <w:rPr>
                <w:rFonts w:hint="eastAsia" w:ascii="仿宋" w:hAnsi="仿宋" w:eastAsia="仿宋" w:cs="仿宋"/>
                <w:sz w:val="24"/>
                <w:szCs w:val="24"/>
              </w:rPr>
              <w:t>21</w:t>
            </w:r>
          </w:p>
        </w:tc>
        <w:tc>
          <w:tcPr>
            <w:tcW w:w="2012" w:type="dxa"/>
            <w:vAlign w:val="center"/>
          </w:tcPr>
          <w:p w14:paraId="321807B1">
            <w:pPr>
              <w:snapToGrid w:val="0"/>
              <w:spacing w:line="0" w:lineRule="atLeast"/>
              <w:jc w:val="center"/>
              <w:rPr>
                <w:rFonts w:hint="eastAsia" w:ascii="仿宋" w:hAnsi="仿宋" w:eastAsia="仿宋" w:cs="仿宋"/>
                <w:sz w:val="24"/>
                <w:szCs w:val="24"/>
              </w:rPr>
            </w:pPr>
            <w:r>
              <w:rPr>
                <w:rFonts w:hint="eastAsia" w:ascii="仿宋" w:hAnsi="仿宋" w:eastAsia="仿宋" w:cs="仿宋"/>
                <w:sz w:val="24"/>
                <w:szCs w:val="24"/>
              </w:rPr>
              <w:t>质疑处理</w:t>
            </w:r>
          </w:p>
        </w:tc>
        <w:tc>
          <w:tcPr>
            <w:tcW w:w="6736" w:type="dxa"/>
            <w:vAlign w:val="center"/>
          </w:tcPr>
          <w:p w14:paraId="5EEBDC3A">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1.供应商认为</w:t>
            </w:r>
            <w:r>
              <w:rPr>
                <w:rFonts w:hint="eastAsia" w:ascii="仿宋" w:hAnsi="仿宋" w:eastAsia="仿宋" w:cs="仿宋"/>
                <w:sz w:val="24"/>
                <w:szCs w:val="24"/>
                <w:lang w:eastAsia="zh-CN"/>
              </w:rPr>
              <w:t>谈判</w:t>
            </w:r>
            <w:r>
              <w:rPr>
                <w:rFonts w:hint="eastAsia" w:ascii="仿宋" w:hAnsi="仿宋" w:eastAsia="仿宋" w:cs="仿宋"/>
                <w:sz w:val="24"/>
                <w:szCs w:val="24"/>
              </w:rPr>
              <w:t>文件、采购过程和采购结果使自己的权益受到损害的，可以在知道或应知其权益受到损害之日起七个工作日内，以书面形式向采购代理机构或采购人提出质疑。上述应知其权益受到损害之日，是指：</w:t>
            </w:r>
          </w:p>
          <w:p w14:paraId="196C8F7D">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1.1对可以质疑的</w:t>
            </w:r>
            <w:r>
              <w:rPr>
                <w:rFonts w:hint="eastAsia" w:ascii="仿宋" w:hAnsi="仿宋" w:eastAsia="仿宋" w:cs="仿宋"/>
                <w:sz w:val="24"/>
                <w:szCs w:val="24"/>
                <w:lang w:eastAsia="zh-CN"/>
              </w:rPr>
              <w:t>谈判</w:t>
            </w:r>
            <w:r>
              <w:rPr>
                <w:rFonts w:hint="eastAsia" w:ascii="仿宋" w:hAnsi="仿宋" w:eastAsia="仿宋" w:cs="仿宋"/>
                <w:sz w:val="24"/>
                <w:szCs w:val="24"/>
              </w:rPr>
              <w:t>文件提出质疑的，为收到</w:t>
            </w:r>
            <w:r>
              <w:rPr>
                <w:rFonts w:hint="eastAsia" w:ascii="仿宋" w:hAnsi="仿宋" w:eastAsia="仿宋" w:cs="仿宋"/>
                <w:sz w:val="24"/>
                <w:szCs w:val="24"/>
                <w:lang w:eastAsia="zh-CN"/>
              </w:rPr>
              <w:t>谈判</w:t>
            </w:r>
            <w:r>
              <w:rPr>
                <w:rFonts w:hint="eastAsia" w:ascii="仿宋" w:hAnsi="仿宋" w:eastAsia="仿宋" w:cs="仿宋"/>
                <w:sz w:val="24"/>
                <w:szCs w:val="24"/>
              </w:rPr>
              <w:t>文件之日或者</w:t>
            </w:r>
            <w:r>
              <w:rPr>
                <w:rFonts w:hint="eastAsia" w:ascii="仿宋" w:hAnsi="仿宋" w:eastAsia="仿宋" w:cs="仿宋"/>
                <w:sz w:val="24"/>
                <w:szCs w:val="24"/>
                <w:lang w:eastAsia="zh-CN"/>
              </w:rPr>
              <w:t>谈判</w:t>
            </w:r>
            <w:r>
              <w:rPr>
                <w:rFonts w:hint="eastAsia" w:ascii="仿宋" w:hAnsi="仿宋" w:eastAsia="仿宋" w:cs="仿宋"/>
                <w:sz w:val="24"/>
                <w:szCs w:val="24"/>
              </w:rPr>
              <w:t>文件公告期限届满之日；</w:t>
            </w:r>
          </w:p>
          <w:p w14:paraId="74C96FE5">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1.2对采购过程提出质疑的，为各采购程序环节结束之日；</w:t>
            </w:r>
          </w:p>
          <w:p w14:paraId="6ED69AF3">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1.3对成交结果提出质疑的，为成交结果公告期限届满之日。</w:t>
            </w:r>
          </w:p>
          <w:p w14:paraId="3A0358BC">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2.质疑必须按《政府采购法》、《政府采购法实施条例》、中华人民共和国财政部令第94号令《政府采购质疑和投诉办法》的相关规定提交，未按上述要求提交的质疑函（含传真、电子邮件等）采购代理机构有权要求质疑供应商按规定予以修正。</w:t>
            </w:r>
          </w:p>
          <w:p w14:paraId="2D6FF2E6">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3.未参加</w:t>
            </w:r>
            <w:r>
              <w:rPr>
                <w:rFonts w:hint="eastAsia" w:ascii="仿宋" w:hAnsi="仿宋" w:eastAsia="仿宋" w:cs="仿宋"/>
                <w:sz w:val="24"/>
                <w:szCs w:val="24"/>
                <w:lang w:eastAsia="zh-CN"/>
              </w:rPr>
              <w:t>谈判</w:t>
            </w:r>
            <w:r>
              <w:rPr>
                <w:rFonts w:hint="eastAsia" w:ascii="仿宋" w:hAnsi="仿宋" w:eastAsia="仿宋" w:cs="仿宋"/>
                <w:sz w:val="24"/>
                <w:szCs w:val="24"/>
              </w:rPr>
              <w:t>采购活动的供应商或在</w:t>
            </w:r>
            <w:r>
              <w:rPr>
                <w:rFonts w:hint="eastAsia" w:ascii="仿宋" w:hAnsi="仿宋" w:eastAsia="仿宋" w:cs="仿宋"/>
                <w:sz w:val="24"/>
                <w:szCs w:val="24"/>
                <w:lang w:eastAsia="zh-CN"/>
              </w:rPr>
              <w:t>谈判</w:t>
            </w:r>
            <w:r>
              <w:rPr>
                <w:rFonts w:hint="eastAsia" w:ascii="仿宋" w:hAnsi="仿宋" w:eastAsia="仿宋" w:cs="仿宋"/>
                <w:sz w:val="24"/>
                <w:szCs w:val="24"/>
              </w:rPr>
              <w:t>采购活动中自身权益未受到损害的供应商所提出的质疑不予受理。</w:t>
            </w:r>
          </w:p>
          <w:p w14:paraId="3AC629C9">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4.质疑函应当包括下列内容：</w:t>
            </w:r>
          </w:p>
          <w:p w14:paraId="5F3DE1C1">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（一）供应商的姓名或者名称、地址、邮编、联系人及联系电话；</w:t>
            </w:r>
          </w:p>
          <w:p w14:paraId="640A8BDE">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（二）质疑项目的名称、编号；</w:t>
            </w:r>
          </w:p>
          <w:p w14:paraId="03A4ACED">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（三）具体、明确的质疑事项和与质疑事项相关的请求；</w:t>
            </w:r>
          </w:p>
          <w:p w14:paraId="5F8ABB70">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（四）事实依据；</w:t>
            </w:r>
          </w:p>
          <w:p w14:paraId="6845B27E">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（五）必要的法律依据；</w:t>
            </w:r>
          </w:p>
          <w:p w14:paraId="54DD80CF">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（六）提出质疑的日期。</w:t>
            </w:r>
          </w:p>
          <w:p w14:paraId="50A37AC3">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供应商为自然人的，应当由本人签字；供应商为法人或者其他组织的，应当由法定代表人、主要负责人，或者其授权代表签字或者盖章，并加盖公章。</w:t>
            </w:r>
          </w:p>
          <w:p w14:paraId="2AA96475">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质疑人委托代理质疑的，应当向采购代理机构提交授权委托书，并载明委托代理的具体权限和事项。</w:t>
            </w:r>
          </w:p>
          <w:p w14:paraId="3F7F9945">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5.采购代理机构收到质疑函后，将对质疑的形式和内容进行审查，如质疑函内容、格式不符合规定，采购代理机构将告知质疑人进行补正。</w:t>
            </w:r>
          </w:p>
          <w:p w14:paraId="1D27D1D2">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6.质疑人应当在法定质疑期限内进行补正并重新提交质疑函。</w:t>
            </w:r>
          </w:p>
          <w:p w14:paraId="1BA93265">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7.采购代理机构应当在收到供应商的书面质疑后七个工作日内作出答复，并以书面形式通知质疑供应商和其他有关供应商，并告知质疑供应商具有投诉的权利。质疑答复的内容不得涉及评审情况与所获知的供应商的商业秘密。</w:t>
            </w:r>
          </w:p>
          <w:p w14:paraId="44FEFCA5">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8.供应商提出书面质疑必须依据事实和法律依据，不得捏造事实进行恶意或虚假质疑。</w:t>
            </w:r>
          </w:p>
        </w:tc>
      </w:tr>
      <w:tr w14:paraId="3F054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25" w:type="dxa"/>
            <w:vAlign w:val="center"/>
          </w:tcPr>
          <w:p w14:paraId="7D52FCC5">
            <w:pPr>
              <w:snapToGrid w:val="0"/>
              <w:spacing w:line="0" w:lineRule="atLeast"/>
              <w:jc w:val="center"/>
              <w:rPr>
                <w:rFonts w:hint="eastAsia" w:ascii="仿宋" w:hAnsi="仿宋" w:eastAsia="仿宋" w:cs="仿宋"/>
                <w:sz w:val="24"/>
                <w:szCs w:val="24"/>
              </w:rPr>
            </w:pPr>
            <w:r>
              <w:rPr>
                <w:rFonts w:hint="eastAsia" w:ascii="仿宋" w:hAnsi="仿宋" w:eastAsia="仿宋" w:cs="仿宋"/>
                <w:sz w:val="24"/>
                <w:szCs w:val="24"/>
              </w:rPr>
              <w:t>22</w:t>
            </w:r>
          </w:p>
        </w:tc>
        <w:tc>
          <w:tcPr>
            <w:tcW w:w="2012" w:type="dxa"/>
            <w:vAlign w:val="center"/>
          </w:tcPr>
          <w:p w14:paraId="73B81AE8">
            <w:pPr>
              <w:snapToGrid w:val="0"/>
              <w:spacing w:line="0" w:lineRule="atLeast"/>
              <w:jc w:val="center"/>
              <w:rPr>
                <w:rFonts w:hint="eastAsia" w:ascii="仿宋" w:hAnsi="仿宋" w:eastAsia="仿宋" w:cs="仿宋"/>
                <w:sz w:val="24"/>
                <w:szCs w:val="24"/>
              </w:rPr>
            </w:pPr>
            <w:r>
              <w:rPr>
                <w:rFonts w:hint="eastAsia" w:ascii="仿宋" w:hAnsi="仿宋" w:eastAsia="仿宋" w:cs="仿宋"/>
                <w:sz w:val="24"/>
                <w:szCs w:val="24"/>
              </w:rPr>
              <w:t>答疑或现场勘查</w:t>
            </w:r>
          </w:p>
        </w:tc>
        <w:tc>
          <w:tcPr>
            <w:tcW w:w="6736" w:type="dxa"/>
            <w:vAlign w:val="center"/>
          </w:tcPr>
          <w:p w14:paraId="78ED3488">
            <w:pPr>
              <w:snapToGrid w:val="0"/>
              <w:spacing w:line="0" w:lineRule="atLeast"/>
              <w:jc w:val="both"/>
              <w:rPr>
                <w:rFonts w:hint="eastAsia" w:ascii="仿宋" w:hAnsi="仿宋" w:eastAsia="仿宋" w:cs="仿宋"/>
                <w:sz w:val="24"/>
                <w:szCs w:val="24"/>
              </w:rPr>
            </w:pPr>
            <w:r>
              <w:rPr>
                <w:rFonts w:hint="eastAsia" w:ascii="仿宋" w:hAnsi="仿宋" w:eastAsia="仿宋" w:cs="仿宋"/>
                <w:sz w:val="24"/>
                <w:szCs w:val="24"/>
              </w:rPr>
              <w:t>本项目不统一组织答疑会或现场勘查。</w:t>
            </w:r>
          </w:p>
        </w:tc>
      </w:tr>
      <w:bookmarkEnd w:id="17"/>
      <w:bookmarkEnd w:id="18"/>
      <w:bookmarkEnd w:id="19"/>
      <w:bookmarkEnd w:id="22"/>
    </w:tbl>
    <w:p w14:paraId="753A27A7">
      <w:pPr>
        <w:pStyle w:val="4"/>
        <w:numPr>
          <w:ilvl w:val="0"/>
          <w:numId w:val="6"/>
        </w:numPr>
        <w:spacing w:line="360" w:lineRule="auto"/>
        <w:jc w:val="left"/>
        <w:rPr>
          <w:rFonts w:ascii="仿宋" w:hAnsi="仿宋" w:eastAsia="仿宋" w:cs="仿宋"/>
          <w:b/>
          <w:bCs w:val="0"/>
        </w:rPr>
      </w:pPr>
      <w:bookmarkStart w:id="24" w:name="_Toc21700"/>
      <w:bookmarkStart w:id="25" w:name="_Toc18497"/>
      <w:bookmarkStart w:id="26" w:name="_Toc28890"/>
      <w:r>
        <w:rPr>
          <w:rFonts w:hint="eastAsia" w:ascii="仿宋" w:hAnsi="仿宋" w:eastAsia="仿宋" w:cs="仿宋"/>
          <w:b/>
          <w:bCs w:val="0"/>
        </w:rPr>
        <w:t>总则</w:t>
      </w:r>
      <w:bookmarkEnd w:id="24"/>
      <w:bookmarkEnd w:id="25"/>
      <w:bookmarkEnd w:id="26"/>
    </w:p>
    <w:p w14:paraId="32288ACB">
      <w:pPr>
        <w:spacing w:line="360" w:lineRule="auto"/>
        <w:ind w:firstLine="480" w:firstLineChars="200"/>
        <w:jc w:val="left"/>
        <w:rPr>
          <w:rFonts w:ascii="仿宋" w:hAnsi="仿宋" w:eastAsia="仿宋" w:cs="仿宋"/>
          <w:sz w:val="24"/>
        </w:rPr>
      </w:pPr>
      <w:r>
        <w:rPr>
          <w:rFonts w:hint="eastAsia" w:ascii="仿宋" w:hAnsi="仿宋" w:eastAsia="仿宋" w:cs="仿宋"/>
          <w:sz w:val="24"/>
        </w:rPr>
        <w:t>1、适用范围</w:t>
      </w:r>
    </w:p>
    <w:p w14:paraId="08D4A370">
      <w:pPr>
        <w:spacing w:line="360" w:lineRule="auto"/>
        <w:ind w:firstLine="480" w:firstLineChars="200"/>
        <w:jc w:val="left"/>
        <w:rPr>
          <w:rFonts w:ascii="仿宋" w:hAnsi="仿宋" w:eastAsia="仿宋" w:cs="仿宋"/>
          <w:sz w:val="24"/>
        </w:rPr>
      </w:pPr>
      <w:r>
        <w:rPr>
          <w:rFonts w:hint="eastAsia" w:ascii="仿宋" w:hAnsi="仿宋" w:eastAsia="仿宋" w:cs="仿宋"/>
          <w:sz w:val="24"/>
        </w:rPr>
        <w:t>1.1 本竞争性谈判文件（以下简称谈判文件）仅适用此项目。</w:t>
      </w:r>
    </w:p>
    <w:p w14:paraId="6B1992B9">
      <w:pPr>
        <w:spacing w:line="360" w:lineRule="auto"/>
        <w:ind w:firstLine="480" w:firstLineChars="200"/>
        <w:jc w:val="left"/>
        <w:rPr>
          <w:rFonts w:ascii="仿宋" w:hAnsi="仿宋" w:eastAsia="仿宋" w:cs="仿宋"/>
          <w:sz w:val="24"/>
        </w:rPr>
      </w:pPr>
      <w:r>
        <w:rPr>
          <w:rFonts w:hint="eastAsia" w:ascii="仿宋" w:hAnsi="仿宋" w:eastAsia="仿宋" w:cs="仿宋"/>
          <w:sz w:val="24"/>
        </w:rPr>
        <w:t>2、项目采购方式</w:t>
      </w:r>
    </w:p>
    <w:p w14:paraId="62132236">
      <w:pPr>
        <w:spacing w:line="360" w:lineRule="auto"/>
        <w:ind w:firstLine="480" w:firstLineChars="200"/>
        <w:jc w:val="left"/>
        <w:rPr>
          <w:rFonts w:ascii="仿宋" w:hAnsi="仿宋" w:eastAsia="仿宋" w:cs="仿宋"/>
          <w:sz w:val="24"/>
        </w:rPr>
      </w:pPr>
      <w:r>
        <w:rPr>
          <w:rFonts w:hint="eastAsia" w:ascii="仿宋" w:hAnsi="仿宋" w:eastAsia="仿宋" w:cs="仿宋"/>
          <w:sz w:val="24"/>
        </w:rPr>
        <w:t>本次采购采取竞争性谈判的方式。</w:t>
      </w:r>
    </w:p>
    <w:p w14:paraId="68D913D4">
      <w:pPr>
        <w:spacing w:line="360" w:lineRule="auto"/>
        <w:ind w:firstLine="480" w:firstLineChars="200"/>
        <w:jc w:val="left"/>
        <w:rPr>
          <w:rFonts w:ascii="仿宋" w:hAnsi="仿宋" w:eastAsia="仿宋" w:cs="仿宋"/>
          <w:sz w:val="24"/>
        </w:rPr>
      </w:pPr>
      <w:r>
        <w:rPr>
          <w:rFonts w:hint="eastAsia" w:ascii="仿宋" w:hAnsi="仿宋" w:eastAsia="仿宋" w:cs="仿宋"/>
          <w:sz w:val="24"/>
        </w:rPr>
        <w:t>3、合格的供应商</w:t>
      </w:r>
    </w:p>
    <w:p w14:paraId="03D90E7F">
      <w:pPr>
        <w:spacing w:line="360" w:lineRule="auto"/>
        <w:ind w:firstLine="480" w:firstLineChars="200"/>
        <w:jc w:val="left"/>
        <w:rPr>
          <w:rFonts w:ascii="仿宋" w:hAnsi="仿宋" w:eastAsia="仿宋" w:cs="仿宋"/>
          <w:sz w:val="24"/>
        </w:rPr>
      </w:pPr>
      <w:r>
        <w:rPr>
          <w:rFonts w:hint="eastAsia" w:ascii="仿宋" w:hAnsi="仿宋" w:eastAsia="仿宋" w:cs="仿宋"/>
          <w:sz w:val="24"/>
        </w:rPr>
        <w:t>3.1满足本谈判文件“谈判邀请”中合格供应商资格要求的规定。</w:t>
      </w:r>
    </w:p>
    <w:p w14:paraId="1DF1F21D">
      <w:pPr>
        <w:spacing w:line="360" w:lineRule="auto"/>
        <w:ind w:firstLine="480" w:firstLineChars="200"/>
        <w:jc w:val="left"/>
        <w:rPr>
          <w:rFonts w:ascii="仿宋" w:hAnsi="仿宋" w:eastAsia="仿宋" w:cs="仿宋"/>
          <w:sz w:val="24"/>
        </w:rPr>
      </w:pPr>
      <w:r>
        <w:rPr>
          <w:rFonts w:hint="eastAsia" w:ascii="仿宋" w:hAnsi="仿宋" w:eastAsia="仿宋" w:cs="仿宋"/>
          <w:sz w:val="24"/>
        </w:rPr>
        <w:t>3.2 满足本谈判文件实质性要求和条件的规定。</w:t>
      </w:r>
    </w:p>
    <w:p w14:paraId="0D69D846">
      <w:pPr>
        <w:spacing w:line="360" w:lineRule="auto"/>
        <w:ind w:firstLine="480" w:firstLineChars="200"/>
        <w:jc w:val="left"/>
        <w:rPr>
          <w:rFonts w:ascii="仿宋" w:hAnsi="仿宋" w:eastAsia="仿宋" w:cs="仿宋"/>
          <w:sz w:val="24"/>
        </w:rPr>
      </w:pPr>
      <w:r>
        <w:rPr>
          <w:rFonts w:hint="eastAsia" w:ascii="仿宋" w:hAnsi="仿宋" w:eastAsia="仿宋" w:cs="仿宋"/>
          <w:sz w:val="24"/>
        </w:rPr>
        <w:t>4、参加谈判费用</w:t>
      </w:r>
    </w:p>
    <w:p w14:paraId="6284A2FF">
      <w:pPr>
        <w:spacing w:line="360" w:lineRule="auto"/>
        <w:ind w:firstLine="480" w:firstLineChars="200"/>
        <w:jc w:val="left"/>
        <w:rPr>
          <w:rFonts w:ascii="仿宋" w:hAnsi="仿宋" w:eastAsia="仿宋" w:cs="仿宋"/>
          <w:sz w:val="24"/>
        </w:rPr>
      </w:pPr>
      <w:r>
        <w:rPr>
          <w:rFonts w:hint="eastAsia" w:ascii="仿宋" w:hAnsi="仿宋" w:eastAsia="仿宋" w:cs="仿宋"/>
          <w:sz w:val="24"/>
        </w:rPr>
        <w:t>4.1参加供应商应自行承担所有与参加谈判有关的费用（包括为参与本项目谈判而产生的相关设计费用）。不论最终的成交结果如何，</w:t>
      </w:r>
      <w:r>
        <w:rPr>
          <w:rFonts w:hint="eastAsia" w:ascii="仿宋" w:hAnsi="仿宋" w:eastAsia="仿宋" w:cs="仿宋"/>
          <w:sz w:val="24"/>
          <w:lang w:eastAsia="zh-CN"/>
        </w:rPr>
        <w:t>南京达琛鑫工程咨询有限公司</w:t>
      </w:r>
      <w:r>
        <w:rPr>
          <w:rFonts w:hint="eastAsia" w:ascii="仿宋" w:hAnsi="仿宋" w:eastAsia="仿宋" w:cs="仿宋"/>
          <w:sz w:val="24"/>
        </w:rPr>
        <w:t>（以下简称采购代理机构）和采购人在任何情况下均无义务和责任承担这些费用。</w:t>
      </w:r>
    </w:p>
    <w:p w14:paraId="582C750B">
      <w:pPr>
        <w:spacing w:line="360" w:lineRule="auto"/>
        <w:ind w:firstLine="480" w:firstLineChars="200"/>
        <w:jc w:val="left"/>
        <w:rPr>
          <w:rFonts w:ascii="仿宋" w:hAnsi="仿宋" w:eastAsia="仿宋" w:cs="仿宋"/>
          <w:sz w:val="24"/>
        </w:rPr>
      </w:pPr>
      <w:r>
        <w:rPr>
          <w:rFonts w:hint="eastAsia" w:ascii="仿宋" w:hAnsi="仿宋" w:eastAsia="仿宋" w:cs="仿宋"/>
          <w:sz w:val="24"/>
        </w:rPr>
        <w:t>4.2本次谈判供应商</w:t>
      </w:r>
      <w:r>
        <w:rPr>
          <w:rFonts w:ascii="仿宋" w:hAnsi="仿宋" w:eastAsia="仿宋" w:cs="仿宋"/>
          <w:sz w:val="24"/>
        </w:rPr>
        <w:t>须</w:t>
      </w:r>
      <w:r>
        <w:rPr>
          <w:rFonts w:hint="eastAsia" w:ascii="仿宋" w:hAnsi="仿宋" w:eastAsia="仿宋" w:cs="仿宋"/>
          <w:sz w:val="24"/>
        </w:rPr>
        <w:t>承担文件工本费与成交服务费。</w:t>
      </w:r>
    </w:p>
    <w:p w14:paraId="4A6C1B2C">
      <w:pPr>
        <w:spacing w:line="360" w:lineRule="auto"/>
        <w:ind w:firstLine="480" w:firstLineChars="200"/>
        <w:jc w:val="left"/>
        <w:rPr>
          <w:rFonts w:ascii="仿宋" w:hAnsi="仿宋" w:eastAsia="仿宋" w:cs="仿宋"/>
          <w:sz w:val="24"/>
        </w:rPr>
      </w:pPr>
      <w:r>
        <w:rPr>
          <w:rFonts w:hint="eastAsia" w:ascii="仿宋" w:hAnsi="仿宋" w:eastAsia="仿宋" w:cs="仿宋"/>
          <w:sz w:val="24"/>
        </w:rPr>
        <w:t xml:space="preserve"> 5、谈判文件的约束力</w:t>
      </w:r>
    </w:p>
    <w:p w14:paraId="4AA4D745">
      <w:pPr>
        <w:spacing w:line="360" w:lineRule="auto"/>
        <w:ind w:firstLine="480" w:firstLineChars="200"/>
        <w:jc w:val="left"/>
        <w:rPr>
          <w:rFonts w:ascii="仿宋" w:hAnsi="仿宋" w:eastAsia="仿宋" w:cs="仿宋"/>
          <w:sz w:val="24"/>
        </w:rPr>
      </w:pPr>
      <w:r>
        <w:rPr>
          <w:rFonts w:hint="eastAsia" w:ascii="仿宋" w:hAnsi="仿宋" w:eastAsia="仿宋" w:cs="仿宋"/>
          <w:sz w:val="24"/>
        </w:rPr>
        <w:t>供应商一旦购买了本谈判文件并决定参加谈判，即被认为接受了本谈判文件的规定和约束，并且视为自竞争性谈判公告期限届满之日起已经知道或应当知道自身权益是否受到了损害。</w:t>
      </w:r>
    </w:p>
    <w:p w14:paraId="3032BEAC">
      <w:pPr>
        <w:spacing w:line="360" w:lineRule="auto"/>
        <w:ind w:firstLine="480" w:firstLineChars="200"/>
        <w:jc w:val="left"/>
        <w:rPr>
          <w:rFonts w:ascii="仿宋" w:hAnsi="仿宋" w:eastAsia="仿宋" w:cs="仿宋"/>
          <w:sz w:val="24"/>
        </w:rPr>
      </w:pPr>
      <w:r>
        <w:rPr>
          <w:rFonts w:hint="eastAsia" w:ascii="仿宋" w:hAnsi="仿宋" w:eastAsia="仿宋" w:cs="仿宋"/>
          <w:sz w:val="24"/>
        </w:rPr>
        <w:t>6、</w:t>
      </w:r>
      <w:bookmarkStart w:id="27" w:name="_Toc20823283"/>
      <w:bookmarkStart w:id="28" w:name="_Toc513029211"/>
      <w:bookmarkStart w:id="29" w:name="_Toc16938527"/>
      <w:bookmarkStart w:id="30" w:name="_Toc462564070"/>
      <w:r>
        <w:rPr>
          <w:rFonts w:hint="eastAsia" w:ascii="仿宋" w:hAnsi="仿宋" w:eastAsia="仿宋" w:cs="仿宋"/>
          <w:sz w:val="24"/>
        </w:rPr>
        <w:t>谈判文件的澄清</w:t>
      </w:r>
      <w:bookmarkEnd w:id="27"/>
      <w:bookmarkEnd w:id="28"/>
      <w:bookmarkEnd w:id="29"/>
      <w:bookmarkEnd w:id="30"/>
      <w:r>
        <w:rPr>
          <w:rFonts w:hint="eastAsia" w:ascii="仿宋" w:hAnsi="仿宋" w:eastAsia="仿宋" w:cs="仿宋"/>
          <w:sz w:val="24"/>
        </w:rPr>
        <w:t>及修改</w:t>
      </w:r>
    </w:p>
    <w:p w14:paraId="4FA70BA2">
      <w:pPr>
        <w:spacing w:line="360" w:lineRule="auto"/>
        <w:ind w:firstLine="480" w:firstLineChars="200"/>
        <w:jc w:val="left"/>
        <w:rPr>
          <w:rFonts w:ascii="仿宋" w:hAnsi="仿宋" w:eastAsia="仿宋" w:cs="仿宋"/>
          <w:sz w:val="24"/>
        </w:rPr>
      </w:pPr>
      <w:r>
        <w:rPr>
          <w:rFonts w:hint="eastAsia" w:ascii="仿宋" w:hAnsi="仿宋" w:eastAsia="仿宋" w:cs="仿宋"/>
          <w:sz w:val="24"/>
        </w:rPr>
        <w:t>6.1任何要求对谈判文件进行澄清的供应商，均应在提交首次响应文件截止时间前按采购邀请中的通讯地址，以书面形式通知采购代理机构。提交首次响应文件截止之日前，采购代理机构可以对已发出的谈判文件进行必要的澄清或者修改，澄清或者修改的内容作为谈判文件的组成部分。澄清或者修改的内容可能影响响应文件编制的，采购人、采购代理机构或者谈判小组应当在提交首次响应文件截止之日3个工作日前，以书面形式通知所有接收谈判文件的供应商，不足3个工作日的，应当顺延提交首次响应文件截止之日。</w:t>
      </w:r>
    </w:p>
    <w:p w14:paraId="5E4B3DBC">
      <w:pPr>
        <w:spacing w:line="360" w:lineRule="auto"/>
        <w:ind w:firstLine="480" w:firstLineChars="200"/>
        <w:jc w:val="left"/>
        <w:rPr>
          <w:rFonts w:ascii="仿宋" w:hAnsi="仿宋" w:eastAsia="仿宋" w:cs="仿宋"/>
          <w:sz w:val="24"/>
        </w:rPr>
      </w:pPr>
      <w:r>
        <w:rPr>
          <w:rFonts w:hint="eastAsia" w:ascii="仿宋" w:hAnsi="仿宋" w:eastAsia="仿宋" w:cs="仿宋"/>
          <w:sz w:val="24"/>
        </w:rPr>
        <w:t>6.2采购代理机构可以视采购项目的具体情况，组织供应商进行现场考察或召开谈判前答疑会，但不单独或分别组织只有一个供应商参加的现场考察和答疑会。</w:t>
      </w:r>
    </w:p>
    <w:p w14:paraId="5321F8D7">
      <w:pPr>
        <w:spacing w:line="360" w:lineRule="auto"/>
        <w:ind w:firstLine="480" w:firstLineChars="200"/>
        <w:jc w:val="left"/>
        <w:rPr>
          <w:rFonts w:ascii="仿宋" w:hAnsi="仿宋" w:eastAsia="仿宋" w:cs="仿宋"/>
          <w:sz w:val="24"/>
        </w:rPr>
      </w:pPr>
      <w:r>
        <w:rPr>
          <w:rFonts w:hint="eastAsia" w:ascii="仿宋" w:hAnsi="仿宋" w:eastAsia="仿宋" w:cs="仿宋"/>
          <w:sz w:val="24"/>
        </w:rPr>
        <w:t>7、政策功能</w:t>
      </w:r>
    </w:p>
    <w:p w14:paraId="152B917E">
      <w:pPr>
        <w:spacing w:line="360" w:lineRule="auto"/>
        <w:ind w:firstLine="480" w:firstLineChars="200"/>
        <w:jc w:val="left"/>
        <w:rPr>
          <w:rFonts w:ascii="仿宋" w:hAnsi="仿宋" w:eastAsia="仿宋" w:cs="仿宋"/>
          <w:sz w:val="24"/>
        </w:rPr>
      </w:pPr>
      <w:r>
        <w:rPr>
          <w:rFonts w:hint="eastAsia" w:ascii="仿宋" w:hAnsi="仿宋" w:eastAsia="仿宋" w:cs="仿宋"/>
          <w:sz w:val="24"/>
        </w:rPr>
        <w:t>7.1中小企业政策</w:t>
      </w:r>
    </w:p>
    <w:p w14:paraId="1DA4CD12">
      <w:pPr>
        <w:spacing w:line="360" w:lineRule="auto"/>
        <w:ind w:firstLine="480" w:firstLineChars="200"/>
        <w:jc w:val="left"/>
        <w:rPr>
          <w:rFonts w:ascii="仿宋" w:hAnsi="仿宋" w:eastAsia="仿宋" w:cs="仿宋"/>
          <w:sz w:val="24"/>
        </w:rPr>
      </w:pPr>
      <w:r>
        <w:rPr>
          <w:rFonts w:hint="eastAsia" w:ascii="仿宋" w:hAnsi="仿宋" w:eastAsia="仿宋" w:cs="仿宋"/>
          <w:sz w:val="24"/>
        </w:rPr>
        <w:t>（1）中小企业（含中型、小型、微型企业）应当符合《政府采购促进中小企业发展管理办法》（财库〔2020〕46号）第二条、《关于政府采购支持监狱企业发展有关问题的通知》（财库〔2014〕68号）第一条或《关于促进残疾人就业政府采购政策的通知》（财库〔2017〕141号）第一条的规定。本项目对残疾人福利性单位、监狱和戒毒企业（简称监狱企业）视同小型、微型企业。残疾人福利单位、监狱企业属于小型、微型企业的，不重复享受政策。</w:t>
      </w:r>
    </w:p>
    <w:p w14:paraId="61853116">
      <w:pPr>
        <w:spacing w:line="360" w:lineRule="auto"/>
        <w:ind w:firstLine="480" w:firstLineChars="200"/>
        <w:jc w:val="left"/>
        <w:rPr>
          <w:rFonts w:ascii="仿宋" w:hAnsi="仿宋" w:eastAsia="仿宋" w:cs="仿宋"/>
          <w:sz w:val="24"/>
        </w:rPr>
      </w:pPr>
      <w:r>
        <w:rPr>
          <w:rFonts w:hint="eastAsia" w:ascii="仿宋" w:hAnsi="仿宋" w:eastAsia="仿宋" w:cs="仿宋"/>
          <w:sz w:val="24"/>
        </w:rPr>
        <w:t>（2）中小企业依据《政府采购促进中小企业发展管理办法》（财库〔2020〕46号）第十二条的规定。获取政府采购合同后，小型、微型企业不得分包或转包给大型、中型企业，中型企业不得分包或转包给大型企业。</w:t>
      </w:r>
    </w:p>
    <w:p w14:paraId="352AC36B">
      <w:pPr>
        <w:spacing w:line="360" w:lineRule="auto"/>
        <w:ind w:firstLine="480" w:firstLineChars="200"/>
        <w:jc w:val="left"/>
        <w:rPr>
          <w:rFonts w:ascii="仿宋" w:hAnsi="仿宋" w:eastAsia="仿宋" w:cs="仿宋"/>
          <w:sz w:val="24"/>
        </w:rPr>
      </w:pPr>
      <w:r>
        <w:rPr>
          <w:rFonts w:hint="eastAsia" w:ascii="仿宋" w:hAnsi="仿宋" w:eastAsia="仿宋" w:cs="仿宋"/>
          <w:sz w:val="24"/>
        </w:rPr>
        <w:t>（3）政府采购监督检查、投诉处理及政府采购行政处罚中对中小企业的认定，由货物制造商或者工程、服务供应商注册登记所在地的县级以上人民政府中小企业主管部门负责。</w:t>
      </w:r>
    </w:p>
    <w:p w14:paraId="08C80F58">
      <w:pPr>
        <w:spacing w:line="360" w:lineRule="auto"/>
        <w:ind w:firstLine="480" w:firstLineChars="200"/>
        <w:jc w:val="left"/>
        <w:rPr>
          <w:rFonts w:ascii="仿宋" w:hAnsi="仿宋" w:eastAsia="仿宋" w:cs="仿宋"/>
          <w:sz w:val="24"/>
        </w:rPr>
      </w:pPr>
      <w:r>
        <w:rPr>
          <w:rFonts w:hint="eastAsia" w:ascii="仿宋" w:hAnsi="仿宋" w:eastAsia="仿宋" w:cs="仿宋"/>
          <w:sz w:val="24"/>
        </w:rPr>
        <w:t>7.2节能产品政策</w:t>
      </w:r>
    </w:p>
    <w:p w14:paraId="2A038EA6">
      <w:pPr>
        <w:spacing w:line="360" w:lineRule="auto"/>
        <w:ind w:firstLine="480" w:firstLineChars="200"/>
        <w:jc w:val="left"/>
        <w:rPr>
          <w:rFonts w:ascii="仿宋" w:hAnsi="仿宋" w:eastAsia="仿宋" w:cs="仿宋"/>
          <w:sz w:val="24"/>
        </w:rPr>
      </w:pPr>
      <w:r>
        <w:rPr>
          <w:rFonts w:hint="eastAsia" w:ascii="仿宋" w:hAnsi="仿宋" w:eastAsia="仿宋" w:cs="仿宋"/>
          <w:sz w:val="24"/>
        </w:rPr>
        <w:t>（1）根据《财政部、发展改革委、生态环境部、市场监管总局关于调整优化节能产品、环境标志产品政府采购执行机制的通知》（财库〔2019〕9号）和《财政部、发展改革委关于印发节能产品政府采购品目清单的通知》（财库〔2019〕19号）， 拟采购的产品属于节能产品品目清单范围内的，在技术、服务等指标同等条件下，采购人及其委托的采购代理机构将依据国家确定的认证机构出具的、处于有效期之内的节能产品认证证书，对获得证书的产品实施政府优先采购或强制采购。</w:t>
      </w:r>
    </w:p>
    <w:p w14:paraId="17F4A240">
      <w:pPr>
        <w:spacing w:line="360" w:lineRule="auto"/>
        <w:ind w:firstLine="480" w:firstLineChars="200"/>
        <w:jc w:val="left"/>
        <w:rPr>
          <w:rFonts w:ascii="仿宋" w:hAnsi="仿宋" w:eastAsia="仿宋" w:cs="仿宋"/>
          <w:sz w:val="24"/>
        </w:rPr>
      </w:pPr>
      <w:r>
        <w:rPr>
          <w:rFonts w:hint="eastAsia" w:ascii="仿宋" w:hAnsi="仿宋" w:eastAsia="仿宋" w:cs="仿宋"/>
          <w:sz w:val="24"/>
        </w:rPr>
        <w:t>（2）参加政府采购活动的节能产品供应商应当提供国家确定的认证机构出具的、处于有效期之内的节能产品认证证书。</w:t>
      </w:r>
    </w:p>
    <w:p w14:paraId="4904E37A">
      <w:pPr>
        <w:spacing w:line="360" w:lineRule="auto"/>
        <w:ind w:firstLine="480" w:firstLineChars="200"/>
        <w:jc w:val="left"/>
        <w:rPr>
          <w:rFonts w:ascii="仿宋" w:hAnsi="仿宋" w:eastAsia="仿宋" w:cs="仿宋"/>
          <w:sz w:val="24"/>
        </w:rPr>
      </w:pPr>
      <w:r>
        <w:rPr>
          <w:rFonts w:hint="eastAsia" w:ascii="仿宋" w:hAnsi="仿宋" w:eastAsia="仿宋" w:cs="仿宋"/>
          <w:sz w:val="24"/>
        </w:rPr>
        <w:t>7.3环境标志产品政策</w:t>
      </w:r>
    </w:p>
    <w:p w14:paraId="02747A10">
      <w:pPr>
        <w:spacing w:line="360" w:lineRule="auto"/>
        <w:ind w:firstLine="480" w:firstLineChars="200"/>
        <w:jc w:val="left"/>
        <w:rPr>
          <w:rFonts w:ascii="仿宋" w:hAnsi="仿宋" w:eastAsia="仿宋" w:cs="仿宋"/>
          <w:sz w:val="24"/>
        </w:rPr>
      </w:pPr>
      <w:r>
        <w:rPr>
          <w:rFonts w:hint="eastAsia" w:ascii="仿宋" w:hAnsi="仿宋" w:eastAsia="仿宋" w:cs="仿宋"/>
          <w:sz w:val="24"/>
        </w:rPr>
        <w:t>（1）根据《财政部、发展改革委、生态环境部、市场监管总局关于调整优化节能产品、环境标志产品政府采购执行机制的通知》（财库〔2019〕9号）和《财政部、生态环境部关于印发环境标志产品政府采购品目清单的通知》（财库〔2019〕18号）， 拟采购的产品属于环境标志产品品目清单范围内的，在技术、服务等指标同等条件下，采购人及其委托的采购代理机构将依据国家确定的认证机构出具的、处于有效期之内的环境标志产品认证证书，对获得证书的产品实施政府优先采购或强制采购。</w:t>
      </w:r>
    </w:p>
    <w:p w14:paraId="0B6DE58F">
      <w:pPr>
        <w:spacing w:line="360" w:lineRule="auto"/>
        <w:ind w:firstLine="480" w:firstLineChars="200"/>
        <w:jc w:val="left"/>
        <w:rPr>
          <w:rFonts w:ascii="仿宋" w:hAnsi="仿宋" w:eastAsia="仿宋" w:cs="仿宋"/>
          <w:sz w:val="24"/>
        </w:rPr>
      </w:pPr>
      <w:r>
        <w:rPr>
          <w:rFonts w:hint="eastAsia" w:ascii="仿宋" w:hAnsi="仿宋" w:eastAsia="仿宋" w:cs="仿宋"/>
          <w:sz w:val="24"/>
        </w:rPr>
        <w:t>（2）参加政府采购活动的环境标志产品供应商应当提供国家确定的认证机构出具的、处于有效期之内的环境标志产品认证证书。</w:t>
      </w:r>
    </w:p>
    <w:p w14:paraId="299AA731">
      <w:pPr>
        <w:spacing w:line="360" w:lineRule="auto"/>
        <w:ind w:firstLine="480" w:firstLineChars="200"/>
        <w:jc w:val="left"/>
        <w:rPr>
          <w:rFonts w:ascii="仿宋" w:hAnsi="仿宋" w:eastAsia="仿宋" w:cs="仿宋"/>
          <w:sz w:val="24"/>
        </w:rPr>
      </w:pPr>
      <w:r>
        <w:rPr>
          <w:rFonts w:hint="eastAsia" w:ascii="仿宋" w:hAnsi="仿宋" w:eastAsia="仿宋" w:cs="仿宋"/>
          <w:sz w:val="24"/>
        </w:rPr>
        <w:t>7.4进口产品政策</w:t>
      </w:r>
    </w:p>
    <w:p w14:paraId="5EB49A60">
      <w:pPr>
        <w:spacing w:line="360" w:lineRule="auto"/>
        <w:ind w:firstLine="480" w:firstLineChars="200"/>
        <w:jc w:val="left"/>
        <w:rPr>
          <w:rFonts w:ascii="仿宋" w:hAnsi="仿宋" w:eastAsia="仿宋" w:cs="仿宋"/>
          <w:sz w:val="24"/>
        </w:rPr>
      </w:pPr>
      <w:r>
        <w:rPr>
          <w:rFonts w:hint="eastAsia" w:ascii="仿宋" w:hAnsi="仿宋" w:eastAsia="仿宋" w:cs="仿宋"/>
          <w:sz w:val="24"/>
        </w:rPr>
        <w:t>（1）除谈判公告载明接受进口产品参加外，不允许进口产品参加。进口产品认定依照《财政部关于政府采购进口产品管理有关问题的通知》（财办库〔2008〕248号）的规定。</w:t>
      </w:r>
    </w:p>
    <w:p w14:paraId="38F3E34F">
      <w:pPr>
        <w:spacing w:line="360" w:lineRule="auto"/>
        <w:ind w:firstLine="480" w:firstLineChars="200"/>
        <w:jc w:val="left"/>
        <w:rPr>
          <w:rFonts w:ascii="仿宋" w:hAnsi="仿宋" w:eastAsia="仿宋" w:cs="仿宋"/>
          <w:sz w:val="24"/>
        </w:rPr>
      </w:pPr>
      <w:r>
        <w:rPr>
          <w:rFonts w:hint="eastAsia" w:ascii="仿宋" w:hAnsi="仿宋" w:eastAsia="仿宋" w:cs="仿宋"/>
          <w:sz w:val="24"/>
        </w:rPr>
        <w:t>（2）允许进口产品参加的，满足需求的国内产品可以参加。</w:t>
      </w:r>
    </w:p>
    <w:p w14:paraId="05849061">
      <w:pPr>
        <w:spacing w:line="360" w:lineRule="auto"/>
        <w:ind w:firstLine="480" w:firstLineChars="200"/>
        <w:jc w:val="left"/>
        <w:rPr>
          <w:rFonts w:ascii="仿宋" w:hAnsi="仿宋" w:eastAsia="仿宋" w:cs="仿宋"/>
          <w:sz w:val="24"/>
        </w:rPr>
      </w:pPr>
      <w:r>
        <w:rPr>
          <w:rFonts w:hint="eastAsia" w:ascii="仿宋" w:hAnsi="仿宋" w:eastAsia="仿宋" w:cs="仿宋"/>
          <w:sz w:val="24"/>
        </w:rPr>
        <w:t>（3）允许进口产品参加的，优先采购向我国企业转让技术、与我国企业签订消化吸收再创新方案的供应商的进口产品。</w:t>
      </w:r>
    </w:p>
    <w:p w14:paraId="04C5A1E7">
      <w:pPr>
        <w:spacing w:line="360" w:lineRule="auto"/>
        <w:ind w:firstLine="480" w:firstLineChars="200"/>
        <w:jc w:val="left"/>
        <w:rPr>
          <w:rFonts w:ascii="仿宋" w:hAnsi="仿宋" w:eastAsia="仿宋" w:cs="仿宋"/>
          <w:sz w:val="24"/>
        </w:rPr>
      </w:pPr>
      <w:r>
        <w:rPr>
          <w:rFonts w:hint="eastAsia" w:ascii="仿宋" w:hAnsi="仿宋" w:eastAsia="仿宋" w:cs="仿宋"/>
          <w:sz w:val="24"/>
        </w:rPr>
        <w:t>7.5未按要求提供相关材料的，不享受相关政策。</w:t>
      </w:r>
    </w:p>
    <w:p w14:paraId="269F0291">
      <w:pPr>
        <w:pStyle w:val="4"/>
        <w:numPr>
          <w:ilvl w:val="0"/>
          <w:numId w:val="6"/>
        </w:numPr>
        <w:spacing w:line="360" w:lineRule="auto"/>
        <w:jc w:val="left"/>
        <w:rPr>
          <w:rFonts w:ascii="仿宋" w:hAnsi="仿宋" w:eastAsia="仿宋" w:cs="仿宋"/>
          <w:b/>
          <w:bCs w:val="0"/>
        </w:rPr>
      </w:pPr>
      <w:bookmarkStart w:id="31" w:name="_Toc513029213"/>
      <w:bookmarkStart w:id="32" w:name="_Toc14577351"/>
      <w:bookmarkStart w:id="33" w:name="_Toc61149553"/>
      <w:bookmarkStart w:id="34" w:name="_Toc27104"/>
      <w:bookmarkStart w:id="35" w:name="_Toc10451"/>
      <w:bookmarkStart w:id="36" w:name="_Toc13053"/>
      <w:bookmarkStart w:id="37" w:name="_Toc462564072"/>
      <w:r>
        <w:rPr>
          <w:rFonts w:hint="eastAsia" w:ascii="仿宋" w:hAnsi="仿宋" w:eastAsia="仿宋" w:cs="仿宋"/>
          <w:b/>
          <w:bCs w:val="0"/>
        </w:rPr>
        <w:t>谈判响应文件的编制</w:t>
      </w:r>
      <w:bookmarkEnd w:id="31"/>
      <w:bookmarkEnd w:id="32"/>
      <w:bookmarkEnd w:id="33"/>
      <w:bookmarkEnd w:id="34"/>
      <w:bookmarkEnd w:id="35"/>
      <w:bookmarkEnd w:id="36"/>
      <w:bookmarkEnd w:id="37"/>
    </w:p>
    <w:p w14:paraId="065F199F">
      <w:pPr>
        <w:spacing w:line="360" w:lineRule="auto"/>
        <w:ind w:firstLine="480" w:firstLineChars="200"/>
        <w:jc w:val="left"/>
        <w:rPr>
          <w:rFonts w:ascii="仿宋" w:hAnsi="仿宋" w:eastAsia="仿宋" w:cs="仿宋"/>
          <w:sz w:val="24"/>
        </w:rPr>
      </w:pPr>
      <w:bookmarkStart w:id="38" w:name="_Toc14577361"/>
      <w:bookmarkStart w:id="39" w:name="_Toc513029223"/>
      <w:bookmarkStart w:id="40" w:name="_Toc61149561"/>
      <w:r>
        <w:rPr>
          <w:rFonts w:hint="eastAsia" w:ascii="仿宋" w:hAnsi="仿宋" w:eastAsia="仿宋" w:cs="仿宋"/>
          <w:sz w:val="24"/>
        </w:rPr>
        <w:t>1、谈判响应文件份数和签署</w:t>
      </w:r>
      <w:bookmarkEnd w:id="38"/>
      <w:bookmarkEnd w:id="39"/>
      <w:bookmarkEnd w:id="40"/>
    </w:p>
    <w:p w14:paraId="05C886E0">
      <w:pPr>
        <w:spacing w:line="360" w:lineRule="auto"/>
        <w:ind w:firstLine="480" w:firstLineChars="200"/>
        <w:jc w:val="left"/>
        <w:rPr>
          <w:rFonts w:ascii="仿宋" w:hAnsi="仿宋" w:eastAsia="仿宋" w:cs="仿宋"/>
          <w:sz w:val="24"/>
        </w:rPr>
      </w:pPr>
      <w:r>
        <w:rPr>
          <w:rFonts w:hint="eastAsia" w:ascii="仿宋" w:hAnsi="仿宋" w:eastAsia="仿宋" w:cs="仿宋"/>
          <w:sz w:val="24"/>
        </w:rPr>
        <w:t>1.1供应商应严格按照采购邀请要求准备谈判响应文件（以下简称响应文件），每份响应文件须清楚地标明“正本”或“副本”字样。</w:t>
      </w:r>
    </w:p>
    <w:p w14:paraId="722BDC60">
      <w:pPr>
        <w:spacing w:line="360" w:lineRule="auto"/>
        <w:ind w:firstLine="482" w:firstLineChars="200"/>
        <w:jc w:val="left"/>
        <w:rPr>
          <w:rFonts w:ascii="仿宋" w:hAnsi="仿宋" w:eastAsia="仿宋" w:cs="仿宋"/>
          <w:sz w:val="24"/>
          <w:szCs w:val="24"/>
        </w:rPr>
      </w:pPr>
      <w:r>
        <w:rPr>
          <w:rFonts w:hint="eastAsia" w:ascii="仿宋" w:hAnsi="仿宋" w:eastAsia="仿宋" w:cs="仿宋"/>
          <w:b/>
          <w:i/>
          <w:iCs/>
          <w:sz w:val="24"/>
          <w:u w:val="single"/>
        </w:rPr>
        <w:t>响应文件的正本和所有的副本均需打印或复印或用不褪色墨水书写并装订成册（建议胶装）</w:t>
      </w:r>
      <w:r>
        <w:rPr>
          <w:rFonts w:hint="eastAsia" w:ascii="仿宋" w:hAnsi="仿宋" w:eastAsia="仿宋" w:cs="仿宋"/>
          <w:sz w:val="24"/>
          <w:szCs w:val="24"/>
        </w:rPr>
        <w:t>。</w:t>
      </w:r>
    </w:p>
    <w:p w14:paraId="673FA3E6">
      <w:pPr>
        <w:spacing w:line="360" w:lineRule="auto"/>
        <w:ind w:firstLine="480" w:firstLineChars="200"/>
        <w:jc w:val="left"/>
        <w:rPr>
          <w:rFonts w:ascii="仿宋" w:hAnsi="仿宋" w:eastAsia="仿宋" w:cs="仿宋"/>
          <w:sz w:val="24"/>
        </w:rPr>
      </w:pPr>
      <w:r>
        <w:rPr>
          <w:rFonts w:hint="eastAsia" w:ascii="仿宋" w:hAnsi="仿宋" w:eastAsia="仿宋" w:cs="仿宋"/>
          <w:sz w:val="24"/>
        </w:rPr>
        <w:t>响应文件正本中，除谈判文件规定的可提交复印件外，其他文件均须提交原件，文字材料需打印或用不褪色墨水书写，响应文件正本须经法定代表人或授权代表签字和加盖供应商公章。本谈判文件所表述（指定）的公章是指刻有供应商法定名称的印章，不包括合同、财务、税务、发票等形式的业务专用章。</w:t>
      </w:r>
    </w:p>
    <w:p w14:paraId="0977DE5B">
      <w:pPr>
        <w:spacing w:line="360" w:lineRule="auto"/>
        <w:ind w:firstLine="480" w:firstLineChars="200"/>
        <w:jc w:val="left"/>
        <w:rPr>
          <w:rFonts w:ascii="仿宋" w:hAnsi="仿宋" w:eastAsia="仿宋" w:cs="仿宋"/>
          <w:sz w:val="24"/>
        </w:rPr>
      </w:pPr>
      <w:r>
        <w:rPr>
          <w:rFonts w:hint="eastAsia" w:ascii="仿宋" w:hAnsi="仿宋" w:eastAsia="仿宋" w:cs="仿宋"/>
          <w:sz w:val="24"/>
        </w:rPr>
        <w:t>1.2 除供应商对错处做必要修改外，响应文件不得行间插字、涂改或增删。如有修改错漏处，必须由响应文件签署人签字或盖章。</w:t>
      </w:r>
    </w:p>
    <w:p w14:paraId="033382FD">
      <w:pPr>
        <w:spacing w:line="360" w:lineRule="auto"/>
        <w:ind w:firstLine="480" w:firstLineChars="200"/>
        <w:jc w:val="left"/>
        <w:rPr>
          <w:rFonts w:ascii="仿宋" w:hAnsi="仿宋" w:eastAsia="仿宋" w:cs="仿宋"/>
          <w:sz w:val="24"/>
        </w:rPr>
      </w:pPr>
      <w:bookmarkStart w:id="41" w:name="_Toc462564074"/>
      <w:bookmarkStart w:id="42" w:name="_Toc14577353"/>
      <w:bookmarkStart w:id="43" w:name="_Toc513029215"/>
      <w:bookmarkStart w:id="44" w:name="_Toc61149555"/>
      <w:bookmarkStart w:id="45" w:name="_Toc61149554"/>
      <w:bookmarkStart w:id="46" w:name="_Toc513029214"/>
      <w:bookmarkStart w:id="47" w:name="_Toc14577352"/>
      <w:bookmarkStart w:id="48" w:name="_Toc462564073"/>
      <w:r>
        <w:rPr>
          <w:rFonts w:hint="eastAsia" w:ascii="仿宋" w:hAnsi="仿宋" w:eastAsia="仿宋" w:cs="仿宋"/>
          <w:sz w:val="24"/>
        </w:rPr>
        <w:t>2、响应文件</w:t>
      </w:r>
      <w:bookmarkEnd w:id="41"/>
      <w:bookmarkEnd w:id="42"/>
      <w:bookmarkEnd w:id="43"/>
      <w:bookmarkEnd w:id="44"/>
      <w:r>
        <w:rPr>
          <w:rFonts w:hint="eastAsia" w:ascii="仿宋" w:hAnsi="仿宋" w:eastAsia="仿宋" w:cs="仿宋"/>
          <w:sz w:val="24"/>
        </w:rPr>
        <w:t>编制要求</w:t>
      </w:r>
    </w:p>
    <w:bookmarkEnd w:id="45"/>
    <w:bookmarkEnd w:id="46"/>
    <w:bookmarkEnd w:id="47"/>
    <w:bookmarkEnd w:id="48"/>
    <w:p w14:paraId="6328E61F">
      <w:pPr>
        <w:spacing w:line="360" w:lineRule="auto"/>
        <w:ind w:firstLine="480" w:firstLineChars="200"/>
        <w:jc w:val="left"/>
        <w:rPr>
          <w:rFonts w:ascii="仿宋" w:hAnsi="仿宋" w:eastAsia="仿宋" w:cs="仿宋"/>
          <w:sz w:val="24"/>
        </w:rPr>
      </w:pPr>
      <w:r>
        <w:rPr>
          <w:rFonts w:hint="eastAsia" w:ascii="仿宋" w:hAnsi="仿宋" w:eastAsia="仿宋" w:cs="仿宋"/>
          <w:sz w:val="24"/>
        </w:rPr>
        <w:t>2.1供应商提交的响应文件以及供应商与采购代理机构及采购人就有关谈判的所有来往函电均应使用简体中文。谈判文件中既有中文也有外文的，以中文意义为准。</w:t>
      </w:r>
    </w:p>
    <w:p w14:paraId="6094949D">
      <w:pPr>
        <w:spacing w:line="360" w:lineRule="auto"/>
        <w:ind w:firstLine="480" w:firstLineChars="200"/>
        <w:jc w:val="left"/>
        <w:rPr>
          <w:rFonts w:ascii="仿宋" w:hAnsi="仿宋" w:eastAsia="仿宋" w:cs="仿宋"/>
          <w:sz w:val="24"/>
        </w:rPr>
      </w:pPr>
      <w:r>
        <w:rPr>
          <w:rFonts w:hint="eastAsia" w:ascii="仿宋" w:hAnsi="仿宋" w:eastAsia="仿宋" w:cs="仿宋"/>
          <w:sz w:val="24"/>
        </w:rPr>
        <w:t>2.2 除技术性能另有规定外，响应文件所使用的度量衡单位，均须采用国家法定计量单位。</w:t>
      </w:r>
    </w:p>
    <w:p w14:paraId="5AD24FCC">
      <w:pPr>
        <w:spacing w:line="360" w:lineRule="auto"/>
        <w:ind w:firstLine="480" w:firstLineChars="200"/>
        <w:jc w:val="left"/>
        <w:rPr>
          <w:rFonts w:ascii="仿宋" w:hAnsi="仿宋" w:eastAsia="仿宋" w:cs="仿宋"/>
          <w:sz w:val="24"/>
        </w:rPr>
      </w:pPr>
      <w:bookmarkStart w:id="49" w:name="_Toc513029219"/>
      <w:bookmarkStart w:id="50" w:name="_Toc61149558"/>
      <w:bookmarkStart w:id="51" w:name="_Toc14577357"/>
      <w:bookmarkStart w:id="52" w:name="_Toc513029217"/>
      <w:bookmarkStart w:id="53" w:name="_Toc14577355"/>
      <w:bookmarkStart w:id="54" w:name="_Toc61149557"/>
      <w:r>
        <w:rPr>
          <w:rFonts w:hint="eastAsia" w:ascii="仿宋" w:hAnsi="仿宋" w:eastAsia="仿宋" w:cs="仿宋"/>
          <w:sz w:val="24"/>
        </w:rPr>
        <w:t>3、参加谈判的供应商资格文件</w:t>
      </w:r>
      <w:bookmarkEnd w:id="49"/>
      <w:bookmarkEnd w:id="50"/>
      <w:bookmarkEnd w:id="51"/>
      <w:r>
        <w:rPr>
          <w:rFonts w:hint="eastAsia" w:ascii="仿宋" w:hAnsi="仿宋" w:eastAsia="仿宋" w:cs="仿宋"/>
          <w:sz w:val="24"/>
        </w:rPr>
        <w:t>证明</w:t>
      </w:r>
    </w:p>
    <w:p w14:paraId="00D70F36">
      <w:pPr>
        <w:spacing w:line="360" w:lineRule="auto"/>
        <w:ind w:firstLine="480" w:firstLineChars="200"/>
        <w:jc w:val="left"/>
        <w:rPr>
          <w:rFonts w:ascii="仿宋" w:hAnsi="仿宋" w:eastAsia="仿宋" w:cs="仿宋"/>
          <w:sz w:val="24"/>
        </w:rPr>
      </w:pPr>
      <w:r>
        <w:rPr>
          <w:rFonts w:hint="eastAsia" w:ascii="仿宋" w:hAnsi="仿宋" w:eastAsia="仿宋" w:cs="仿宋"/>
          <w:sz w:val="24"/>
        </w:rPr>
        <w:t>3.1供应商应提交证明其有资格参加谈判和成交后有能力独立履行合同的文件，并作为其响应文件的一部分。</w:t>
      </w:r>
    </w:p>
    <w:p w14:paraId="30836386">
      <w:pPr>
        <w:spacing w:line="360" w:lineRule="auto"/>
        <w:ind w:firstLine="480" w:firstLineChars="200"/>
        <w:jc w:val="left"/>
        <w:rPr>
          <w:rFonts w:ascii="仿宋" w:hAnsi="仿宋" w:eastAsia="仿宋" w:cs="仿宋"/>
          <w:sz w:val="24"/>
        </w:rPr>
      </w:pPr>
      <w:r>
        <w:rPr>
          <w:rFonts w:hint="eastAsia" w:ascii="仿宋" w:hAnsi="仿宋" w:eastAsia="仿宋" w:cs="仿宋"/>
          <w:sz w:val="24"/>
        </w:rPr>
        <w:t>3.2供应商除必须具有履行合同所需提供的设备以及服务的能力外，还必须具备相应的财务、技术方面的能力。</w:t>
      </w:r>
    </w:p>
    <w:p w14:paraId="0BEDEC33">
      <w:pPr>
        <w:spacing w:line="360" w:lineRule="auto"/>
        <w:ind w:firstLine="480" w:firstLineChars="200"/>
        <w:jc w:val="left"/>
        <w:rPr>
          <w:rFonts w:ascii="仿宋" w:hAnsi="仿宋" w:eastAsia="仿宋" w:cs="仿宋"/>
          <w:sz w:val="24"/>
        </w:rPr>
      </w:pPr>
      <w:r>
        <w:rPr>
          <w:rFonts w:hint="eastAsia" w:ascii="仿宋" w:hAnsi="仿宋" w:eastAsia="仿宋" w:cs="仿宋"/>
          <w:sz w:val="24"/>
        </w:rPr>
        <w:t>3.3供应商应填写并提交谈判文件所附的“资格证明文件”。</w:t>
      </w:r>
    </w:p>
    <w:p w14:paraId="5144EC76">
      <w:pPr>
        <w:spacing w:line="360" w:lineRule="auto"/>
        <w:ind w:firstLine="480" w:firstLineChars="200"/>
        <w:jc w:val="left"/>
        <w:rPr>
          <w:rFonts w:ascii="仿宋" w:hAnsi="仿宋" w:eastAsia="仿宋" w:cs="仿宋"/>
          <w:sz w:val="24"/>
        </w:rPr>
      </w:pPr>
      <w:r>
        <w:rPr>
          <w:rFonts w:hint="eastAsia" w:ascii="仿宋" w:hAnsi="仿宋" w:eastAsia="仿宋" w:cs="仿宋"/>
          <w:sz w:val="24"/>
        </w:rPr>
        <w:t>4、谈判响应报价</w:t>
      </w:r>
      <w:bookmarkEnd w:id="52"/>
      <w:bookmarkEnd w:id="53"/>
      <w:r>
        <w:rPr>
          <w:rFonts w:hint="eastAsia" w:ascii="仿宋" w:hAnsi="仿宋" w:eastAsia="仿宋" w:cs="仿宋"/>
          <w:sz w:val="24"/>
        </w:rPr>
        <w:t>表</w:t>
      </w:r>
      <w:bookmarkEnd w:id="54"/>
    </w:p>
    <w:p w14:paraId="3CDA0EA7">
      <w:pPr>
        <w:spacing w:line="360" w:lineRule="auto"/>
        <w:ind w:firstLine="480" w:firstLineChars="200"/>
        <w:jc w:val="left"/>
        <w:rPr>
          <w:rFonts w:ascii="仿宋" w:hAnsi="仿宋" w:eastAsia="仿宋" w:cs="仿宋"/>
          <w:sz w:val="24"/>
        </w:rPr>
      </w:pPr>
      <w:r>
        <w:rPr>
          <w:rFonts w:hint="eastAsia" w:ascii="仿宋" w:hAnsi="仿宋" w:eastAsia="仿宋" w:cs="仿宋"/>
          <w:sz w:val="24"/>
        </w:rPr>
        <w:t>4.1供应商应按照谈判文件规定格式填报谈判响应报价表。每项产品或服务只允许有一个报价，任何有选择的报价将不予接受，谈判文件中另有规定的按规定执行。</w:t>
      </w:r>
    </w:p>
    <w:p w14:paraId="1EDD78D2">
      <w:pPr>
        <w:spacing w:line="360" w:lineRule="auto"/>
        <w:ind w:firstLine="480" w:firstLineChars="200"/>
        <w:jc w:val="left"/>
        <w:rPr>
          <w:rFonts w:ascii="仿宋" w:hAnsi="仿宋" w:eastAsia="仿宋" w:cs="仿宋"/>
          <w:sz w:val="24"/>
        </w:rPr>
      </w:pPr>
      <w:r>
        <w:rPr>
          <w:rFonts w:hint="eastAsia" w:ascii="仿宋" w:hAnsi="仿宋" w:eastAsia="仿宋" w:cs="仿宋"/>
          <w:sz w:val="24"/>
        </w:rPr>
        <w:t>4.2标的物</w:t>
      </w:r>
    </w:p>
    <w:p w14:paraId="43B7F0BA">
      <w:pPr>
        <w:spacing w:line="360" w:lineRule="auto"/>
        <w:ind w:firstLine="480" w:firstLineChars="200"/>
        <w:jc w:val="left"/>
        <w:rPr>
          <w:rFonts w:ascii="仿宋" w:hAnsi="仿宋" w:eastAsia="仿宋" w:cs="仿宋"/>
          <w:sz w:val="24"/>
        </w:rPr>
      </w:pPr>
      <w:r>
        <w:rPr>
          <w:rFonts w:hint="eastAsia" w:ascii="仿宋" w:hAnsi="仿宋" w:eastAsia="仿宋" w:cs="仿宋"/>
          <w:sz w:val="24"/>
        </w:rPr>
        <w:t>详见项目需求。</w:t>
      </w:r>
    </w:p>
    <w:p w14:paraId="180888C6">
      <w:pPr>
        <w:spacing w:line="360" w:lineRule="auto"/>
        <w:ind w:firstLine="480" w:firstLineChars="200"/>
        <w:jc w:val="left"/>
        <w:rPr>
          <w:rFonts w:ascii="仿宋" w:hAnsi="仿宋" w:eastAsia="仿宋" w:cs="仿宋"/>
          <w:sz w:val="24"/>
        </w:rPr>
      </w:pPr>
      <w:r>
        <w:rPr>
          <w:rFonts w:hint="eastAsia" w:ascii="仿宋" w:hAnsi="仿宋" w:eastAsia="仿宋" w:cs="仿宋"/>
          <w:sz w:val="24"/>
        </w:rPr>
        <w:t>4.3有关费用处理</w:t>
      </w:r>
    </w:p>
    <w:p w14:paraId="656F8AB0">
      <w:pPr>
        <w:spacing w:line="360" w:lineRule="auto"/>
        <w:ind w:firstLine="480" w:firstLineChars="200"/>
        <w:jc w:val="left"/>
        <w:rPr>
          <w:rFonts w:ascii="仿宋" w:hAnsi="仿宋" w:eastAsia="仿宋" w:cs="仿宋"/>
          <w:sz w:val="24"/>
        </w:rPr>
      </w:pPr>
      <w:r>
        <w:rPr>
          <w:rFonts w:hint="eastAsia" w:ascii="仿宋" w:hAnsi="仿宋" w:eastAsia="仿宋" w:cs="仿宋"/>
          <w:sz w:val="24"/>
        </w:rPr>
        <w:t>本次采购供应商的报价应包括为完成本项目发生的所有费用，本谈判文件中另有规定的除外。</w:t>
      </w:r>
    </w:p>
    <w:p w14:paraId="2B71155F">
      <w:pPr>
        <w:spacing w:line="360" w:lineRule="auto"/>
        <w:ind w:firstLine="480" w:firstLineChars="200"/>
        <w:jc w:val="left"/>
        <w:rPr>
          <w:rFonts w:ascii="仿宋" w:hAnsi="仿宋" w:eastAsia="仿宋" w:cs="仿宋"/>
          <w:sz w:val="24"/>
        </w:rPr>
      </w:pPr>
      <w:r>
        <w:rPr>
          <w:rFonts w:hint="eastAsia" w:ascii="仿宋" w:hAnsi="仿宋" w:eastAsia="仿宋" w:cs="仿宋"/>
          <w:sz w:val="24"/>
        </w:rPr>
        <w:t>4.4其它费用处理</w:t>
      </w:r>
    </w:p>
    <w:p w14:paraId="03B74C33">
      <w:pPr>
        <w:spacing w:line="360" w:lineRule="auto"/>
        <w:ind w:firstLine="480" w:firstLineChars="200"/>
        <w:jc w:val="left"/>
        <w:rPr>
          <w:rFonts w:ascii="仿宋" w:hAnsi="仿宋" w:eastAsia="仿宋" w:cs="仿宋"/>
          <w:sz w:val="24"/>
        </w:rPr>
      </w:pPr>
      <w:r>
        <w:rPr>
          <w:rFonts w:hint="eastAsia" w:ascii="仿宋" w:hAnsi="仿宋" w:eastAsia="仿宋" w:cs="仿宋"/>
          <w:sz w:val="24"/>
        </w:rPr>
        <w:t>谈判文件未列明，而供应商认为必须的费用也须列入报价。</w:t>
      </w:r>
    </w:p>
    <w:p w14:paraId="05139068">
      <w:pPr>
        <w:spacing w:line="360" w:lineRule="auto"/>
        <w:ind w:firstLine="480" w:firstLineChars="200"/>
        <w:jc w:val="left"/>
        <w:rPr>
          <w:rFonts w:ascii="仿宋" w:hAnsi="仿宋" w:eastAsia="仿宋" w:cs="仿宋"/>
          <w:sz w:val="24"/>
        </w:rPr>
      </w:pPr>
      <w:r>
        <w:rPr>
          <w:rFonts w:hint="eastAsia" w:ascii="仿宋" w:hAnsi="仿宋" w:eastAsia="仿宋" w:cs="仿宋"/>
          <w:sz w:val="24"/>
        </w:rPr>
        <w:t>4.5报价采用的货币</w:t>
      </w:r>
    </w:p>
    <w:p w14:paraId="6711E8AB">
      <w:pPr>
        <w:spacing w:line="360" w:lineRule="auto"/>
        <w:ind w:firstLine="480" w:firstLineChars="200"/>
        <w:jc w:val="left"/>
        <w:rPr>
          <w:rFonts w:ascii="仿宋" w:hAnsi="仿宋" w:eastAsia="仿宋" w:cs="仿宋"/>
          <w:sz w:val="24"/>
        </w:rPr>
      </w:pPr>
      <w:r>
        <w:rPr>
          <w:rFonts w:hint="eastAsia" w:ascii="仿宋" w:hAnsi="仿宋" w:eastAsia="仿宋" w:cs="仿宋"/>
          <w:sz w:val="24"/>
        </w:rPr>
        <w:t>响应文件中的单价和总价，无特殊规定的采用人民币报价，以元为单位标注。谈判文件中另有规定的按规定执行。</w:t>
      </w:r>
    </w:p>
    <w:p w14:paraId="110A1896">
      <w:pPr>
        <w:spacing w:line="360" w:lineRule="auto"/>
        <w:ind w:firstLine="480" w:firstLineChars="200"/>
        <w:jc w:val="left"/>
        <w:rPr>
          <w:rFonts w:ascii="仿宋" w:hAnsi="仿宋" w:eastAsia="仿宋" w:cs="仿宋"/>
          <w:sz w:val="24"/>
        </w:rPr>
      </w:pPr>
      <w:r>
        <w:rPr>
          <w:rFonts w:hint="eastAsia" w:ascii="仿宋" w:hAnsi="仿宋" w:eastAsia="仿宋" w:cs="仿宋"/>
          <w:sz w:val="24"/>
        </w:rPr>
        <w:t>4.6 谈判响应报价表上的价格应按谈判文件规定填写。</w:t>
      </w:r>
    </w:p>
    <w:p w14:paraId="32792A1C">
      <w:pPr>
        <w:spacing w:line="360" w:lineRule="auto"/>
        <w:ind w:firstLine="480" w:firstLineChars="200"/>
        <w:jc w:val="left"/>
        <w:rPr>
          <w:rFonts w:ascii="仿宋" w:hAnsi="仿宋" w:eastAsia="仿宋" w:cs="仿宋"/>
          <w:sz w:val="24"/>
        </w:rPr>
      </w:pPr>
      <w:bookmarkStart w:id="55" w:name="_Toc61149559"/>
      <w:bookmarkStart w:id="56" w:name="_Toc14577359"/>
      <w:bookmarkStart w:id="57" w:name="_Toc513029221"/>
      <w:r>
        <w:rPr>
          <w:rFonts w:hint="eastAsia" w:ascii="仿宋" w:hAnsi="仿宋" w:eastAsia="仿宋" w:cs="仿宋"/>
          <w:sz w:val="24"/>
        </w:rPr>
        <w:t>5、项目需求响应方案</w:t>
      </w:r>
    </w:p>
    <w:p w14:paraId="611AAEBE">
      <w:pPr>
        <w:spacing w:line="360" w:lineRule="auto"/>
        <w:ind w:firstLine="480" w:firstLineChars="200"/>
        <w:jc w:val="left"/>
        <w:rPr>
          <w:rFonts w:ascii="仿宋" w:hAnsi="仿宋" w:eastAsia="仿宋" w:cs="仿宋"/>
          <w:sz w:val="24"/>
        </w:rPr>
      </w:pPr>
      <w:r>
        <w:rPr>
          <w:rFonts w:hint="eastAsia" w:ascii="仿宋" w:hAnsi="仿宋" w:eastAsia="仿宋" w:cs="仿宋"/>
          <w:sz w:val="24"/>
        </w:rPr>
        <w:t>5.1提供为完成本项目的总体实施方案。</w:t>
      </w:r>
    </w:p>
    <w:p w14:paraId="59F06DD2">
      <w:pPr>
        <w:spacing w:line="360" w:lineRule="auto"/>
        <w:ind w:firstLine="480" w:firstLineChars="200"/>
        <w:jc w:val="left"/>
        <w:rPr>
          <w:rFonts w:ascii="仿宋" w:hAnsi="仿宋" w:eastAsia="仿宋" w:cs="仿宋"/>
          <w:sz w:val="24"/>
        </w:rPr>
      </w:pPr>
      <w:r>
        <w:rPr>
          <w:rFonts w:hint="eastAsia" w:ascii="仿宋" w:hAnsi="仿宋" w:eastAsia="仿宋" w:cs="仿宋"/>
          <w:sz w:val="24"/>
        </w:rPr>
        <w:t>5.2对谈判文件中项目需求的技术与商务条款要求逐项作出应答，并提供依据或说明。</w:t>
      </w:r>
    </w:p>
    <w:p w14:paraId="60656E7A">
      <w:pPr>
        <w:spacing w:line="360" w:lineRule="auto"/>
        <w:ind w:firstLine="480" w:firstLineChars="200"/>
        <w:jc w:val="left"/>
        <w:rPr>
          <w:rFonts w:ascii="仿宋" w:hAnsi="仿宋" w:eastAsia="仿宋" w:cs="仿宋"/>
          <w:sz w:val="24"/>
        </w:rPr>
      </w:pPr>
      <w:r>
        <w:rPr>
          <w:rFonts w:hint="eastAsia" w:ascii="仿宋" w:hAnsi="仿宋" w:eastAsia="仿宋" w:cs="仿宋"/>
          <w:sz w:val="24"/>
        </w:rPr>
        <w:t>5.3供应商认为需要的其他技术文件或说明。</w:t>
      </w:r>
    </w:p>
    <w:p w14:paraId="7C94A360">
      <w:pPr>
        <w:spacing w:line="360" w:lineRule="auto"/>
        <w:ind w:firstLine="482" w:firstLineChars="200"/>
        <w:jc w:val="left"/>
      </w:pPr>
      <w:r>
        <w:rPr>
          <w:rFonts w:ascii="仿宋" w:hAnsi="仿宋" w:eastAsia="仿宋" w:cs="仿宋"/>
          <w:b/>
          <w:i/>
          <w:sz w:val="24"/>
          <w:szCs w:val="24"/>
          <w:u w:val="single"/>
        </w:rPr>
        <w:t>对带星号（“★”）的技术条款和带星号（“★”）的商务条款作为实质性要求，必须满足否则作无效响应处理。</w:t>
      </w:r>
    </w:p>
    <w:bookmarkEnd w:id="55"/>
    <w:bookmarkEnd w:id="56"/>
    <w:bookmarkEnd w:id="57"/>
    <w:p w14:paraId="0E535DCE">
      <w:pPr>
        <w:pStyle w:val="4"/>
        <w:numPr>
          <w:ilvl w:val="0"/>
          <w:numId w:val="6"/>
        </w:numPr>
        <w:spacing w:line="360" w:lineRule="auto"/>
        <w:jc w:val="left"/>
        <w:rPr>
          <w:rFonts w:ascii="仿宋" w:hAnsi="仿宋" w:eastAsia="仿宋" w:cs="仿宋"/>
          <w:b/>
          <w:bCs w:val="0"/>
        </w:rPr>
      </w:pPr>
      <w:bookmarkStart w:id="58" w:name="_Toc513029224"/>
      <w:bookmarkStart w:id="59" w:name="_Toc22215"/>
      <w:bookmarkStart w:id="60" w:name="_Toc14640"/>
      <w:bookmarkStart w:id="61" w:name="_Toc15194"/>
      <w:bookmarkStart w:id="62" w:name="_Toc61149562"/>
      <w:bookmarkStart w:id="63" w:name="_Toc14577362"/>
      <w:r>
        <w:rPr>
          <w:rFonts w:hint="eastAsia" w:ascii="仿宋" w:hAnsi="仿宋" w:eastAsia="仿宋" w:cs="仿宋"/>
          <w:b/>
          <w:bCs w:val="0"/>
        </w:rPr>
        <w:t>响应文件的递交</w:t>
      </w:r>
      <w:bookmarkEnd w:id="58"/>
      <w:bookmarkEnd w:id="59"/>
      <w:bookmarkEnd w:id="60"/>
      <w:bookmarkEnd w:id="61"/>
      <w:bookmarkEnd w:id="62"/>
      <w:bookmarkEnd w:id="63"/>
    </w:p>
    <w:p w14:paraId="6E34F513">
      <w:pPr>
        <w:spacing w:line="360" w:lineRule="auto"/>
        <w:ind w:firstLine="480" w:firstLineChars="200"/>
        <w:jc w:val="left"/>
        <w:rPr>
          <w:rFonts w:ascii="仿宋" w:hAnsi="仿宋" w:eastAsia="仿宋" w:cs="仿宋"/>
          <w:sz w:val="24"/>
        </w:rPr>
      </w:pPr>
      <w:bookmarkStart w:id="64" w:name="_Toc14577363"/>
      <w:bookmarkStart w:id="65" w:name="_Toc513029225"/>
      <w:bookmarkStart w:id="66" w:name="_Toc61149563"/>
      <w:bookmarkStart w:id="67" w:name="_Toc462564084"/>
      <w:r>
        <w:rPr>
          <w:rFonts w:hint="eastAsia" w:ascii="仿宋" w:hAnsi="仿宋" w:eastAsia="仿宋" w:cs="仿宋"/>
          <w:sz w:val="24"/>
        </w:rPr>
        <w:t>1、响应文件的密封和标记</w:t>
      </w:r>
      <w:bookmarkEnd w:id="64"/>
      <w:bookmarkEnd w:id="65"/>
      <w:bookmarkEnd w:id="66"/>
      <w:bookmarkEnd w:id="67"/>
    </w:p>
    <w:p w14:paraId="4AE8DCBC">
      <w:pPr>
        <w:spacing w:line="360" w:lineRule="auto"/>
        <w:ind w:firstLine="480" w:firstLineChars="200"/>
        <w:jc w:val="left"/>
        <w:rPr>
          <w:rFonts w:ascii="仿宋" w:hAnsi="仿宋" w:eastAsia="仿宋" w:cs="仿宋"/>
          <w:sz w:val="24"/>
        </w:rPr>
      </w:pPr>
      <w:r>
        <w:rPr>
          <w:rFonts w:hint="eastAsia" w:ascii="仿宋" w:hAnsi="仿宋" w:eastAsia="仿宋" w:cs="仿宋"/>
          <w:sz w:val="24"/>
        </w:rPr>
        <w:t>1.1供应商应严格按照采购邀请要求的份数准备响应文件，每份响应文件须清楚地标明“正本”或“副本”字样。一旦正本和副本不符，以正本为准。供应商应将响应文件正本和所有副本密封。</w:t>
      </w:r>
    </w:p>
    <w:p w14:paraId="2984B129">
      <w:pPr>
        <w:spacing w:line="360" w:lineRule="auto"/>
        <w:ind w:firstLine="480" w:firstLineChars="200"/>
        <w:jc w:val="left"/>
        <w:rPr>
          <w:rFonts w:ascii="仿宋" w:hAnsi="仿宋" w:eastAsia="仿宋" w:cs="仿宋"/>
          <w:sz w:val="24"/>
        </w:rPr>
      </w:pPr>
      <w:r>
        <w:rPr>
          <w:rFonts w:hint="eastAsia" w:ascii="仿宋" w:hAnsi="仿宋" w:eastAsia="仿宋" w:cs="仿宋"/>
          <w:sz w:val="24"/>
        </w:rPr>
        <w:t>1.2密封的响应文件应：</w:t>
      </w:r>
    </w:p>
    <w:p w14:paraId="20AB87EF">
      <w:pPr>
        <w:spacing w:line="360" w:lineRule="auto"/>
        <w:ind w:firstLine="480" w:firstLineChars="200"/>
        <w:jc w:val="left"/>
        <w:rPr>
          <w:rFonts w:ascii="仿宋" w:hAnsi="仿宋" w:eastAsia="仿宋" w:cs="仿宋"/>
          <w:sz w:val="24"/>
        </w:rPr>
      </w:pPr>
      <w:r>
        <w:rPr>
          <w:rFonts w:hint="eastAsia" w:ascii="仿宋" w:hAnsi="仿宋" w:eastAsia="仿宋" w:cs="仿宋"/>
          <w:sz w:val="24"/>
        </w:rPr>
        <w:t>（1）按采购邀请中注明的地址送达规定地点；</w:t>
      </w:r>
    </w:p>
    <w:p w14:paraId="7AD60F41">
      <w:pPr>
        <w:spacing w:line="360" w:lineRule="auto"/>
        <w:ind w:firstLine="480" w:firstLineChars="200"/>
        <w:jc w:val="left"/>
        <w:rPr>
          <w:rFonts w:ascii="仿宋" w:hAnsi="仿宋" w:eastAsia="仿宋" w:cs="仿宋"/>
          <w:sz w:val="24"/>
        </w:rPr>
      </w:pPr>
      <w:r>
        <w:rPr>
          <w:rFonts w:hint="eastAsia" w:ascii="仿宋" w:hAnsi="仿宋" w:eastAsia="仿宋" w:cs="仿宋"/>
          <w:sz w:val="24"/>
        </w:rPr>
        <w:t>（2）注明参加谈判项目名称、谈判文件编号及参加的分包号；</w:t>
      </w:r>
    </w:p>
    <w:p w14:paraId="7586A649">
      <w:pPr>
        <w:spacing w:line="360" w:lineRule="auto"/>
        <w:ind w:firstLine="480" w:firstLineChars="200"/>
        <w:jc w:val="left"/>
        <w:rPr>
          <w:rFonts w:ascii="仿宋" w:hAnsi="仿宋" w:eastAsia="仿宋" w:cs="仿宋"/>
          <w:sz w:val="24"/>
        </w:rPr>
      </w:pPr>
      <w:r>
        <w:rPr>
          <w:rFonts w:hint="eastAsia" w:ascii="仿宋" w:hAnsi="仿宋" w:eastAsia="仿宋" w:cs="仿宋"/>
          <w:sz w:val="24"/>
        </w:rPr>
        <w:t>（3）密封包装上应写明供应商名称和地址。</w:t>
      </w:r>
    </w:p>
    <w:p w14:paraId="25CB754A">
      <w:pPr>
        <w:spacing w:line="360" w:lineRule="auto"/>
        <w:ind w:firstLine="480" w:firstLineChars="200"/>
        <w:jc w:val="left"/>
        <w:rPr>
          <w:rFonts w:ascii="仿宋" w:hAnsi="仿宋" w:eastAsia="仿宋" w:cs="仿宋"/>
          <w:sz w:val="24"/>
        </w:rPr>
      </w:pPr>
      <w:r>
        <w:rPr>
          <w:rFonts w:hint="eastAsia" w:ascii="仿宋" w:hAnsi="仿宋" w:eastAsia="仿宋" w:cs="仿宋"/>
          <w:sz w:val="24"/>
        </w:rPr>
        <w:t>1.3如果密封包装未按要求密封和加写标记，采购代理机构对误投或过早启封概不负责。对由此造成提前开封的响应文件，采购代理机构将予以拒绝，作无效响应处理。</w:t>
      </w:r>
    </w:p>
    <w:p w14:paraId="0CEF28FE">
      <w:pPr>
        <w:spacing w:line="360" w:lineRule="auto"/>
        <w:ind w:firstLine="480" w:firstLineChars="200"/>
        <w:jc w:val="left"/>
        <w:rPr>
          <w:rFonts w:ascii="仿宋" w:hAnsi="仿宋" w:eastAsia="仿宋" w:cs="仿宋"/>
          <w:sz w:val="24"/>
        </w:rPr>
      </w:pPr>
      <w:bookmarkStart w:id="68" w:name="_Toc61149564"/>
      <w:bookmarkStart w:id="69" w:name="_Toc14577364"/>
      <w:bookmarkStart w:id="70" w:name="_Toc513029226"/>
      <w:r>
        <w:rPr>
          <w:rFonts w:hint="eastAsia" w:ascii="仿宋" w:hAnsi="仿宋" w:eastAsia="仿宋" w:cs="仿宋"/>
          <w:sz w:val="24"/>
        </w:rPr>
        <w:t>2、</w:t>
      </w:r>
      <w:bookmarkEnd w:id="68"/>
      <w:bookmarkEnd w:id="69"/>
      <w:bookmarkEnd w:id="70"/>
      <w:r>
        <w:rPr>
          <w:rFonts w:hint="eastAsia" w:ascii="仿宋" w:hAnsi="仿宋" w:eastAsia="仿宋" w:cs="仿宋"/>
          <w:sz w:val="24"/>
        </w:rPr>
        <w:t>响应文件开启时间</w:t>
      </w:r>
    </w:p>
    <w:p w14:paraId="20BB3CBC">
      <w:pPr>
        <w:spacing w:line="360" w:lineRule="auto"/>
        <w:ind w:firstLine="480" w:firstLineChars="200"/>
        <w:jc w:val="left"/>
        <w:rPr>
          <w:rFonts w:ascii="仿宋" w:hAnsi="仿宋" w:eastAsia="仿宋" w:cs="仿宋"/>
          <w:sz w:val="24"/>
        </w:rPr>
      </w:pPr>
      <w:r>
        <w:rPr>
          <w:rFonts w:hint="eastAsia" w:ascii="仿宋" w:hAnsi="仿宋" w:eastAsia="仿宋" w:cs="仿宋"/>
          <w:sz w:val="24"/>
        </w:rPr>
        <w:t>2.1采购代理机构收到响应文件的时间不得迟于本谈判文件规定的响应文件接收截止时间。</w:t>
      </w:r>
    </w:p>
    <w:p w14:paraId="7611EA43">
      <w:pPr>
        <w:spacing w:line="360" w:lineRule="auto"/>
        <w:ind w:firstLine="480" w:firstLineChars="200"/>
        <w:jc w:val="left"/>
        <w:rPr>
          <w:rFonts w:ascii="仿宋" w:hAnsi="仿宋" w:eastAsia="仿宋" w:cs="仿宋"/>
          <w:sz w:val="24"/>
        </w:rPr>
      </w:pPr>
      <w:r>
        <w:rPr>
          <w:rFonts w:hint="eastAsia" w:ascii="仿宋" w:hAnsi="仿宋" w:eastAsia="仿宋" w:cs="仿宋"/>
          <w:sz w:val="24"/>
        </w:rPr>
        <w:t>2.2采购代理机构可通过修改谈判文件自行决定酌情推迟响应文件接收截止时间，在此情况下，供应商的所有权利和义务以及受制的响应文件接收截止时间均应以延长后新的响应文件接收截止时间为准。</w:t>
      </w:r>
    </w:p>
    <w:p w14:paraId="1C57981C">
      <w:pPr>
        <w:spacing w:line="360" w:lineRule="auto"/>
        <w:ind w:firstLine="480" w:firstLineChars="200"/>
        <w:jc w:val="left"/>
        <w:rPr>
          <w:rFonts w:ascii="仿宋" w:hAnsi="仿宋" w:eastAsia="仿宋" w:cs="仿宋"/>
          <w:sz w:val="24"/>
        </w:rPr>
      </w:pPr>
      <w:bookmarkStart w:id="71" w:name="_Toc513029227"/>
      <w:bookmarkStart w:id="72" w:name="_Toc14577365"/>
      <w:bookmarkStart w:id="73" w:name="_Toc61149565"/>
      <w:r>
        <w:rPr>
          <w:rFonts w:hint="eastAsia" w:ascii="仿宋" w:hAnsi="仿宋" w:eastAsia="仿宋" w:cs="仿宋"/>
          <w:sz w:val="24"/>
        </w:rPr>
        <w:t>3、迟交的响应文件</w:t>
      </w:r>
      <w:bookmarkEnd w:id="71"/>
      <w:bookmarkEnd w:id="72"/>
      <w:bookmarkEnd w:id="73"/>
    </w:p>
    <w:p w14:paraId="22AB4D17">
      <w:pPr>
        <w:spacing w:line="360" w:lineRule="auto"/>
        <w:ind w:firstLine="480" w:firstLineChars="200"/>
        <w:jc w:val="left"/>
        <w:rPr>
          <w:rFonts w:ascii="仿宋" w:hAnsi="仿宋" w:eastAsia="仿宋" w:cs="仿宋"/>
          <w:sz w:val="24"/>
        </w:rPr>
      </w:pPr>
      <w:r>
        <w:rPr>
          <w:rFonts w:hint="eastAsia" w:ascii="仿宋" w:hAnsi="仿宋" w:eastAsia="仿宋" w:cs="仿宋"/>
          <w:sz w:val="24"/>
        </w:rPr>
        <w:t>3.1采购代理机构将拒绝在规定的响应文件接收截止时间后接收响应文件。</w:t>
      </w:r>
    </w:p>
    <w:p w14:paraId="3E2DC7AF">
      <w:pPr>
        <w:spacing w:line="360" w:lineRule="auto"/>
        <w:ind w:firstLine="480" w:firstLineChars="200"/>
        <w:jc w:val="left"/>
        <w:rPr>
          <w:rFonts w:ascii="仿宋" w:hAnsi="仿宋" w:eastAsia="仿宋" w:cs="仿宋"/>
          <w:sz w:val="24"/>
        </w:rPr>
      </w:pPr>
      <w:bookmarkStart w:id="74" w:name="_Toc61149566"/>
      <w:bookmarkStart w:id="75" w:name="_Toc14577366"/>
      <w:bookmarkStart w:id="76" w:name="_Toc513029228"/>
      <w:r>
        <w:rPr>
          <w:rFonts w:hint="eastAsia" w:ascii="仿宋" w:hAnsi="仿宋" w:eastAsia="仿宋" w:cs="仿宋"/>
          <w:sz w:val="24"/>
        </w:rPr>
        <w:t>4、响应文件的修改和撤回</w:t>
      </w:r>
      <w:bookmarkEnd w:id="74"/>
      <w:bookmarkEnd w:id="75"/>
      <w:bookmarkEnd w:id="76"/>
    </w:p>
    <w:p w14:paraId="18AAF471">
      <w:pPr>
        <w:spacing w:line="360" w:lineRule="auto"/>
        <w:ind w:firstLine="480" w:firstLineChars="200"/>
        <w:jc w:val="left"/>
        <w:rPr>
          <w:rFonts w:ascii="仿宋" w:hAnsi="仿宋" w:eastAsia="仿宋" w:cs="仿宋"/>
          <w:sz w:val="24"/>
        </w:rPr>
      </w:pPr>
      <w:r>
        <w:rPr>
          <w:rFonts w:hint="eastAsia" w:ascii="仿宋" w:hAnsi="仿宋" w:eastAsia="仿宋" w:cs="仿宋"/>
          <w:sz w:val="24"/>
        </w:rPr>
        <w:t>4.1供应商在递交响应文件后，可以修改或撤回其谈判响应文件，但这种修改和撤回，必须在规定的响应文件接收截止时间前，以书面形式送达指定地点。</w:t>
      </w:r>
    </w:p>
    <w:p w14:paraId="70AF7E52">
      <w:pPr>
        <w:spacing w:line="360" w:lineRule="auto"/>
        <w:ind w:firstLine="480" w:firstLineChars="200"/>
        <w:jc w:val="left"/>
        <w:rPr>
          <w:rFonts w:ascii="仿宋" w:hAnsi="仿宋" w:eastAsia="仿宋" w:cs="仿宋"/>
          <w:sz w:val="24"/>
        </w:rPr>
      </w:pPr>
      <w:r>
        <w:rPr>
          <w:rFonts w:hint="eastAsia" w:ascii="仿宋" w:hAnsi="仿宋" w:eastAsia="仿宋" w:cs="仿宋"/>
          <w:sz w:val="24"/>
        </w:rPr>
        <w:t>4.2供应商的修改或撤回通知书，应按本文件规定进行编制、密封、标记和发送，并应在封套上加注“修改”和“撤回”字样。</w:t>
      </w:r>
    </w:p>
    <w:p w14:paraId="496A3778">
      <w:pPr>
        <w:spacing w:line="360" w:lineRule="auto"/>
        <w:ind w:firstLine="480" w:firstLineChars="200"/>
        <w:jc w:val="left"/>
        <w:rPr>
          <w:rFonts w:ascii="仿宋" w:hAnsi="仿宋" w:eastAsia="仿宋" w:cs="仿宋"/>
          <w:sz w:val="24"/>
        </w:rPr>
      </w:pPr>
      <w:r>
        <w:rPr>
          <w:rFonts w:hint="eastAsia" w:ascii="仿宋" w:hAnsi="仿宋" w:eastAsia="仿宋" w:cs="仿宋"/>
          <w:sz w:val="24"/>
        </w:rPr>
        <w:t>4.3 供应商在提交最后报价之前，可以根据谈判情况退出谈判。</w:t>
      </w:r>
    </w:p>
    <w:p w14:paraId="16497AAA">
      <w:pPr>
        <w:spacing w:line="360" w:lineRule="auto"/>
        <w:ind w:firstLine="480" w:firstLineChars="200"/>
        <w:jc w:val="left"/>
        <w:rPr>
          <w:rFonts w:ascii="仿宋" w:hAnsi="仿宋" w:eastAsia="仿宋" w:cs="仿宋"/>
          <w:sz w:val="24"/>
        </w:rPr>
      </w:pPr>
      <w:r>
        <w:rPr>
          <w:rFonts w:hint="eastAsia" w:ascii="仿宋" w:hAnsi="仿宋" w:eastAsia="仿宋" w:cs="仿宋"/>
          <w:sz w:val="24"/>
        </w:rPr>
        <w:t>5、谈判响应有效期</w:t>
      </w:r>
    </w:p>
    <w:p w14:paraId="0B3A80F1">
      <w:pPr>
        <w:spacing w:line="360" w:lineRule="auto"/>
        <w:ind w:firstLine="480" w:firstLineChars="200"/>
        <w:jc w:val="left"/>
        <w:rPr>
          <w:rFonts w:ascii="仿宋" w:hAnsi="仿宋" w:eastAsia="仿宋" w:cs="仿宋"/>
          <w:sz w:val="24"/>
        </w:rPr>
      </w:pPr>
      <w:r>
        <w:rPr>
          <w:rFonts w:hint="eastAsia" w:ascii="仿宋" w:hAnsi="仿宋" w:eastAsia="仿宋" w:cs="仿宋"/>
          <w:sz w:val="24"/>
        </w:rPr>
        <w:t>5.1 谈判响应有效期为采购代理机构规定的响应文件接收截止时间后九十（90）天。谈判响应有效期比规定短的将被视为非实质性响应而予以拒绝。</w:t>
      </w:r>
    </w:p>
    <w:p w14:paraId="469FE70B">
      <w:pPr>
        <w:spacing w:line="360" w:lineRule="auto"/>
        <w:ind w:firstLine="480" w:firstLineChars="200"/>
        <w:jc w:val="left"/>
        <w:rPr>
          <w:rFonts w:ascii="仿宋" w:hAnsi="仿宋" w:eastAsia="仿宋" w:cs="仿宋"/>
          <w:sz w:val="24"/>
        </w:rPr>
      </w:pPr>
      <w:r>
        <w:rPr>
          <w:rFonts w:hint="eastAsia" w:ascii="仿宋" w:hAnsi="仿宋" w:eastAsia="仿宋" w:cs="仿宋"/>
          <w:sz w:val="24"/>
        </w:rPr>
        <w:t>5.2 在特殊情况下，采购代理机构于原谈判响应有效期满之前，可向供应商提出延长谈判响应有效期的要求。这种要求与答复均应采用书面形式。供应商可以拒绝采购代理机构的这一要求而放弃谈判响应，同意延长谈判响应有效期的供应商既不能要求也不允许修改其响应文件。受谈判响应有效期约束的所有权利与义务均延长至新的有效期。</w:t>
      </w:r>
    </w:p>
    <w:p w14:paraId="64B5BF64">
      <w:pPr>
        <w:pStyle w:val="4"/>
        <w:numPr>
          <w:ilvl w:val="0"/>
          <w:numId w:val="6"/>
        </w:numPr>
        <w:spacing w:line="360" w:lineRule="auto"/>
        <w:jc w:val="left"/>
        <w:rPr>
          <w:rFonts w:ascii="仿宋" w:hAnsi="仿宋" w:eastAsia="仿宋" w:cs="仿宋"/>
          <w:b/>
          <w:bCs w:val="0"/>
        </w:rPr>
      </w:pPr>
      <w:bookmarkStart w:id="77" w:name="_Toc9384"/>
      <w:bookmarkStart w:id="78" w:name="_Toc1943"/>
      <w:bookmarkStart w:id="79" w:name="_Toc4224"/>
      <w:r>
        <w:rPr>
          <w:rFonts w:hint="eastAsia" w:ascii="仿宋" w:hAnsi="仿宋" w:eastAsia="仿宋" w:cs="仿宋"/>
          <w:b/>
          <w:bCs w:val="0"/>
        </w:rPr>
        <w:t>谈判与评审</w:t>
      </w:r>
      <w:bookmarkEnd w:id="77"/>
      <w:bookmarkEnd w:id="78"/>
      <w:bookmarkEnd w:id="79"/>
    </w:p>
    <w:p w14:paraId="4898AEAA">
      <w:pPr>
        <w:spacing w:line="360" w:lineRule="auto"/>
        <w:ind w:firstLine="480" w:firstLineChars="200"/>
        <w:jc w:val="left"/>
        <w:rPr>
          <w:rFonts w:ascii="仿宋" w:hAnsi="仿宋" w:eastAsia="仿宋" w:cs="仿宋"/>
          <w:sz w:val="24"/>
        </w:rPr>
      </w:pPr>
      <w:bookmarkStart w:id="80" w:name="_Toc20823302"/>
      <w:bookmarkStart w:id="81" w:name="_Toc16938546"/>
      <w:bookmarkStart w:id="82" w:name="_Toc513029230"/>
      <w:r>
        <w:rPr>
          <w:rFonts w:hint="eastAsia" w:ascii="仿宋" w:hAnsi="仿宋" w:eastAsia="仿宋" w:cs="仿宋"/>
          <w:sz w:val="24"/>
        </w:rPr>
        <w:t>1、</w:t>
      </w:r>
      <w:bookmarkEnd w:id="80"/>
      <w:bookmarkEnd w:id="81"/>
      <w:bookmarkEnd w:id="82"/>
      <w:r>
        <w:rPr>
          <w:rFonts w:hint="eastAsia" w:ascii="仿宋" w:hAnsi="仿宋" w:eastAsia="仿宋" w:cs="仿宋"/>
          <w:sz w:val="24"/>
        </w:rPr>
        <w:t>谈判仪式</w:t>
      </w:r>
    </w:p>
    <w:p w14:paraId="1915AE2B">
      <w:pPr>
        <w:spacing w:line="360" w:lineRule="auto"/>
        <w:ind w:firstLine="480" w:firstLineChars="200"/>
        <w:jc w:val="left"/>
        <w:rPr>
          <w:rFonts w:ascii="仿宋" w:hAnsi="仿宋" w:eastAsia="仿宋" w:cs="仿宋"/>
          <w:sz w:val="24"/>
        </w:rPr>
      </w:pPr>
      <w:r>
        <w:rPr>
          <w:rFonts w:hint="eastAsia" w:ascii="仿宋" w:hAnsi="仿宋" w:eastAsia="仿宋" w:cs="仿宋"/>
          <w:sz w:val="24"/>
        </w:rPr>
        <w:t>1.1采购代理机构将在采购邀请中规定的时间和地点组织谈判开始仪式，仪式由采购代理机构主持，供应商应委派携带有效证件的代表准时参加，参加仪式的代表需签名以证明其出席。</w:t>
      </w:r>
    </w:p>
    <w:p w14:paraId="59B5A1E1">
      <w:pPr>
        <w:spacing w:line="360" w:lineRule="auto"/>
        <w:ind w:firstLine="480" w:firstLineChars="200"/>
        <w:jc w:val="left"/>
        <w:rPr>
          <w:rFonts w:ascii="仿宋" w:hAnsi="仿宋" w:eastAsia="仿宋" w:cs="仿宋"/>
          <w:sz w:val="24"/>
        </w:rPr>
      </w:pPr>
      <w:bookmarkStart w:id="83" w:name="_Toc16938547"/>
      <w:bookmarkStart w:id="84" w:name="_Toc20823303"/>
      <w:bookmarkStart w:id="85" w:name="_Toc513029231"/>
      <w:r>
        <w:rPr>
          <w:rFonts w:hint="eastAsia" w:ascii="仿宋" w:hAnsi="仿宋" w:eastAsia="仿宋" w:cs="仿宋"/>
          <w:sz w:val="24"/>
        </w:rPr>
        <w:t>2、谈判小组</w:t>
      </w:r>
    </w:p>
    <w:p w14:paraId="6AF71754">
      <w:pPr>
        <w:spacing w:line="360" w:lineRule="auto"/>
        <w:ind w:firstLine="480" w:firstLineChars="200"/>
        <w:jc w:val="left"/>
        <w:rPr>
          <w:rFonts w:ascii="仿宋" w:hAnsi="仿宋" w:eastAsia="仿宋" w:cs="仿宋"/>
          <w:sz w:val="24"/>
        </w:rPr>
      </w:pPr>
      <w:r>
        <w:rPr>
          <w:rFonts w:hint="eastAsia" w:ascii="仿宋" w:hAnsi="仿宋" w:eastAsia="仿宋" w:cs="仿宋"/>
          <w:sz w:val="24"/>
        </w:rPr>
        <w:t>2.1 谈判开始仪式结束后，采购代理机构将立即组织谈判小组进行评审。</w:t>
      </w:r>
    </w:p>
    <w:p w14:paraId="390AFF2C">
      <w:pPr>
        <w:spacing w:line="360" w:lineRule="auto"/>
        <w:ind w:firstLine="480" w:firstLineChars="200"/>
        <w:jc w:val="left"/>
        <w:rPr>
          <w:rFonts w:ascii="仿宋" w:hAnsi="仿宋" w:eastAsia="仿宋" w:cs="仿宋"/>
          <w:sz w:val="24"/>
        </w:rPr>
      </w:pPr>
      <w:r>
        <w:rPr>
          <w:rFonts w:hint="eastAsia" w:ascii="仿宋" w:hAnsi="仿宋" w:eastAsia="仿宋" w:cs="仿宋"/>
          <w:sz w:val="24"/>
        </w:rPr>
        <w:t>2.2 谈判小组由政府采购评审专家、采购人代表组成，且人员构成符合政府采购有关规定。</w:t>
      </w:r>
    </w:p>
    <w:p w14:paraId="5178E5A4">
      <w:pPr>
        <w:spacing w:line="360" w:lineRule="auto"/>
        <w:ind w:firstLine="480" w:firstLineChars="200"/>
        <w:jc w:val="left"/>
        <w:rPr>
          <w:rFonts w:ascii="仿宋" w:hAnsi="仿宋" w:eastAsia="仿宋" w:cs="仿宋"/>
          <w:sz w:val="24"/>
        </w:rPr>
      </w:pPr>
      <w:r>
        <w:rPr>
          <w:rFonts w:hint="eastAsia" w:ascii="仿宋" w:hAnsi="仿宋" w:eastAsia="仿宋" w:cs="仿宋"/>
          <w:sz w:val="24"/>
        </w:rPr>
        <w:t>3、谈判评审过程的保密</w:t>
      </w:r>
      <w:bookmarkEnd w:id="83"/>
      <w:bookmarkEnd w:id="84"/>
      <w:bookmarkEnd w:id="85"/>
      <w:r>
        <w:rPr>
          <w:rFonts w:hint="eastAsia" w:ascii="仿宋" w:hAnsi="仿宋" w:eastAsia="仿宋" w:cs="仿宋"/>
          <w:sz w:val="24"/>
        </w:rPr>
        <w:t>与公正</w:t>
      </w:r>
    </w:p>
    <w:p w14:paraId="62A4C975">
      <w:pPr>
        <w:spacing w:line="360" w:lineRule="auto"/>
        <w:ind w:firstLine="480" w:firstLineChars="200"/>
        <w:jc w:val="left"/>
        <w:rPr>
          <w:rFonts w:ascii="仿宋" w:hAnsi="仿宋" w:eastAsia="仿宋" w:cs="仿宋"/>
          <w:sz w:val="24"/>
        </w:rPr>
      </w:pPr>
      <w:r>
        <w:rPr>
          <w:rFonts w:hint="eastAsia" w:ascii="仿宋" w:hAnsi="仿宋" w:eastAsia="仿宋" w:cs="仿宋"/>
          <w:sz w:val="24"/>
        </w:rPr>
        <w:t>3.1谈判小组、采购人和采购代理机构工作人员、相关监督人员等与评审工作有关的人员，对评审情况以及在评审过程中获悉的国家秘密、商业秘密负有保密责任。</w:t>
      </w:r>
    </w:p>
    <w:p w14:paraId="571693B0">
      <w:pPr>
        <w:spacing w:line="360" w:lineRule="auto"/>
        <w:ind w:firstLine="480" w:firstLineChars="200"/>
        <w:jc w:val="left"/>
        <w:rPr>
          <w:rFonts w:ascii="仿宋" w:hAnsi="仿宋" w:eastAsia="仿宋" w:cs="仿宋"/>
          <w:sz w:val="24"/>
        </w:rPr>
      </w:pPr>
      <w:r>
        <w:rPr>
          <w:rFonts w:hint="eastAsia" w:ascii="仿宋" w:hAnsi="仿宋" w:eastAsia="仿宋" w:cs="仿宋"/>
          <w:sz w:val="24"/>
        </w:rPr>
        <w:t>3.2在谈判评审过程中，供应商不得以任何行为影响谈判评审过程，否则其响应文件将被作为无效响应文件。</w:t>
      </w:r>
    </w:p>
    <w:p w14:paraId="1DE95039">
      <w:pPr>
        <w:spacing w:line="360" w:lineRule="auto"/>
        <w:ind w:firstLine="480" w:firstLineChars="200"/>
        <w:jc w:val="left"/>
        <w:rPr>
          <w:rFonts w:ascii="仿宋" w:hAnsi="仿宋" w:eastAsia="仿宋" w:cs="仿宋"/>
          <w:sz w:val="24"/>
        </w:rPr>
      </w:pPr>
      <w:r>
        <w:rPr>
          <w:rFonts w:hint="eastAsia" w:ascii="仿宋" w:hAnsi="仿宋" w:eastAsia="仿宋" w:cs="仿宋"/>
          <w:sz w:val="24"/>
        </w:rPr>
        <w:t>3.3谈判小组成员应当按照客观、公正、审慎的原则，根据谈判文件规定的评审程序、评审方法和评审标准进行独立评审。</w:t>
      </w:r>
      <w:r>
        <w:rPr>
          <w:rFonts w:hint="eastAsia" w:ascii="仿宋" w:hAnsi="仿宋" w:eastAsia="仿宋" w:cs="仿宋"/>
          <w:sz w:val="24"/>
          <w:lang w:eastAsia="zh-CN"/>
        </w:rPr>
        <w:t>不能完全满足采购需求或未满足采购文件实质性要求</w:t>
      </w:r>
      <w:r>
        <w:rPr>
          <w:rFonts w:hint="eastAsia" w:ascii="仿宋" w:hAnsi="仿宋" w:eastAsia="仿宋" w:cs="仿宋"/>
          <w:sz w:val="24"/>
        </w:rPr>
        <w:t>的按无效响应处理，谈判小组应当告知提交响应文件的供应商。</w:t>
      </w:r>
    </w:p>
    <w:p w14:paraId="4194B33F">
      <w:pPr>
        <w:spacing w:line="360" w:lineRule="auto"/>
        <w:ind w:firstLine="480" w:firstLineChars="200"/>
        <w:jc w:val="left"/>
        <w:rPr>
          <w:rFonts w:ascii="仿宋" w:hAnsi="仿宋" w:eastAsia="仿宋" w:cs="仿宋"/>
          <w:sz w:val="24"/>
        </w:rPr>
      </w:pPr>
      <w:bookmarkStart w:id="86" w:name="_Toc20823304"/>
      <w:bookmarkStart w:id="87" w:name="_Toc513029232"/>
      <w:bookmarkStart w:id="88" w:name="_Toc16938548"/>
      <w:r>
        <w:rPr>
          <w:rFonts w:hint="eastAsia" w:ascii="仿宋" w:hAnsi="仿宋" w:eastAsia="仿宋" w:cs="仿宋"/>
          <w:sz w:val="24"/>
        </w:rPr>
        <w:t>4、评审过程的澄清</w:t>
      </w:r>
      <w:bookmarkEnd w:id="86"/>
      <w:bookmarkEnd w:id="87"/>
      <w:bookmarkEnd w:id="88"/>
      <w:r>
        <w:rPr>
          <w:rFonts w:hint="eastAsia" w:ascii="仿宋" w:hAnsi="仿宋" w:eastAsia="仿宋" w:cs="仿宋"/>
          <w:sz w:val="24"/>
        </w:rPr>
        <w:t>、说明和更正</w:t>
      </w:r>
    </w:p>
    <w:p w14:paraId="01AD73DD">
      <w:pPr>
        <w:spacing w:line="360" w:lineRule="auto"/>
        <w:ind w:firstLine="480" w:firstLineChars="200"/>
        <w:jc w:val="left"/>
        <w:rPr>
          <w:rFonts w:ascii="仿宋" w:hAnsi="仿宋" w:eastAsia="仿宋" w:cs="仿宋"/>
          <w:sz w:val="24"/>
        </w:rPr>
      </w:pPr>
      <w:r>
        <w:rPr>
          <w:rFonts w:hint="eastAsia" w:ascii="仿宋" w:hAnsi="仿宋" w:eastAsia="仿宋" w:cs="仿宋"/>
          <w:sz w:val="24"/>
        </w:rPr>
        <w:t>4.1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1644A4B">
      <w:pPr>
        <w:spacing w:line="360" w:lineRule="auto"/>
        <w:ind w:firstLine="480" w:firstLineChars="200"/>
        <w:jc w:val="left"/>
        <w:rPr>
          <w:rFonts w:ascii="仿宋" w:hAnsi="仿宋" w:eastAsia="仿宋" w:cs="仿宋"/>
          <w:sz w:val="24"/>
        </w:rPr>
      </w:pPr>
      <w:r>
        <w:rPr>
          <w:rFonts w:hint="eastAsia" w:ascii="仿宋" w:hAnsi="仿宋" w:eastAsia="仿宋" w:cs="仿宋"/>
          <w:sz w:val="24"/>
        </w:rPr>
        <w:t>4.2接到谈判小组要求的供应商应派人按谈判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14:paraId="359E3237">
      <w:pPr>
        <w:spacing w:line="360" w:lineRule="auto"/>
        <w:ind w:firstLine="480" w:firstLineChars="200"/>
        <w:jc w:val="left"/>
        <w:rPr>
          <w:rFonts w:ascii="仿宋" w:hAnsi="仿宋" w:eastAsia="仿宋" w:cs="仿宋"/>
          <w:sz w:val="24"/>
        </w:rPr>
      </w:pPr>
      <w:r>
        <w:rPr>
          <w:rFonts w:hint="eastAsia" w:ascii="仿宋" w:hAnsi="仿宋" w:eastAsia="仿宋" w:cs="仿宋"/>
          <w:sz w:val="24"/>
        </w:rPr>
        <w:t>4.3 接到谈判小组澄清要求的供应商如未按规定做出澄清，其风险由供应商自行承担。</w:t>
      </w:r>
    </w:p>
    <w:p w14:paraId="70D05A43">
      <w:pPr>
        <w:spacing w:line="360" w:lineRule="auto"/>
        <w:ind w:firstLine="480" w:firstLineChars="200"/>
        <w:jc w:val="left"/>
        <w:rPr>
          <w:rFonts w:ascii="仿宋" w:hAnsi="仿宋" w:eastAsia="仿宋" w:cs="仿宋"/>
          <w:sz w:val="24"/>
        </w:rPr>
      </w:pPr>
      <w:bookmarkStart w:id="89" w:name="_Toc16938549"/>
      <w:bookmarkStart w:id="90" w:name="_Toc20823305"/>
      <w:bookmarkStart w:id="91" w:name="_Toc513029233"/>
      <w:r>
        <w:rPr>
          <w:rFonts w:hint="eastAsia" w:ascii="仿宋" w:hAnsi="仿宋" w:eastAsia="仿宋" w:cs="仿宋"/>
          <w:sz w:val="24"/>
        </w:rPr>
        <w:t>5、对响应文件的初审</w:t>
      </w:r>
      <w:bookmarkEnd w:id="89"/>
      <w:bookmarkEnd w:id="90"/>
      <w:bookmarkEnd w:id="91"/>
    </w:p>
    <w:p w14:paraId="37C8D748">
      <w:pPr>
        <w:spacing w:line="360" w:lineRule="auto"/>
        <w:ind w:firstLine="480" w:firstLineChars="200"/>
        <w:jc w:val="left"/>
        <w:rPr>
          <w:rFonts w:ascii="仿宋" w:hAnsi="仿宋" w:eastAsia="仿宋" w:cs="仿宋"/>
          <w:sz w:val="24"/>
        </w:rPr>
      </w:pPr>
      <w:r>
        <w:rPr>
          <w:rFonts w:hint="eastAsia" w:ascii="仿宋" w:hAnsi="仿宋" w:eastAsia="仿宋" w:cs="仿宋"/>
          <w:sz w:val="24"/>
        </w:rPr>
        <w:t>5.1响应文件初审分为资格性检查和符合性检查。</w:t>
      </w:r>
    </w:p>
    <w:p w14:paraId="412D2DE3">
      <w:pPr>
        <w:spacing w:line="360" w:lineRule="auto"/>
        <w:ind w:firstLine="480" w:firstLineChars="200"/>
        <w:jc w:val="left"/>
        <w:rPr>
          <w:rFonts w:ascii="仿宋" w:hAnsi="仿宋" w:eastAsia="仿宋" w:cs="仿宋"/>
          <w:sz w:val="24"/>
        </w:rPr>
      </w:pPr>
      <w:r>
        <w:rPr>
          <w:rFonts w:hint="eastAsia" w:ascii="仿宋" w:hAnsi="仿宋" w:eastAsia="仿宋" w:cs="仿宋"/>
          <w:sz w:val="24"/>
        </w:rPr>
        <w:t>资格性检查：依据法律法规和谈判文件的规定，对响应文件中的资格证明文件等进行审查，以确定供应商是否具备参加谈判的资格。</w:t>
      </w:r>
    </w:p>
    <w:p w14:paraId="4248A8F7">
      <w:pPr>
        <w:spacing w:line="360" w:lineRule="auto"/>
        <w:ind w:firstLine="480" w:firstLineChars="200"/>
        <w:jc w:val="left"/>
        <w:rPr>
          <w:rFonts w:ascii="仿宋" w:hAnsi="仿宋" w:eastAsia="仿宋" w:cs="仿宋"/>
          <w:sz w:val="24"/>
        </w:rPr>
      </w:pPr>
      <w:r>
        <w:rPr>
          <w:rFonts w:hint="eastAsia" w:ascii="仿宋" w:hAnsi="仿宋" w:eastAsia="仿宋" w:cs="仿宋"/>
          <w:sz w:val="24"/>
        </w:rPr>
        <w:t>谈判小组在进行资格性审查的同时，将在“信用中国”网站（www.creditchina.gov.cn）对供应商是否被列入失信被执行人、重大税收违法案件当事人名单、政府采购严重失信行为记录名单情况进行查询，以确定供应商是否具备参加谈判的资格。查询结果将以网页打印的形式留存并归档。</w:t>
      </w:r>
    </w:p>
    <w:p w14:paraId="79D9F1B6">
      <w:pPr>
        <w:spacing w:line="360" w:lineRule="auto"/>
        <w:ind w:firstLine="480" w:firstLineChars="200"/>
        <w:jc w:val="left"/>
        <w:rPr>
          <w:rFonts w:ascii="仿宋" w:hAnsi="仿宋" w:eastAsia="仿宋" w:cs="仿宋"/>
          <w:sz w:val="24"/>
        </w:rPr>
      </w:pPr>
      <w:r>
        <w:rPr>
          <w:rFonts w:hint="eastAsia" w:ascii="仿宋" w:hAnsi="仿宋" w:eastAsia="仿宋" w:cs="仿宋"/>
          <w:sz w:val="24"/>
        </w:rPr>
        <w:t>符合性检查：依据谈判文件的规定，</w:t>
      </w:r>
      <w:r>
        <w:rPr>
          <w:rFonts w:hint="eastAsia" w:ascii="仿宋" w:hAnsi="仿宋" w:eastAsia="仿宋" w:cs="仿宋"/>
          <w:sz w:val="24"/>
          <w:lang w:eastAsia="zh-CN"/>
        </w:rPr>
        <w:t>对</w:t>
      </w:r>
      <w:r>
        <w:rPr>
          <w:rFonts w:hint="eastAsia" w:ascii="仿宋" w:hAnsi="仿宋" w:eastAsia="仿宋" w:cs="仿宋"/>
          <w:sz w:val="24"/>
        </w:rPr>
        <w:t>响应文件的有效性、完整性和对谈判文件的响应程度进行审查，以确定是否</w:t>
      </w:r>
      <w:r>
        <w:rPr>
          <w:rFonts w:hint="eastAsia" w:ascii="仿宋" w:hAnsi="仿宋" w:eastAsia="仿宋" w:cs="仿宋"/>
          <w:sz w:val="24"/>
          <w:lang w:eastAsia="zh-CN"/>
        </w:rPr>
        <w:t>符合</w:t>
      </w:r>
      <w:r>
        <w:rPr>
          <w:rFonts w:hint="eastAsia" w:ascii="仿宋" w:hAnsi="仿宋" w:eastAsia="仿宋" w:cs="仿宋"/>
          <w:sz w:val="24"/>
        </w:rPr>
        <w:t>谈判文件的实质性要求，完全满足</w:t>
      </w:r>
      <w:r>
        <w:rPr>
          <w:rFonts w:hint="eastAsia" w:ascii="仿宋" w:hAnsi="仿宋" w:eastAsia="仿宋" w:cs="仿宋"/>
          <w:sz w:val="24"/>
          <w:lang w:eastAsia="zh-CN"/>
        </w:rPr>
        <w:t>采购需求及</w:t>
      </w:r>
      <w:r>
        <w:rPr>
          <w:rFonts w:hint="eastAsia" w:ascii="仿宋" w:hAnsi="仿宋" w:eastAsia="仿宋" w:cs="仿宋"/>
          <w:sz w:val="24"/>
        </w:rPr>
        <w:t>谈判文件要求的属于实质性响应文件。</w:t>
      </w:r>
    </w:p>
    <w:p w14:paraId="29CFBFA7">
      <w:pPr>
        <w:spacing w:line="360" w:lineRule="auto"/>
        <w:ind w:firstLine="480" w:firstLineChars="200"/>
        <w:jc w:val="left"/>
        <w:rPr>
          <w:rFonts w:ascii="仿宋" w:hAnsi="仿宋" w:eastAsia="仿宋" w:cs="仿宋"/>
          <w:sz w:val="24"/>
        </w:rPr>
      </w:pPr>
      <w:r>
        <w:rPr>
          <w:rFonts w:hint="eastAsia" w:ascii="仿宋" w:hAnsi="仿宋" w:eastAsia="仿宋" w:cs="仿宋"/>
          <w:sz w:val="24"/>
        </w:rPr>
        <w:t>5.2在正式谈判之前，谈判小组将首先审查每份响应文件是否实质性响应了谈判文件的要求。实质性响应的文件应该是与谈判文件要求的条款、条件和规格相符，没有重大负偏离或保留。</w:t>
      </w:r>
    </w:p>
    <w:p w14:paraId="553E6B80">
      <w:pPr>
        <w:spacing w:line="360" w:lineRule="auto"/>
        <w:ind w:firstLine="480" w:firstLineChars="200"/>
        <w:jc w:val="left"/>
        <w:rPr>
          <w:rFonts w:ascii="仿宋" w:hAnsi="仿宋" w:eastAsia="仿宋" w:cs="仿宋"/>
          <w:sz w:val="24"/>
        </w:rPr>
      </w:pPr>
      <w:r>
        <w:rPr>
          <w:rFonts w:hint="eastAsia" w:ascii="仿宋" w:hAnsi="仿宋" w:eastAsia="仿宋" w:cs="仿宋"/>
          <w:sz w:val="24"/>
        </w:rPr>
        <w:t>所谓重大负偏离或保留是指与谈判文件规定的实质性要求存在负偏离，或者在实质上与谈判文件不一致，而且限制了合同中买方和见证方的权利或供应商的义务，纠正这些偏离或保留将会对其他实质性响应要求的供应商的竞争地位产生不公正的影响。重大偏离由谈判小组按照少数服从多数的原则认定。谈判小组</w:t>
      </w:r>
      <w:r>
        <w:rPr>
          <w:rFonts w:hint="eastAsia" w:ascii="仿宋" w:hAnsi="仿宋" w:eastAsia="仿宋" w:cs="仿宋"/>
          <w:sz w:val="24"/>
          <w:lang w:eastAsia="zh-CN"/>
        </w:rPr>
        <w:t>认</w:t>
      </w:r>
      <w:r>
        <w:rPr>
          <w:rFonts w:hint="eastAsia" w:ascii="仿宋" w:hAnsi="仿宋" w:eastAsia="仿宋" w:cs="仿宋"/>
          <w:sz w:val="24"/>
        </w:rPr>
        <w:t>定响应文件的</w:t>
      </w:r>
      <w:r>
        <w:rPr>
          <w:rFonts w:hint="eastAsia" w:ascii="仿宋" w:hAnsi="仿宋" w:eastAsia="仿宋" w:cs="仿宋"/>
          <w:sz w:val="24"/>
          <w:lang w:eastAsia="zh-CN"/>
        </w:rPr>
        <w:t>符合</w:t>
      </w:r>
      <w:r>
        <w:rPr>
          <w:rFonts w:hint="eastAsia" w:ascii="仿宋" w:hAnsi="仿宋" w:eastAsia="仿宋" w:cs="仿宋"/>
          <w:sz w:val="24"/>
        </w:rPr>
        <w:t>性根据响应文件本身的内容，而不寻求外部的证据。</w:t>
      </w:r>
    </w:p>
    <w:p w14:paraId="3A1160D8">
      <w:pPr>
        <w:spacing w:line="360" w:lineRule="auto"/>
        <w:ind w:firstLine="480" w:firstLineChars="200"/>
        <w:jc w:val="left"/>
        <w:rPr>
          <w:rFonts w:ascii="仿宋" w:hAnsi="仿宋" w:eastAsia="仿宋" w:cs="仿宋"/>
          <w:sz w:val="24"/>
        </w:rPr>
      </w:pPr>
      <w:r>
        <w:rPr>
          <w:rFonts w:hint="eastAsia" w:ascii="仿宋" w:hAnsi="仿宋" w:eastAsia="仿宋" w:cs="仿宋"/>
          <w:sz w:val="24"/>
        </w:rPr>
        <w:t>5.3 被认定为未</w:t>
      </w:r>
      <w:r>
        <w:rPr>
          <w:rFonts w:hint="eastAsia" w:ascii="仿宋" w:hAnsi="仿宋" w:eastAsia="仿宋" w:cs="仿宋"/>
          <w:sz w:val="24"/>
          <w:lang w:eastAsia="zh-CN"/>
        </w:rPr>
        <w:t>通过</w:t>
      </w:r>
      <w:r>
        <w:rPr>
          <w:rFonts w:hint="eastAsia" w:ascii="仿宋" w:hAnsi="仿宋" w:eastAsia="仿宋" w:cs="仿宋"/>
          <w:sz w:val="24"/>
        </w:rPr>
        <w:t>资格性和符合性检查的情形</w:t>
      </w:r>
    </w:p>
    <w:p w14:paraId="714EE4F2">
      <w:pPr>
        <w:spacing w:line="360" w:lineRule="auto"/>
        <w:ind w:firstLine="480" w:firstLineChars="200"/>
        <w:jc w:val="left"/>
        <w:rPr>
          <w:rFonts w:ascii="仿宋" w:hAnsi="仿宋" w:eastAsia="仿宋" w:cs="仿宋"/>
          <w:sz w:val="24"/>
        </w:rPr>
      </w:pPr>
      <w:r>
        <w:rPr>
          <w:rFonts w:hint="eastAsia" w:ascii="仿宋" w:hAnsi="仿宋" w:eastAsia="仿宋" w:cs="仿宋"/>
          <w:sz w:val="24"/>
        </w:rPr>
        <w:t>（1）未按照谈判文件规定要求密封、签署、盖章的；</w:t>
      </w:r>
    </w:p>
    <w:p w14:paraId="7CE6C0D5">
      <w:pPr>
        <w:spacing w:line="360" w:lineRule="auto"/>
        <w:ind w:firstLine="480" w:firstLineChars="200"/>
        <w:jc w:val="left"/>
        <w:rPr>
          <w:rFonts w:ascii="仿宋" w:hAnsi="仿宋" w:eastAsia="仿宋" w:cs="仿宋"/>
          <w:sz w:val="24"/>
        </w:rPr>
      </w:pPr>
      <w:r>
        <w:rPr>
          <w:rFonts w:hint="eastAsia" w:ascii="仿宋" w:hAnsi="仿宋" w:eastAsia="仿宋" w:cs="仿宋"/>
          <w:sz w:val="24"/>
        </w:rPr>
        <w:t>（2）供应商在报价时报价超过了采购预算</w:t>
      </w:r>
      <w:r>
        <w:rPr>
          <w:rFonts w:hint="eastAsia" w:ascii="仿宋" w:hAnsi="仿宋" w:eastAsia="仿宋" w:cs="仿宋"/>
          <w:sz w:val="24"/>
          <w:lang w:eastAsia="zh-CN"/>
        </w:rPr>
        <w:t>或</w:t>
      </w:r>
      <w:r>
        <w:rPr>
          <w:rFonts w:hint="eastAsia" w:ascii="仿宋" w:hAnsi="仿宋" w:eastAsia="仿宋" w:cs="仿宋"/>
          <w:sz w:val="24"/>
        </w:rPr>
        <w:t>采用选择性报价；</w:t>
      </w:r>
    </w:p>
    <w:p w14:paraId="61E71E7C">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（3）供应商不符合谈判文件中规定的合格供应商资格要求</w:t>
      </w:r>
      <w:r>
        <w:rPr>
          <w:rFonts w:hint="eastAsia" w:ascii="仿宋" w:hAnsi="仿宋" w:eastAsia="仿宋" w:cs="仿宋"/>
          <w:sz w:val="24"/>
          <w:lang w:eastAsia="zh-CN"/>
        </w:rPr>
        <w:t>或属于</w:t>
      </w:r>
      <w:r>
        <w:rPr>
          <w:rFonts w:hint="eastAsia" w:ascii="仿宋" w:hAnsi="仿宋" w:eastAsia="仿宋" w:cs="仿宋"/>
          <w:sz w:val="24"/>
        </w:rPr>
        <w:t>财政部财库（2016）125号文件规定</w:t>
      </w:r>
      <w:r>
        <w:rPr>
          <w:rFonts w:hint="eastAsia" w:ascii="仿宋" w:hAnsi="仿宋" w:eastAsia="仿宋" w:cs="仿宋"/>
          <w:sz w:val="24"/>
          <w:lang w:eastAsia="zh-CN"/>
        </w:rPr>
        <w:t>联合惩戒</w:t>
      </w:r>
      <w:r>
        <w:rPr>
          <w:rFonts w:hint="eastAsia" w:ascii="仿宋" w:hAnsi="仿宋" w:eastAsia="仿宋" w:cs="仿宋"/>
          <w:sz w:val="24"/>
        </w:rPr>
        <w:t>的</w:t>
      </w:r>
      <w:r>
        <w:rPr>
          <w:rFonts w:hint="eastAsia" w:ascii="仿宋" w:hAnsi="仿宋" w:eastAsia="仿宋" w:cs="仿宋"/>
          <w:sz w:val="24"/>
          <w:lang w:eastAsia="zh-CN"/>
        </w:rPr>
        <w:t>情形</w:t>
      </w:r>
      <w:r>
        <w:rPr>
          <w:rFonts w:hint="eastAsia" w:ascii="仿宋" w:hAnsi="仿宋" w:eastAsia="仿宋" w:cs="仿宋"/>
          <w:sz w:val="24"/>
        </w:rPr>
        <w:t>；</w:t>
      </w:r>
    </w:p>
    <w:p w14:paraId="1EE6BA0A">
      <w:pPr>
        <w:spacing w:line="360" w:lineRule="auto"/>
        <w:ind w:firstLine="480" w:firstLineChars="200"/>
        <w:jc w:val="left"/>
        <w:rPr>
          <w:rFonts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4</w:t>
      </w:r>
      <w:r>
        <w:rPr>
          <w:rFonts w:hint="eastAsia" w:ascii="仿宋" w:hAnsi="仿宋" w:eastAsia="仿宋" w:cs="仿宋"/>
          <w:sz w:val="24"/>
          <w:lang w:eastAsia="zh-CN"/>
        </w:rPr>
        <w:t>）</w:t>
      </w:r>
      <w:r>
        <w:rPr>
          <w:rFonts w:hint="eastAsia" w:ascii="仿宋" w:hAnsi="仿宋" w:eastAsia="仿宋" w:cs="仿宋"/>
          <w:sz w:val="24"/>
        </w:rPr>
        <w:t>不能完全满足采购需求，未通过符合性检查的；</w:t>
      </w:r>
    </w:p>
    <w:p w14:paraId="609410D7">
      <w:pPr>
        <w:spacing w:line="360" w:lineRule="auto"/>
        <w:ind w:firstLine="480" w:firstLineChars="200"/>
        <w:jc w:val="left"/>
        <w:rPr>
          <w:rFonts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5</w:t>
      </w:r>
      <w:r>
        <w:rPr>
          <w:rFonts w:hint="eastAsia" w:ascii="仿宋" w:hAnsi="仿宋" w:eastAsia="仿宋" w:cs="仿宋"/>
          <w:sz w:val="24"/>
        </w:rPr>
        <w:t>）不符合法律、法规和谈判文件中规定的其他实质性要求和条件的（本谈判文件中斜体且有下划线部分为实质性要求和条件）；</w:t>
      </w:r>
    </w:p>
    <w:p w14:paraId="48A1D548">
      <w:pPr>
        <w:spacing w:line="360" w:lineRule="auto"/>
        <w:ind w:firstLine="480" w:firstLineChars="200"/>
        <w:jc w:val="left"/>
        <w:rPr>
          <w:rFonts w:ascii="仿宋" w:hAnsi="仿宋" w:eastAsia="仿宋" w:cs="仿宋"/>
          <w:sz w:val="24"/>
        </w:rPr>
      </w:pPr>
      <w:r>
        <w:rPr>
          <w:rFonts w:hint="eastAsia" w:ascii="仿宋" w:hAnsi="仿宋" w:eastAsia="仿宋" w:cs="仿宋"/>
          <w:sz w:val="24"/>
        </w:rPr>
        <w:t>5.4 未实质性响应谈判文件的响应文件按无效响应处理，谈判小组将予以拒绝，供应商不得通过修改或撤销不合要求的偏离或保留而使其响应文件成为实质性响应的文件。</w:t>
      </w:r>
    </w:p>
    <w:p w14:paraId="3A12EA92">
      <w:pPr>
        <w:spacing w:line="360" w:lineRule="auto"/>
        <w:ind w:firstLine="480" w:firstLineChars="200"/>
        <w:jc w:val="left"/>
        <w:rPr>
          <w:rFonts w:ascii="仿宋" w:hAnsi="仿宋" w:eastAsia="仿宋" w:cs="仿宋"/>
          <w:sz w:val="24"/>
        </w:rPr>
      </w:pPr>
      <w:r>
        <w:rPr>
          <w:rFonts w:hint="eastAsia" w:ascii="仿宋" w:hAnsi="仿宋" w:eastAsia="仿宋" w:cs="仿宋"/>
          <w:sz w:val="24"/>
        </w:rPr>
        <w:t>5.5 谈判小组将允许修正响应文件中不构成重大负偏离的、微小的、非正规的、不一致的或不规则的地方，但这些修改不能影响任何供应商相应的名次排列。</w:t>
      </w:r>
    </w:p>
    <w:p w14:paraId="0BA3488E">
      <w:pPr>
        <w:spacing w:line="360" w:lineRule="auto"/>
        <w:ind w:firstLine="480" w:firstLineChars="200"/>
        <w:jc w:val="left"/>
        <w:rPr>
          <w:rFonts w:ascii="仿宋" w:hAnsi="仿宋" w:eastAsia="仿宋" w:cs="仿宋"/>
          <w:sz w:val="24"/>
        </w:rPr>
      </w:pPr>
      <w:r>
        <w:rPr>
          <w:rFonts w:hint="eastAsia" w:ascii="仿宋" w:hAnsi="仿宋" w:eastAsia="仿宋" w:cs="仿宋"/>
          <w:sz w:val="24"/>
        </w:rPr>
        <w:t>5.6同一项目（项目未分包）或同一分包（项目有不同分包），如出现同一品牌同一型号的产品有多个供应商参加谈判时，谈判中在其他条件合格的前提下，选取首次报价最低的供应商参加谈判最后报价，其他供应商作为无效响应处理。</w:t>
      </w:r>
    </w:p>
    <w:p w14:paraId="772B6337">
      <w:pPr>
        <w:spacing w:line="360" w:lineRule="auto"/>
        <w:ind w:firstLine="480" w:firstLineChars="200"/>
        <w:jc w:val="left"/>
        <w:rPr>
          <w:rFonts w:ascii="仿宋" w:hAnsi="仿宋" w:eastAsia="仿宋" w:cs="仿宋"/>
          <w:sz w:val="24"/>
        </w:rPr>
      </w:pPr>
      <w:bookmarkStart w:id="92" w:name="_Toc16938550"/>
      <w:bookmarkStart w:id="93" w:name="_Toc20823306"/>
      <w:bookmarkStart w:id="94" w:name="_Toc513029234"/>
      <w:r>
        <w:rPr>
          <w:rFonts w:hint="eastAsia" w:ascii="仿宋" w:hAnsi="仿宋" w:eastAsia="仿宋" w:cs="仿宋"/>
          <w:sz w:val="24"/>
        </w:rPr>
        <w:t>6、</w:t>
      </w:r>
      <w:bookmarkEnd w:id="92"/>
      <w:bookmarkEnd w:id="93"/>
      <w:bookmarkEnd w:id="94"/>
      <w:r>
        <w:rPr>
          <w:rFonts w:hint="eastAsia" w:ascii="仿宋" w:hAnsi="仿宋" w:eastAsia="仿宋" w:cs="仿宋"/>
          <w:sz w:val="24"/>
        </w:rPr>
        <w:t>谈判程序</w:t>
      </w:r>
    </w:p>
    <w:p w14:paraId="55D5482A">
      <w:pPr>
        <w:spacing w:line="360" w:lineRule="auto"/>
        <w:ind w:firstLine="480" w:firstLineChars="200"/>
        <w:jc w:val="left"/>
        <w:rPr>
          <w:rFonts w:ascii="仿宋" w:hAnsi="仿宋" w:eastAsia="仿宋" w:cs="仿宋"/>
          <w:sz w:val="24"/>
        </w:rPr>
      </w:pPr>
      <w:r>
        <w:rPr>
          <w:rFonts w:hint="eastAsia" w:ascii="仿宋" w:hAnsi="仿宋" w:eastAsia="仿宋" w:cs="仿宋"/>
          <w:sz w:val="24"/>
        </w:rPr>
        <w:t>6.1谈判原则</w:t>
      </w:r>
    </w:p>
    <w:p w14:paraId="67130162">
      <w:pPr>
        <w:spacing w:line="360" w:lineRule="auto"/>
        <w:ind w:firstLine="480" w:firstLineChars="200"/>
        <w:jc w:val="left"/>
        <w:rPr>
          <w:rFonts w:ascii="仿宋" w:hAnsi="仿宋" w:eastAsia="仿宋" w:cs="仿宋"/>
          <w:sz w:val="24"/>
        </w:rPr>
      </w:pPr>
      <w:bookmarkStart w:id="95" w:name="_Toc20553"/>
      <w:r>
        <w:rPr>
          <w:rFonts w:hint="eastAsia" w:ascii="仿宋" w:hAnsi="仿宋" w:eastAsia="仿宋" w:cs="仿宋"/>
          <w:sz w:val="24"/>
        </w:rPr>
        <w:t>6.1.本次采购采取竞争性谈判方式。</w:t>
      </w:r>
    </w:p>
    <w:p w14:paraId="6AB7B495">
      <w:pPr>
        <w:spacing w:line="360" w:lineRule="auto"/>
        <w:ind w:firstLine="480" w:firstLineChars="200"/>
        <w:jc w:val="left"/>
        <w:rPr>
          <w:rFonts w:ascii="仿宋" w:hAnsi="仿宋" w:eastAsia="仿宋" w:cs="仿宋"/>
          <w:sz w:val="24"/>
        </w:rPr>
      </w:pPr>
      <w:r>
        <w:rPr>
          <w:rFonts w:hint="eastAsia" w:ascii="仿宋" w:hAnsi="仿宋" w:eastAsia="仿宋" w:cs="仿宋"/>
          <w:sz w:val="24"/>
        </w:rPr>
        <w:t>由谈判小组与供应商通过谈判确定最终的成交价格及服务等。为了维护政府采购的严肃性，必须严格按照国家关于政府采购的有关规定，严格遵守公开、公平、公正诚实信用并低于市场平均价的原则，并在采购代理机构的组织下，由有关方面专家来进行。</w:t>
      </w:r>
    </w:p>
    <w:p w14:paraId="3FEFC5FD">
      <w:pPr>
        <w:spacing w:line="360" w:lineRule="auto"/>
        <w:ind w:firstLine="480" w:firstLineChars="200"/>
        <w:jc w:val="left"/>
        <w:rPr>
          <w:rFonts w:ascii="仿宋" w:hAnsi="仿宋" w:eastAsia="仿宋" w:cs="仿宋"/>
          <w:sz w:val="24"/>
        </w:rPr>
      </w:pPr>
      <w:r>
        <w:rPr>
          <w:rFonts w:hint="eastAsia" w:ascii="仿宋" w:hAnsi="仿宋" w:eastAsia="仿宋" w:cs="仿宋"/>
          <w:sz w:val="24"/>
        </w:rPr>
        <w:t>（1）供应商谈判及最终报价的技术标准方面必须实质性满足本采购文件的要求。</w:t>
      </w:r>
    </w:p>
    <w:p w14:paraId="45FBBEAE">
      <w:pPr>
        <w:spacing w:line="360" w:lineRule="auto"/>
        <w:ind w:firstLine="480" w:firstLineChars="200"/>
        <w:jc w:val="left"/>
        <w:rPr>
          <w:rFonts w:ascii="仿宋" w:hAnsi="仿宋" w:eastAsia="仿宋" w:cs="仿宋"/>
          <w:sz w:val="24"/>
        </w:rPr>
      </w:pPr>
      <w:r>
        <w:rPr>
          <w:rFonts w:hint="eastAsia" w:ascii="仿宋" w:hAnsi="仿宋" w:eastAsia="仿宋" w:cs="仿宋"/>
          <w:sz w:val="24"/>
        </w:rPr>
        <w:t>（2）自愿、平等、互利的原则。</w:t>
      </w:r>
    </w:p>
    <w:p w14:paraId="4767D67F">
      <w:pPr>
        <w:spacing w:line="360" w:lineRule="auto"/>
        <w:ind w:firstLine="480" w:firstLineChars="200"/>
        <w:jc w:val="left"/>
        <w:rPr>
          <w:rFonts w:ascii="仿宋" w:hAnsi="仿宋" w:eastAsia="仿宋" w:cs="仿宋"/>
          <w:sz w:val="24"/>
        </w:rPr>
      </w:pPr>
      <w:r>
        <w:rPr>
          <w:rFonts w:hint="eastAsia" w:ascii="仿宋" w:hAnsi="仿宋" w:eastAsia="仿宋" w:cs="仿宋"/>
          <w:sz w:val="24"/>
        </w:rPr>
        <w:t>6.2参加谈判的人员：</w:t>
      </w:r>
    </w:p>
    <w:p w14:paraId="2AB2315B">
      <w:pPr>
        <w:spacing w:line="360" w:lineRule="auto"/>
        <w:ind w:firstLine="480" w:firstLineChars="200"/>
        <w:jc w:val="left"/>
        <w:rPr>
          <w:rFonts w:ascii="仿宋" w:hAnsi="仿宋" w:eastAsia="仿宋" w:cs="仿宋"/>
          <w:sz w:val="24"/>
        </w:rPr>
      </w:pPr>
      <w:r>
        <w:rPr>
          <w:rFonts w:hint="eastAsia" w:ascii="仿宋" w:hAnsi="仿宋" w:eastAsia="仿宋" w:cs="仿宋"/>
          <w:sz w:val="24"/>
        </w:rPr>
        <w:t>（1）由谈判代理机构从江苏政府采购专家库随机抽取行业专家两名，采购人代表一名组成谈判小组，并由部分采购人代表或纪检人员作监委。</w:t>
      </w:r>
    </w:p>
    <w:p w14:paraId="067DCA72">
      <w:pPr>
        <w:spacing w:line="360" w:lineRule="auto"/>
        <w:ind w:firstLine="480" w:firstLineChars="200"/>
        <w:jc w:val="left"/>
        <w:rPr>
          <w:rFonts w:ascii="仿宋" w:hAnsi="仿宋" w:eastAsia="仿宋" w:cs="仿宋"/>
          <w:sz w:val="24"/>
        </w:rPr>
      </w:pPr>
      <w:r>
        <w:rPr>
          <w:rFonts w:hint="eastAsia" w:ascii="仿宋" w:hAnsi="仿宋" w:eastAsia="仿宋" w:cs="仿宋"/>
          <w:sz w:val="24"/>
        </w:rPr>
        <w:t>（2）请谈判代表携带身份证明参加谈判。</w:t>
      </w:r>
    </w:p>
    <w:p w14:paraId="4FABD91E">
      <w:pPr>
        <w:spacing w:line="360" w:lineRule="auto"/>
        <w:ind w:firstLine="480" w:firstLineChars="200"/>
        <w:jc w:val="left"/>
        <w:rPr>
          <w:rFonts w:ascii="仿宋" w:hAnsi="仿宋" w:eastAsia="仿宋" w:cs="仿宋"/>
          <w:sz w:val="24"/>
        </w:rPr>
      </w:pPr>
      <w:r>
        <w:rPr>
          <w:rFonts w:hint="eastAsia" w:ascii="仿宋" w:hAnsi="仿宋" w:eastAsia="仿宋" w:cs="仿宋"/>
          <w:sz w:val="24"/>
        </w:rPr>
        <w:t>6.3谈判内容：</w:t>
      </w:r>
    </w:p>
    <w:p w14:paraId="6AB2C567">
      <w:pPr>
        <w:spacing w:line="360" w:lineRule="auto"/>
        <w:ind w:firstLine="480" w:firstLineChars="200"/>
        <w:jc w:val="left"/>
        <w:rPr>
          <w:rFonts w:ascii="仿宋" w:hAnsi="仿宋" w:eastAsia="仿宋" w:cs="仿宋"/>
          <w:sz w:val="24"/>
        </w:rPr>
      </w:pPr>
      <w:r>
        <w:rPr>
          <w:rFonts w:hint="eastAsia" w:ascii="仿宋" w:hAnsi="仿宋" w:eastAsia="仿宋" w:cs="仿宋"/>
          <w:sz w:val="24"/>
        </w:rPr>
        <w:t>（1）价格</w:t>
      </w:r>
    </w:p>
    <w:p w14:paraId="2891A87E">
      <w:pPr>
        <w:spacing w:line="360" w:lineRule="auto"/>
        <w:ind w:firstLine="480" w:firstLineChars="200"/>
        <w:jc w:val="left"/>
        <w:rPr>
          <w:rFonts w:ascii="仿宋" w:hAnsi="仿宋" w:eastAsia="仿宋" w:cs="仿宋"/>
          <w:sz w:val="24"/>
        </w:rPr>
      </w:pPr>
      <w:r>
        <w:rPr>
          <w:rFonts w:hint="eastAsia" w:ascii="仿宋" w:hAnsi="仿宋" w:eastAsia="仿宋" w:cs="仿宋"/>
          <w:sz w:val="24"/>
        </w:rPr>
        <w:t>（2）项目完成时间</w:t>
      </w:r>
    </w:p>
    <w:p w14:paraId="3998C98D">
      <w:pPr>
        <w:spacing w:line="360" w:lineRule="auto"/>
        <w:ind w:firstLine="480" w:firstLineChars="200"/>
        <w:jc w:val="left"/>
        <w:rPr>
          <w:rFonts w:ascii="仿宋" w:hAnsi="仿宋" w:eastAsia="仿宋" w:cs="仿宋"/>
          <w:sz w:val="24"/>
        </w:rPr>
      </w:pPr>
      <w:r>
        <w:rPr>
          <w:rFonts w:hint="eastAsia" w:ascii="仿宋" w:hAnsi="仿宋" w:eastAsia="仿宋" w:cs="仿宋"/>
          <w:sz w:val="24"/>
        </w:rPr>
        <w:t>（3）技术要求、配置、质量及服务要求：</w:t>
      </w:r>
      <w:r>
        <w:rPr>
          <w:rFonts w:hint="eastAsia" w:ascii="仿宋" w:hAnsi="仿宋" w:eastAsia="仿宋" w:cs="仿宋"/>
          <w:b/>
          <w:bCs/>
          <w:i/>
          <w:iCs/>
          <w:sz w:val="24"/>
          <w:u w:val="single"/>
        </w:rPr>
        <w:t>必须完全满足本采购文件中的要求。</w:t>
      </w:r>
    </w:p>
    <w:p w14:paraId="60970996">
      <w:pPr>
        <w:spacing w:line="360" w:lineRule="auto"/>
        <w:ind w:firstLine="480" w:firstLineChars="200"/>
        <w:jc w:val="left"/>
        <w:rPr>
          <w:rFonts w:ascii="仿宋" w:hAnsi="仿宋" w:eastAsia="仿宋" w:cs="仿宋"/>
          <w:sz w:val="24"/>
        </w:rPr>
      </w:pPr>
      <w:r>
        <w:rPr>
          <w:rFonts w:hint="eastAsia" w:ascii="仿宋" w:hAnsi="仿宋" w:eastAsia="仿宋" w:cs="仿宋"/>
          <w:sz w:val="24"/>
        </w:rPr>
        <w:t>6.4谈判方式：</w:t>
      </w:r>
    </w:p>
    <w:p w14:paraId="53530462">
      <w:pPr>
        <w:spacing w:line="360" w:lineRule="auto"/>
        <w:ind w:firstLine="480" w:firstLineChars="200"/>
        <w:jc w:val="left"/>
        <w:rPr>
          <w:rFonts w:ascii="仿宋" w:hAnsi="仿宋" w:eastAsia="仿宋" w:cs="仿宋"/>
          <w:sz w:val="24"/>
        </w:rPr>
      </w:pPr>
      <w:r>
        <w:rPr>
          <w:rFonts w:hint="eastAsia" w:ascii="仿宋" w:hAnsi="仿宋" w:eastAsia="仿宋" w:cs="仿宋"/>
          <w:sz w:val="24"/>
        </w:rPr>
        <w:t>（1）由谈判小组成员集中与单一供应商进行谈判；</w:t>
      </w:r>
    </w:p>
    <w:p w14:paraId="1ED3EBD6">
      <w:pPr>
        <w:spacing w:line="360" w:lineRule="auto"/>
        <w:ind w:firstLine="480" w:firstLineChars="200"/>
        <w:jc w:val="left"/>
        <w:rPr>
          <w:rFonts w:ascii="仿宋" w:hAnsi="仿宋" w:eastAsia="仿宋" w:cs="仿宋"/>
          <w:sz w:val="24"/>
        </w:rPr>
      </w:pPr>
      <w:r>
        <w:rPr>
          <w:rFonts w:hint="eastAsia" w:ascii="仿宋" w:hAnsi="仿宋" w:eastAsia="仿宋" w:cs="仿宋"/>
          <w:sz w:val="24"/>
        </w:rPr>
        <w:t>（2）如果供应商试图向采购代理机构和参与谈判小组成员施加任何影响，都将会导致其谈判被拒绝。</w:t>
      </w:r>
    </w:p>
    <w:p w14:paraId="140569B5">
      <w:pPr>
        <w:spacing w:line="360" w:lineRule="auto"/>
        <w:ind w:firstLine="480" w:firstLineChars="200"/>
        <w:jc w:val="left"/>
        <w:rPr>
          <w:rFonts w:ascii="仿宋" w:hAnsi="仿宋" w:eastAsia="仿宋" w:cs="仿宋"/>
          <w:sz w:val="24"/>
        </w:rPr>
      </w:pPr>
      <w:r>
        <w:rPr>
          <w:rFonts w:hint="eastAsia" w:ascii="仿宋" w:hAnsi="仿宋" w:eastAsia="仿宋" w:cs="仿宋"/>
          <w:sz w:val="24"/>
        </w:rPr>
        <w:t>6.5谈判报价：</w:t>
      </w:r>
    </w:p>
    <w:p w14:paraId="615AB0AC">
      <w:pPr>
        <w:spacing w:line="360" w:lineRule="auto"/>
        <w:ind w:firstLine="480" w:firstLineChars="200"/>
        <w:jc w:val="left"/>
        <w:rPr>
          <w:rFonts w:ascii="仿宋" w:hAnsi="仿宋" w:eastAsia="仿宋" w:cs="仿宋"/>
          <w:sz w:val="24"/>
        </w:rPr>
      </w:pPr>
      <w:r>
        <w:rPr>
          <w:rFonts w:hint="eastAsia" w:ascii="仿宋" w:hAnsi="仿宋" w:eastAsia="仿宋" w:cs="仿宋"/>
          <w:sz w:val="24"/>
        </w:rPr>
        <w:t xml:space="preserve"> （1）谈判报价按如下形式，即谈判开始前报价（按本采购谈判报价表的格式投报）及谈判结束后最终报价（该报价将作为评定的依据）。</w:t>
      </w:r>
    </w:p>
    <w:p w14:paraId="21583544">
      <w:pPr>
        <w:spacing w:line="360" w:lineRule="auto"/>
        <w:ind w:firstLine="480" w:firstLineChars="200"/>
        <w:jc w:val="left"/>
        <w:rPr>
          <w:rFonts w:ascii="仿宋" w:hAnsi="仿宋" w:eastAsia="仿宋" w:cs="仿宋"/>
          <w:sz w:val="24"/>
        </w:rPr>
      </w:pPr>
      <w:r>
        <w:rPr>
          <w:rFonts w:hint="eastAsia" w:ascii="仿宋" w:hAnsi="仿宋" w:eastAsia="仿宋" w:cs="仿宋"/>
          <w:sz w:val="24"/>
        </w:rPr>
        <w:t>（2） 当供应商最终不能满足采购人的需求或谈判小组认为报价不能接受时，谈判小组将拒绝该谈判；</w:t>
      </w:r>
    </w:p>
    <w:p w14:paraId="68F0335B">
      <w:pPr>
        <w:spacing w:line="360" w:lineRule="auto"/>
        <w:ind w:firstLine="480" w:firstLineChars="200"/>
        <w:jc w:val="left"/>
        <w:rPr>
          <w:rFonts w:ascii="仿宋" w:hAnsi="仿宋" w:eastAsia="仿宋" w:cs="仿宋"/>
          <w:sz w:val="24"/>
        </w:rPr>
      </w:pPr>
      <w:r>
        <w:rPr>
          <w:rFonts w:hint="eastAsia" w:ascii="仿宋" w:hAnsi="仿宋" w:eastAsia="仿宋" w:cs="仿宋"/>
          <w:sz w:val="24"/>
        </w:rPr>
        <w:t>6.6谈判小组</w:t>
      </w:r>
    </w:p>
    <w:p w14:paraId="1A936A95">
      <w:pPr>
        <w:spacing w:line="360" w:lineRule="auto"/>
        <w:ind w:firstLine="480" w:firstLineChars="200"/>
        <w:jc w:val="left"/>
        <w:rPr>
          <w:rFonts w:ascii="仿宋" w:hAnsi="仿宋" w:eastAsia="仿宋" w:cs="仿宋"/>
          <w:sz w:val="24"/>
        </w:rPr>
      </w:pPr>
      <w:r>
        <w:rPr>
          <w:rFonts w:hint="eastAsia" w:ascii="仿宋" w:hAnsi="仿宋" w:eastAsia="仿宋" w:cs="仿宋"/>
          <w:sz w:val="24"/>
        </w:rPr>
        <w:t>本次采购成立以采购人代表、行业专家组成的三人谈判小组， 谈判小组按照“公开、公平、公正、科学效益”的原则独立开展工作，负责审议谈判文件，并推荐成交供应商。</w:t>
      </w:r>
    </w:p>
    <w:p w14:paraId="39129E8B">
      <w:pPr>
        <w:spacing w:line="360" w:lineRule="auto"/>
        <w:ind w:firstLine="480" w:firstLineChars="200"/>
        <w:jc w:val="left"/>
        <w:rPr>
          <w:rFonts w:ascii="仿宋" w:hAnsi="仿宋" w:eastAsia="仿宋" w:cs="仿宋"/>
          <w:sz w:val="24"/>
        </w:rPr>
      </w:pPr>
      <w:r>
        <w:rPr>
          <w:rFonts w:hint="eastAsia" w:ascii="仿宋" w:hAnsi="仿宋" w:eastAsia="仿宋" w:cs="仿宋"/>
          <w:sz w:val="24"/>
        </w:rPr>
        <w:t xml:space="preserve">6.7、谈判文件的评价和比较 </w:t>
      </w:r>
    </w:p>
    <w:p w14:paraId="56B35785">
      <w:pPr>
        <w:spacing w:line="360" w:lineRule="auto"/>
        <w:ind w:firstLine="480" w:firstLineChars="200"/>
        <w:jc w:val="left"/>
        <w:rPr>
          <w:rFonts w:ascii="仿宋" w:hAnsi="仿宋" w:eastAsia="仿宋" w:cs="仿宋"/>
          <w:sz w:val="24"/>
        </w:rPr>
      </w:pPr>
      <w:r>
        <w:rPr>
          <w:rFonts w:hint="eastAsia" w:ascii="仿宋" w:hAnsi="仿宋" w:eastAsia="仿宋" w:cs="仿宋"/>
          <w:sz w:val="24"/>
        </w:rPr>
        <w:t>（1）谈判小组将按照规定，仅对确定为实质上响应采购文件要求的谈判进行评价、谈判，直至满足采购人需求。</w:t>
      </w:r>
    </w:p>
    <w:p w14:paraId="5B7B1FF9">
      <w:pPr>
        <w:spacing w:line="360" w:lineRule="auto"/>
        <w:ind w:firstLine="480" w:firstLineChars="200"/>
        <w:jc w:val="left"/>
        <w:rPr>
          <w:rFonts w:ascii="仿宋" w:hAnsi="仿宋" w:eastAsia="仿宋" w:cs="仿宋"/>
          <w:sz w:val="24"/>
        </w:rPr>
      </w:pPr>
      <w:r>
        <w:rPr>
          <w:rFonts w:hint="eastAsia" w:ascii="仿宋" w:hAnsi="仿宋" w:eastAsia="仿宋" w:cs="仿宋"/>
          <w:sz w:val="24"/>
        </w:rPr>
        <w:t>（2）谈判小组在谈判时，将主要考虑下列因素：</w:t>
      </w:r>
    </w:p>
    <w:p w14:paraId="7CAF3EDC">
      <w:pPr>
        <w:spacing w:line="360" w:lineRule="auto"/>
        <w:ind w:firstLine="480" w:firstLineChars="200"/>
        <w:jc w:val="left"/>
        <w:rPr>
          <w:rFonts w:ascii="仿宋" w:hAnsi="仿宋" w:eastAsia="仿宋" w:cs="仿宋"/>
          <w:sz w:val="24"/>
        </w:rPr>
      </w:pPr>
      <w:r>
        <w:rPr>
          <w:rFonts w:hint="eastAsia" w:ascii="仿宋" w:hAnsi="仿宋" w:eastAsia="仿宋" w:cs="仿宋"/>
          <w:sz w:val="24"/>
        </w:rPr>
        <w:t>1）对谈判文件所要求技术性能的响应情况。</w:t>
      </w:r>
    </w:p>
    <w:p w14:paraId="6BF0625D">
      <w:pPr>
        <w:spacing w:line="360" w:lineRule="auto"/>
        <w:ind w:firstLine="480" w:firstLineChars="200"/>
        <w:jc w:val="left"/>
        <w:rPr>
          <w:rFonts w:ascii="仿宋" w:hAnsi="仿宋" w:eastAsia="仿宋" w:cs="仿宋"/>
          <w:sz w:val="24"/>
        </w:rPr>
      </w:pPr>
      <w:r>
        <w:rPr>
          <w:rFonts w:hint="eastAsia" w:ascii="仿宋" w:hAnsi="仿宋" w:eastAsia="仿宋" w:cs="仿宋"/>
          <w:sz w:val="24"/>
        </w:rPr>
        <w:t>2）谈判价格。</w:t>
      </w:r>
    </w:p>
    <w:p w14:paraId="2BDE82A8">
      <w:pPr>
        <w:spacing w:line="360" w:lineRule="auto"/>
        <w:ind w:firstLine="480" w:firstLineChars="200"/>
        <w:jc w:val="left"/>
        <w:rPr>
          <w:rFonts w:ascii="仿宋" w:hAnsi="仿宋" w:eastAsia="仿宋" w:cs="仿宋"/>
          <w:sz w:val="24"/>
        </w:rPr>
      </w:pPr>
      <w:r>
        <w:rPr>
          <w:rFonts w:hint="eastAsia" w:ascii="仿宋" w:hAnsi="仿宋" w:eastAsia="仿宋" w:cs="仿宋"/>
          <w:sz w:val="24"/>
        </w:rPr>
        <w:t>3）供应商履行合同的能力。</w:t>
      </w:r>
    </w:p>
    <w:p w14:paraId="387CD823">
      <w:pPr>
        <w:spacing w:line="360" w:lineRule="auto"/>
        <w:ind w:firstLine="480" w:firstLineChars="200"/>
        <w:jc w:val="left"/>
        <w:rPr>
          <w:rFonts w:ascii="仿宋" w:hAnsi="仿宋" w:eastAsia="仿宋" w:cs="仿宋"/>
          <w:sz w:val="24"/>
        </w:rPr>
      </w:pPr>
      <w:r>
        <w:rPr>
          <w:rFonts w:hint="eastAsia" w:ascii="仿宋" w:hAnsi="仿宋" w:eastAsia="仿宋" w:cs="仿宋"/>
          <w:sz w:val="24"/>
        </w:rPr>
        <w:t>4）供应商承诺的售后服务。</w:t>
      </w:r>
    </w:p>
    <w:p w14:paraId="13767DB9">
      <w:pPr>
        <w:spacing w:line="360" w:lineRule="auto"/>
        <w:ind w:firstLine="480" w:firstLineChars="200"/>
        <w:jc w:val="left"/>
        <w:rPr>
          <w:rFonts w:ascii="仿宋" w:hAnsi="仿宋" w:eastAsia="仿宋" w:cs="仿宋"/>
          <w:sz w:val="24"/>
        </w:rPr>
      </w:pPr>
      <w:r>
        <w:rPr>
          <w:rFonts w:hint="eastAsia" w:ascii="仿宋" w:hAnsi="仿宋" w:eastAsia="仿宋" w:cs="仿宋"/>
          <w:sz w:val="24"/>
        </w:rPr>
        <w:t>5）其他评委会认为必须考虑的因素。</w:t>
      </w:r>
    </w:p>
    <w:p w14:paraId="77FBC9F6">
      <w:pPr>
        <w:spacing w:line="360" w:lineRule="auto"/>
        <w:ind w:firstLine="480" w:firstLineChars="200"/>
        <w:jc w:val="left"/>
        <w:rPr>
          <w:rFonts w:ascii="仿宋" w:hAnsi="仿宋" w:eastAsia="仿宋" w:cs="仿宋"/>
          <w:sz w:val="24"/>
        </w:rPr>
      </w:pPr>
      <w:r>
        <w:rPr>
          <w:rFonts w:hint="eastAsia" w:ascii="仿宋" w:hAnsi="仿宋" w:eastAsia="仿宋" w:cs="仿宋"/>
          <w:sz w:val="24"/>
        </w:rPr>
        <w:t>（3）若谈判确定的最后价格、交货期或服务仍不能满足采购人或谈判小组的要求，采购代理机构将有权取消此项目的采购。</w:t>
      </w:r>
    </w:p>
    <w:p w14:paraId="7508010F">
      <w:pPr>
        <w:spacing w:line="360" w:lineRule="auto"/>
        <w:ind w:firstLine="480" w:firstLineChars="200"/>
        <w:jc w:val="left"/>
        <w:rPr>
          <w:rFonts w:ascii="仿宋" w:hAnsi="仿宋" w:eastAsia="仿宋" w:cs="仿宋"/>
          <w:sz w:val="24"/>
        </w:rPr>
      </w:pPr>
      <w:r>
        <w:rPr>
          <w:rFonts w:hint="eastAsia" w:ascii="仿宋" w:hAnsi="仿宋" w:eastAsia="仿宋" w:cs="仿宋"/>
          <w:sz w:val="24"/>
        </w:rPr>
        <w:t>6.8、响应文件出现下列情况之一的，将作为无效响应文件处理，无效响应文件不予参加评审。</w:t>
      </w:r>
    </w:p>
    <w:p w14:paraId="484F7F99">
      <w:pPr>
        <w:spacing w:line="360" w:lineRule="auto"/>
        <w:ind w:firstLine="480" w:firstLineChars="200"/>
        <w:jc w:val="left"/>
        <w:rPr>
          <w:rFonts w:ascii="仿宋" w:hAnsi="仿宋" w:eastAsia="仿宋" w:cs="仿宋"/>
          <w:sz w:val="24"/>
        </w:rPr>
      </w:pPr>
      <w:r>
        <w:rPr>
          <w:rFonts w:hint="eastAsia" w:ascii="仿宋" w:hAnsi="仿宋" w:eastAsia="仿宋" w:cs="仿宋"/>
          <w:sz w:val="24"/>
        </w:rPr>
        <w:t>（1）响应文件未按规定时间呈交、密封、盖章的；</w:t>
      </w:r>
    </w:p>
    <w:p w14:paraId="1CC415B7">
      <w:pPr>
        <w:spacing w:line="360" w:lineRule="auto"/>
        <w:ind w:firstLine="480" w:firstLineChars="200"/>
        <w:jc w:val="left"/>
        <w:rPr>
          <w:rFonts w:ascii="仿宋" w:hAnsi="仿宋" w:eastAsia="仿宋" w:cs="仿宋"/>
          <w:sz w:val="24"/>
        </w:rPr>
      </w:pPr>
      <w:r>
        <w:rPr>
          <w:rFonts w:hint="eastAsia" w:ascii="仿宋" w:hAnsi="仿宋" w:eastAsia="仿宋" w:cs="仿宋"/>
          <w:sz w:val="24"/>
        </w:rPr>
        <w:t>（2）响应文件未加盖供应商公章的；</w:t>
      </w:r>
    </w:p>
    <w:p w14:paraId="2E9D89D7">
      <w:pPr>
        <w:spacing w:line="360" w:lineRule="auto"/>
        <w:ind w:firstLine="480" w:firstLineChars="200"/>
        <w:jc w:val="left"/>
        <w:rPr>
          <w:rFonts w:ascii="仿宋" w:hAnsi="仿宋" w:eastAsia="仿宋" w:cs="仿宋"/>
          <w:sz w:val="24"/>
        </w:rPr>
      </w:pPr>
      <w:r>
        <w:rPr>
          <w:rFonts w:hint="eastAsia" w:ascii="仿宋" w:hAnsi="仿宋" w:eastAsia="仿宋" w:cs="仿宋"/>
          <w:sz w:val="24"/>
        </w:rPr>
        <w:t>（3）授权委托书无供应商公章、法定代表人的印鉴（或签名），或委托书非原件的；</w:t>
      </w:r>
    </w:p>
    <w:p w14:paraId="219B948F">
      <w:pPr>
        <w:spacing w:line="360" w:lineRule="auto"/>
        <w:ind w:firstLine="480" w:firstLineChars="200"/>
        <w:jc w:val="left"/>
        <w:rPr>
          <w:rFonts w:ascii="仿宋" w:hAnsi="仿宋" w:eastAsia="仿宋" w:cs="仿宋"/>
          <w:sz w:val="24"/>
        </w:rPr>
      </w:pPr>
      <w:r>
        <w:rPr>
          <w:rFonts w:hint="eastAsia" w:ascii="仿宋" w:hAnsi="仿宋" w:eastAsia="仿宋" w:cs="仿宋"/>
          <w:sz w:val="24"/>
        </w:rPr>
        <w:t>（4）供应商未通过报名的或者在名称上和法人地位上与报名情况发生实质性的改变的；</w:t>
      </w:r>
    </w:p>
    <w:p w14:paraId="14D44515">
      <w:pPr>
        <w:spacing w:line="360" w:lineRule="auto"/>
        <w:ind w:firstLine="480" w:firstLineChars="200"/>
        <w:jc w:val="left"/>
        <w:rPr>
          <w:rFonts w:ascii="仿宋" w:hAnsi="仿宋" w:eastAsia="仿宋" w:cs="仿宋"/>
          <w:sz w:val="24"/>
        </w:rPr>
      </w:pPr>
      <w:r>
        <w:rPr>
          <w:rFonts w:hint="eastAsia" w:ascii="仿宋" w:hAnsi="仿宋" w:eastAsia="仿宋" w:cs="仿宋"/>
          <w:sz w:val="24"/>
        </w:rPr>
        <w:t>（5）供应商不符合谈判文件中规定资格要求的，或者资格要求证明材料提供不齐全的；</w:t>
      </w:r>
    </w:p>
    <w:p w14:paraId="2EEC9355">
      <w:pPr>
        <w:spacing w:line="360" w:lineRule="auto"/>
        <w:ind w:firstLine="480" w:firstLineChars="200"/>
        <w:jc w:val="left"/>
        <w:rPr>
          <w:rFonts w:ascii="仿宋" w:hAnsi="仿宋" w:eastAsia="仿宋" w:cs="仿宋"/>
          <w:sz w:val="24"/>
        </w:rPr>
      </w:pPr>
      <w:r>
        <w:rPr>
          <w:rFonts w:hint="eastAsia" w:ascii="仿宋" w:hAnsi="仿宋" w:eastAsia="仿宋" w:cs="仿宋"/>
          <w:sz w:val="24"/>
        </w:rPr>
        <w:t>（6）响应文件未按谈判文件规定的格式、内容和要求编制，响应文件字迹潦草、模糊、难以辨认；</w:t>
      </w:r>
    </w:p>
    <w:p w14:paraId="0C86871C">
      <w:pPr>
        <w:spacing w:line="360" w:lineRule="auto"/>
        <w:ind w:firstLine="480" w:firstLineChars="200"/>
        <w:jc w:val="left"/>
        <w:rPr>
          <w:rFonts w:ascii="仿宋" w:hAnsi="仿宋" w:eastAsia="仿宋" w:cs="仿宋"/>
          <w:sz w:val="24"/>
        </w:rPr>
      </w:pPr>
      <w:r>
        <w:rPr>
          <w:rFonts w:hint="eastAsia" w:ascii="仿宋" w:hAnsi="仿宋" w:eastAsia="仿宋" w:cs="仿宋"/>
          <w:sz w:val="24"/>
        </w:rPr>
        <w:t>（7）供应商在一份响应文件中，对同一采购项目报有两个或多个报价，且未书面确定以哪个报价为准的；</w:t>
      </w:r>
    </w:p>
    <w:p w14:paraId="651D128B">
      <w:pPr>
        <w:spacing w:line="360" w:lineRule="auto"/>
        <w:ind w:firstLine="480" w:firstLineChars="200"/>
        <w:jc w:val="left"/>
        <w:rPr>
          <w:rFonts w:ascii="仿宋" w:hAnsi="仿宋" w:eastAsia="仿宋" w:cs="仿宋"/>
          <w:sz w:val="24"/>
        </w:rPr>
      </w:pPr>
      <w:r>
        <w:rPr>
          <w:rFonts w:hint="eastAsia" w:ascii="仿宋" w:hAnsi="仿宋" w:eastAsia="仿宋" w:cs="仿宋"/>
          <w:sz w:val="24"/>
        </w:rPr>
        <w:t>（8）供应商在谈判报价中存在严重错误，并影响对其他供应商的</w:t>
      </w:r>
      <w:r>
        <w:rPr>
          <w:rFonts w:ascii="仿宋" w:hAnsi="仿宋" w:eastAsia="仿宋" w:cs="仿宋"/>
          <w:sz w:val="24"/>
        </w:rPr>
        <w:t>评审</w:t>
      </w:r>
      <w:r>
        <w:rPr>
          <w:rFonts w:hint="eastAsia" w:ascii="仿宋" w:hAnsi="仿宋" w:eastAsia="仿宋" w:cs="仿宋"/>
          <w:sz w:val="24"/>
        </w:rPr>
        <w:t>的；</w:t>
      </w:r>
    </w:p>
    <w:p w14:paraId="5D98BADF">
      <w:pPr>
        <w:spacing w:line="360" w:lineRule="auto"/>
        <w:ind w:firstLine="480" w:firstLineChars="200"/>
        <w:jc w:val="left"/>
        <w:rPr>
          <w:rFonts w:ascii="仿宋" w:hAnsi="仿宋" w:eastAsia="仿宋" w:cs="仿宋"/>
          <w:sz w:val="24"/>
        </w:rPr>
      </w:pPr>
      <w:r>
        <w:rPr>
          <w:rFonts w:hint="eastAsia" w:ascii="仿宋" w:hAnsi="仿宋" w:eastAsia="仿宋" w:cs="仿宋"/>
          <w:sz w:val="24"/>
        </w:rPr>
        <w:t>（9）响应文件材料所述情况和所附相关资料不实的；</w:t>
      </w:r>
    </w:p>
    <w:p w14:paraId="5142416D">
      <w:pPr>
        <w:spacing w:line="360" w:lineRule="auto"/>
        <w:ind w:firstLine="480" w:firstLineChars="200"/>
        <w:jc w:val="left"/>
        <w:rPr>
          <w:rFonts w:ascii="仿宋" w:hAnsi="仿宋" w:eastAsia="仿宋" w:cs="仿宋"/>
          <w:sz w:val="24"/>
        </w:rPr>
      </w:pPr>
      <w:r>
        <w:rPr>
          <w:rFonts w:hint="eastAsia" w:ascii="仿宋" w:hAnsi="仿宋" w:eastAsia="仿宋" w:cs="仿宋"/>
          <w:sz w:val="24"/>
        </w:rPr>
        <w:t>（10）供应商以他人的名义谈判、串通谈判、以行贿手段谋取谈判成交或者以其他弄虚作假方式进行谈判的。</w:t>
      </w:r>
    </w:p>
    <w:p w14:paraId="05DA6F9B">
      <w:pPr>
        <w:spacing w:line="360" w:lineRule="auto"/>
        <w:ind w:firstLine="480" w:firstLineChars="200"/>
        <w:jc w:val="left"/>
        <w:rPr>
          <w:rFonts w:ascii="仿宋" w:hAnsi="仿宋" w:eastAsia="仿宋" w:cs="仿宋"/>
          <w:sz w:val="24"/>
        </w:rPr>
      </w:pPr>
      <w:r>
        <w:rPr>
          <w:rFonts w:hint="eastAsia" w:ascii="仿宋" w:hAnsi="仿宋" w:eastAsia="仿宋" w:cs="仿宋"/>
          <w:sz w:val="24"/>
        </w:rPr>
        <w:t>（11）逾期送达的响应文件；</w:t>
      </w:r>
    </w:p>
    <w:p w14:paraId="21F6A6FB">
      <w:pPr>
        <w:spacing w:line="360" w:lineRule="auto"/>
        <w:ind w:firstLine="480" w:firstLineChars="200"/>
        <w:jc w:val="left"/>
        <w:rPr>
          <w:rFonts w:ascii="仿宋" w:hAnsi="仿宋" w:eastAsia="仿宋" w:cs="仿宋"/>
          <w:sz w:val="24"/>
        </w:rPr>
      </w:pPr>
      <w:r>
        <w:rPr>
          <w:rFonts w:hint="eastAsia" w:ascii="仿宋" w:hAnsi="仿宋" w:eastAsia="仿宋" w:cs="仿宋"/>
          <w:sz w:val="24"/>
        </w:rPr>
        <w:t>（12）供应商的最终谈判报价超出采购预算或者最高限价的；</w:t>
      </w:r>
    </w:p>
    <w:p w14:paraId="5E28F850">
      <w:pPr>
        <w:spacing w:line="360" w:lineRule="auto"/>
        <w:ind w:firstLine="480" w:firstLineChars="200"/>
        <w:jc w:val="left"/>
        <w:rPr>
          <w:rFonts w:ascii="仿宋" w:hAnsi="仿宋" w:eastAsia="仿宋" w:cs="仿宋"/>
          <w:sz w:val="24"/>
        </w:rPr>
      </w:pPr>
      <w:r>
        <w:rPr>
          <w:rFonts w:hint="eastAsia" w:ascii="仿宋" w:hAnsi="仿宋" w:eastAsia="仿宋" w:cs="仿宋"/>
          <w:sz w:val="24"/>
        </w:rPr>
        <w:t>（13）谈判文件明确规定无效的其他情形，或者其他被谈判小组认定无效的情况；</w:t>
      </w:r>
    </w:p>
    <w:p w14:paraId="36357CBB">
      <w:pPr>
        <w:spacing w:line="360" w:lineRule="auto"/>
        <w:ind w:firstLine="480" w:firstLineChars="200"/>
        <w:jc w:val="left"/>
        <w:rPr>
          <w:rFonts w:ascii="仿宋" w:hAnsi="仿宋" w:eastAsia="仿宋" w:cs="仿宋"/>
          <w:sz w:val="24"/>
        </w:rPr>
      </w:pPr>
      <w:r>
        <w:rPr>
          <w:rFonts w:hint="eastAsia" w:ascii="仿宋" w:hAnsi="仿宋" w:eastAsia="仿宋" w:cs="仿宋"/>
          <w:sz w:val="24"/>
        </w:rPr>
        <w:t>（14）不符合法律、法规和谈判文件规定的其他实质性要求的。</w:t>
      </w:r>
    </w:p>
    <w:p w14:paraId="2BB9F9EB">
      <w:pPr>
        <w:pStyle w:val="4"/>
        <w:numPr>
          <w:ilvl w:val="0"/>
          <w:numId w:val="6"/>
        </w:numPr>
        <w:spacing w:line="360" w:lineRule="auto"/>
        <w:jc w:val="left"/>
        <w:rPr>
          <w:rFonts w:ascii="仿宋" w:hAnsi="仿宋" w:eastAsia="仿宋" w:cs="仿宋"/>
          <w:b/>
          <w:bCs w:val="0"/>
        </w:rPr>
      </w:pPr>
      <w:bookmarkStart w:id="96" w:name="_Toc11914"/>
      <w:bookmarkStart w:id="97" w:name="_Toc1538"/>
      <w:r>
        <w:rPr>
          <w:rFonts w:hint="eastAsia" w:ascii="仿宋" w:hAnsi="仿宋" w:eastAsia="仿宋" w:cs="仿宋"/>
          <w:b/>
          <w:bCs w:val="0"/>
        </w:rPr>
        <w:t>成交</w:t>
      </w:r>
      <w:bookmarkEnd w:id="95"/>
      <w:bookmarkEnd w:id="96"/>
      <w:bookmarkEnd w:id="97"/>
    </w:p>
    <w:p w14:paraId="58A48E3D">
      <w:pPr>
        <w:spacing w:line="360" w:lineRule="auto"/>
        <w:ind w:firstLine="480" w:firstLineChars="200"/>
        <w:jc w:val="left"/>
        <w:rPr>
          <w:rFonts w:ascii="仿宋" w:hAnsi="仿宋" w:eastAsia="仿宋" w:cs="仿宋"/>
          <w:sz w:val="24"/>
        </w:rPr>
      </w:pPr>
      <w:bookmarkStart w:id="98" w:name="_Toc513029238"/>
      <w:bookmarkStart w:id="99" w:name="_Toc16938554"/>
      <w:bookmarkStart w:id="100" w:name="_Toc20823310"/>
      <w:r>
        <w:rPr>
          <w:rFonts w:hint="eastAsia" w:ascii="仿宋" w:hAnsi="仿宋" w:eastAsia="仿宋" w:cs="仿宋"/>
          <w:sz w:val="24"/>
        </w:rPr>
        <w:t>1、</w:t>
      </w:r>
      <w:bookmarkEnd w:id="98"/>
      <w:r>
        <w:rPr>
          <w:rFonts w:hint="eastAsia" w:ascii="仿宋" w:hAnsi="仿宋" w:eastAsia="仿宋" w:cs="仿宋"/>
          <w:sz w:val="24"/>
        </w:rPr>
        <w:t>确定</w:t>
      </w:r>
      <w:bookmarkEnd w:id="99"/>
      <w:bookmarkEnd w:id="100"/>
      <w:r>
        <w:rPr>
          <w:rFonts w:hint="eastAsia" w:ascii="仿宋" w:hAnsi="仿宋" w:eastAsia="仿宋" w:cs="仿宋"/>
          <w:sz w:val="24"/>
        </w:rPr>
        <w:t>成交单位</w:t>
      </w:r>
    </w:p>
    <w:p w14:paraId="60F3884C">
      <w:pPr>
        <w:spacing w:line="360" w:lineRule="auto"/>
        <w:ind w:firstLine="480" w:firstLineChars="200"/>
        <w:jc w:val="left"/>
        <w:rPr>
          <w:rFonts w:ascii="仿宋" w:hAnsi="仿宋" w:eastAsia="仿宋" w:cs="仿宋"/>
          <w:sz w:val="24"/>
        </w:rPr>
      </w:pPr>
      <w:r>
        <w:rPr>
          <w:rFonts w:hint="eastAsia" w:ascii="仿宋" w:hAnsi="仿宋" w:eastAsia="仿宋" w:cs="仿宋"/>
          <w:sz w:val="24"/>
        </w:rPr>
        <w:t>1.1 谈判小组根据谈判结果，每个分包按照经评审合格后报价最低的原则推荐1名成交候选供应商，并编写评审报告。</w:t>
      </w:r>
    </w:p>
    <w:p w14:paraId="0E9AB61E">
      <w:pPr>
        <w:spacing w:line="360" w:lineRule="auto"/>
        <w:ind w:firstLine="480" w:firstLineChars="200"/>
        <w:jc w:val="left"/>
        <w:rPr>
          <w:rFonts w:ascii="仿宋" w:hAnsi="仿宋" w:eastAsia="仿宋" w:cs="仿宋"/>
          <w:sz w:val="24"/>
        </w:rPr>
      </w:pPr>
      <w:r>
        <w:rPr>
          <w:rFonts w:hint="eastAsia" w:ascii="仿宋" w:hAnsi="仿宋" w:eastAsia="仿宋" w:cs="仿宋"/>
          <w:sz w:val="24"/>
        </w:rPr>
        <w:t>1.2采购人根据谈判小组推荐的成交候选人确定成交供应商。采购人确定成交供应商后，采购代理机构将在“南京公共采购信息网”发布成交结果公告，公告期限为1个工作日。成交供应商享受中小企业扶持政策的，随成交结果公示成交供应商的《中小企业声明函》。</w:t>
      </w:r>
    </w:p>
    <w:p w14:paraId="2C87EE3E">
      <w:pPr>
        <w:spacing w:line="360" w:lineRule="auto"/>
        <w:ind w:firstLine="480" w:firstLineChars="200"/>
        <w:jc w:val="left"/>
        <w:rPr>
          <w:rFonts w:ascii="仿宋" w:hAnsi="仿宋" w:eastAsia="仿宋" w:cs="仿宋"/>
          <w:sz w:val="24"/>
        </w:rPr>
      </w:pPr>
      <w:r>
        <w:rPr>
          <w:rFonts w:hint="eastAsia" w:ascii="仿宋" w:hAnsi="仿宋" w:eastAsia="仿宋" w:cs="仿宋"/>
          <w:sz w:val="24"/>
        </w:rPr>
        <w:t>1.3若有充分证据证明，成交供应商出现下列情况之一的，一经查实，将被取消成交资格：</w:t>
      </w:r>
    </w:p>
    <w:p w14:paraId="316E0027">
      <w:pPr>
        <w:spacing w:line="360" w:lineRule="auto"/>
        <w:ind w:firstLine="480" w:firstLineChars="200"/>
        <w:jc w:val="left"/>
        <w:rPr>
          <w:rFonts w:ascii="仿宋" w:hAnsi="仿宋" w:eastAsia="仿宋" w:cs="仿宋"/>
          <w:sz w:val="24"/>
        </w:rPr>
      </w:pPr>
      <w:r>
        <w:rPr>
          <w:rFonts w:hint="eastAsia" w:ascii="仿宋" w:hAnsi="仿宋" w:eastAsia="仿宋" w:cs="仿宋"/>
          <w:sz w:val="24"/>
        </w:rPr>
        <w:t>（1）提供虚假材料谋取成交的；</w:t>
      </w:r>
    </w:p>
    <w:p w14:paraId="3404E377">
      <w:pPr>
        <w:spacing w:line="360" w:lineRule="auto"/>
        <w:ind w:firstLine="480" w:firstLineChars="200"/>
        <w:jc w:val="left"/>
        <w:rPr>
          <w:rFonts w:ascii="仿宋" w:hAnsi="仿宋" w:eastAsia="仿宋" w:cs="仿宋"/>
          <w:sz w:val="24"/>
        </w:rPr>
      </w:pPr>
      <w:r>
        <w:rPr>
          <w:rFonts w:hint="eastAsia" w:ascii="仿宋" w:hAnsi="仿宋" w:eastAsia="仿宋" w:cs="仿宋"/>
          <w:sz w:val="24"/>
        </w:rPr>
        <w:t>（2）与评审专家、采购人、其他供应商或者采购代理机构工作人员恶意串通的；</w:t>
      </w:r>
    </w:p>
    <w:p w14:paraId="5B7CE38A">
      <w:pPr>
        <w:spacing w:line="360" w:lineRule="auto"/>
        <w:ind w:firstLine="480" w:firstLineChars="200"/>
        <w:jc w:val="left"/>
        <w:rPr>
          <w:rFonts w:ascii="仿宋" w:hAnsi="仿宋" w:eastAsia="仿宋" w:cs="仿宋"/>
          <w:sz w:val="24"/>
        </w:rPr>
      </w:pPr>
      <w:r>
        <w:rPr>
          <w:rFonts w:hint="eastAsia" w:ascii="仿宋" w:hAnsi="仿宋" w:eastAsia="仿宋" w:cs="仿宋"/>
          <w:sz w:val="24"/>
        </w:rPr>
        <w:t>（3）向评审专家、采购人或采购代理机构工作人员行贿或者提供其他不正当利益的；</w:t>
      </w:r>
    </w:p>
    <w:p w14:paraId="57F50995">
      <w:pPr>
        <w:spacing w:line="360" w:lineRule="auto"/>
        <w:ind w:firstLine="480" w:firstLineChars="200"/>
        <w:jc w:val="left"/>
        <w:rPr>
          <w:rFonts w:ascii="仿宋" w:hAnsi="仿宋" w:eastAsia="仿宋" w:cs="仿宋"/>
          <w:sz w:val="24"/>
        </w:rPr>
      </w:pPr>
      <w:r>
        <w:rPr>
          <w:rFonts w:hint="eastAsia" w:ascii="仿宋" w:hAnsi="仿宋" w:eastAsia="仿宋" w:cs="仿宋"/>
          <w:sz w:val="24"/>
        </w:rPr>
        <w:t>（4）恶意竞争，最终总报价明显低于其自身合理成本且又无法提供证明的；</w:t>
      </w:r>
    </w:p>
    <w:p w14:paraId="75FA04E4">
      <w:pPr>
        <w:spacing w:line="360" w:lineRule="auto"/>
        <w:ind w:firstLine="480" w:firstLineChars="200"/>
        <w:jc w:val="left"/>
        <w:rPr>
          <w:rFonts w:ascii="仿宋" w:hAnsi="仿宋" w:eastAsia="仿宋" w:cs="仿宋"/>
          <w:sz w:val="24"/>
        </w:rPr>
      </w:pPr>
      <w:r>
        <w:rPr>
          <w:rFonts w:hint="eastAsia" w:ascii="仿宋" w:hAnsi="仿宋" w:eastAsia="仿宋" w:cs="仿宋"/>
          <w:sz w:val="24"/>
        </w:rPr>
        <w:t>（5）不满足本谈判文件规定的实质性要求，但在评审过程中又未被谈判小组发现的；</w:t>
      </w:r>
    </w:p>
    <w:p w14:paraId="2E424892">
      <w:pPr>
        <w:spacing w:line="360" w:lineRule="auto"/>
        <w:ind w:firstLine="480" w:firstLineChars="200"/>
        <w:jc w:val="left"/>
        <w:rPr>
          <w:rFonts w:ascii="仿宋" w:hAnsi="仿宋" w:eastAsia="仿宋" w:cs="仿宋"/>
          <w:sz w:val="24"/>
        </w:rPr>
      </w:pPr>
      <w:r>
        <w:rPr>
          <w:rFonts w:hint="eastAsia" w:ascii="仿宋" w:hAnsi="仿宋" w:eastAsia="仿宋" w:cs="仿宋"/>
          <w:sz w:val="24"/>
        </w:rPr>
        <w:t>（6）成交后无正当理由拒不与采购人签订政府采购合同或者未按照谈判文件确定的事项签订政府采购合同；</w:t>
      </w:r>
    </w:p>
    <w:p w14:paraId="4CC298FF">
      <w:pPr>
        <w:spacing w:line="360" w:lineRule="auto"/>
        <w:ind w:firstLine="480" w:firstLineChars="200"/>
        <w:jc w:val="left"/>
        <w:rPr>
          <w:rFonts w:ascii="仿宋" w:hAnsi="仿宋" w:eastAsia="仿宋" w:cs="仿宋"/>
          <w:sz w:val="24"/>
        </w:rPr>
      </w:pPr>
      <w:r>
        <w:rPr>
          <w:rFonts w:hint="eastAsia" w:ascii="仿宋" w:hAnsi="仿宋" w:eastAsia="仿宋" w:cs="仿宋"/>
          <w:sz w:val="24"/>
        </w:rPr>
        <w:t>（7）将政府采购合同转包；</w:t>
      </w:r>
    </w:p>
    <w:p w14:paraId="4B63E6B4">
      <w:pPr>
        <w:spacing w:line="360" w:lineRule="auto"/>
        <w:ind w:firstLine="480" w:firstLineChars="200"/>
        <w:jc w:val="left"/>
        <w:rPr>
          <w:rFonts w:ascii="仿宋" w:hAnsi="仿宋" w:eastAsia="仿宋" w:cs="仿宋"/>
          <w:sz w:val="24"/>
        </w:rPr>
      </w:pPr>
      <w:r>
        <w:rPr>
          <w:rFonts w:hint="eastAsia" w:ascii="仿宋" w:hAnsi="仿宋" w:eastAsia="仿宋" w:cs="仿宋"/>
          <w:sz w:val="24"/>
        </w:rPr>
        <w:t>（8）法律、法规、规章规定的属于成交无效的其他情形。</w:t>
      </w:r>
    </w:p>
    <w:p w14:paraId="48B5AB01">
      <w:pPr>
        <w:spacing w:line="360" w:lineRule="auto"/>
        <w:ind w:firstLine="480" w:firstLineChars="200"/>
        <w:jc w:val="left"/>
        <w:rPr>
          <w:rFonts w:ascii="仿宋" w:hAnsi="仿宋" w:eastAsia="仿宋" w:cs="仿宋"/>
          <w:sz w:val="24"/>
        </w:rPr>
      </w:pPr>
      <w:r>
        <w:rPr>
          <w:rFonts w:hint="eastAsia" w:ascii="仿宋" w:hAnsi="仿宋" w:eastAsia="仿宋" w:cs="仿宋"/>
          <w:sz w:val="24"/>
        </w:rPr>
        <w:t>2、质疑处理</w:t>
      </w:r>
    </w:p>
    <w:p w14:paraId="556852F9">
      <w:pPr>
        <w:spacing w:line="360" w:lineRule="auto"/>
        <w:ind w:firstLine="480" w:firstLineChars="200"/>
        <w:jc w:val="left"/>
        <w:rPr>
          <w:rFonts w:ascii="仿宋" w:hAnsi="仿宋" w:eastAsia="仿宋" w:cs="仿宋"/>
          <w:sz w:val="24"/>
        </w:rPr>
      </w:pPr>
      <w:bookmarkStart w:id="101" w:name="_Toc24510"/>
      <w:bookmarkStart w:id="102" w:name="_Toc513029237"/>
      <w:bookmarkStart w:id="103" w:name="_Toc20823309"/>
      <w:bookmarkStart w:id="104" w:name="_Toc16938553"/>
      <w:r>
        <w:rPr>
          <w:rFonts w:hint="eastAsia" w:ascii="仿宋" w:hAnsi="仿宋" w:eastAsia="仿宋" w:cs="仿宋"/>
          <w:sz w:val="24"/>
        </w:rPr>
        <w:t>2.1供应商认为谈判文件、采购过程和采购结果使自己的权益受到损害的，可以在知道或应知其权益受到损害之日起七个工作日内，以书面形式向采购代理机构或采购人提出质疑。上述应知其权益受到损害之日，是指：</w:t>
      </w:r>
    </w:p>
    <w:p w14:paraId="2DEB66CD">
      <w:pPr>
        <w:spacing w:line="360" w:lineRule="auto"/>
        <w:ind w:firstLine="480" w:firstLineChars="200"/>
        <w:jc w:val="left"/>
        <w:rPr>
          <w:rFonts w:ascii="仿宋" w:hAnsi="仿宋" w:eastAsia="仿宋" w:cs="仿宋"/>
          <w:sz w:val="24"/>
        </w:rPr>
      </w:pPr>
      <w:r>
        <w:rPr>
          <w:rFonts w:hint="eastAsia" w:ascii="仿宋" w:hAnsi="仿宋" w:eastAsia="仿宋" w:cs="仿宋"/>
          <w:sz w:val="24"/>
        </w:rPr>
        <w:t>（1）对可以质疑的谈判文件提出质疑的，为收到谈判文件之日或者谈判文件公告期限届满之日；</w:t>
      </w:r>
    </w:p>
    <w:p w14:paraId="67F5B244">
      <w:pPr>
        <w:spacing w:line="360" w:lineRule="auto"/>
        <w:ind w:firstLine="480" w:firstLineChars="200"/>
        <w:jc w:val="left"/>
        <w:rPr>
          <w:rFonts w:ascii="仿宋" w:hAnsi="仿宋" w:eastAsia="仿宋" w:cs="仿宋"/>
          <w:sz w:val="24"/>
        </w:rPr>
      </w:pPr>
      <w:r>
        <w:rPr>
          <w:rFonts w:hint="eastAsia" w:ascii="仿宋" w:hAnsi="仿宋" w:eastAsia="仿宋" w:cs="仿宋"/>
          <w:sz w:val="24"/>
        </w:rPr>
        <w:t>（2）对采购过程提出质疑的，为各采购程序环节结束之日；</w:t>
      </w:r>
    </w:p>
    <w:p w14:paraId="32844A8F">
      <w:pPr>
        <w:spacing w:line="360" w:lineRule="auto"/>
        <w:ind w:firstLine="480" w:firstLineChars="200"/>
        <w:jc w:val="left"/>
        <w:rPr>
          <w:rFonts w:ascii="仿宋" w:hAnsi="仿宋" w:eastAsia="仿宋" w:cs="仿宋"/>
          <w:sz w:val="24"/>
        </w:rPr>
      </w:pPr>
      <w:r>
        <w:rPr>
          <w:rFonts w:hint="eastAsia" w:ascii="仿宋" w:hAnsi="仿宋" w:eastAsia="仿宋" w:cs="仿宋"/>
          <w:sz w:val="24"/>
        </w:rPr>
        <w:t>（3）对成交结果提出质疑的，为成交结果公告期限届满之日。</w:t>
      </w:r>
    </w:p>
    <w:p w14:paraId="131484C1">
      <w:pPr>
        <w:spacing w:line="360" w:lineRule="auto"/>
        <w:ind w:firstLine="480" w:firstLineChars="200"/>
        <w:jc w:val="left"/>
        <w:rPr>
          <w:rFonts w:ascii="仿宋" w:hAnsi="仿宋" w:eastAsia="仿宋" w:cs="仿宋"/>
          <w:sz w:val="24"/>
        </w:rPr>
      </w:pPr>
      <w:r>
        <w:rPr>
          <w:rFonts w:hint="eastAsia" w:ascii="仿宋" w:hAnsi="仿宋" w:eastAsia="仿宋" w:cs="仿宋"/>
          <w:sz w:val="24"/>
        </w:rPr>
        <w:t>2.2质疑必须按《政府采购法》、《政府采购法实施条例》、中华人民共和国财政部令第94号令《政府采购质疑和投诉办法》及《江苏省政府采购供应商监督管理暂行办法》的相关规定提交，未按上述要求提交的质疑函（含传真、电子邮件等）采购代理机构有权不予受理。</w:t>
      </w:r>
    </w:p>
    <w:p w14:paraId="50950E8B">
      <w:pPr>
        <w:spacing w:line="360" w:lineRule="auto"/>
        <w:ind w:firstLine="480" w:firstLineChars="200"/>
        <w:jc w:val="left"/>
        <w:rPr>
          <w:rFonts w:ascii="仿宋" w:hAnsi="仿宋" w:eastAsia="仿宋" w:cs="仿宋"/>
          <w:sz w:val="24"/>
        </w:rPr>
      </w:pPr>
      <w:r>
        <w:rPr>
          <w:rFonts w:hint="eastAsia" w:ascii="仿宋" w:hAnsi="仿宋" w:eastAsia="仿宋" w:cs="仿宋"/>
          <w:sz w:val="24"/>
        </w:rPr>
        <w:t>2.3未参加谈判采购活动的供应商或在谈判采购活动中自身权益未受到损害的供应商所提出的质疑不予受理。</w:t>
      </w:r>
    </w:p>
    <w:p w14:paraId="488B05A6">
      <w:pPr>
        <w:spacing w:line="360" w:lineRule="auto"/>
        <w:ind w:firstLine="480" w:firstLineChars="200"/>
        <w:jc w:val="left"/>
        <w:rPr>
          <w:rFonts w:ascii="仿宋" w:hAnsi="仿宋" w:eastAsia="仿宋" w:cs="仿宋"/>
          <w:sz w:val="24"/>
        </w:rPr>
      </w:pPr>
      <w:r>
        <w:rPr>
          <w:rFonts w:hint="eastAsia" w:ascii="仿宋" w:hAnsi="仿宋" w:eastAsia="仿宋" w:cs="仿宋"/>
          <w:sz w:val="24"/>
        </w:rPr>
        <w:t>2.4供应商提出质疑应当提交质疑函和必要的证明材料。质疑函应当包括下列内容：</w:t>
      </w:r>
    </w:p>
    <w:p w14:paraId="04A505A0">
      <w:pPr>
        <w:spacing w:line="360" w:lineRule="auto"/>
        <w:ind w:firstLine="480" w:firstLineChars="200"/>
        <w:jc w:val="left"/>
        <w:rPr>
          <w:rFonts w:ascii="仿宋" w:hAnsi="仿宋" w:eastAsia="仿宋" w:cs="仿宋"/>
          <w:sz w:val="24"/>
        </w:rPr>
      </w:pPr>
      <w:r>
        <w:rPr>
          <w:rFonts w:hint="eastAsia" w:ascii="仿宋" w:hAnsi="仿宋" w:eastAsia="仿宋" w:cs="仿宋"/>
          <w:sz w:val="24"/>
        </w:rPr>
        <w:t>（一）供应商的姓名或者名称、地址、邮编、联系人及联系电话；</w:t>
      </w:r>
    </w:p>
    <w:p w14:paraId="6D2C41E6">
      <w:pPr>
        <w:spacing w:line="360" w:lineRule="auto"/>
        <w:ind w:firstLine="480" w:firstLineChars="200"/>
        <w:jc w:val="left"/>
        <w:rPr>
          <w:rFonts w:ascii="仿宋" w:hAnsi="仿宋" w:eastAsia="仿宋" w:cs="仿宋"/>
          <w:sz w:val="24"/>
        </w:rPr>
      </w:pPr>
      <w:r>
        <w:rPr>
          <w:rFonts w:hint="eastAsia" w:ascii="仿宋" w:hAnsi="仿宋" w:eastAsia="仿宋" w:cs="仿宋"/>
          <w:sz w:val="24"/>
        </w:rPr>
        <w:t>（二）质疑项目的名称、编号；</w:t>
      </w:r>
    </w:p>
    <w:p w14:paraId="46F889E2">
      <w:pPr>
        <w:spacing w:line="360" w:lineRule="auto"/>
        <w:ind w:firstLine="480" w:firstLineChars="200"/>
        <w:jc w:val="left"/>
        <w:rPr>
          <w:rFonts w:ascii="仿宋" w:hAnsi="仿宋" w:eastAsia="仿宋" w:cs="仿宋"/>
          <w:sz w:val="24"/>
        </w:rPr>
      </w:pPr>
      <w:r>
        <w:rPr>
          <w:rFonts w:hint="eastAsia" w:ascii="仿宋" w:hAnsi="仿宋" w:eastAsia="仿宋" w:cs="仿宋"/>
          <w:sz w:val="24"/>
        </w:rPr>
        <w:t>（三）具体、明确的质疑事项和与质疑事项相关的请求；</w:t>
      </w:r>
    </w:p>
    <w:p w14:paraId="58A701B3">
      <w:pPr>
        <w:spacing w:line="360" w:lineRule="auto"/>
        <w:ind w:firstLine="480" w:firstLineChars="200"/>
        <w:jc w:val="left"/>
        <w:rPr>
          <w:rFonts w:ascii="仿宋" w:hAnsi="仿宋" w:eastAsia="仿宋" w:cs="仿宋"/>
          <w:sz w:val="24"/>
        </w:rPr>
      </w:pPr>
      <w:r>
        <w:rPr>
          <w:rFonts w:hint="eastAsia" w:ascii="仿宋" w:hAnsi="仿宋" w:eastAsia="仿宋" w:cs="仿宋"/>
          <w:sz w:val="24"/>
        </w:rPr>
        <w:t>（四）事实依据；</w:t>
      </w:r>
    </w:p>
    <w:p w14:paraId="32A6CE71">
      <w:pPr>
        <w:spacing w:line="360" w:lineRule="auto"/>
        <w:ind w:firstLine="480" w:firstLineChars="200"/>
        <w:jc w:val="left"/>
        <w:rPr>
          <w:rFonts w:ascii="仿宋" w:hAnsi="仿宋" w:eastAsia="仿宋" w:cs="仿宋"/>
          <w:sz w:val="24"/>
        </w:rPr>
      </w:pPr>
      <w:r>
        <w:rPr>
          <w:rFonts w:hint="eastAsia" w:ascii="仿宋" w:hAnsi="仿宋" w:eastAsia="仿宋" w:cs="仿宋"/>
          <w:sz w:val="24"/>
        </w:rPr>
        <w:t>（五）必要的法律依据；</w:t>
      </w:r>
    </w:p>
    <w:p w14:paraId="54B3C4F6">
      <w:pPr>
        <w:spacing w:line="360" w:lineRule="auto"/>
        <w:ind w:firstLine="480" w:firstLineChars="200"/>
        <w:jc w:val="left"/>
        <w:rPr>
          <w:rFonts w:ascii="仿宋" w:hAnsi="仿宋" w:eastAsia="仿宋" w:cs="仿宋"/>
          <w:sz w:val="24"/>
        </w:rPr>
      </w:pPr>
      <w:r>
        <w:rPr>
          <w:rFonts w:hint="eastAsia" w:ascii="仿宋" w:hAnsi="仿宋" w:eastAsia="仿宋" w:cs="仿宋"/>
          <w:sz w:val="24"/>
        </w:rPr>
        <w:t>（六）提出质疑的日期。</w:t>
      </w:r>
    </w:p>
    <w:p w14:paraId="00BC662F">
      <w:pPr>
        <w:spacing w:line="360" w:lineRule="auto"/>
        <w:ind w:firstLine="480" w:firstLineChars="200"/>
        <w:jc w:val="left"/>
        <w:rPr>
          <w:rFonts w:ascii="仿宋" w:hAnsi="仿宋" w:eastAsia="仿宋" w:cs="仿宋"/>
          <w:sz w:val="24"/>
        </w:rPr>
      </w:pPr>
      <w:r>
        <w:rPr>
          <w:rFonts w:hint="eastAsia" w:ascii="仿宋" w:hAnsi="仿宋" w:eastAsia="仿宋" w:cs="仿宋"/>
          <w:sz w:val="24"/>
        </w:rPr>
        <w:t>供应商为自然人的，应当由本人签字；供应商为法人或者其他组织的，应当由法定代表人、主要负责人，或者其授权代表签字或者盖章，并加盖公章。</w:t>
      </w:r>
    </w:p>
    <w:p w14:paraId="1DC7F5D0">
      <w:pPr>
        <w:spacing w:line="360" w:lineRule="auto"/>
        <w:ind w:firstLine="480" w:firstLineChars="200"/>
        <w:jc w:val="left"/>
        <w:rPr>
          <w:rFonts w:ascii="仿宋" w:hAnsi="仿宋" w:eastAsia="仿宋" w:cs="仿宋"/>
          <w:sz w:val="24"/>
        </w:rPr>
      </w:pPr>
      <w:r>
        <w:rPr>
          <w:rFonts w:hint="eastAsia" w:ascii="仿宋" w:hAnsi="仿宋" w:eastAsia="仿宋" w:cs="仿宋"/>
          <w:sz w:val="24"/>
        </w:rPr>
        <w:t>2.5采购代理机构将在收到参加供应商的书面质疑后七个工作日内作出答复，并以书面形式通知质疑供应商和其他相关供应商，答复的内容不涉及商业秘密。</w:t>
      </w:r>
    </w:p>
    <w:p w14:paraId="620F9494">
      <w:pPr>
        <w:spacing w:line="360" w:lineRule="auto"/>
        <w:ind w:firstLine="480" w:firstLineChars="200"/>
        <w:jc w:val="left"/>
        <w:rPr>
          <w:rFonts w:ascii="仿宋" w:hAnsi="仿宋" w:eastAsia="仿宋" w:cs="仿宋"/>
          <w:sz w:val="24"/>
        </w:rPr>
      </w:pPr>
      <w:r>
        <w:rPr>
          <w:rFonts w:hint="eastAsia" w:ascii="仿宋" w:hAnsi="仿宋" w:eastAsia="仿宋" w:cs="仿宋"/>
          <w:sz w:val="24"/>
        </w:rPr>
        <w:t>2.6供应商提出书面质疑必须有理、有据，不得恶意质疑或提交虚假质疑。否则，一经查实，采购代理机构有权依据政府采购的有关规定，报请政府采购监管部门对该供应商进行相应的行政处罚。</w:t>
      </w:r>
    </w:p>
    <w:p w14:paraId="0DB3EA57">
      <w:pPr>
        <w:pStyle w:val="4"/>
        <w:numPr>
          <w:ilvl w:val="0"/>
          <w:numId w:val="6"/>
        </w:numPr>
        <w:spacing w:line="360" w:lineRule="auto"/>
        <w:jc w:val="left"/>
        <w:rPr>
          <w:rFonts w:ascii="仿宋" w:hAnsi="仿宋" w:eastAsia="仿宋" w:cs="仿宋"/>
          <w:b/>
          <w:bCs w:val="0"/>
        </w:rPr>
      </w:pPr>
      <w:bookmarkStart w:id="105" w:name="_Toc874"/>
      <w:bookmarkStart w:id="106" w:name="_Toc19041"/>
      <w:r>
        <w:rPr>
          <w:rFonts w:hint="eastAsia" w:ascii="仿宋" w:hAnsi="仿宋" w:eastAsia="仿宋" w:cs="仿宋"/>
          <w:b/>
          <w:bCs w:val="0"/>
        </w:rPr>
        <w:t>合同签订相关事项</w:t>
      </w:r>
      <w:bookmarkEnd w:id="101"/>
      <w:bookmarkEnd w:id="105"/>
      <w:bookmarkEnd w:id="106"/>
    </w:p>
    <w:p w14:paraId="6BFF0B4E">
      <w:pPr>
        <w:spacing w:line="360" w:lineRule="auto"/>
        <w:ind w:firstLine="480" w:firstLineChars="200"/>
        <w:jc w:val="left"/>
        <w:rPr>
          <w:rFonts w:ascii="仿宋" w:hAnsi="仿宋" w:eastAsia="仿宋" w:cs="仿宋"/>
          <w:sz w:val="24"/>
        </w:rPr>
      </w:pPr>
      <w:r>
        <w:rPr>
          <w:rFonts w:hint="eastAsia" w:ascii="仿宋" w:hAnsi="仿宋" w:eastAsia="仿宋" w:cs="仿宋"/>
          <w:sz w:val="24"/>
        </w:rPr>
        <w:t>1、签订合同</w:t>
      </w:r>
    </w:p>
    <w:p w14:paraId="53A96C18">
      <w:pPr>
        <w:spacing w:line="360" w:lineRule="auto"/>
        <w:ind w:firstLine="480" w:firstLineChars="200"/>
        <w:jc w:val="left"/>
        <w:rPr>
          <w:rFonts w:ascii="仿宋" w:hAnsi="仿宋" w:eastAsia="仿宋" w:cs="仿宋"/>
          <w:sz w:val="24"/>
        </w:rPr>
      </w:pPr>
      <w:r>
        <w:rPr>
          <w:rFonts w:hint="eastAsia" w:ascii="仿宋" w:hAnsi="仿宋" w:eastAsia="仿宋" w:cs="仿宋"/>
          <w:sz w:val="24"/>
        </w:rPr>
        <w:t>1.l成交供应商确定后，采购代理机构将向成交供应商发出成交通知书。成交供应商应按成交通知书规定的时间、地点,按照谈判文件确定的事项与采购人签订政府采购合同，且不得迟于成交通知书发出之日起三十日内，由此给采购人造成损失的，成交供应商还应承担赔偿责任。</w:t>
      </w:r>
    </w:p>
    <w:p w14:paraId="78BE679F">
      <w:pPr>
        <w:spacing w:line="360" w:lineRule="auto"/>
        <w:ind w:firstLine="480" w:firstLineChars="200"/>
        <w:jc w:val="left"/>
        <w:rPr>
          <w:rFonts w:ascii="仿宋" w:hAnsi="仿宋" w:eastAsia="仿宋" w:cs="仿宋"/>
          <w:sz w:val="24"/>
        </w:rPr>
      </w:pPr>
      <w:r>
        <w:rPr>
          <w:rFonts w:hint="eastAsia" w:ascii="仿宋" w:hAnsi="仿宋" w:eastAsia="仿宋" w:cs="仿宋"/>
          <w:sz w:val="24"/>
        </w:rPr>
        <w:t>1.2 谈判文件、成交供应商的响应文件及谈判采购过程中有关澄清、承诺文件均应作为合同附件。</w:t>
      </w:r>
    </w:p>
    <w:p w14:paraId="2CC97F44">
      <w:pPr>
        <w:spacing w:line="360" w:lineRule="auto"/>
        <w:ind w:firstLine="480" w:firstLineChars="200"/>
        <w:jc w:val="left"/>
        <w:rPr>
          <w:rFonts w:ascii="仿宋" w:hAnsi="仿宋" w:eastAsia="仿宋" w:cs="仿宋"/>
          <w:sz w:val="24"/>
        </w:rPr>
      </w:pPr>
      <w:r>
        <w:rPr>
          <w:rFonts w:hint="eastAsia" w:ascii="仿宋" w:hAnsi="仿宋" w:eastAsia="仿宋" w:cs="仿宋"/>
          <w:sz w:val="24"/>
        </w:rPr>
        <w:t>1.3 签订合同后，成交供应商不得将成交产品或服务进行转包。未经采购人同意，成交供应商也不得采用分包的形式履行合同，否则采购人有权终止合同。转包或分包造成采购人损失的，成交供应商应承担相应赔偿责任。</w:t>
      </w:r>
    </w:p>
    <w:p w14:paraId="45359DA5">
      <w:pPr>
        <w:spacing w:line="360" w:lineRule="auto"/>
        <w:ind w:firstLine="480" w:firstLineChars="200"/>
        <w:jc w:val="left"/>
        <w:rPr>
          <w:rFonts w:ascii="仿宋" w:hAnsi="仿宋" w:eastAsia="仿宋" w:cs="仿宋"/>
          <w:sz w:val="24"/>
        </w:rPr>
      </w:pPr>
      <w:r>
        <w:rPr>
          <w:rFonts w:hint="eastAsia" w:ascii="仿宋" w:hAnsi="仿宋" w:eastAsia="仿宋" w:cs="仿宋"/>
          <w:sz w:val="24"/>
        </w:rPr>
        <w:t>2、履约保证金</w:t>
      </w:r>
    </w:p>
    <w:bookmarkEnd w:id="102"/>
    <w:bookmarkEnd w:id="103"/>
    <w:bookmarkEnd w:id="104"/>
    <w:p w14:paraId="1B018ADD">
      <w:pPr>
        <w:spacing w:line="360" w:lineRule="auto"/>
        <w:ind w:firstLine="480" w:firstLineChars="200"/>
        <w:jc w:val="left"/>
        <w:rPr>
          <w:rFonts w:ascii="仿宋" w:hAnsi="仿宋" w:eastAsia="仿宋" w:cs="仿宋"/>
          <w:sz w:val="24"/>
        </w:rPr>
      </w:pPr>
      <w:r>
        <w:rPr>
          <w:rFonts w:hint="eastAsia" w:ascii="仿宋" w:hAnsi="仿宋" w:eastAsia="仿宋" w:cs="仿宋"/>
          <w:sz w:val="24"/>
        </w:rPr>
        <w:t>由采购人根据合同收取。</w:t>
      </w:r>
    </w:p>
    <w:p w14:paraId="15515561">
      <w:pPr>
        <w:pStyle w:val="3"/>
        <w:numPr>
          <w:ilvl w:val="0"/>
          <w:numId w:val="1"/>
        </w:numPr>
        <w:jc w:val="center"/>
        <w:rPr>
          <w:rFonts w:ascii="仿宋" w:hAnsi="仿宋" w:eastAsia="仿宋" w:cs="仿宋"/>
          <w:sz w:val="48"/>
          <w:szCs w:val="48"/>
        </w:rPr>
        <w:sectPr>
          <w:footerReference r:id="rId9" w:type="first"/>
          <w:headerReference r:id="rId7" w:type="default"/>
          <w:footerReference r:id="rId8" w:type="default"/>
          <w:pgSz w:w="11906" w:h="16838"/>
          <w:pgMar w:top="1440" w:right="1080" w:bottom="1440" w:left="1080" w:header="851" w:footer="992" w:gutter="0"/>
          <w:pgNumType w:start="1"/>
          <w:cols w:space="425" w:num="1"/>
          <w:titlePg/>
          <w:docGrid w:type="lines" w:linePitch="312" w:charSpace="0"/>
        </w:sectPr>
      </w:pPr>
    </w:p>
    <w:bookmarkEnd w:id="20"/>
    <w:bookmarkEnd w:id="21"/>
    <w:p w14:paraId="632ECE82">
      <w:pPr>
        <w:pStyle w:val="3"/>
        <w:numPr>
          <w:ilvl w:val="0"/>
          <w:numId w:val="1"/>
        </w:numPr>
        <w:jc w:val="center"/>
        <w:rPr>
          <w:rFonts w:ascii="仿宋" w:hAnsi="仿宋" w:eastAsia="仿宋" w:cs="仿宋"/>
          <w:sz w:val="48"/>
          <w:szCs w:val="48"/>
        </w:rPr>
      </w:pPr>
      <w:bookmarkStart w:id="107" w:name="_Toc25170481"/>
      <w:bookmarkStart w:id="108" w:name="_Toc2810"/>
      <w:bookmarkStart w:id="109" w:name="_Toc22025"/>
      <w:bookmarkStart w:id="110" w:name="_Toc12478"/>
      <w:bookmarkStart w:id="111" w:name="_Toc14553"/>
      <w:bookmarkStart w:id="112" w:name="_Toc13783"/>
      <w:bookmarkStart w:id="113" w:name="_Toc11425"/>
      <w:bookmarkStart w:id="114" w:name="_Toc31735"/>
      <w:bookmarkStart w:id="115" w:name="_Toc10085"/>
      <w:bookmarkStart w:id="116" w:name="_Toc78882135"/>
      <w:bookmarkStart w:id="117" w:name="_Toc76893581"/>
      <w:bookmarkStart w:id="118" w:name="_Toc5998"/>
      <w:r>
        <w:rPr>
          <w:rFonts w:hint="eastAsia" w:ascii="仿宋" w:hAnsi="仿宋" w:eastAsia="仿宋" w:cs="仿宋"/>
          <w:sz w:val="48"/>
          <w:szCs w:val="48"/>
        </w:rPr>
        <w:t>合同条款及格式</w:t>
      </w:r>
      <w:bookmarkEnd w:id="107"/>
      <w:bookmarkEnd w:id="108"/>
      <w:bookmarkEnd w:id="109"/>
      <w:bookmarkEnd w:id="110"/>
      <w:bookmarkEnd w:id="111"/>
      <w:bookmarkEnd w:id="112"/>
      <w:bookmarkEnd w:id="113"/>
    </w:p>
    <w:p w14:paraId="280CF898">
      <w:pPr>
        <w:wordWrap w:val="0"/>
        <w:autoSpaceDE w:val="0"/>
        <w:autoSpaceDN w:val="0"/>
        <w:adjustRightInd w:val="0"/>
        <w:snapToGrid w:val="0"/>
        <w:spacing w:line="360" w:lineRule="auto"/>
        <w:ind w:firstLine="360" w:firstLineChars="15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以下为成交后签定本项目合同的通用条款，采购当事人不得提出实质性的修改，关于专用条款将由采购人与成交人结合本项目具体情况协商后签订。</w:t>
      </w:r>
    </w:p>
    <w:p w14:paraId="3E5E6607">
      <w:pPr>
        <w:spacing w:line="360" w:lineRule="auto"/>
        <w:jc w:val="left"/>
        <w:rPr>
          <w:rFonts w:ascii="仿宋" w:hAnsi="仿宋" w:eastAsia="仿宋" w:cs="仿宋"/>
          <w:sz w:val="32"/>
          <w:szCs w:val="32"/>
        </w:rPr>
      </w:pPr>
      <w:r>
        <w:rPr>
          <w:rFonts w:hint="eastAsia" w:ascii="仿宋" w:hAnsi="仿宋" w:eastAsia="仿宋" w:cs="仿宋"/>
          <w:bCs/>
          <w:color w:val="000000" w:themeColor="text1"/>
          <w:sz w:val="24"/>
          <w:szCs w:val="24"/>
          <w14:textFill>
            <w14:solidFill>
              <w14:schemeClr w14:val="tx1"/>
            </w14:solidFill>
          </w14:textFill>
        </w:rPr>
        <w:t>项目名称：项目编号：</w:t>
      </w:r>
    </w:p>
    <w:p w14:paraId="1951226C">
      <w:pPr>
        <w:rPr>
          <w:rFonts w:ascii="仿宋" w:hAnsi="仿宋" w:eastAsia="仿宋" w:cs="仿宋"/>
          <w:color w:val="auto"/>
          <w:sz w:val="24"/>
          <w:highlight w:val="none"/>
        </w:rPr>
      </w:pPr>
    </w:p>
    <w:p w14:paraId="4CF74C63">
      <w:pPr>
        <w:snapToGrid w:val="0"/>
        <w:spacing w:line="360" w:lineRule="auto"/>
        <w:ind w:firstLine="360" w:firstLineChars="150"/>
        <w:textAlignment w:val="baseline"/>
        <w:rPr>
          <w:rFonts w:hint="eastAsia" w:ascii="仿宋" w:hAnsi="仿宋" w:eastAsia="仿宋" w:cs="仿宋"/>
          <w:sz w:val="24"/>
          <w:szCs w:val="24"/>
          <w:u w:val="single"/>
          <w:lang w:eastAsia="zh-CN"/>
        </w:rPr>
      </w:pPr>
      <w:r>
        <w:rPr>
          <w:rFonts w:hint="eastAsia" w:ascii="仿宋" w:hAnsi="仿宋" w:eastAsia="仿宋" w:cs="仿宋"/>
          <w:color w:val="auto"/>
          <w:sz w:val="24"/>
          <w:szCs w:val="24"/>
          <w:highlight w:val="none"/>
        </w:rPr>
        <w:t>甲方：（采购人）</w:t>
      </w:r>
      <w:r>
        <w:rPr>
          <w:rFonts w:hint="eastAsia" w:ascii="仿宋" w:hAnsi="仿宋" w:eastAsia="仿宋" w:cs="仿宋"/>
          <w:color w:val="auto"/>
          <w:sz w:val="24"/>
          <w:szCs w:val="24"/>
          <w:highlight w:val="none"/>
          <w:u w:val="single"/>
          <w:lang w:eastAsia="zh-CN"/>
        </w:rPr>
        <w:t>南京市秦淮区人民政府大光路</w:t>
      </w:r>
      <w:r>
        <w:rPr>
          <w:rFonts w:hint="eastAsia" w:ascii="仿宋" w:hAnsi="仿宋" w:eastAsia="仿宋" w:cs="仿宋"/>
          <w:color w:val="auto"/>
          <w:sz w:val="24"/>
          <w:szCs w:val="24"/>
          <w:highlight w:val="none"/>
          <w:u w:val="single"/>
          <w:lang w:val="en-US" w:eastAsia="zh-CN"/>
        </w:rPr>
        <w:t>街道</w:t>
      </w:r>
      <w:r>
        <w:rPr>
          <w:rFonts w:hint="eastAsia" w:ascii="仿宋" w:hAnsi="仿宋" w:eastAsia="仿宋" w:cs="仿宋"/>
          <w:color w:val="auto"/>
          <w:sz w:val="24"/>
          <w:szCs w:val="24"/>
          <w:highlight w:val="none"/>
          <w:u w:val="single"/>
          <w:lang w:eastAsia="zh-CN"/>
        </w:rPr>
        <w:t>办</w:t>
      </w:r>
      <w:r>
        <w:rPr>
          <w:rFonts w:hint="eastAsia" w:ascii="仿宋" w:hAnsi="仿宋" w:eastAsia="仿宋" w:cs="仿宋"/>
          <w:sz w:val="24"/>
          <w:szCs w:val="24"/>
          <w:u w:val="single"/>
          <w:lang w:eastAsia="zh-CN"/>
        </w:rPr>
        <w:t>事处</w:t>
      </w:r>
    </w:p>
    <w:p w14:paraId="39F18232">
      <w:pPr>
        <w:snapToGrid w:val="0"/>
        <w:spacing w:line="360" w:lineRule="auto"/>
        <w:ind w:firstLine="360" w:firstLineChars="150"/>
        <w:textAlignment w:val="baseline"/>
        <w:rPr>
          <w:rFonts w:ascii="仿宋" w:hAnsi="仿宋" w:eastAsia="仿宋" w:cs="仿宋"/>
          <w:sz w:val="24"/>
          <w:szCs w:val="24"/>
        </w:rPr>
      </w:pPr>
      <w:r>
        <w:rPr>
          <w:rFonts w:hint="eastAsia" w:ascii="仿宋" w:hAnsi="仿宋" w:eastAsia="仿宋" w:cs="仿宋"/>
          <w:sz w:val="24"/>
          <w:szCs w:val="24"/>
        </w:rPr>
        <w:t>乙方：（供应商）_________</w:t>
      </w:r>
    </w:p>
    <w:p w14:paraId="374C2EF2">
      <w:pPr>
        <w:snapToGrid w:val="0"/>
        <w:spacing w:line="360" w:lineRule="auto"/>
        <w:ind w:firstLine="360" w:firstLineChars="150"/>
        <w:textAlignment w:val="baseline"/>
        <w:rPr>
          <w:rFonts w:hint="eastAsia" w:ascii="仿宋" w:hAnsi="仿宋" w:eastAsia="仿宋" w:cs="仿宋"/>
          <w:sz w:val="24"/>
          <w:szCs w:val="24"/>
          <w:lang w:eastAsia="zh-CN"/>
        </w:rPr>
      </w:pPr>
      <w:r>
        <w:rPr>
          <w:rFonts w:hint="eastAsia" w:ascii="仿宋" w:hAnsi="仿宋" w:eastAsia="仿宋" w:cs="仿宋"/>
          <w:sz w:val="24"/>
          <w:szCs w:val="24"/>
        </w:rPr>
        <w:t>见证方：</w:t>
      </w:r>
      <w:r>
        <w:rPr>
          <w:rFonts w:hint="eastAsia" w:ascii="仿宋" w:hAnsi="仿宋" w:eastAsia="仿宋" w:cs="仿宋"/>
          <w:sz w:val="24"/>
          <w:szCs w:val="24"/>
          <w:lang w:eastAsia="zh-CN"/>
        </w:rPr>
        <w:t>南京达琛鑫工程咨询有限公司</w:t>
      </w:r>
    </w:p>
    <w:p w14:paraId="4808DCAD">
      <w:pPr>
        <w:snapToGrid w:val="0"/>
        <w:spacing w:line="360" w:lineRule="auto"/>
        <w:ind w:firstLine="480" w:firstLineChars="200"/>
        <w:textAlignment w:val="baseline"/>
        <w:rPr>
          <w:rFonts w:ascii="仿宋" w:hAnsi="仿宋" w:eastAsia="仿宋" w:cs="仿宋"/>
          <w:sz w:val="24"/>
          <w:szCs w:val="24"/>
        </w:rPr>
      </w:pPr>
      <w:r>
        <w:rPr>
          <w:rFonts w:hint="eastAsia" w:ascii="仿宋" w:hAnsi="仿宋" w:eastAsia="仿宋" w:cs="仿宋"/>
          <w:sz w:val="24"/>
          <w:szCs w:val="24"/>
        </w:rPr>
        <w:t>甲、乙双方根据</w:t>
      </w:r>
      <w:r>
        <w:rPr>
          <w:rFonts w:hint="eastAsia" w:ascii="仿宋" w:hAnsi="仿宋" w:eastAsia="仿宋" w:cs="仿宋"/>
          <w:sz w:val="24"/>
          <w:szCs w:val="24"/>
          <w:lang w:eastAsia="zh-CN"/>
        </w:rPr>
        <w:t>南京达琛鑫工程咨询有限公司</w:t>
      </w:r>
      <w:r>
        <w:rPr>
          <w:rFonts w:hint="eastAsia" w:ascii="仿宋" w:hAnsi="仿宋" w:eastAsia="仿宋" w:cs="仿宋"/>
          <w:sz w:val="24"/>
          <w:szCs w:val="24"/>
        </w:rPr>
        <w:t>的</w:t>
      </w:r>
      <w:r>
        <w:rPr>
          <w:rFonts w:hint="eastAsia" w:ascii="仿宋" w:hAnsi="仿宋" w:eastAsia="仿宋" w:cs="仿宋"/>
          <w:sz w:val="24"/>
          <w:szCs w:val="24"/>
          <w:lang w:eastAsia="zh-CN"/>
        </w:rPr>
        <w:t>2026年保安服务外包项目</w:t>
      </w:r>
      <w:r>
        <w:rPr>
          <w:rFonts w:hint="eastAsia" w:ascii="仿宋" w:hAnsi="仿宋" w:eastAsia="仿宋" w:cs="仿宋"/>
          <w:sz w:val="24"/>
          <w:szCs w:val="24"/>
        </w:rPr>
        <w:t>竞争性谈判的结果，签署本合同。</w:t>
      </w:r>
    </w:p>
    <w:p w14:paraId="2268C0B2">
      <w:pPr>
        <w:snapToGrid w:val="0"/>
        <w:spacing w:line="360" w:lineRule="auto"/>
        <w:ind w:firstLine="480" w:firstLineChars="200"/>
        <w:textAlignment w:val="baseline"/>
        <w:rPr>
          <w:rFonts w:ascii="仿宋" w:hAnsi="仿宋" w:eastAsia="仿宋" w:cs="仿宋"/>
          <w:sz w:val="24"/>
          <w:szCs w:val="24"/>
        </w:rPr>
      </w:pPr>
      <w:r>
        <w:rPr>
          <w:rFonts w:hint="eastAsia" w:ascii="仿宋" w:hAnsi="仿宋" w:eastAsia="仿宋" w:cs="仿宋"/>
          <w:sz w:val="24"/>
          <w:szCs w:val="24"/>
        </w:rPr>
        <w:t>以下为成交后签定本项目合同的通用条款，成交人不得提出实质性的修改，关于专用条款将由采购人与成交人结合本项目具体情况协商后签订。</w:t>
      </w:r>
    </w:p>
    <w:p w14:paraId="7168B034">
      <w:pPr>
        <w:snapToGrid w:val="0"/>
        <w:spacing w:line="360" w:lineRule="auto"/>
        <w:ind w:firstLine="480" w:firstLineChars="200"/>
        <w:textAlignment w:val="baseline"/>
        <w:rPr>
          <w:rFonts w:ascii="仿宋" w:hAnsi="仿宋" w:eastAsia="仿宋" w:cs="仿宋"/>
          <w:sz w:val="24"/>
          <w:szCs w:val="24"/>
        </w:rPr>
      </w:pPr>
      <w:r>
        <w:rPr>
          <w:rFonts w:hint="eastAsia" w:ascii="仿宋" w:hAnsi="仿宋" w:eastAsia="仿宋" w:cs="仿宋"/>
          <w:sz w:val="24"/>
          <w:szCs w:val="24"/>
        </w:rPr>
        <w:t>1．合同文件</w:t>
      </w:r>
    </w:p>
    <w:p w14:paraId="0631FC5A">
      <w:pPr>
        <w:snapToGrid w:val="0"/>
        <w:spacing w:line="360" w:lineRule="auto"/>
        <w:ind w:firstLine="360" w:firstLineChars="150"/>
        <w:textAlignment w:val="baseline"/>
        <w:rPr>
          <w:rFonts w:ascii="仿宋" w:hAnsi="仿宋" w:eastAsia="仿宋" w:cs="仿宋"/>
          <w:sz w:val="24"/>
          <w:szCs w:val="24"/>
        </w:rPr>
      </w:pPr>
      <w:r>
        <w:rPr>
          <w:rFonts w:hint="eastAsia" w:ascii="仿宋" w:hAnsi="仿宋" w:eastAsia="仿宋" w:cs="仿宋"/>
          <w:sz w:val="24"/>
          <w:szCs w:val="24"/>
        </w:rPr>
        <w:t>下列关于</w:t>
      </w:r>
      <w:r>
        <w:rPr>
          <w:rFonts w:hint="eastAsia" w:ascii="仿宋" w:hAnsi="仿宋" w:eastAsia="仿宋" w:cs="仿宋"/>
          <w:sz w:val="24"/>
          <w:szCs w:val="24"/>
          <w:lang w:eastAsia="zh-CN"/>
        </w:rPr>
        <w:t>南京达琛鑫工程咨询有限公司</w:t>
      </w:r>
      <w:r>
        <w:rPr>
          <w:rFonts w:hint="eastAsia" w:ascii="仿宋" w:hAnsi="仿宋" w:eastAsia="仿宋" w:cs="仿宋"/>
          <w:sz w:val="24"/>
          <w:szCs w:val="24"/>
          <w:u w:val="single"/>
          <w:lang w:eastAsia="zh-CN"/>
        </w:rPr>
        <w:t>NJDCX-202512051928</w:t>
      </w:r>
      <w:r>
        <w:rPr>
          <w:rFonts w:hint="eastAsia" w:ascii="仿宋" w:hAnsi="仿宋" w:eastAsia="仿宋" w:cs="仿宋"/>
          <w:sz w:val="24"/>
          <w:szCs w:val="24"/>
        </w:rPr>
        <w:t>号的谈判文件、响应文件是构成本合同不可分割的部分：</w:t>
      </w:r>
    </w:p>
    <w:p w14:paraId="11C697CF">
      <w:pPr>
        <w:snapToGrid w:val="0"/>
        <w:spacing w:line="360" w:lineRule="auto"/>
        <w:ind w:firstLine="360" w:firstLineChars="150"/>
        <w:textAlignment w:val="baseline"/>
        <w:rPr>
          <w:rFonts w:ascii="仿宋" w:hAnsi="仿宋" w:eastAsia="仿宋" w:cs="仿宋"/>
          <w:sz w:val="24"/>
          <w:szCs w:val="24"/>
        </w:rPr>
      </w:pPr>
      <w:r>
        <w:rPr>
          <w:rFonts w:hint="eastAsia" w:ascii="仿宋" w:hAnsi="仿宋" w:eastAsia="仿宋" w:cs="仿宋"/>
          <w:sz w:val="24"/>
          <w:szCs w:val="24"/>
        </w:rPr>
        <w:t>（1）合同条款；</w:t>
      </w:r>
    </w:p>
    <w:p w14:paraId="0618B2ED">
      <w:pPr>
        <w:snapToGrid w:val="0"/>
        <w:spacing w:line="360" w:lineRule="auto"/>
        <w:ind w:firstLine="360" w:firstLineChars="150"/>
        <w:textAlignment w:val="baseline"/>
        <w:rPr>
          <w:rFonts w:ascii="仿宋" w:hAnsi="仿宋" w:eastAsia="仿宋" w:cs="仿宋"/>
          <w:sz w:val="24"/>
          <w:szCs w:val="24"/>
        </w:rPr>
      </w:pPr>
      <w:r>
        <w:rPr>
          <w:rFonts w:hint="eastAsia" w:ascii="仿宋" w:hAnsi="仿宋" w:eastAsia="仿宋" w:cs="仿宋"/>
          <w:sz w:val="24"/>
          <w:szCs w:val="24"/>
        </w:rPr>
        <w:t>（2）供应商提交的响应文件；</w:t>
      </w:r>
    </w:p>
    <w:p w14:paraId="5D7DB918">
      <w:pPr>
        <w:snapToGrid w:val="0"/>
        <w:spacing w:line="360" w:lineRule="auto"/>
        <w:ind w:firstLine="360" w:firstLineChars="150"/>
        <w:textAlignment w:val="baseline"/>
        <w:rPr>
          <w:rFonts w:ascii="仿宋" w:hAnsi="仿宋" w:eastAsia="仿宋" w:cs="仿宋"/>
          <w:sz w:val="24"/>
          <w:szCs w:val="24"/>
        </w:rPr>
      </w:pPr>
      <w:r>
        <w:rPr>
          <w:rFonts w:hint="eastAsia" w:ascii="仿宋" w:hAnsi="仿宋" w:eastAsia="仿宋" w:cs="仿宋"/>
          <w:sz w:val="24"/>
          <w:szCs w:val="24"/>
        </w:rPr>
        <w:t>（3）成交通知书。</w:t>
      </w:r>
    </w:p>
    <w:p w14:paraId="4462ED5A">
      <w:pPr>
        <w:snapToGrid w:val="0"/>
        <w:spacing w:line="360" w:lineRule="auto"/>
        <w:ind w:firstLine="360" w:firstLineChars="150"/>
        <w:textAlignment w:val="baseline"/>
        <w:rPr>
          <w:rFonts w:ascii="仿宋" w:hAnsi="仿宋" w:eastAsia="仿宋" w:cs="仿宋"/>
          <w:sz w:val="24"/>
          <w:szCs w:val="24"/>
        </w:rPr>
      </w:pPr>
      <w:r>
        <w:rPr>
          <w:rFonts w:hint="eastAsia" w:ascii="仿宋" w:hAnsi="仿宋" w:eastAsia="仿宋" w:cs="仿宋"/>
          <w:sz w:val="24"/>
          <w:szCs w:val="24"/>
        </w:rPr>
        <w:t>合同文件是一个整体，其内容互为补充。如有意义不明确，由业主和见证方负责解释。</w:t>
      </w:r>
    </w:p>
    <w:p w14:paraId="4AD19354">
      <w:pPr>
        <w:snapToGrid w:val="0"/>
        <w:spacing w:line="360" w:lineRule="auto"/>
        <w:ind w:firstLine="360" w:firstLineChars="150"/>
        <w:textAlignment w:val="baseline"/>
        <w:rPr>
          <w:rFonts w:ascii="仿宋" w:hAnsi="仿宋" w:eastAsia="仿宋" w:cs="仿宋"/>
          <w:sz w:val="24"/>
          <w:szCs w:val="24"/>
        </w:rPr>
      </w:pPr>
      <w:r>
        <w:rPr>
          <w:rFonts w:hint="eastAsia" w:ascii="仿宋" w:hAnsi="仿宋" w:eastAsia="仿宋" w:cs="仿宋"/>
          <w:sz w:val="24"/>
          <w:szCs w:val="24"/>
        </w:rPr>
        <w:t>　2．合同范围和条件</w:t>
      </w:r>
    </w:p>
    <w:p w14:paraId="6791F0DD">
      <w:pPr>
        <w:snapToGrid w:val="0"/>
        <w:spacing w:line="360" w:lineRule="auto"/>
        <w:ind w:firstLine="360" w:firstLineChars="15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（1）项目名称：2026年保安服务外包项目；</w:t>
      </w:r>
    </w:p>
    <w:p w14:paraId="0D58BA01">
      <w:pPr>
        <w:snapToGrid w:val="0"/>
        <w:spacing w:line="360" w:lineRule="auto"/>
        <w:ind w:firstLine="360" w:firstLineChars="15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（2）采购内容：南京市秦淮区人民政府大光</w:t>
      </w:r>
      <w:r>
        <w:rPr>
          <w:rFonts w:hint="eastAsia" w:ascii="仿宋" w:hAnsi="仿宋" w:eastAsia="仿宋" w:cs="仿宋"/>
          <w:color w:val="auto"/>
          <w:sz w:val="24"/>
          <w:szCs w:val="24"/>
          <w:highlight w:val="none"/>
          <w:lang w:val="en-US" w:eastAsia="zh-CN"/>
        </w:rPr>
        <w:t>路街道办事处拟采购2026年度秦淮区大光路街道办事处安保服务。。</w:t>
      </w:r>
    </w:p>
    <w:p w14:paraId="286B5850">
      <w:pPr>
        <w:snapToGrid w:val="0"/>
        <w:spacing w:line="360" w:lineRule="auto"/>
        <w:ind w:firstLine="360" w:firstLineChars="150"/>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（3）实施地点: 采购人指定的地点。</w:t>
      </w:r>
    </w:p>
    <w:p w14:paraId="2426F8EB">
      <w:pPr>
        <w:snapToGrid w:val="0"/>
        <w:spacing w:line="360" w:lineRule="auto"/>
        <w:ind w:firstLine="360" w:firstLineChars="150"/>
        <w:textAlignment w:val="baseline"/>
        <w:rPr>
          <w:rFonts w:ascii="仿宋" w:hAnsi="仿宋" w:eastAsia="仿宋" w:cs="仿宋"/>
          <w:sz w:val="24"/>
          <w:szCs w:val="24"/>
        </w:rPr>
      </w:pPr>
      <w:r>
        <w:rPr>
          <w:rFonts w:hint="eastAsia" w:ascii="仿宋" w:hAnsi="仿宋" w:eastAsia="仿宋" w:cs="仿宋"/>
          <w:sz w:val="24"/>
          <w:szCs w:val="24"/>
        </w:rPr>
        <w:t>　3．合同内容</w:t>
      </w:r>
    </w:p>
    <w:p w14:paraId="6F72E537">
      <w:pPr>
        <w:snapToGrid w:val="0"/>
        <w:spacing w:line="360" w:lineRule="auto"/>
        <w:ind w:firstLine="600" w:firstLineChars="250"/>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秦淮区大光路街道办事处</w:t>
      </w:r>
      <w:r>
        <w:rPr>
          <w:rFonts w:hint="eastAsia" w:ascii="仿宋" w:hAnsi="仿宋" w:eastAsia="仿宋" w:cs="仿宋"/>
          <w:sz w:val="24"/>
          <w:szCs w:val="24"/>
        </w:rPr>
        <w:t>安保服务（202</w:t>
      </w:r>
      <w:r>
        <w:rPr>
          <w:rFonts w:hint="eastAsia" w:ascii="仿宋" w:hAnsi="仿宋" w:eastAsia="仿宋" w:cs="仿宋"/>
          <w:sz w:val="24"/>
          <w:szCs w:val="24"/>
          <w:lang w:val="en-US" w:eastAsia="zh-CN"/>
        </w:rPr>
        <w:t>6</w:t>
      </w:r>
      <w:r>
        <w:rPr>
          <w:rFonts w:hint="eastAsia" w:ascii="仿宋" w:hAnsi="仿宋" w:eastAsia="仿宋" w:cs="仿宋"/>
          <w:sz w:val="24"/>
          <w:szCs w:val="24"/>
        </w:rPr>
        <w:t>年度）</w:t>
      </w:r>
    </w:p>
    <w:p w14:paraId="41C3EEE9">
      <w:pPr>
        <w:snapToGrid w:val="0"/>
        <w:spacing w:line="360" w:lineRule="auto"/>
        <w:ind w:firstLine="360" w:firstLineChars="150"/>
        <w:textAlignment w:val="baseline"/>
        <w:rPr>
          <w:rFonts w:ascii="仿宋" w:hAnsi="仿宋" w:eastAsia="仿宋" w:cs="仿宋"/>
          <w:sz w:val="24"/>
          <w:szCs w:val="24"/>
        </w:rPr>
      </w:pPr>
      <w:r>
        <w:rPr>
          <w:rFonts w:hint="eastAsia" w:ascii="仿宋" w:hAnsi="仿宋" w:eastAsia="仿宋" w:cs="仿宋"/>
          <w:sz w:val="24"/>
          <w:szCs w:val="24"/>
        </w:rPr>
        <w:t>　4．合同金额</w:t>
      </w:r>
    </w:p>
    <w:p w14:paraId="338BE37D">
      <w:pPr>
        <w:snapToGrid w:val="0"/>
        <w:spacing w:line="360" w:lineRule="auto"/>
        <w:ind w:firstLine="360" w:firstLineChars="150"/>
        <w:textAlignment w:val="baseline"/>
        <w:rPr>
          <w:rFonts w:ascii="仿宋" w:hAnsi="仿宋" w:eastAsia="仿宋" w:cs="仿宋"/>
          <w:sz w:val="24"/>
          <w:szCs w:val="24"/>
        </w:rPr>
      </w:pPr>
      <w:r>
        <w:rPr>
          <w:rFonts w:hint="eastAsia" w:ascii="仿宋" w:hAnsi="仿宋" w:eastAsia="仿宋" w:cs="仿宋"/>
          <w:sz w:val="24"/>
          <w:szCs w:val="24"/>
        </w:rPr>
        <w:t>根据上述合同文件要求，合同总金额（大写）为           ，分项价格在报价表中有明确规定。合同执行过程中，如涉及合同总金额调整，需经业主和承包商共同协商一致，签订书面的补充协议确定。</w:t>
      </w:r>
    </w:p>
    <w:p w14:paraId="45266925">
      <w:pPr>
        <w:snapToGrid w:val="0"/>
        <w:spacing w:line="360" w:lineRule="auto"/>
        <w:ind w:firstLine="360" w:firstLineChars="150"/>
        <w:textAlignment w:val="baseline"/>
        <w:rPr>
          <w:rFonts w:ascii="仿宋" w:hAnsi="仿宋" w:eastAsia="仿宋" w:cs="仿宋"/>
          <w:sz w:val="24"/>
          <w:szCs w:val="24"/>
        </w:rPr>
      </w:pPr>
      <w:r>
        <w:rPr>
          <w:rFonts w:hint="eastAsia" w:ascii="仿宋" w:hAnsi="仿宋" w:eastAsia="仿宋" w:cs="仿宋"/>
          <w:sz w:val="24"/>
          <w:szCs w:val="24"/>
        </w:rPr>
        <w:t>　5．付款条件</w:t>
      </w:r>
    </w:p>
    <w:p w14:paraId="2FE43D78">
      <w:pPr>
        <w:snapToGrid w:val="0"/>
        <w:spacing w:line="360" w:lineRule="auto"/>
        <w:ind w:firstLine="360" w:firstLineChars="150"/>
        <w:textAlignment w:val="baseline"/>
        <w:rPr>
          <w:rFonts w:ascii="仿宋" w:hAnsi="仿宋" w:eastAsia="仿宋" w:cs="仿宋"/>
          <w:sz w:val="24"/>
          <w:szCs w:val="24"/>
          <w:highlight w:val="yellow"/>
        </w:rPr>
      </w:pPr>
      <w:r>
        <w:rPr>
          <w:rFonts w:ascii="仿宋" w:hAnsi="仿宋" w:eastAsia="仿宋" w:cs="仿宋"/>
          <w:sz w:val="24"/>
          <w:szCs w:val="24"/>
        </w:rPr>
        <w:t>详见第四章项目需求</w:t>
      </w:r>
      <w:r>
        <w:rPr>
          <w:rFonts w:hint="eastAsia" w:ascii="仿宋" w:hAnsi="仿宋" w:eastAsia="仿宋" w:cs="仿宋"/>
          <w:sz w:val="24"/>
          <w:szCs w:val="24"/>
        </w:rPr>
        <w:t>。</w:t>
      </w:r>
    </w:p>
    <w:p w14:paraId="72F6DD58">
      <w:pPr>
        <w:snapToGrid w:val="0"/>
        <w:spacing w:line="360" w:lineRule="auto"/>
        <w:ind w:firstLine="360" w:firstLineChars="150"/>
        <w:textAlignment w:val="baseline"/>
        <w:rPr>
          <w:rFonts w:ascii="仿宋" w:hAnsi="仿宋" w:eastAsia="仿宋" w:cs="仿宋"/>
          <w:sz w:val="24"/>
          <w:szCs w:val="24"/>
        </w:rPr>
      </w:pPr>
      <w:r>
        <w:rPr>
          <w:rFonts w:hint="eastAsia" w:ascii="仿宋" w:hAnsi="仿宋" w:eastAsia="仿宋" w:cs="仿宋"/>
          <w:sz w:val="24"/>
          <w:szCs w:val="24"/>
        </w:rPr>
        <w:t>　6．项目完成时间</w:t>
      </w:r>
    </w:p>
    <w:p w14:paraId="5DFA705F">
      <w:pPr>
        <w:snapToGrid w:val="0"/>
        <w:spacing w:line="360" w:lineRule="auto"/>
        <w:ind w:firstLine="360" w:firstLineChars="150"/>
        <w:textAlignment w:val="baseline"/>
        <w:rPr>
          <w:rFonts w:ascii="仿宋" w:hAnsi="仿宋" w:eastAsia="仿宋" w:cs="仿宋"/>
          <w:sz w:val="24"/>
          <w:szCs w:val="24"/>
        </w:rPr>
      </w:pPr>
      <w:r>
        <w:rPr>
          <w:rFonts w:hint="eastAsia" w:ascii="仿宋" w:hAnsi="仿宋" w:eastAsia="仿宋" w:cs="仿宋"/>
          <w:sz w:val="24"/>
          <w:szCs w:val="24"/>
        </w:rPr>
        <w:t xml:space="preserve">本合同实施时间详见项目需求。 </w:t>
      </w:r>
    </w:p>
    <w:p w14:paraId="18C79EBE">
      <w:pPr>
        <w:snapToGrid w:val="0"/>
        <w:spacing w:line="360" w:lineRule="auto"/>
        <w:ind w:firstLine="360" w:firstLineChars="150"/>
        <w:textAlignment w:val="baseline"/>
        <w:rPr>
          <w:rFonts w:ascii="仿宋" w:hAnsi="仿宋" w:eastAsia="仿宋" w:cs="仿宋"/>
          <w:sz w:val="24"/>
          <w:szCs w:val="24"/>
        </w:rPr>
      </w:pPr>
      <w:r>
        <w:rPr>
          <w:rFonts w:hint="eastAsia" w:ascii="仿宋" w:hAnsi="仿宋" w:eastAsia="仿宋" w:cs="仿宋"/>
          <w:sz w:val="24"/>
          <w:szCs w:val="24"/>
        </w:rPr>
        <w:t>　7．合同纠纷处理</w:t>
      </w:r>
    </w:p>
    <w:p w14:paraId="7118FBC1">
      <w:pPr>
        <w:snapToGrid w:val="0"/>
        <w:spacing w:line="360" w:lineRule="auto"/>
        <w:ind w:firstLine="360" w:firstLineChars="150"/>
        <w:textAlignment w:val="baseline"/>
        <w:rPr>
          <w:rFonts w:ascii="仿宋" w:hAnsi="仿宋" w:eastAsia="仿宋" w:cs="仿宋"/>
          <w:sz w:val="24"/>
          <w:szCs w:val="24"/>
        </w:rPr>
      </w:pPr>
      <w:r>
        <w:rPr>
          <w:rFonts w:hint="eastAsia" w:ascii="仿宋" w:hAnsi="仿宋" w:eastAsia="仿宋" w:cs="仿宋"/>
          <w:sz w:val="24"/>
          <w:szCs w:val="24"/>
        </w:rPr>
        <w:t>本合同履行过程中发生的合同纠纷，由甲乙双方联系处理。</w:t>
      </w:r>
    </w:p>
    <w:p w14:paraId="6699E0BB">
      <w:pPr>
        <w:snapToGrid w:val="0"/>
        <w:spacing w:line="360" w:lineRule="auto"/>
        <w:ind w:firstLine="360" w:firstLineChars="150"/>
        <w:textAlignment w:val="baseline"/>
        <w:rPr>
          <w:rFonts w:ascii="仿宋" w:hAnsi="仿宋" w:eastAsia="仿宋" w:cs="仿宋"/>
          <w:sz w:val="24"/>
          <w:szCs w:val="24"/>
        </w:rPr>
      </w:pPr>
      <w:r>
        <w:rPr>
          <w:rFonts w:hint="eastAsia" w:ascii="仿宋" w:hAnsi="仿宋" w:eastAsia="仿宋" w:cs="仿宋"/>
          <w:sz w:val="24"/>
          <w:szCs w:val="24"/>
        </w:rPr>
        <w:t>　8．</w:t>
      </w:r>
      <w:bookmarkStart w:id="119" w:name="_Toc24634"/>
      <w:bookmarkStart w:id="120" w:name="_Toc13842"/>
      <w:bookmarkStart w:id="121" w:name="_Toc19590"/>
      <w:r>
        <w:rPr>
          <w:rFonts w:hint="eastAsia" w:ascii="仿宋" w:hAnsi="仿宋" w:eastAsia="仿宋" w:cs="仿宋"/>
          <w:sz w:val="24"/>
          <w:szCs w:val="24"/>
        </w:rPr>
        <w:t>诉讼</w:t>
      </w:r>
    </w:p>
    <w:p w14:paraId="2CA6324D">
      <w:pPr>
        <w:snapToGrid w:val="0"/>
        <w:spacing w:line="360" w:lineRule="auto"/>
        <w:ind w:firstLine="360" w:firstLineChars="150"/>
        <w:textAlignment w:val="baseline"/>
        <w:rPr>
          <w:rFonts w:ascii="仿宋" w:hAnsi="仿宋" w:eastAsia="仿宋" w:cs="仿宋"/>
          <w:sz w:val="24"/>
          <w:szCs w:val="24"/>
        </w:rPr>
      </w:pPr>
      <w:r>
        <w:rPr>
          <w:rFonts w:hint="eastAsia" w:ascii="仿宋" w:hAnsi="仿宋" w:eastAsia="仿宋" w:cs="仿宋"/>
          <w:sz w:val="24"/>
          <w:szCs w:val="24"/>
        </w:rPr>
        <w:t>　8.1 双方在执行合同中所发生的一切争议，应通过协商解决。如协商不成，可向合同签订地法院起诉，合同签订地在此约定为南京市。</w:t>
      </w:r>
    </w:p>
    <w:p w14:paraId="1A781E85">
      <w:pPr>
        <w:snapToGrid w:val="0"/>
        <w:spacing w:line="360" w:lineRule="auto"/>
        <w:ind w:firstLine="360" w:firstLineChars="150"/>
        <w:textAlignment w:val="baseline"/>
        <w:rPr>
          <w:rFonts w:ascii="仿宋" w:hAnsi="仿宋" w:eastAsia="仿宋" w:cs="仿宋"/>
          <w:sz w:val="24"/>
          <w:szCs w:val="24"/>
        </w:rPr>
      </w:pPr>
      <w:r>
        <w:rPr>
          <w:rFonts w:hint="eastAsia" w:ascii="仿宋" w:hAnsi="仿宋" w:eastAsia="仿宋" w:cs="仿宋"/>
          <w:sz w:val="24"/>
          <w:szCs w:val="24"/>
        </w:rPr>
        <w:t>　9</w:t>
      </w:r>
      <w:bookmarkEnd w:id="119"/>
      <w:bookmarkStart w:id="122" w:name="_Toc21029"/>
      <w:r>
        <w:rPr>
          <w:rFonts w:hint="eastAsia" w:ascii="仿宋" w:hAnsi="仿宋" w:eastAsia="仿宋" w:cs="仿宋"/>
          <w:sz w:val="24"/>
          <w:szCs w:val="24"/>
        </w:rPr>
        <w:t>.合同生效及其它</w:t>
      </w:r>
      <w:bookmarkEnd w:id="122"/>
    </w:p>
    <w:p w14:paraId="490F0C57">
      <w:pPr>
        <w:snapToGrid w:val="0"/>
        <w:spacing w:line="360" w:lineRule="auto"/>
        <w:ind w:firstLine="360" w:firstLineChars="150"/>
        <w:textAlignment w:val="baseline"/>
        <w:rPr>
          <w:rFonts w:ascii="仿宋" w:hAnsi="仿宋" w:eastAsia="仿宋" w:cs="仿宋"/>
          <w:sz w:val="24"/>
          <w:szCs w:val="24"/>
        </w:rPr>
      </w:pPr>
      <w:r>
        <w:rPr>
          <w:rFonts w:hint="eastAsia" w:ascii="仿宋" w:hAnsi="仿宋" w:eastAsia="仿宋" w:cs="仿宋"/>
          <w:sz w:val="24"/>
          <w:szCs w:val="24"/>
        </w:rPr>
        <w:t>　9.1 合同经甲方、乙方和见证方三方授权代表签字盖章后生效。</w:t>
      </w:r>
    </w:p>
    <w:p w14:paraId="6E5CEA0F">
      <w:pPr>
        <w:snapToGrid w:val="0"/>
        <w:spacing w:line="360" w:lineRule="auto"/>
        <w:ind w:firstLine="360" w:firstLineChars="150"/>
        <w:textAlignment w:val="baseline"/>
        <w:rPr>
          <w:rFonts w:ascii="仿宋" w:hAnsi="仿宋" w:eastAsia="仿宋" w:cs="仿宋"/>
          <w:sz w:val="24"/>
          <w:szCs w:val="24"/>
        </w:rPr>
      </w:pPr>
      <w:r>
        <w:rPr>
          <w:rFonts w:hint="eastAsia" w:ascii="仿宋" w:hAnsi="仿宋" w:eastAsia="仿宋" w:cs="仿宋"/>
          <w:sz w:val="24"/>
          <w:szCs w:val="24"/>
        </w:rPr>
        <w:t>　9.2本合同未尽事宜，双方协商解决。</w:t>
      </w:r>
    </w:p>
    <w:p w14:paraId="62A37D87">
      <w:pPr>
        <w:snapToGrid w:val="0"/>
        <w:spacing w:line="360" w:lineRule="auto"/>
        <w:ind w:firstLine="360" w:firstLineChars="150"/>
        <w:textAlignment w:val="baseline"/>
        <w:rPr>
          <w:rFonts w:ascii="仿宋" w:hAnsi="仿宋" w:eastAsia="仿宋" w:cs="仿宋"/>
          <w:sz w:val="24"/>
          <w:szCs w:val="24"/>
        </w:rPr>
      </w:pPr>
      <w:r>
        <w:rPr>
          <w:rFonts w:hint="eastAsia" w:ascii="仿宋" w:hAnsi="仿宋" w:eastAsia="仿宋" w:cs="仿宋"/>
          <w:sz w:val="24"/>
          <w:szCs w:val="24"/>
        </w:rPr>
        <w:t>　9.3 本合同正本一式四份，具有同等法律效力，甲方、乙方、采购代理机构及财政监管部门各执一份。</w:t>
      </w:r>
      <w:bookmarkEnd w:id="120"/>
      <w:bookmarkEnd w:id="121"/>
    </w:p>
    <w:p w14:paraId="698342E2">
      <w:pPr>
        <w:snapToGrid w:val="0"/>
        <w:spacing w:line="360" w:lineRule="auto"/>
        <w:ind w:firstLine="360" w:firstLineChars="150"/>
        <w:textAlignment w:val="baseline"/>
        <w:rPr>
          <w:rFonts w:ascii="仿宋" w:hAnsi="仿宋" w:eastAsia="仿宋" w:cs="仿宋"/>
          <w:sz w:val="24"/>
          <w:szCs w:val="24"/>
        </w:rPr>
      </w:pPr>
    </w:p>
    <w:p w14:paraId="40643BAD">
      <w:pPr>
        <w:snapToGrid w:val="0"/>
        <w:spacing w:line="360" w:lineRule="auto"/>
        <w:ind w:firstLine="360" w:firstLineChars="150"/>
        <w:textAlignment w:val="baseline"/>
        <w:rPr>
          <w:rFonts w:ascii="仿宋" w:hAnsi="仿宋" w:eastAsia="仿宋" w:cs="仿宋"/>
          <w:sz w:val="24"/>
          <w:szCs w:val="24"/>
        </w:rPr>
      </w:pPr>
    </w:p>
    <w:p w14:paraId="18F7DE48">
      <w:pPr>
        <w:snapToGrid w:val="0"/>
        <w:spacing w:line="360" w:lineRule="auto"/>
        <w:ind w:firstLine="360" w:firstLineChars="150"/>
        <w:textAlignment w:val="baseline"/>
        <w:rPr>
          <w:rFonts w:ascii="仿宋" w:hAnsi="仿宋" w:eastAsia="仿宋" w:cs="仿宋"/>
          <w:sz w:val="24"/>
          <w:szCs w:val="24"/>
        </w:rPr>
      </w:pPr>
      <w:r>
        <w:rPr>
          <w:rFonts w:hint="eastAsia" w:ascii="仿宋" w:hAnsi="仿宋" w:eastAsia="仿宋" w:cs="仿宋"/>
          <w:sz w:val="24"/>
          <w:szCs w:val="24"/>
        </w:rPr>
        <w:t>甲方：                    (盖章)         乙方：               (盖章)</w:t>
      </w:r>
    </w:p>
    <w:p w14:paraId="00994D24">
      <w:pPr>
        <w:snapToGrid w:val="0"/>
        <w:spacing w:line="360" w:lineRule="auto"/>
        <w:ind w:firstLine="360" w:firstLineChars="150"/>
        <w:textAlignment w:val="baseline"/>
        <w:rPr>
          <w:rFonts w:ascii="仿宋" w:hAnsi="仿宋" w:eastAsia="仿宋" w:cs="仿宋"/>
          <w:sz w:val="24"/>
          <w:szCs w:val="24"/>
        </w:rPr>
      </w:pPr>
      <w:r>
        <w:rPr>
          <w:rFonts w:hint="eastAsia" w:ascii="仿宋" w:hAnsi="仿宋" w:eastAsia="仿宋" w:cs="仿宋"/>
          <w:sz w:val="24"/>
          <w:szCs w:val="24"/>
        </w:rPr>
        <w:t>地址：                                   地址：</w:t>
      </w:r>
    </w:p>
    <w:p w14:paraId="3850BD9D">
      <w:pPr>
        <w:snapToGrid w:val="0"/>
        <w:spacing w:line="360" w:lineRule="auto"/>
        <w:ind w:firstLine="360" w:firstLineChars="150"/>
        <w:textAlignment w:val="baseline"/>
        <w:rPr>
          <w:rFonts w:ascii="仿宋" w:hAnsi="仿宋" w:eastAsia="仿宋" w:cs="仿宋"/>
          <w:sz w:val="24"/>
          <w:szCs w:val="24"/>
        </w:rPr>
      </w:pPr>
      <w:r>
        <w:rPr>
          <w:rFonts w:hint="eastAsia" w:ascii="仿宋" w:hAnsi="仿宋" w:eastAsia="仿宋" w:cs="仿宋"/>
          <w:sz w:val="24"/>
          <w:szCs w:val="24"/>
        </w:rPr>
        <w:t>法定代表人或授权代表：                   法定代表人或授权代表：</w:t>
      </w:r>
    </w:p>
    <w:p w14:paraId="44E79C39">
      <w:pPr>
        <w:snapToGrid w:val="0"/>
        <w:spacing w:line="360" w:lineRule="auto"/>
        <w:ind w:firstLine="360" w:firstLineChars="150"/>
        <w:textAlignment w:val="baseline"/>
        <w:rPr>
          <w:rFonts w:ascii="仿宋" w:hAnsi="仿宋" w:eastAsia="仿宋" w:cs="仿宋"/>
          <w:sz w:val="24"/>
          <w:szCs w:val="24"/>
        </w:rPr>
      </w:pPr>
      <w:r>
        <w:rPr>
          <w:rFonts w:hint="eastAsia" w:ascii="仿宋" w:hAnsi="仿宋" w:eastAsia="仿宋" w:cs="仿宋"/>
          <w:sz w:val="24"/>
          <w:szCs w:val="24"/>
        </w:rPr>
        <w:t>联系电话：                               联系电话：</w:t>
      </w:r>
    </w:p>
    <w:p w14:paraId="1C6A73EC">
      <w:pPr>
        <w:snapToGrid w:val="0"/>
        <w:spacing w:line="360" w:lineRule="auto"/>
        <w:ind w:firstLine="360" w:firstLineChars="150"/>
        <w:textAlignment w:val="baseline"/>
        <w:rPr>
          <w:rFonts w:ascii="仿宋" w:hAnsi="仿宋" w:eastAsia="仿宋" w:cs="仿宋"/>
          <w:sz w:val="24"/>
          <w:szCs w:val="24"/>
        </w:rPr>
      </w:pPr>
    </w:p>
    <w:p w14:paraId="44579631"/>
    <w:p w14:paraId="571C92C4">
      <w:pPr>
        <w:snapToGrid w:val="0"/>
        <w:spacing w:line="360" w:lineRule="auto"/>
        <w:ind w:firstLine="482" w:firstLineChars="200"/>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政府采购代理机构声明：本合同标的经政府采购代理机构依法定程序采购，合同主要条款内容与</w:t>
      </w:r>
      <w:r>
        <w:rPr>
          <w:rFonts w:hint="eastAsia" w:ascii="仿宋" w:hAnsi="仿宋" w:eastAsia="仿宋" w:cs="仿宋"/>
          <w:b/>
          <w:color w:val="000000" w:themeColor="text1"/>
          <w:sz w:val="24"/>
          <w:szCs w:val="24"/>
          <w:lang w:eastAsia="zh-CN"/>
          <w14:textFill>
            <w14:solidFill>
              <w14:schemeClr w14:val="tx1"/>
            </w14:solidFill>
          </w14:textFill>
        </w:rPr>
        <w:t>谈判</w:t>
      </w:r>
      <w:r>
        <w:rPr>
          <w:rFonts w:hint="eastAsia" w:ascii="仿宋" w:hAnsi="仿宋" w:eastAsia="仿宋" w:cs="仿宋"/>
          <w:b/>
          <w:color w:val="000000" w:themeColor="text1"/>
          <w:sz w:val="24"/>
          <w:szCs w:val="24"/>
          <w14:textFill>
            <w14:solidFill>
              <w14:schemeClr w14:val="tx1"/>
            </w14:solidFill>
          </w14:textFill>
        </w:rPr>
        <w:t>文件、响应文件的内容一致。</w:t>
      </w:r>
    </w:p>
    <w:p w14:paraId="2708453A">
      <w:pPr>
        <w:snapToGrid w:val="0"/>
        <w:spacing w:line="360" w:lineRule="auto"/>
        <w:ind w:firstLine="480" w:firstLineChars="200"/>
        <w:rPr>
          <w:rFonts w:hint="eastAsia" w:ascii="仿宋" w:hAnsi="仿宋" w:eastAsia="仿宋" w:cs="仿宋"/>
          <w:bCs/>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采购代理机构：</w:t>
      </w:r>
      <w:r>
        <w:rPr>
          <w:rFonts w:hint="eastAsia" w:ascii="仿宋" w:hAnsi="仿宋" w:eastAsia="仿宋" w:cs="仿宋"/>
          <w:bCs/>
          <w:color w:val="000000" w:themeColor="text1"/>
          <w:sz w:val="24"/>
          <w:szCs w:val="24"/>
          <w:lang w:eastAsia="zh-CN"/>
          <w14:textFill>
            <w14:solidFill>
              <w14:schemeClr w14:val="tx1"/>
            </w14:solidFill>
          </w14:textFill>
        </w:rPr>
        <w:t>南京达琛鑫工程咨询有限公司</w:t>
      </w:r>
    </w:p>
    <w:p w14:paraId="61E852BC">
      <w:pPr>
        <w:snapToGrid w:val="0"/>
        <w:spacing w:line="360" w:lineRule="auto"/>
        <w:ind w:firstLine="480" w:firstLineChars="200"/>
        <w:rPr>
          <w:rFonts w:hint="eastAsia" w:ascii="仿宋" w:hAnsi="仿宋" w:eastAsia="仿宋" w:cs="仿宋"/>
          <w:bCs/>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地  址：</w:t>
      </w:r>
      <w:r>
        <w:rPr>
          <w:rFonts w:hint="eastAsia" w:ascii="仿宋" w:hAnsi="仿宋" w:eastAsia="仿宋" w:cs="仿宋"/>
          <w:color w:val="000000" w:themeColor="text1"/>
          <w:sz w:val="24"/>
          <w:szCs w:val="24"/>
          <w:lang w:eastAsia="zh-CN"/>
          <w14:textFill>
            <w14:solidFill>
              <w14:schemeClr w14:val="tx1"/>
            </w14:solidFill>
          </w14:textFill>
        </w:rPr>
        <w:t>南京市秦淮区光华东街6号世界之窗产业园15号楼4楼</w:t>
      </w:r>
    </w:p>
    <w:p w14:paraId="4CDDEA6C">
      <w:pPr>
        <w:snapToGrid w:val="0"/>
        <w:spacing w:line="360" w:lineRule="auto"/>
        <w:ind w:firstLine="480" w:firstLineChars="200"/>
        <w:rPr>
          <w:rFonts w:hint="eastAsia" w:ascii="仿宋" w:hAnsi="仿宋" w:eastAsia="仿宋" w:cs="仿宋"/>
          <w:bCs/>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经办人：</w:t>
      </w:r>
      <w:r>
        <w:rPr>
          <w:rFonts w:hint="eastAsia" w:ascii="仿宋" w:hAnsi="仿宋" w:eastAsia="仿宋" w:cs="仿宋"/>
          <w:bCs/>
          <w:color w:val="000000" w:themeColor="text1"/>
          <w:sz w:val="24"/>
          <w:szCs w:val="24"/>
          <w:lang w:eastAsia="zh-CN"/>
          <w14:textFill>
            <w14:solidFill>
              <w14:schemeClr w14:val="tx1"/>
            </w14:solidFill>
          </w14:textFill>
        </w:rPr>
        <w:t>周工</w:t>
      </w:r>
    </w:p>
    <w:p w14:paraId="36F0E640">
      <w:pPr>
        <w:wordWrap w:val="0"/>
        <w:autoSpaceDE w:val="0"/>
        <w:autoSpaceDN w:val="0"/>
        <w:adjustRightInd w:val="0"/>
        <w:snapToGrid w:val="0"/>
        <w:spacing w:line="360" w:lineRule="auto"/>
        <w:jc w:val="righ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二〇二</w:t>
      </w:r>
      <w:r>
        <w:rPr>
          <w:rFonts w:hint="eastAsia" w:ascii="仿宋" w:hAnsi="仿宋" w:eastAsia="仿宋" w:cs="仿宋"/>
          <w:color w:val="000000" w:themeColor="text1"/>
          <w:sz w:val="24"/>
          <w:szCs w:val="24"/>
          <w:lang w:val="en-US" w:eastAsia="zh-CN"/>
          <w14:textFill>
            <w14:solidFill>
              <w14:schemeClr w14:val="tx1"/>
            </w14:solidFill>
          </w14:textFill>
        </w:rPr>
        <w:t>五</w:t>
      </w:r>
      <w:r>
        <w:rPr>
          <w:rFonts w:hint="eastAsia" w:ascii="仿宋" w:hAnsi="仿宋" w:eastAsia="仿宋" w:cs="仿宋"/>
          <w:color w:val="000000" w:themeColor="text1"/>
          <w:sz w:val="24"/>
          <w:szCs w:val="24"/>
          <w14:textFill>
            <w14:solidFill>
              <w14:schemeClr w14:val="tx1"/>
            </w14:solidFill>
          </w14:textFill>
        </w:rPr>
        <w:t>年  月  日</w:t>
      </w:r>
    </w:p>
    <w:p w14:paraId="2824095A">
      <w:pPr>
        <w:pStyle w:val="3"/>
        <w:numPr>
          <w:ilvl w:val="0"/>
          <w:numId w:val="1"/>
        </w:numPr>
        <w:jc w:val="center"/>
        <w:rPr>
          <w:rFonts w:ascii="仿宋" w:hAnsi="仿宋" w:eastAsia="仿宋" w:cs="仿宋"/>
          <w:sz w:val="48"/>
          <w:szCs w:val="48"/>
        </w:rPr>
      </w:pPr>
      <w:bookmarkStart w:id="123" w:name="_Toc12730"/>
      <w:r>
        <w:rPr>
          <w:rFonts w:hint="eastAsia" w:ascii="仿宋" w:hAnsi="仿宋" w:eastAsia="仿宋" w:cs="仿宋"/>
          <w:sz w:val="48"/>
          <w:szCs w:val="48"/>
        </w:rPr>
        <w:t>项目需求</w:t>
      </w:r>
      <w:bookmarkEnd w:id="114"/>
      <w:bookmarkEnd w:id="115"/>
      <w:bookmarkEnd w:id="123"/>
    </w:p>
    <w:bookmarkEnd w:id="116"/>
    <w:bookmarkEnd w:id="117"/>
    <w:bookmarkEnd w:id="118"/>
    <w:p w14:paraId="4AB3C1EF">
      <w:pPr>
        <w:pStyle w:val="24"/>
        <w:tabs>
          <w:tab w:val="clear" w:pos="720"/>
        </w:tabs>
        <w:spacing w:line="360" w:lineRule="auto"/>
        <w:ind w:left="0" w:firstLine="0"/>
        <w:rPr>
          <w:rFonts w:eastAsia="仿宋" w:cs="Times New Roman"/>
          <w:lang w:val="zh-CN"/>
        </w:rPr>
      </w:pPr>
      <w:bookmarkStart w:id="124" w:name="_Toc9966"/>
      <w:bookmarkStart w:id="125" w:name="_Toc20831"/>
      <w:bookmarkStart w:id="126" w:name="_Toc18696"/>
      <w:bookmarkStart w:id="127" w:name="_Toc9326"/>
      <w:bookmarkStart w:id="128" w:name="_Toc16552"/>
      <w:bookmarkStart w:id="129" w:name="_Toc23959"/>
      <w:bookmarkStart w:id="130" w:name="_Toc17931"/>
      <w:bookmarkStart w:id="131" w:name="_Toc20631"/>
      <w:bookmarkStart w:id="132" w:name="_Toc17972"/>
      <w:bookmarkStart w:id="133" w:name="_Toc12689"/>
      <w:bookmarkStart w:id="134" w:name="_Toc23953_WPSOffice_Level2"/>
      <w:bookmarkStart w:id="135" w:name="_Toc22807"/>
      <w:bookmarkStart w:id="136" w:name="_Toc15404"/>
      <w:bookmarkStart w:id="137" w:name="_Toc10759"/>
      <w:r>
        <w:rPr>
          <w:rFonts w:eastAsia="仿宋" w:cs="Times New Roman"/>
          <w:lang w:val="zh-CN"/>
        </w:rPr>
        <w:t>一、项目概况</w:t>
      </w:r>
      <w:bookmarkEnd w:id="124"/>
      <w:bookmarkEnd w:id="125"/>
      <w:bookmarkEnd w:id="126"/>
      <w:bookmarkEnd w:id="127"/>
      <w:bookmarkEnd w:id="128"/>
      <w:bookmarkEnd w:id="129"/>
      <w:bookmarkEnd w:id="130"/>
      <w:bookmarkEnd w:id="131"/>
      <w:bookmarkEnd w:id="132"/>
      <w:bookmarkEnd w:id="133"/>
      <w:bookmarkEnd w:id="134"/>
      <w:bookmarkEnd w:id="135"/>
    </w:p>
    <w:p w14:paraId="56D1A5C2">
      <w:pPr>
        <w:widowControl/>
        <w:spacing w:line="360" w:lineRule="auto"/>
        <w:ind w:firstLine="480" w:firstLineChars="200"/>
        <w:jc w:val="left"/>
        <w:rPr>
          <w:rFonts w:hint="eastAsia" w:ascii="仿宋" w:hAnsi="仿宋" w:eastAsia="仿宋" w:cs="仿宋"/>
          <w:color w:val="auto"/>
          <w:sz w:val="24"/>
          <w:szCs w:val="24"/>
        </w:rPr>
      </w:pPr>
      <w:bookmarkStart w:id="138" w:name="_Toc26223"/>
      <w:bookmarkStart w:id="139" w:name="_Toc24374"/>
      <w:bookmarkStart w:id="140" w:name="_Toc3803"/>
      <w:bookmarkStart w:id="141" w:name="_Toc16661"/>
      <w:bookmarkStart w:id="142" w:name="_Toc396"/>
      <w:bookmarkStart w:id="143" w:name="_Toc12225"/>
      <w:bookmarkStart w:id="144" w:name="_Toc30323"/>
      <w:bookmarkStart w:id="145" w:name="_Toc25121"/>
      <w:r>
        <w:rPr>
          <w:rFonts w:hint="eastAsia" w:ascii="仿宋" w:hAnsi="仿宋" w:eastAsia="仿宋" w:cs="仿宋"/>
          <w:color w:val="auto"/>
          <w:sz w:val="24"/>
          <w:szCs w:val="24"/>
        </w:rPr>
        <w:t>1、项目</w:t>
      </w:r>
      <w:r>
        <w:rPr>
          <w:rFonts w:hint="eastAsia" w:ascii="仿宋" w:hAnsi="仿宋" w:eastAsia="仿宋" w:cs="仿宋"/>
          <w:color w:val="auto"/>
          <w:sz w:val="24"/>
          <w:szCs w:val="24"/>
          <w:lang w:val="en-US" w:eastAsia="zh-CN"/>
        </w:rPr>
        <w:t>内容</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秦淮区大光路街道办事处</w:t>
      </w:r>
      <w:r>
        <w:rPr>
          <w:rFonts w:hint="eastAsia" w:ascii="仿宋" w:hAnsi="仿宋" w:eastAsia="仿宋" w:cs="仿宋"/>
          <w:color w:val="auto"/>
          <w:sz w:val="24"/>
          <w:szCs w:val="24"/>
          <w:lang w:eastAsia="zh-CN"/>
        </w:rPr>
        <w:t>安保服务（202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lang w:eastAsia="zh-CN"/>
        </w:rPr>
        <w:t>年度）</w:t>
      </w:r>
    </w:p>
    <w:p w14:paraId="41C004D9">
      <w:pPr>
        <w:widowControl/>
        <w:spacing w:line="360" w:lineRule="auto"/>
        <w:ind w:firstLine="480" w:firstLineChars="200"/>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2、服务期限：2026年01月04日至2027年1月3日内完成项目（具体时间以甲方通知为准）。</w:t>
      </w:r>
    </w:p>
    <w:p w14:paraId="4EFDAAC7">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、实施地点: 采购人指定地点。</w:t>
      </w:r>
    </w:p>
    <w:p w14:paraId="74F5ED3E">
      <w:pPr>
        <w:pStyle w:val="24"/>
        <w:tabs>
          <w:tab w:val="clear" w:pos="720"/>
        </w:tabs>
        <w:spacing w:line="360" w:lineRule="auto"/>
        <w:ind w:left="0" w:firstLine="0"/>
        <w:rPr>
          <w:rFonts w:eastAsia="仿宋" w:cs="Times New Roman"/>
          <w:sz w:val="28"/>
          <w:szCs w:val="28"/>
        </w:rPr>
      </w:pPr>
      <w:r>
        <w:rPr>
          <w:rFonts w:hint="eastAsia" w:eastAsia="仿宋" w:cs="Times New Roman"/>
          <w:sz w:val="28"/>
          <w:szCs w:val="28"/>
        </w:rPr>
        <w:t>二</w:t>
      </w:r>
      <w:r>
        <w:rPr>
          <w:rFonts w:eastAsia="仿宋" w:cs="Times New Roman"/>
          <w:sz w:val="28"/>
          <w:szCs w:val="28"/>
        </w:rPr>
        <w:t>、</w:t>
      </w:r>
      <w:r>
        <w:rPr>
          <w:rFonts w:hint="eastAsia" w:eastAsia="仿宋" w:cs="Times New Roman"/>
          <w:sz w:val="28"/>
          <w:szCs w:val="28"/>
        </w:rPr>
        <w:t>服务范围</w:t>
      </w:r>
      <w:r>
        <w:rPr>
          <w:rFonts w:hint="eastAsia" w:eastAsia="仿宋" w:cs="Times New Roman"/>
          <w:sz w:val="28"/>
          <w:szCs w:val="28"/>
          <w:lang w:val="en-US" w:eastAsia="zh-CN"/>
        </w:rPr>
        <w:t>和岗位配置</w:t>
      </w:r>
    </w:p>
    <w:bookmarkEnd w:id="138"/>
    <w:bookmarkEnd w:id="139"/>
    <w:bookmarkEnd w:id="140"/>
    <w:bookmarkEnd w:id="141"/>
    <w:bookmarkEnd w:id="142"/>
    <w:bookmarkEnd w:id="143"/>
    <w:bookmarkEnd w:id="144"/>
    <w:bookmarkEnd w:id="145"/>
    <w:p w14:paraId="0F7BF09B">
      <w:pPr>
        <w:widowControl/>
        <w:spacing w:line="360" w:lineRule="auto"/>
        <w:ind w:firstLine="480" w:firstLineChars="200"/>
        <w:jc w:val="left"/>
        <w:rPr>
          <w:rFonts w:hint="eastAsia" w:ascii="仿宋" w:hAnsi="仿宋" w:eastAsia="仿宋" w:cs="仿宋"/>
          <w:sz w:val="24"/>
          <w:szCs w:val="24"/>
          <w:highlight w:val="none"/>
          <w:lang w:val="en-US" w:eastAsia="zh-CN"/>
        </w:rPr>
      </w:pPr>
      <w:bookmarkStart w:id="146" w:name="_Toc6784"/>
      <w:r>
        <w:rPr>
          <w:rFonts w:hint="eastAsia" w:ascii="仿宋" w:hAnsi="仿宋" w:eastAsia="仿宋" w:cs="仿宋"/>
          <w:sz w:val="24"/>
          <w:szCs w:val="24"/>
          <w:highlight w:val="none"/>
          <w:lang w:val="en-US" w:eastAsia="zh-CN"/>
        </w:rPr>
        <w:t>南京市秦淮区大光路街道办事处5个办公区域，岗位设置：3个。含保安队长1名，队员2名，为大光路99号党群服务中心办公区域，以及明御大厦（御道街58号）、水晶街楼（大光路118号）、大光路108号、大光里08幢等另外几个办公区，提供24x7小时的安保服务。</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4"/>
        <w:gridCol w:w="5790"/>
        <w:gridCol w:w="1958"/>
      </w:tblGrid>
      <w:tr w14:paraId="55483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2214" w:type="dxa"/>
            <w:vAlign w:val="center"/>
          </w:tcPr>
          <w:p w14:paraId="3AE96188">
            <w:pPr>
              <w:pStyle w:val="10"/>
              <w:ind w:left="0" w:leftChars="0" w:firstLine="0" w:firstLineChars="0"/>
              <w:jc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岗位</w:t>
            </w:r>
          </w:p>
        </w:tc>
        <w:tc>
          <w:tcPr>
            <w:tcW w:w="5790" w:type="dxa"/>
            <w:vAlign w:val="center"/>
          </w:tcPr>
          <w:p w14:paraId="74901E7E">
            <w:pPr>
              <w:pStyle w:val="10"/>
              <w:ind w:left="0" w:leftChars="0" w:firstLine="0" w:firstLineChars="0"/>
              <w:jc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岗位要求</w:t>
            </w:r>
          </w:p>
        </w:tc>
        <w:tc>
          <w:tcPr>
            <w:tcW w:w="1958" w:type="dxa"/>
            <w:vAlign w:val="center"/>
          </w:tcPr>
          <w:p w14:paraId="20E7B90B">
            <w:pPr>
              <w:pStyle w:val="10"/>
              <w:ind w:left="0" w:leftChars="0" w:firstLine="0" w:firstLineChars="0"/>
              <w:jc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岗位数</w:t>
            </w:r>
          </w:p>
        </w:tc>
      </w:tr>
      <w:tr w14:paraId="25DAD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2214" w:type="dxa"/>
            <w:vAlign w:val="center"/>
          </w:tcPr>
          <w:p w14:paraId="1D2E02AB">
            <w:pPr>
              <w:pStyle w:val="10"/>
              <w:ind w:left="0" w:leftChars="0" w:firstLine="0" w:firstLineChars="0"/>
              <w:jc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保安队长</w:t>
            </w:r>
          </w:p>
        </w:tc>
        <w:tc>
          <w:tcPr>
            <w:tcW w:w="5790" w:type="dxa"/>
            <w:vAlign w:val="center"/>
          </w:tcPr>
          <w:p w14:paraId="7C175DEA">
            <w:pPr>
              <w:pStyle w:val="10"/>
              <w:ind w:left="0" w:leftChars="0" w:firstLine="0" w:firstLineChars="0"/>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1名，统筹街道安保工作，常驻大光路99号办公区</w:t>
            </w:r>
          </w:p>
        </w:tc>
        <w:tc>
          <w:tcPr>
            <w:tcW w:w="1958" w:type="dxa"/>
            <w:vAlign w:val="center"/>
          </w:tcPr>
          <w:p w14:paraId="103877AE">
            <w:pPr>
              <w:pStyle w:val="10"/>
              <w:ind w:left="0" w:leftChars="0" w:firstLine="0" w:firstLineChars="0"/>
              <w:jc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w:t>
            </w:r>
          </w:p>
        </w:tc>
      </w:tr>
      <w:tr w14:paraId="05CAE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2214" w:type="dxa"/>
            <w:vAlign w:val="center"/>
          </w:tcPr>
          <w:p w14:paraId="59F15232">
            <w:pPr>
              <w:pStyle w:val="10"/>
              <w:ind w:left="0" w:leftChars="0" w:firstLine="0" w:firstLineChars="0"/>
              <w:jc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门卫</w:t>
            </w:r>
          </w:p>
        </w:tc>
        <w:tc>
          <w:tcPr>
            <w:tcW w:w="5790" w:type="dxa"/>
            <w:vAlign w:val="center"/>
          </w:tcPr>
          <w:p w14:paraId="3A8CF76B">
            <w:pPr>
              <w:pStyle w:val="10"/>
              <w:ind w:left="0" w:leftChars="0" w:firstLine="0" w:firstLineChars="0"/>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主要负责大光路99号办公区的值守</w:t>
            </w:r>
          </w:p>
        </w:tc>
        <w:tc>
          <w:tcPr>
            <w:tcW w:w="1958" w:type="dxa"/>
            <w:vAlign w:val="center"/>
          </w:tcPr>
          <w:p w14:paraId="26E2429C">
            <w:pPr>
              <w:pStyle w:val="10"/>
              <w:ind w:left="0" w:leftChars="0" w:firstLine="0" w:firstLineChars="0"/>
              <w:jc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w:t>
            </w:r>
          </w:p>
        </w:tc>
      </w:tr>
      <w:tr w14:paraId="28C06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4" w:type="dxa"/>
            <w:vAlign w:val="center"/>
          </w:tcPr>
          <w:p w14:paraId="66BC28AB">
            <w:pPr>
              <w:pStyle w:val="10"/>
              <w:ind w:left="0" w:leftChars="0" w:firstLine="0" w:firstLineChars="0"/>
              <w:jc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机动巡逻</w:t>
            </w:r>
          </w:p>
        </w:tc>
        <w:tc>
          <w:tcPr>
            <w:tcW w:w="5790" w:type="dxa"/>
            <w:vAlign w:val="center"/>
          </w:tcPr>
          <w:p w14:paraId="20FB13C5">
            <w:pPr>
              <w:pStyle w:val="10"/>
              <w:ind w:left="0" w:leftChars="0" w:firstLine="0" w:firstLineChars="0"/>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负责明御大厦、水晶街、大光路108号、大光里08幢等几个办公区的机动巡查，以及大光路99号办公区的夜间巡查。</w:t>
            </w:r>
          </w:p>
        </w:tc>
        <w:tc>
          <w:tcPr>
            <w:tcW w:w="1958" w:type="dxa"/>
            <w:vAlign w:val="center"/>
          </w:tcPr>
          <w:p w14:paraId="25640359">
            <w:pPr>
              <w:pStyle w:val="10"/>
              <w:ind w:left="0" w:leftChars="0" w:firstLine="0" w:firstLineChars="0"/>
              <w:jc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w:t>
            </w:r>
          </w:p>
        </w:tc>
      </w:tr>
    </w:tbl>
    <w:p w14:paraId="5EC0AC0F">
      <w:pPr>
        <w:pStyle w:val="24"/>
        <w:tabs>
          <w:tab w:val="clear" w:pos="720"/>
        </w:tabs>
        <w:spacing w:line="360" w:lineRule="auto"/>
        <w:ind w:left="0" w:firstLine="0"/>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三、具体管理内容</w:t>
      </w:r>
    </w:p>
    <w:p w14:paraId="4BD5D8AD">
      <w:pPr>
        <w:widowControl/>
        <w:spacing w:line="360" w:lineRule="auto"/>
        <w:ind w:firstLine="480" w:firstLineChars="20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依照甲方管理规定与要求，结合街道安全保卫工作实际情况，制订切实可行的街道安全保卫工作整体方案，开展专业化安全防范业务。</w:t>
      </w:r>
    </w:p>
    <w:p w14:paraId="2396C575">
      <w:pPr>
        <w:widowControl/>
        <w:spacing w:line="360" w:lineRule="auto"/>
        <w:ind w:firstLine="482" w:firstLineChars="200"/>
        <w:jc w:val="left"/>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具体管理内容：</w:t>
      </w:r>
    </w:p>
    <w:p w14:paraId="5172E996">
      <w:pPr>
        <w:widowControl/>
        <w:spacing w:line="360" w:lineRule="auto"/>
        <w:ind w:firstLine="480" w:firstLineChars="20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1、大光路街道办事处（大光路99号）实行24小时门卫管理及相关车辆管理。周一至周五上班时间行政楼门前执勤。</w:t>
      </w:r>
    </w:p>
    <w:p w14:paraId="3C9E83FF">
      <w:pPr>
        <w:widowControl/>
        <w:spacing w:line="360" w:lineRule="auto"/>
        <w:ind w:firstLine="480" w:firstLineChars="20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2、维护和巡查：包括对各办公区周边车辆的管理与指挥，对进办公区可疑人员的巡查与控制，对突发安全隐患的预警与处置等。</w:t>
      </w:r>
    </w:p>
    <w:p w14:paraId="4991365B">
      <w:pPr>
        <w:widowControl/>
        <w:spacing w:line="360" w:lineRule="auto"/>
        <w:ind w:firstLine="480" w:firstLineChars="20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3、定时、定点治安巡逻与检查，重点部位的定点守护，发现和制止暴力事件。</w:t>
      </w:r>
    </w:p>
    <w:p w14:paraId="6E7D4400">
      <w:pPr>
        <w:widowControl/>
        <w:spacing w:line="360" w:lineRule="auto"/>
        <w:ind w:firstLine="480" w:firstLineChars="20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4、办公区内安全隐患检查、排除及上报。</w:t>
      </w:r>
    </w:p>
    <w:p w14:paraId="7035D861">
      <w:pPr>
        <w:widowControl/>
        <w:spacing w:line="360" w:lineRule="auto"/>
        <w:ind w:firstLine="480" w:firstLineChars="20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5、重大活动的安全警戒与秩序维护，配合做好重大事件的安保工作。</w:t>
      </w:r>
    </w:p>
    <w:p w14:paraId="7578F18C">
      <w:pPr>
        <w:widowControl/>
        <w:spacing w:line="360" w:lineRule="auto"/>
        <w:ind w:firstLine="480" w:firstLineChars="20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6、配合处理各类纠纷和治安案件，协助做好相关事件的调查取证工作。</w:t>
      </w:r>
    </w:p>
    <w:p w14:paraId="4AD94F49">
      <w:pPr>
        <w:widowControl/>
        <w:spacing w:line="360" w:lineRule="auto"/>
        <w:ind w:firstLine="480" w:firstLineChars="20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7、突发事件处置、灾害预防、火灾扑救，随时准备提供紧急救助。</w:t>
      </w:r>
    </w:p>
    <w:p w14:paraId="76B3516E">
      <w:pPr>
        <w:widowControl/>
        <w:spacing w:line="360" w:lineRule="auto"/>
        <w:ind w:firstLine="480" w:firstLineChars="20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8、交通设施、警示标志、室外消防栓的检查及维护。</w:t>
      </w:r>
    </w:p>
    <w:p w14:paraId="14CC1BBB">
      <w:pPr>
        <w:widowControl/>
        <w:spacing w:line="360" w:lineRule="auto"/>
        <w:ind w:firstLine="480" w:firstLineChars="200"/>
        <w:jc w:val="lef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9、其它属于保安服务范围内的工作及甲方临时交办的任务。</w:t>
      </w:r>
    </w:p>
    <w:p w14:paraId="65C6691B">
      <w:pPr>
        <w:pStyle w:val="24"/>
        <w:tabs>
          <w:tab w:val="clear" w:pos="720"/>
        </w:tabs>
        <w:spacing w:line="360" w:lineRule="auto"/>
        <w:ind w:left="0" w:firstLine="0"/>
        <w:rPr>
          <w:rFonts w:eastAsia="仿宋" w:cs="Times New Roman"/>
          <w:sz w:val="28"/>
          <w:szCs w:val="28"/>
        </w:rPr>
      </w:pPr>
      <w:r>
        <w:rPr>
          <w:rFonts w:hint="eastAsia" w:eastAsia="仿宋" w:cs="Times New Roman"/>
          <w:color w:val="auto"/>
          <w:sz w:val="28"/>
          <w:szCs w:val="28"/>
          <w:lang w:val="en-US" w:eastAsia="zh-CN"/>
        </w:rPr>
        <w:t>四</w:t>
      </w:r>
      <w:r>
        <w:rPr>
          <w:rFonts w:eastAsia="仿宋" w:cs="Times New Roman"/>
          <w:color w:val="auto"/>
          <w:sz w:val="28"/>
          <w:szCs w:val="28"/>
        </w:rPr>
        <w:t>、</w:t>
      </w:r>
      <w:r>
        <w:rPr>
          <w:rFonts w:hint="eastAsia" w:eastAsia="仿宋" w:cs="Times New Roman"/>
          <w:color w:val="auto"/>
          <w:sz w:val="28"/>
          <w:szCs w:val="28"/>
          <w:lang w:val="en-US" w:eastAsia="zh-CN"/>
        </w:rPr>
        <w:t>服务期限</w:t>
      </w:r>
    </w:p>
    <w:p w14:paraId="5D46E69F">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2026年01月04日至2027年1月3日内完成项目（具体时间以甲方通知为准）</w:t>
      </w:r>
      <w:r>
        <w:rPr>
          <w:rFonts w:hint="eastAsia" w:ascii="仿宋" w:hAnsi="仿宋" w:eastAsia="仿宋" w:cs="仿宋"/>
          <w:sz w:val="24"/>
          <w:szCs w:val="24"/>
          <w:highlight w:val="none"/>
        </w:rPr>
        <w:t xml:space="preserve">。 </w:t>
      </w:r>
    </w:p>
    <w:p w14:paraId="1FCE37C3">
      <w:pPr>
        <w:pStyle w:val="24"/>
        <w:tabs>
          <w:tab w:val="clear" w:pos="720"/>
        </w:tabs>
        <w:spacing w:line="360" w:lineRule="auto"/>
        <w:ind w:left="0" w:firstLine="0"/>
        <w:rPr>
          <w:rFonts w:eastAsia="仿宋" w:cs="Times New Roman"/>
          <w:color w:val="auto"/>
          <w:sz w:val="28"/>
          <w:szCs w:val="28"/>
          <w:highlight w:val="none"/>
          <w:lang w:val="zh-CN"/>
        </w:rPr>
      </w:pPr>
      <w:bookmarkStart w:id="147" w:name="_Toc23982"/>
      <w:r>
        <w:rPr>
          <w:rFonts w:hint="eastAsia" w:eastAsia="仿宋" w:cs="Times New Roman"/>
          <w:sz w:val="28"/>
          <w:szCs w:val="28"/>
          <w:highlight w:val="none"/>
          <w:lang w:val="en-US" w:eastAsia="zh-CN"/>
        </w:rPr>
        <w:t>五</w:t>
      </w:r>
      <w:r>
        <w:rPr>
          <w:rFonts w:hint="eastAsia" w:eastAsia="仿宋" w:cs="Times New Roman"/>
          <w:sz w:val="28"/>
          <w:szCs w:val="28"/>
          <w:highlight w:val="none"/>
          <w:lang w:val="zh-CN"/>
        </w:rPr>
        <w:t>、付</w:t>
      </w:r>
      <w:r>
        <w:rPr>
          <w:rFonts w:hint="eastAsia" w:eastAsia="仿宋" w:cs="Times New Roman"/>
          <w:color w:val="auto"/>
          <w:sz w:val="28"/>
          <w:szCs w:val="28"/>
          <w:highlight w:val="none"/>
          <w:lang w:val="zh-CN"/>
        </w:rPr>
        <w:t>款方式</w:t>
      </w:r>
      <w:bookmarkEnd w:id="147"/>
    </w:p>
    <w:p w14:paraId="6E77A3FD">
      <w:pPr>
        <w:widowControl/>
        <w:spacing w:line="360" w:lineRule="auto"/>
        <w:ind w:firstLine="480" w:firstLineChars="200"/>
        <w:jc w:val="left"/>
        <w:rPr>
          <w:rFonts w:hint="default" w:ascii="仿宋" w:hAnsi="仿宋" w:eastAsia="仿宋" w:cs="仿宋"/>
          <w:color w:val="auto"/>
          <w:sz w:val="24"/>
          <w:szCs w:val="24"/>
          <w:highlight w:val="none"/>
          <w:lang w:val="en-US" w:eastAsia="zh-CN"/>
        </w:rPr>
      </w:pPr>
      <w:bookmarkStart w:id="148" w:name="_Toc22382"/>
      <w:r>
        <w:rPr>
          <w:rFonts w:hint="eastAsia" w:ascii="仿宋" w:hAnsi="仿宋" w:eastAsia="仿宋" w:cs="仿宋"/>
          <w:color w:val="auto"/>
          <w:sz w:val="24"/>
          <w:szCs w:val="24"/>
          <w:highlight w:val="none"/>
        </w:rPr>
        <w:t>合同签订后</w:t>
      </w:r>
      <w:r>
        <w:rPr>
          <w:rFonts w:hint="eastAsia" w:ascii="仿宋" w:hAnsi="仿宋" w:eastAsia="仿宋" w:cs="仿宋"/>
          <w:color w:val="auto"/>
          <w:sz w:val="24"/>
          <w:szCs w:val="24"/>
          <w:highlight w:val="none"/>
          <w:lang w:val="en-US" w:eastAsia="zh-CN"/>
        </w:rPr>
        <w:t>按月支付合同金额。</w:t>
      </w:r>
    </w:p>
    <w:bookmarkEnd w:id="146"/>
    <w:bookmarkEnd w:id="148"/>
    <w:p w14:paraId="1945F25D">
      <w:pPr>
        <w:pStyle w:val="24"/>
        <w:tabs>
          <w:tab w:val="clear" w:pos="720"/>
        </w:tabs>
        <w:spacing w:line="360" w:lineRule="auto"/>
        <w:ind w:left="0" w:firstLine="0"/>
        <w:rPr>
          <w:rFonts w:eastAsia="仿宋" w:cs="Times New Roman"/>
          <w:color w:val="auto"/>
          <w:sz w:val="28"/>
          <w:szCs w:val="28"/>
          <w:highlight w:val="none"/>
        </w:rPr>
      </w:pPr>
      <w:r>
        <w:rPr>
          <w:rFonts w:hint="eastAsia" w:eastAsia="仿宋" w:cs="Times New Roman"/>
          <w:color w:val="auto"/>
          <w:sz w:val="28"/>
          <w:szCs w:val="28"/>
          <w:highlight w:val="none"/>
          <w:lang w:val="en-US" w:eastAsia="zh-CN"/>
        </w:rPr>
        <w:t>六</w:t>
      </w:r>
      <w:r>
        <w:rPr>
          <w:rFonts w:hint="eastAsia" w:eastAsia="仿宋" w:cs="Times New Roman"/>
          <w:color w:val="auto"/>
          <w:sz w:val="28"/>
          <w:szCs w:val="28"/>
          <w:highlight w:val="none"/>
        </w:rPr>
        <w:t>、其他要求</w:t>
      </w:r>
    </w:p>
    <w:p w14:paraId="043F1F2A">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color w:val="auto"/>
          <w:sz w:val="24"/>
          <w:szCs w:val="24"/>
          <w:highlight w:val="none"/>
        </w:rPr>
        <w:t>所有报价、承诺事项及重要证明文件均须</w:t>
      </w:r>
      <w:r>
        <w:rPr>
          <w:rFonts w:hint="eastAsia" w:ascii="仿宋" w:hAnsi="仿宋" w:eastAsia="仿宋" w:cs="仿宋"/>
          <w:sz w:val="24"/>
          <w:szCs w:val="24"/>
        </w:rPr>
        <w:t>加盖公司公章。</w:t>
      </w:r>
    </w:p>
    <w:p w14:paraId="084E675B">
      <w:pPr>
        <w:tabs>
          <w:tab w:val="right" w:pos="9746"/>
        </w:tabs>
        <w:jc w:val="left"/>
        <w:rPr>
          <w:sz w:val="24"/>
          <w:szCs w:val="24"/>
        </w:rPr>
        <w:sectPr>
          <w:pgSz w:w="11906" w:h="16838"/>
          <w:pgMar w:top="1440" w:right="1080" w:bottom="1440" w:left="1080" w:header="1020" w:footer="992" w:gutter="0"/>
          <w:cols w:space="425" w:num="1"/>
          <w:titlePg/>
          <w:docGrid w:type="lines" w:linePitch="312" w:charSpace="0"/>
        </w:sectPr>
      </w:pPr>
    </w:p>
    <w:p w14:paraId="7147F109">
      <w:pPr>
        <w:pStyle w:val="3"/>
        <w:numPr>
          <w:ilvl w:val="0"/>
          <w:numId w:val="1"/>
        </w:numPr>
        <w:jc w:val="center"/>
        <w:rPr>
          <w:rFonts w:ascii="仿宋" w:hAnsi="仿宋" w:eastAsia="仿宋" w:cs="仿宋"/>
          <w:sz w:val="48"/>
          <w:szCs w:val="48"/>
        </w:rPr>
      </w:pPr>
      <w:bookmarkStart w:id="149" w:name="_Toc4360"/>
      <w:r>
        <w:rPr>
          <w:rFonts w:hint="eastAsia" w:ascii="仿宋" w:hAnsi="仿宋" w:eastAsia="仿宋" w:cs="仿宋"/>
          <w:sz w:val="48"/>
          <w:szCs w:val="48"/>
        </w:rPr>
        <w:t>响应文件的组成和格式</w:t>
      </w:r>
      <w:bookmarkEnd w:id="136"/>
      <w:bookmarkEnd w:id="137"/>
      <w:bookmarkEnd w:id="149"/>
    </w:p>
    <w:p w14:paraId="3A1554B4">
      <w:pPr>
        <w:spacing w:line="360" w:lineRule="auto"/>
        <w:rPr>
          <w:rFonts w:ascii="仿宋" w:hAnsi="仿宋" w:eastAsia="仿宋" w:cs="仿宋"/>
          <w:sz w:val="24"/>
        </w:rPr>
      </w:pPr>
    </w:p>
    <w:p w14:paraId="6158F978">
      <w:pPr>
        <w:spacing w:line="360" w:lineRule="auto"/>
        <w:rPr>
          <w:rFonts w:ascii="仿宋" w:hAnsi="仿宋" w:eastAsia="仿宋" w:cs="仿宋"/>
          <w:sz w:val="24"/>
        </w:rPr>
      </w:pPr>
      <w:r>
        <w:rPr>
          <w:rFonts w:hint="eastAsia" w:ascii="仿宋" w:hAnsi="仿宋" w:eastAsia="仿宋" w:cs="仿宋"/>
          <w:sz w:val="24"/>
        </w:rPr>
        <w:t>说明：</w:t>
      </w:r>
    </w:p>
    <w:p w14:paraId="470E83BC">
      <w:pPr>
        <w:spacing w:line="360" w:lineRule="auto"/>
        <w:ind w:firstLine="480" w:firstLineChars="200"/>
        <w:rPr>
          <w:rFonts w:ascii="仿宋" w:hAnsi="仿宋" w:eastAsia="仿宋" w:cs="仿宋"/>
          <w:sz w:val="24"/>
        </w:rPr>
      </w:pPr>
      <w:r>
        <w:rPr>
          <w:rFonts w:hint="eastAsia" w:ascii="仿宋" w:hAnsi="仿宋" w:eastAsia="仿宋" w:cs="仿宋"/>
          <w:sz w:val="24"/>
        </w:rPr>
        <w:t>凡竞争性谈判文件中已提供响应文件格式的内容，供应商应按竞争性谈判文件提供的格式填写，不准有空项；无相应内容可填的项应填写“无”、“未测试”或“没有相应指标”等明确的回答文字。其余未提供格式的内容由供应商自行设计编写，但不得造成与本竞争性谈判文件内容有实质性的违背。</w:t>
      </w:r>
    </w:p>
    <w:p w14:paraId="4F8CC110">
      <w:pPr>
        <w:spacing w:line="360" w:lineRule="auto"/>
        <w:rPr>
          <w:rFonts w:ascii="仿宋" w:hAnsi="仿宋" w:eastAsia="仿宋" w:cs="仿宋"/>
        </w:rPr>
      </w:pPr>
      <w:r>
        <w:rPr>
          <w:rFonts w:hint="eastAsia" w:ascii="仿宋" w:hAnsi="仿宋" w:eastAsia="仿宋" w:cs="仿宋"/>
        </w:rPr>
        <w:br w:type="page"/>
      </w:r>
    </w:p>
    <w:p w14:paraId="33E6CFCA">
      <w:pPr>
        <w:spacing w:line="360" w:lineRule="auto"/>
        <w:jc w:val="center"/>
        <w:rPr>
          <w:rFonts w:ascii="仿宋" w:hAnsi="仿宋" w:eastAsia="仿宋" w:cs="仿宋"/>
          <w:b/>
          <w:sz w:val="72"/>
          <w:szCs w:val="21"/>
        </w:rPr>
      </w:pPr>
    </w:p>
    <w:p w14:paraId="199E5FC6">
      <w:pPr>
        <w:spacing w:line="360" w:lineRule="auto"/>
        <w:jc w:val="center"/>
        <w:rPr>
          <w:rFonts w:ascii="仿宋" w:hAnsi="仿宋" w:eastAsia="仿宋" w:cs="仿宋"/>
          <w:b/>
          <w:sz w:val="72"/>
          <w:szCs w:val="21"/>
        </w:rPr>
      </w:pPr>
      <w:r>
        <w:rPr>
          <w:rFonts w:hint="eastAsia" w:ascii="仿宋" w:hAnsi="仿宋" w:eastAsia="仿宋" w:cs="仿宋"/>
          <w:b/>
          <w:sz w:val="72"/>
          <w:szCs w:val="21"/>
        </w:rPr>
        <w:t>竞争性谈判响应文件</w:t>
      </w:r>
    </w:p>
    <w:p w14:paraId="0FE7B7BA">
      <w:pPr>
        <w:pStyle w:val="21"/>
        <w:ind w:firstLine="0"/>
        <w:jc w:val="center"/>
        <w:rPr>
          <w:rFonts w:ascii="仿宋" w:hAnsi="仿宋" w:eastAsia="仿宋" w:cs="仿宋"/>
          <w:b/>
          <w:bCs/>
          <w:sz w:val="32"/>
        </w:rPr>
      </w:pPr>
    </w:p>
    <w:p w14:paraId="143BD394">
      <w:pPr>
        <w:spacing w:line="360" w:lineRule="auto"/>
        <w:ind w:firstLine="1084" w:firstLineChars="300"/>
        <w:rPr>
          <w:rFonts w:ascii="仿宋" w:hAnsi="仿宋" w:eastAsia="仿宋" w:cs="仿宋"/>
          <w:b/>
          <w:sz w:val="36"/>
          <w:szCs w:val="21"/>
        </w:rPr>
      </w:pPr>
      <w:r>
        <w:rPr>
          <w:rFonts w:hint="eastAsia" w:ascii="仿宋" w:hAnsi="仿宋" w:eastAsia="仿宋" w:cs="仿宋"/>
          <w:b/>
          <w:sz w:val="36"/>
          <w:szCs w:val="21"/>
        </w:rPr>
        <w:t xml:space="preserve">              （正本或副本）</w:t>
      </w:r>
    </w:p>
    <w:p w14:paraId="7D88EBBC">
      <w:pPr>
        <w:spacing w:line="360" w:lineRule="auto"/>
        <w:ind w:firstLine="1084" w:firstLineChars="300"/>
        <w:rPr>
          <w:rFonts w:ascii="仿宋" w:hAnsi="仿宋" w:eastAsia="仿宋" w:cs="仿宋"/>
          <w:b/>
          <w:sz w:val="36"/>
          <w:szCs w:val="21"/>
        </w:rPr>
      </w:pPr>
    </w:p>
    <w:p w14:paraId="1D037A73">
      <w:pPr>
        <w:spacing w:line="360" w:lineRule="auto"/>
        <w:ind w:firstLine="1084" w:firstLineChars="300"/>
        <w:rPr>
          <w:rFonts w:ascii="仿宋" w:hAnsi="仿宋" w:eastAsia="仿宋" w:cs="仿宋"/>
          <w:b/>
          <w:sz w:val="36"/>
          <w:szCs w:val="21"/>
        </w:rPr>
      </w:pPr>
    </w:p>
    <w:p w14:paraId="7B1C49BF">
      <w:pPr>
        <w:spacing w:line="360" w:lineRule="auto"/>
        <w:ind w:firstLine="1084" w:firstLineChars="300"/>
        <w:rPr>
          <w:rFonts w:ascii="仿宋" w:hAnsi="仿宋" w:eastAsia="仿宋" w:cs="仿宋"/>
          <w:b/>
          <w:sz w:val="36"/>
        </w:rPr>
      </w:pPr>
    </w:p>
    <w:p w14:paraId="715C8A1D">
      <w:pPr>
        <w:spacing w:line="360" w:lineRule="auto"/>
        <w:ind w:firstLine="1084" w:firstLineChars="300"/>
        <w:rPr>
          <w:rFonts w:ascii="仿宋" w:hAnsi="仿宋" w:eastAsia="仿宋" w:cs="仿宋"/>
          <w:b/>
          <w:sz w:val="36"/>
        </w:rPr>
      </w:pPr>
      <w:r>
        <w:rPr>
          <w:rFonts w:hint="eastAsia" w:ascii="仿宋" w:hAnsi="仿宋" w:eastAsia="仿宋" w:cs="仿宋"/>
          <w:b/>
          <w:sz w:val="36"/>
        </w:rPr>
        <w:t>项 目 名 称：</w:t>
      </w:r>
      <w:r>
        <w:rPr>
          <w:rFonts w:hint="eastAsia" w:ascii="仿宋" w:hAnsi="仿宋" w:eastAsia="仿宋" w:cs="仿宋"/>
          <w:b/>
          <w:sz w:val="36"/>
          <w:lang w:eastAsia="zh-CN"/>
        </w:rPr>
        <w:t>2026年保安服务外包项目</w:t>
      </w:r>
    </w:p>
    <w:p w14:paraId="532EC4AC">
      <w:pPr>
        <w:spacing w:line="360" w:lineRule="auto"/>
        <w:ind w:firstLine="1084" w:firstLineChars="300"/>
        <w:rPr>
          <w:rFonts w:ascii="仿宋" w:hAnsi="仿宋" w:eastAsia="仿宋" w:cs="仿宋"/>
          <w:b/>
          <w:sz w:val="36"/>
        </w:rPr>
      </w:pPr>
    </w:p>
    <w:p w14:paraId="51021548">
      <w:pPr>
        <w:spacing w:line="360" w:lineRule="auto"/>
        <w:ind w:firstLine="1084" w:firstLineChars="300"/>
        <w:rPr>
          <w:rFonts w:ascii="仿宋" w:hAnsi="仿宋" w:eastAsia="仿宋" w:cs="仿宋"/>
          <w:b/>
          <w:sz w:val="36"/>
        </w:rPr>
      </w:pPr>
      <w:r>
        <w:rPr>
          <w:rFonts w:hint="eastAsia" w:ascii="仿宋" w:hAnsi="仿宋" w:eastAsia="仿宋" w:cs="仿宋"/>
          <w:b/>
          <w:sz w:val="36"/>
        </w:rPr>
        <w:t>项 目 编 号：</w:t>
      </w:r>
      <w:r>
        <w:rPr>
          <w:rFonts w:hint="eastAsia" w:ascii="仿宋" w:hAnsi="仿宋" w:eastAsia="仿宋" w:cs="仿宋"/>
          <w:b/>
          <w:sz w:val="36"/>
          <w:lang w:eastAsia="zh-CN"/>
        </w:rPr>
        <w:t>NJDCX-202512051928</w:t>
      </w:r>
      <w:bookmarkStart w:id="220" w:name="_GoBack"/>
      <w:bookmarkEnd w:id="220"/>
    </w:p>
    <w:p w14:paraId="1A18CA02">
      <w:pPr>
        <w:pStyle w:val="17"/>
        <w:spacing w:line="360" w:lineRule="auto"/>
        <w:ind w:firstLine="723"/>
        <w:rPr>
          <w:rFonts w:ascii="仿宋" w:hAnsi="仿宋" w:eastAsia="仿宋" w:cs="仿宋"/>
          <w:b/>
          <w:sz w:val="36"/>
        </w:rPr>
      </w:pPr>
    </w:p>
    <w:p w14:paraId="6FF22B13">
      <w:pPr>
        <w:spacing w:line="360" w:lineRule="auto"/>
        <w:rPr>
          <w:rFonts w:ascii="仿宋" w:hAnsi="仿宋" w:eastAsia="仿宋" w:cs="仿宋"/>
          <w:b/>
          <w:sz w:val="36"/>
        </w:rPr>
      </w:pPr>
    </w:p>
    <w:p w14:paraId="141CCEC8">
      <w:pPr>
        <w:pStyle w:val="17"/>
        <w:spacing w:line="360" w:lineRule="auto"/>
        <w:ind w:firstLine="560"/>
        <w:rPr>
          <w:rFonts w:ascii="仿宋" w:hAnsi="仿宋" w:eastAsia="仿宋" w:cs="仿宋"/>
        </w:rPr>
      </w:pPr>
    </w:p>
    <w:p w14:paraId="5DF817C2">
      <w:pPr>
        <w:spacing w:line="360" w:lineRule="auto"/>
        <w:ind w:firstLine="1084" w:firstLineChars="300"/>
        <w:rPr>
          <w:rFonts w:ascii="仿宋" w:hAnsi="仿宋" w:eastAsia="仿宋" w:cs="仿宋"/>
          <w:b/>
          <w:sz w:val="36"/>
        </w:rPr>
      </w:pPr>
    </w:p>
    <w:p w14:paraId="5B2EF324">
      <w:pPr>
        <w:spacing w:line="360" w:lineRule="auto"/>
        <w:ind w:firstLine="1084" w:firstLineChars="300"/>
        <w:rPr>
          <w:rFonts w:ascii="仿宋" w:hAnsi="仿宋" w:eastAsia="仿宋" w:cs="仿宋"/>
          <w:b/>
          <w:sz w:val="36"/>
        </w:rPr>
      </w:pPr>
      <w:r>
        <w:rPr>
          <w:rFonts w:hint="eastAsia" w:ascii="仿宋" w:hAnsi="仿宋" w:eastAsia="仿宋" w:cs="仿宋"/>
          <w:b/>
          <w:sz w:val="36"/>
        </w:rPr>
        <w:t xml:space="preserve">供应商法人单位名称：               </w:t>
      </w:r>
    </w:p>
    <w:p w14:paraId="276AC743">
      <w:pPr>
        <w:spacing w:line="360" w:lineRule="auto"/>
        <w:rPr>
          <w:rFonts w:ascii="仿宋" w:hAnsi="仿宋" w:eastAsia="仿宋" w:cs="仿宋"/>
        </w:rPr>
      </w:pPr>
      <w:r>
        <w:rPr>
          <w:rFonts w:hint="eastAsia" w:ascii="仿宋" w:hAnsi="仿宋" w:eastAsia="仿宋" w:cs="仿宋"/>
          <w:b/>
          <w:sz w:val="36"/>
        </w:rPr>
        <w:t xml:space="preserve">      日       期：</w:t>
      </w:r>
    </w:p>
    <w:p w14:paraId="062F81A6">
      <w:pPr>
        <w:pStyle w:val="21"/>
        <w:spacing w:before="0" w:after="0"/>
        <w:ind w:firstLine="0"/>
        <w:rPr>
          <w:rFonts w:ascii="仿宋" w:hAnsi="仿宋" w:eastAsia="仿宋" w:cs="仿宋"/>
        </w:rPr>
      </w:pPr>
    </w:p>
    <w:p w14:paraId="2F733FB0">
      <w:pPr>
        <w:pStyle w:val="21"/>
        <w:spacing w:before="0" w:after="0"/>
        <w:ind w:firstLine="0"/>
        <w:rPr>
          <w:rFonts w:ascii="仿宋" w:hAnsi="仿宋" w:eastAsia="仿宋" w:cs="仿宋"/>
        </w:rPr>
      </w:pPr>
    </w:p>
    <w:p w14:paraId="62BB68AE">
      <w:pPr>
        <w:pStyle w:val="21"/>
        <w:spacing w:before="0" w:after="0"/>
        <w:ind w:firstLine="0"/>
        <w:rPr>
          <w:rFonts w:ascii="仿宋" w:hAnsi="仿宋" w:eastAsia="仿宋" w:cs="仿宋"/>
        </w:rPr>
      </w:pPr>
    </w:p>
    <w:p w14:paraId="1F1A993B">
      <w:pPr>
        <w:pStyle w:val="21"/>
        <w:spacing w:before="0" w:after="0"/>
        <w:ind w:firstLine="0"/>
        <w:rPr>
          <w:rFonts w:ascii="仿宋" w:hAnsi="仿宋" w:eastAsia="仿宋" w:cs="仿宋"/>
        </w:rPr>
      </w:pPr>
    </w:p>
    <w:p w14:paraId="52D2C3DA">
      <w:pPr>
        <w:spacing w:line="360" w:lineRule="auto"/>
        <w:rPr>
          <w:rFonts w:ascii="仿宋" w:hAnsi="仿宋" w:eastAsia="仿宋" w:cs="仿宋"/>
          <w:b/>
          <w:sz w:val="24"/>
        </w:rPr>
      </w:pPr>
      <w:r>
        <w:rPr>
          <w:rFonts w:hint="eastAsia" w:ascii="仿宋" w:hAnsi="仿宋" w:eastAsia="仿宋" w:cs="仿宋"/>
          <w:b/>
          <w:sz w:val="24"/>
        </w:rPr>
        <w:br w:type="page"/>
      </w:r>
    </w:p>
    <w:p w14:paraId="5E9A5F78">
      <w:pPr>
        <w:pStyle w:val="24"/>
        <w:spacing w:line="360" w:lineRule="auto"/>
        <w:ind w:left="0" w:firstLine="0"/>
        <w:jc w:val="center"/>
        <w:rPr>
          <w:rFonts w:ascii="仿宋" w:hAnsi="仿宋" w:eastAsia="仿宋" w:cs="仿宋"/>
          <w:bCs w:val="0"/>
          <w:sz w:val="32"/>
          <w:szCs w:val="32"/>
        </w:rPr>
      </w:pPr>
      <w:bookmarkStart w:id="150" w:name="_Toc7651"/>
      <w:bookmarkStart w:id="151" w:name="_Toc30144"/>
      <w:r>
        <w:rPr>
          <w:rFonts w:hint="eastAsia" w:ascii="仿宋" w:hAnsi="仿宋" w:eastAsia="仿宋" w:cs="仿宋"/>
          <w:bCs w:val="0"/>
          <w:sz w:val="32"/>
          <w:szCs w:val="32"/>
        </w:rPr>
        <w:t>一、资格性和符合性检查响应对照表</w:t>
      </w:r>
      <w:bookmarkEnd w:id="150"/>
      <w:bookmarkEnd w:id="151"/>
    </w:p>
    <w:tbl>
      <w:tblPr>
        <w:tblStyle w:val="18"/>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14:paraId="0A4BA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646" w:type="dxa"/>
            <w:vAlign w:val="center"/>
          </w:tcPr>
          <w:p w14:paraId="3951D621">
            <w:pPr>
              <w:snapToGrid w:val="0"/>
              <w:spacing w:line="0" w:lineRule="atLeast"/>
              <w:jc w:val="center"/>
              <w:rPr>
                <w:rFonts w:ascii="仿宋" w:hAnsi="仿宋" w:eastAsia="仿宋" w:cs="仿宋"/>
                <w:sz w:val="24"/>
                <w:szCs w:val="24"/>
              </w:rPr>
            </w:pPr>
            <w:r>
              <w:rPr>
                <w:rFonts w:hint="eastAsia" w:ascii="仿宋" w:hAnsi="仿宋" w:eastAsia="仿宋" w:cs="仿宋"/>
                <w:sz w:val="24"/>
                <w:szCs w:val="24"/>
              </w:rPr>
              <w:t>序号</w:t>
            </w:r>
          </w:p>
        </w:tc>
        <w:tc>
          <w:tcPr>
            <w:tcW w:w="5447" w:type="dxa"/>
            <w:vAlign w:val="center"/>
          </w:tcPr>
          <w:p w14:paraId="336C127B">
            <w:pPr>
              <w:snapToGrid w:val="0"/>
              <w:spacing w:line="0" w:lineRule="atLeast"/>
              <w:jc w:val="center"/>
              <w:rPr>
                <w:rFonts w:ascii="仿宋" w:hAnsi="仿宋" w:eastAsia="仿宋" w:cs="仿宋"/>
                <w:sz w:val="24"/>
                <w:szCs w:val="24"/>
              </w:rPr>
            </w:pPr>
            <w:r>
              <w:rPr>
                <w:rFonts w:hint="eastAsia" w:ascii="仿宋" w:hAnsi="仿宋" w:eastAsia="仿宋" w:cs="仿宋"/>
                <w:sz w:val="24"/>
                <w:szCs w:val="24"/>
              </w:rPr>
              <w:t>资格和符合性检查响应内容</w:t>
            </w:r>
          </w:p>
        </w:tc>
        <w:tc>
          <w:tcPr>
            <w:tcW w:w="1680" w:type="dxa"/>
            <w:vAlign w:val="center"/>
          </w:tcPr>
          <w:p w14:paraId="5B4B97AF">
            <w:pPr>
              <w:snapToGrid w:val="0"/>
              <w:spacing w:line="0" w:lineRule="atLeast"/>
              <w:jc w:val="center"/>
              <w:rPr>
                <w:rFonts w:ascii="仿宋" w:hAnsi="仿宋" w:eastAsia="仿宋" w:cs="仿宋"/>
                <w:sz w:val="24"/>
                <w:szCs w:val="24"/>
              </w:rPr>
            </w:pPr>
            <w:r>
              <w:rPr>
                <w:rFonts w:hint="eastAsia" w:ascii="仿宋" w:hAnsi="仿宋" w:eastAsia="仿宋" w:cs="仿宋"/>
                <w:sz w:val="24"/>
                <w:szCs w:val="24"/>
              </w:rPr>
              <w:t>是否响应</w:t>
            </w:r>
          </w:p>
          <w:p w14:paraId="46406539">
            <w:pPr>
              <w:snapToGrid w:val="0"/>
              <w:spacing w:line="0" w:lineRule="atLeast"/>
              <w:jc w:val="center"/>
              <w:rPr>
                <w:rFonts w:ascii="仿宋" w:hAnsi="仿宋" w:eastAsia="仿宋" w:cs="仿宋"/>
                <w:sz w:val="24"/>
                <w:szCs w:val="24"/>
              </w:rPr>
            </w:pPr>
            <w:r>
              <w:rPr>
                <w:rFonts w:hint="eastAsia" w:ascii="仿宋" w:hAnsi="仿宋" w:eastAsia="仿宋" w:cs="仿宋"/>
                <w:sz w:val="24"/>
                <w:szCs w:val="24"/>
              </w:rPr>
              <w:t>（填是或者否）</w:t>
            </w:r>
          </w:p>
        </w:tc>
        <w:tc>
          <w:tcPr>
            <w:tcW w:w="1785" w:type="dxa"/>
            <w:vAlign w:val="center"/>
          </w:tcPr>
          <w:p w14:paraId="3AD4A2C9">
            <w:pPr>
              <w:snapToGrid w:val="0"/>
              <w:spacing w:line="0" w:lineRule="atLeast"/>
              <w:jc w:val="center"/>
              <w:rPr>
                <w:rFonts w:ascii="仿宋" w:hAnsi="仿宋" w:eastAsia="仿宋" w:cs="仿宋"/>
                <w:sz w:val="24"/>
                <w:szCs w:val="24"/>
              </w:rPr>
            </w:pPr>
            <w:r>
              <w:rPr>
                <w:rFonts w:hint="eastAsia" w:ascii="仿宋" w:hAnsi="仿宋" w:eastAsia="仿宋" w:cs="仿宋"/>
                <w:sz w:val="24"/>
                <w:szCs w:val="24"/>
              </w:rPr>
              <w:t>响应文件中的页码位置</w:t>
            </w:r>
          </w:p>
        </w:tc>
      </w:tr>
      <w:tr w14:paraId="2ED22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646" w:type="dxa"/>
            <w:vAlign w:val="center"/>
          </w:tcPr>
          <w:p w14:paraId="3E7F3622">
            <w:pPr>
              <w:spacing w:line="0" w:lineRule="atLeast"/>
              <w:jc w:val="center"/>
              <w:rPr>
                <w:rFonts w:ascii="仿宋" w:hAnsi="仿宋" w:eastAsia="仿宋" w:cs="仿宋"/>
                <w:i/>
                <w:sz w:val="24"/>
                <w:szCs w:val="24"/>
                <w:u w:val="single"/>
              </w:rPr>
            </w:pPr>
            <w:r>
              <w:rPr>
                <w:rFonts w:hint="eastAsia" w:ascii="仿宋" w:hAnsi="仿宋" w:eastAsia="仿宋" w:cs="仿宋"/>
                <w:i/>
                <w:sz w:val="24"/>
                <w:szCs w:val="24"/>
                <w:u w:val="single"/>
              </w:rPr>
              <w:t>1</w:t>
            </w:r>
          </w:p>
        </w:tc>
        <w:tc>
          <w:tcPr>
            <w:tcW w:w="5447" w:type="dxa"/>
            <w:vAlign w:val="center"/>
          </w:tcPr>
          <w:p w14:paraId="2FDB83D5">
            <w:pPr>
              <w:snapToGrid w:val="0"/>
              <w:spacing w:line="0" w:lineRule="atLeast"/>
              <w:ind w:firstLine="482" w:firstLineChars="200"/>
              <w:rPr>
                <w:rFonts w:ascii="仿宋" w:hAnsi="仿宋" w:eastAsia="仿宋" w:cs="仿宋"/>
                <w:b/>
                <w:i/>
                <w:sz w:val="24"/>
                <w:szCs w:val="24"/>
                <w:u w:val="single"/>
              </w:rPr>
            </w:pPr>
            <w:r>
              <w:rPr>
                <w:rFonts w:hint="eastAsia" w:ascii="仿宋" w:hAnsi="仿宋" w:eastAsia="仿宋" w:cs="仿宋"/>
                <w:b/>
                <w:i/>
                <w:sz w:val="24"/>
                <w:szCs w:val="24"/>
                <w:u w:val="single"/>
              </w:rPr>
              <w:t>具有独立承担民事责任的能力（提供法人或者其他组织的营业执照复印件并加盖公章，或者自然人的身份证明）；</w:t>
            </w:r>
          </w:p>
        </w:tc>
        <w:tc>
          <w:tcPr>
            <w:tcW w:w="1680" w:type="dxa"/>
            <w:vAlign w:val="center"/>
          </w:tcPr>
          <w:p w14:paraId="1A8D97D0">
            <w:pPr>
              <w:spacing w:line="0" w:lineRule="atLeast"/>
              <w:jc w:val="center"/>
              <w:rPr>
                <w:rFonts w:ascii="仿宋" w:hAnsi="仿宋" w:eastAsia="仿宋" w:cs="仿宋"/>
                <w:sz w:val="24"/>
                <w:szCs w:val="24"/>
              </w:rPr>
            </w:pPr>
          </w:p>
        </w:tc>
        <w:tc>
          <w:tcPr>
            <w:tcW w:w="1785" w:type="dxa"/>
            <w:vAlign w:val="center"/>
          </w:tcPr>
          <w:p w14:paraId="4EEE4711">
            <w:pPr>
              <w:spacing w:line="0" w:lineRule="atLeast"/>
              <w:rPr>
                <w:rFonts w:ascii="仿宋" w:hAnsi="仿宋" w:eastAsia="仿宋" w:cs="仿宋"/>
                <w:sz w:val="24"/>
                <w:szCs w:val="24"/>
              </w:rPr>
            </w:pPr>
          </w:p>
        </w:tc>
      </w:tr>
      <w:tr w14:paraId="0B5AF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646" w:type="dxa"/>
            <w:vAlign w:val="center"/>
          </w:tcPr>
          <w:p w14:paraId="31D452A3">
            <w:pPr>
              <w:spacing w:line="0" w:lineRule="atLeast"/>
              <w:jc w:val="center"/>
              <w:rPr>
                <w:rFonts w:ascii="仿宋" w:hAnsi="仿宋" w:eastAsia="仿宋" w:cs="仿宋"/>
                <w:i/>
                <w:sz w:val="24"/>
                <w:szCs w:val="24"/>
                <w:u w:val="single"/>
              </w:rPr>
            </w:pPr>
            <w:r>
              <w:rPr>
                <w:rFonts w:hint="eastAsia" w:ascii="仿宋" w:hAnsi="仿宋" w:eastAsia="仿宋" w:cs="仿宋"/>
                <w:i/>
                <w:sz w:val="24"/>
                <w:szCs w:val="24"/>
                <w:u w:val="single"/>
              </w:rPr>
              <w:t>2</w:t>
            </w:r>
          </w:p>
        </w:tc>
        <w:tc>
          <w:tcPr>
            <w:tcW w:w="5447" w:type="dxa"/>
            <w:vAlign w:val="center"/>
          </w:tcPr>
          <w:p w14:paraId="7E045303">
            <w:pPr>
              <w:snapToGrid w:val="0"/>
              <w:spacing w:line="0" w:lineRule="atLeast"/>
              <w:ind w:firstLine="482" w:firstLineChars="200"/>
              <w:rPr>
                <w:rFonts w:ascii="仿宋" w:hAnsi="仿宋" w:eastAsia="仿宋" w:cs="仿宋"/>
                <w:b/>
                <w:i/>
                <w:sz w:val="24"/>
                <w:szCs w:val="24"/>
                <w:u w:val="single"/>
              </w:rPr>
            </w:pPr>
            <w:r>
              <w:rPr>
                <w:rFonts w:hint="eastAsia" w:ascii="仿宋" w:hAnsi="仿宋" w:eastAsia="仿宋" w:cs="仿宋"/>
                <w:b/>
                <w:i/>
                <w:sz w:val="24"/>
                <w:szCs w:val="24"/>
                <w:u w:val="single"/>
              </w:rPr>
              <w:t>具有良好的商业信誉和健全的财务会计制度（提供202</w:t>
            </w:r>
            <w:r>
              <w:rPr>
                <w:rFonts w:hint="eastAsia" w:ascii="仿宋" w:hAnsi="仿宋" w:eastAsia="仿宋" w:cs="仿宋"/>
                <w:b/>
                <w:i/>
                <w:sz w:val="24"/>
                <w:szCs w:val="24"/>
                <w:u w:val="single"/>
                <w:lang w:val="en-US" w:eastAsia="zh-CN"/>
              </w:rPr>
              <w:t>4</w:t>
            </w:r>
            <w:r>
              <w:rPr>
                <w:rFonts w:hint="eastAsia" w:ascii="仿宋" w:hAnsi="仿宋" w:eastAsia="仿宋" w:cs="仿宋"/>
                <w:b/>
                <w:i/>
                <w:sz w:val="24"/>
                <w:szCs w:val="24"/>
                <w:u w:val="single"/>
              </w:rPr>
              <w:t>年度财务报表或银行出具的企业资信证明，法人或者其他组织成立未满一年的可提供近半年内任一月的资产负债和利润表）</w:t>
            </w:r>
          </w:p>
        </w:tc>
        <w:tc>
          <w:tcPr>
            <w:tcW w:w="1680" w:type="dxa"/>
            <w:vAlign w:val="center"/>
          </w:tcPr>
          <w:p w14:paraId="56C52FF3">
            <w:pPr>
              <w:spacing w:line="0" w:lineRule="atLeast"/>
              <w:jc w:val="center"/>
              <w:rPr>
                <w:rFonts w:ascii="仿宋" w:hAnsi="仿宋" w:eastAsia="仿宋" w:cs="仿宋"/>
                <w:sz w:val="24"/>
                <w:szCs w:val="24"/>
              </w:rPr>
            </w:pPr>
          </w:p>
        </w:tc>
        <w:tc>
          <w:tcPr>
            <w:tcW w:w="1785" w:type="dxa"/>
            <w:vAlign w:val="center"/>
          </w:tcPr>
          <w:p w14:paraId="3D6C7A53">
            <w:pPr>
              <w:spacing w:line="0" w:lineRule="atLeast"/>
              <w:rPr>
                <w:rFonts w:ascii="仿宋" w:hAnsi="仿宋" w:eastAsia="仿宋" w:cs="仿宋"/>
                <w:sz w:val="24"/>
                <w:szCs w:val="24"/>
              </w:rPr>
            </w:pPr>
          </w:p>
        </w:tc>
      </w:tr>
      <w:tr w14:paraId="184AB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46" w:type="dxa"/>
            <w:vAlign w:val="center"/>
          </w:tcPr>
          <w:p w14:paraId="7F9AAF4D">
            <w:pPr>
              <w:spacing w:line="0" w:lineRule="atLeast"/>
              <w:jc w:val="center"/>
              <w:rPr>
                <w:rFonts w:ascii="仿宋" w:hAnsi="仿宋" w:eastAsia="仿宋" w:cs="仿宋"/>
                <w:i/>
                <w:sz w:val="24"/>
                <w:szCs w:val="24"/>
                <w:u w:val="single"/>
              </w:rPr>
            </w:pPr>
            <w:r>
              <w:rPr>
                <w:rFonts w:hint="eastAsia" w:ascii="仿宋" w:hAnsi="仿宋" w:eastAsia="仿宋" w:cs="仿宋"/>
                <w:i/>
                <w:sz w:val="24"/>
                <w:szCs w:val="24"/>
                <w:u w:val="single"/>
              </w:rPr>
              <w:t>3</w:t>
            </w:r>
          </w:p>
        </w:tc>
        <w:tc>
          <w:tcPr>
            <w:tcW w:w="5447" w:type="dxa"/>
            <w:vAlign w:val="center"/>
          </w:tcPr>
          <w:p w14:paraId="32BAAD2C">
            <w:pPr>
              <w:snapToGrid w:val="0"/>
              <w:spacing w:line="0" w:lineRule="atLeast"/>
              <w:ind w:firstLine="482" w:firstLineChars="200"/>
              <w:rPr>
                <w:rFonts w:ascii="仿宋" w:hAnsi="仿宋" w:eastAsia="仿宋" w:cs="仿宋"/>
                <w:b/>
                <w:i/>
                <w:sz w:val="24"/>
                <w:szCs w:val="24"/>
                <w:u w:val="single"/>
              </w:rPr>
            </w:pPr>
            <w:r>
              <w:rPr>
                <w:rFonts w:hint="eastAsia" w:ascii="仿宋" w:hAnsi="仿宋" w:eastAsia="仿宋" w:cs="仿宋"/>
                <w:b/>
                <w:i/>
                <w:sz w:val="24"/>
                <w:szCs w:val="24"/>
                <w:u w:val="single"/>
              </w:rPr>
              <w:t>具有履行合同所必需的设备和专业技术能力（根据项目需求提供履行合同所必需的设备和专业技术能力的证明材料或声明函）；</w:t>
            </w:r>
          </w:p>
        </w:tc>
        <w:tc>
          <w:tcPr>
            <w:tcW w:w="1680" w:type="dxa"/>
            <w:vAlign w:val="center"/>
          </w:tcPr>
          <w:p w14:paraId="4BC078EE">
            <w:pPr>
              <w:spacing w:line="0" w:lineRule="atLeast"/>
              <w:jc w:val="center"/>
              <w:rPr>
                <w:rFonts w:ascii="仿宋" w:hAnsi="仿宋" w:eastAsia="仿宋" w:cs="仿宋"/>
                <w:sz w:val="24"/>
                <w:szCs w:val="24"/>
              </w:rPr>
            </w:pPr>
          </w:p>
        </w:tc>
        <w:tc>
          <w:tcPr>
            <w:tcW w:w="1785" w:type="dxa"/>
            <w:vAlign w:val="center"/>
          </w:tcPr>
          <w:p w14:paraId="31456043">
            <w:pPr>
              <w:spacing w:line="0" w:lineRule="atLeast"/>
              <w:rPr>
                <w:rFonts w:ascii="仿宋" w:hAnsi="仿宋" w:eastAsia="仿宋" w:cs="仿宋"/>
                <w:sz w:val="24"/>
                <w:szCs w:val="24"/>
              </w:rPr>
            </w:pPr>
          </w:p>
        </w:tc>
      </w:tr>
      <w:tr w14:paraId="4E2D0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6" w:type="dxa"/>
            <w:vAlign w:val="center"/>
          </w:tcPr>
          <w:p w14:paraId="55F2022D">
            <w:pPr>
              <w:spacing w:line="0" w:lineRule="atLeast"/>
              <w:jc w:val="center"/>
              <w:rPr>
                <w:rFonts w:ascii="仿宋" w:hAnsi="仿宋" w:eastAsia="仿宋" w:cs="仿宋"/>
                <w:i/>
                <w:sz w:val="24"/>
                <w:szCs w:val="24"/>
                <w:u w:val="single"/>
              </w:rPr>
            </w:pPr>
            <w:r>
              <w:rPr>
                <w:rFonts w:hint="eastAsia" w:ascii="仿宋" w:hAnsi="仿宋" w:eastAsia="仿宋" w:cs="仿宋"/>
                <w:i/>
                <w:sz w:val="24"/>
                <w:szCs w:val="24"/>
                <w:u w:val="single"/>
              </w:rPr>
              <w:t>4</w:t>
            </w:r>
          </w:p>
        </w:tc>
        <w:tc>
          <w:tcPr>
            <w:tcW w:w="5447" w:type="dxa"/>
            <w:vAlign w:val="center"/>
          </w:tcPr>
          <w:p w14:paraId="6F540502">
            <w:pPr>
              <w:snapToGrid w:val="0"/>
              <w:spacing w:line="0" w:lineRule="atLeast"/>
              <w:ind w:firstLine="482" w:firstLineChars="200"/>
              <w:rPr>
                <w:rFonts w:ascii="仿宋" w:hAnsi="仿宋" w:eastAsia="仿宋" w:cs="仿宋"/>
                <w:b/>
                <w:i/>
                <w:sz w:val="24"/>
                <w:szCs w:val="24"/>
                <w:u w:val="single"/>
              </w:rPr>
            </w:pPr>
            <w:r>
              <w:rPr>
                <w:rFonts w:hint="eastAsia" w:ascii="仿宋" w:hAnsi="仿宋" w:eastAsia="仿宋" w:cs="仿宋"/>
                <w:b/>
                <w:i/>
                <w:sz w:val="24"/>
                <w:szCs w:val="24"/>
                <w:u w:val="single"/>
              </w:rPr>
              <w:t>有依法缴纳税收和社会保障资金的良好记录（提供参加本次采购活动前近六个月内任一月份依法缴纳税收及社会保险的凭据。依法免缴、迟缴的应提供相应文件证明）；</w:t>
            </w:r>
          </w:p>
        </w:tc>
        <w:tc>
          <w:tcPr>
            <w:tcW w:w="1680" w:type="dxa"/>
            <w:vAlign w:val="center"/>
          </w:tcPr>
          <w:p w14:paraId="336C7EAB">
            <w:pPr>
              <w:spacing w:line="0" w:lineRule="atLeast"/>
              <w:jc w:val="center"/>
              <w:rPr>
                <w:rFonts w:ascii="仿宋" w:hAnsi="仿宋" w:eastAsia="仿宋" w:cs="仿宋"/>
                <w:sz w:val="24"/>
                <w:szCs w:val="24"/>
              </w:rPr>
            </w:pPr>
          </w:p>
        </w:tc>
        <w:tc>
          <w:tcPr>
            <w:tcW w:w="1785" w:type="dxa"/>
            <w:vAlign w:val="center"/>
          </w:tcPr>
          <w:p w14:paraId="253AFD4F">
            <w:pPr>
              <w:spacing w:line="0" w:lineRule="atLeast"/>
              <w:rPr>
                <w:rFonts w:ascii="仿宋" w:hAnsi="仿宋" w:eastAsia="仿宋" w:cs="仿宋"/>
                <w:sz w:val="24"/>
                <w:szCs w:val="24"/>
              </w:rPr>
            </w:pPr>
          </w:p>
        </w:tc>
      </w:tr>
      <w:tr w14:paraId="50246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646" w:type="dxa"/>
            <w:vAlign w:val="center"/>
          </w:tcPr>
          <w:p w14:paraId="16F950C4">
            <w:pPr>
              <w:spacing w:line="0" w:lineRule="atLeast"/>
              <w:jc w:val="center"/>
              <w:rPr>
                <w:rFonts w:ascii="仿宋" w:hAnsi="仿宋" w:eastAsia="仿宋" w:cs="仿宋"/>
                <w:i/>
                <w:sz w:val="24"/>
                <w:szCs w:val="24"/>
                <w:u w:val="single"/>
              </w:rPr>
            </w:pPr>
            <w:r>
              <w:rPr>
                <w:rFonts w:hint="eastAsia" w:ascii="仿宋" w:hAnsi="仿宋" w:eastAsia="仿宋" w:cs="仿宋"/>
                <w:i/>
                <w:sz w:val="24"/>
                <w:szCs w:val="24"/>
                <w:u w:val="single"/>
              </w:rPr>
              <w:t>5</w:t>
            </w:r>
          </w:p>
        </w:tc>
        <w:tc>
          <w:tcPr>
            <w:tcW w:w="5447" w:type="dxa"/>
            <w:vAlign w:val="center"/>
          </w:tcPr>
          <w:p w14:paraId="520DA43F">
            <w:pPr>
              <w:snapToGrid w:val="0"/>
              <w:spacing w:line="0" w:lineRule="atLeast"/>
              <w:ind w:firstLine="482" w:firstLineChars="200"/>
              <w:rPr>
                <w:rFonts w:ascii="仿宋" w:hAnsi="仿宋" w:eastAsia="仿宋" w:cs="仿宋"/>
                <w:b/>
                <w:i/>
                <w:sz w:val="24"/>
                <w:szCs w:val="24"/>
                <w:u w:val="single"/>
              </w:rPr>
            </w:pPr>
            <w:r>
              <w:rPr>
                <w:rFonts w:hint="eastAsia" w:ascii="仿宋" w:hAnsi="仿宋" w:eastAsia="仿宋" w:cs="仿宋"/>
                <w:b/>
                <w:i/>
                <w:sz w:val="24"/>
                <w:szCs w:val="24"/>
                <w:u w:val="single"/>
              </w:rPr>
              <w:t>参加本次采购活动前3年内在经营活动中没有重大违法记录（提供参加本次采购活动前3年内在经营活动中没有重大违法记录的书面声明）；</w:t>
            </w:r>
          </w:p>
        </w:tc>
        <w:tc>
          <w:tcPr>
            <w:tcW w:w="1680" w:type="dxa"/>
            <w:vAlign w:val="center"/>
          </w:tcPr>
          <w:p w14:paraId="202F5A17">
            <w:pPr>
              <w:spacing w:line="0" w:lineRule="atLeast"/>
              <w:jc w:val="center"/>
              <w:rPr>
                <w:rFonts w:ascii="仿宋" w:hAnsi="仿宋" w:eastAsia="仿宋" w:cs="仿宋"/>
                <w:sz w:val="24"/>
                <w:szCs w:val="24"/>
              </w:rPr>
            </w:pPr>
          </w:p>
        </w:tc>
        <w:tc>
          <w:tcPr>
            <w:tcW w:w="1785" w:type="dxa"/>
            <w:vAlign w:val="center"/>
          </w:tcPr>
          <w:p w14:paraId="1BC39DE3">
            <w:pPr>
              <w:spacing w:line="0" w:lineRule="atLeast"/>
              <w:rPr>
                <w:rFonts w:ascii="仿宋" w:hAnsi="仿宋" w:eastAsia="仿宋" w:cs="仿宋"/>
                <w:sz w:val="24"/>
                <w:szCs w:val="24"/>
              </w:rPr>
            </w:pPr>
          </w:p>
        </w:tc>
      </w:tr>
      <w:tr w14:paraId="70E63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46" w:type="dxa"/>
            <w:vAlign w:val="center"/>
          </w:tcPr>
          <w:p w14:paraId="4D90E450">
            <w:pPr>
              <w:spacing w:line="0" w:lineRule="atLeast"/>
              <w:jc w:val="center"/>
              <w:rPr>
                <w:rFonts w:ascii="仿宋" w:hAnsi="仿宋" w:eastAsia="仿宋" w:cs="仿宋"/>
                <w:i/>
                <w:sz w:val="24"/>
                <w:szCs w:val="24"/>
                <w:u w:val="single"/>
              </w:rPr>
            </w:pPr>
            <w:r>
              <w:rPr>
                <w:rFonts w:hint="eastAsia" w:ascii="仿宋" w:hAnsi="仿宋" w:eastAsia="仿宋" w:cs="仿宋"/>
                <w:i/>
                <w:sz w:val="24"/>
                <w:szCs w:val="24"/>
                <w:u w:val="single"/>
              </w:rPr>
              <w:t>6</w:t>
            </w:r>
          </w:p>
        </w:tc>
        <w:tc>
          <w:tcPr>
            <w:tcW w:w="5447" w:type="dxa"/>
            <w:vAlign w:val="center"/>
          </w:tcPr>
          <w:p w14:paraId="4E4AA457">
            <w:pPr>
              <w:snapToGrid w:val="0"/>
              <w:spacing w:line="0" w:lineRule="atLeast"/>
              <w:ind w:firstLine="482" w:firstLineChars="200"/>
              <w:rPr>
                <w:rFonts w:ascii="仿宋" w:hAnsi="仿宋" w:eastAsia="仿宋" w:cs="仿宋"/>
                <w:b/>
                <w:i/>
                <w:sz w:val="24"/>
                <w:szCs w:val="24"/>
                <w:u w:val="single"/>
              </w:rPr>
            </w:pPr>
            <w:r>
              <w:rPr>
                <w:rFonts w:hint="eastAsia" w:ascii="仿宋" w:hAnsi="仿宋" w:eastAsia="仿宋" w:cs="仿宋"/>
                <w:b/>
                <w:i/>
                <w:sz w:val="24"/>
                <w:szCs w:val="24"/>
                <w:u w:val="single"/>
              </w:rPr>
              <w:t xml:space="preserve"> 授权书（复印件加盖公章）、谈判响应函。</w:t>
            </w:r>
          </w:p>
        </w:tc>
        <w:tc>
          <w:tcPr>
            <w:tcW w:w="1680" w:type="dxa"/>
            <w:vAlign w:val="center"/>
          </w:tcPr>
          <w:p w14:paraId="2B9BDDD0">
            <w:pPr>
              <w:spacing w:line="0" w:lineRule="atLeast"/>
              <w:jc w:val="center"/>
              <w:rPr>
                <w:rFonts w:ascii="仿宋" w:hAnsi="仿宋" w:eastAsia="仿宋" w:cs="仿宋"/>
                <w:sz w:val="24"/>
                <w:szCs w:val="24"/>
              </w:rPr>
            </w:pPr>
          </w:p>
        </w:tc>
        <w:tc>
          <w:tcPr>
            <w:tcW w:w="1785" w:type="dxa"/>
            <w:vAlign w:val="center"/>
          </w:tcPr>
          <w:p w14:paraId="320F6DDF">
            <w:pPr>
              <w:spacing w:line="0" w:lineRule="atLeast"/>
              <w:rPr>
                <w:rFonts w:ascii="仿宋" w:hAnsi="仿宋" w:eastAsia="仿宋" w:cs="仿宋"/>
                <w:sz w:val="24"/>
                <w:szCs w:val="24"/>
              </w:rPr>
            </w:pPr>
          </w:p>
        </w:tc>
      </w:tr>
      <w:tr w14:paraId="3E4D4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646" w:type="dxa"/>
            <w:vAlign w:val="center"/>
          </w:tcPr>
          <w:p w14:paraId="7A6DB052">
            <w:pPr>
              <w:spacing w:line="0" w:lineRule="atLeast"/>
              <w:jc w:val="center"/>
              <w:rPr>
                <w:rFonts w:ascii="仿宋" w:hAnsi="仿宋" w:eastAsia="仿宋" w:cs="仿宋"/>
                <w:i/>
                <w:sz w:val="24"/>
                <w:szCs w:val="24"/>
                <w:u w:val="single"/>
              </w:rPr>
            </w:pPr>
            <w:r>
              <w:rPr>
                <w:rFonts w:hint="eastAsia" w:ascii="仿宋" w:hAnsi="仿宋" w:eastAsia="仿宋" w:cs="仿宋"/>
                <w:i/>
                <w:sz w:val="24"/>
                <w:szCs w:val="24"/>
                <w:u w:val="single"/>
              </w:rPr>
              <w:t>7</w:t>
            </w:r>
          </w:p>
        </w:tc>
        <w:tc>
          <w:tcPr>
            <w:tcW w:w="5447" w:type="dxa"/>
            <w:vAlign w:val="center"/>
          </w:tcPr>
          <w:p w14:paraId="5BFACE82">
            <w:pPr>
              <w:snapToGrid w:val="0"/>
              <w:spacing w:before="50" w:afterLines="50" w:line="0" w:lineRule="atLeast"/>
              <w:ind w:firstLine="482" w:firstLineChars="200"/>
              <w:jc w:val="left"/>
              <w:rPr>
                <w:rFonts w:ascii="仿宋" w:hAnsi="仿宋" w:eastAsia="仿宋" w:cs="仿宋"/>
                <w:b/>
                <w:i/>
                <w:sz w:val="24"/>
                <w:szCs w:val="24"/>
                <w:u w:val="single"/>
              </w:rPr>
            </w:pPr>
            <w:r>
              <w:rPr>
                <w:rFonts w:hint="eastAsia" w:ascii="仿宋" w:hAnsi="仿宋" w:eastAsia="仿宋" w:cs="仿宋"/>
                <w:b/>
                <w:i/>
                <w:sz w:val="24"/>
                <w:szCs w:val="24"/>
                <w:u w:val="single"/>
              </w:rPr>
              <w:t>南京市政府采购供应商信用记录表暨信用承诺书</w:t>
            </w:r>
          </w:p>
        </w:tc>
        <w:tc>
          <w:tcPr>
            <w:tcW w:w="1680" w:type="dxa"/>
            <w:vAlign w:val="center"/>
          </w:tcPr>
          <w:p w14:paraId="405E9646">
            <w:pPr>
              <w:spacing w:line="0" w:lineRule="atLeast"/>
              <w:rPr>
                <w:rFonts w:ascii="仿宋" w:hAnsi="仿宋" w:eastAsia="仿宋" w:cs="仿宋"/>
                <w:sz w:val="24"/>
                <w:szCs w:val="24"/>
              </w:rPr>
            </w:pPr>
          </w:p>
        </w:tc>
        <w:tc>
          <w:tcPr>
            <w:tcW w:w="1785" w:type="dxa"/>
            <w:vAlign w:val="center"/>
          </w:tcPr>
          <w:p w14:paraId="4998D63E">
            <w:pPr>
              <w:spacing w:line="0" w:lineRule="atLeast"/>
              <w:rPr>
                <w:rFonts w:ascii="仿宋" w:hAnsi="仿宋" w:eastAsia="仿宋" w:cs="仿宋"/>
                <w:sz w:val="24"/>
                <w:szCs w:val="24"/>
              </w:rPr>
            </w:pPr>
          </w:p>
        </w:tc>
      </w:tr>
      <w:tr w14:paraId="3F53D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646" w:type="dxa"/>
            <w:vAlign w:val="center"/>
          </w:tcPr>
          <w:p w14:paraId="2E1259CB">
            <w:pPr>
              <w:spacing w:line="0" w:lineRule="atLeast"/>
              <w:jc w:val="center"/>
              <w:rPr>
                <w:rFonts w:ascii="仿宋" w:hAnsi="仿宋" w:eastAsia="仿宋" w:cs="仿宋"/>
                <w:i/>
                <w:sz w:val="24"/>
                <w:szCs w:val="24"/>
                <w:u w:val="single"/>
              </w:rPr>
            </w:pPr>
            <w:r>
              <w:rPr>
                <w:rFonts w:hint="eastAsia" w:ascii="仿宋" w:hAnsi="仿宋" w:eastAsia="仿宋" w:cs="仿宋"/>
                <w:i/>
                <w:sz w:val="24"/>
                <w:szCs w:val="24"/>
                <w:u w:val="single"/>
              </w:rPr>
              <w:t>8</w:t>
            </w:r>
          </w:p>
        </w:tc>
        <w:tc>
          <w:tcPr>
            <w:tcW w:w="5447" w:type="dxa"/>
            <w:vAlign w:val="center"/>
          </w:tcPr>
          <w:p w14:paraId="15D30D04">
            <w:pPr>
              <w:snapToGrid w:val="0"/>
              <w:spacing w:before="50" w:afterLines="50" w:line="0" w:lineRule="atLeast"/>
              <w:ind w:firstLine="482" w:firstLineChars="200"/>
              <w:jc w:val="left"/>
              <w:rPr>
                <w:rFonts w:ascii="仿宋" w:hAnsi="仿宋" w:eastAsia="仿宋" w:cs="仿宋"/>
                <w:b/>
                <w:i/>
                <w:sz w:val="24"/>
                <w:szCs w:val="24"/>
                <w:u w:val="single"/>
              </w:rPr>
            </w:pPr>
            <w:r>
              <w:rPr>
                <w:rFonts w:hint="eastAsia" w:ascii="仿宋" w:hAnsi="仿宋" w:eastAsia="仿宋" w:cs="仿宋"/>
                <w:b/>
                <w:i/>
                <w:sz w:val="24"/>
                <w:szCs w:val="24"/>
                <w:u w:val="single"/>
              </w:rPr>
              <w:t>......</w:t>
            </w:r>
          </w:p>
        </w:tc>
        <w:tc>
          <w:tcPr>
            <w:tcW w:w="1680" w:type="dxa"/>
            <w:vAlign w:val="center"/>
          </w:tcPr>
          <w:p w14:paraId="6A192C5C">
            <w:pPr>
              <w:spacing w:line="0" w:lineRule="atLeast"/>
              <w:rPr>
                <w:rFonts w:ascii="仿宋" w:hAnsi="仿宋" w:eastAsia="仿宋" w:cs="仿宋"/>
                <w:sz w:val="24"/>
                <w:szCs w:val="24"/>
              </w:rPr>
            </w:pPr>
          </w:p>
        </w:tc>
        <w:tc>
          <w:tcPr>
            <w:tcW w:w="1785" w:type="dxa"/>
            <w:vAlign w:val="center"/>
          </w:tcPr>
          <w:p w14:paraId="591AFD3F">
            <w:pPr>
              <w:spacing w:line="0" w:lineRule="atLeast"/>
              <w:rPr>
                <w:rFonts w:ascii="仿宋" w:hAnsi="仿宋" w:eastAsia="仿宋" w:cs="仿宋"/>
                <w:sz w:val="24"/>
                <w:szCs w:val="24"/>
              </w:rPr>
            </w:pPr>
          </w:p>
        </w:tc>
      </w:tr>
    </w:tbl>
    <w:p w14:paraId="75AE18CA">
      <w:pPr>
        <w:spacing w:line="0" w:lineRule="atLeast"/>
        <w:ind w:firstLine="480" w:firstLineChars="200"/>
        <w:rPr>
          <w:rFonts w:ascii="仿宋" w:hAnsi="仿宋" w:eastAsia="仿宋" w:cs="仿宋"/>
          <w:sz w:val="24"/>
        </w:rPr>
      </w:pPr>
      <w:r>
        <w:rPr>
          <w:rFonts w:hint="eastAsia" w:ascii="仿宋" w:hAnsi="仿宋" w:eastAsia="仿宋" w:cs="仿宋"/>
          <w:sz w:val="24"/>
        </w:rPr>
        <w:t>法定代表人或授权代表签字：</w:t>
      </w:r>
    </w:p>
    <w:p w14:paraId="00122374">
      <w:pPr>
        <w:pStyle w:val="17"/>
        <w:ind w:firstLine="560"/>
      </w:pPr>
    </w:p>
    <w:p w14:paraId="4F90D6F9">
      <w:pPr>
        <w:spacing w:line="0" w:lineRule="atLeast"/>
        <w:rPr>
          <w:rFonts w:ascii="仿宋" w:hAnsi="仿宋" w:eastAsia="仿宋" w:cs="仿宋"/>
          <w:b/>
          <w:sz w:val="24"/>
        </w:rPr>
      </w:pPr>
      <w:r>
        <w:rPr>
          <w:rFonts w:hint="eastAsia" w:ascii="仿宋" w:hAnsi="仿宋" w:eastAsia="仿宋" w:cs="仿宋"/>
          <w:b/>
          <w:sz w:val="24"/>
        </w:rPr>
        <w:br w:type="page"/>
      </w:r>
    </w:p>
    <w:p w14:paraId="67B84D13">
      <w:pPr>
        <w:pStyle w:val="24"/>
        <w:spacing w:line="360" w:lineRule="auto"/>
        <w:ind w:left="0" w:firstLine="0"/>
        <w:jc w:val="center"/>
        <w:rPr>
          <w:rFonts w:ascii="仿宋" w:hAnsi="仿宋" w:eastAsia="仿宋" w:cs="仿宋"/>
          <w:bCs w:val="0"/>
          <w:sz w:val="32"/>
          <w:szCs w:val="32"/>
        </w:rPr>
      </w:pPr>
      <w:bookmarkStart w:id="152" w:name="_Toc10065"/>
      <w:bookmarkStart w:id="153" w:name="_Toc6041"/>
      <w:r>
        <w:rPr>
          <w:rFonts w:hint="eastAsia" w:ascii="仿宋" w:hAnsi="仿宋" w:eastAsia="仿宋" w:cs="仿宋"/>
          <w:bCs w:val="0"/>
          <w:sz w:val="32"/>
          <w:szCs w:val="32"/>
        </w:rPr>
        <w:t>二、资信证明文件</w:t>
      </w:r>
      <w:bookmarkEnd w:id="152"/>
      <w:bookmarkEnd w:id="153"/>
    </w:p>
    <w:p w14:paraId="7EFF3C96">
      <w:pPr>
        <w:snapToGrid w:val="0"/>
        <w:spacing w:before="50" w:after="50" w:line="360" w:lineRule="auto"/>
        <w:rPr>
          <w:rFonts w:ascii="仿宋" w:hAnsi="仿宋" w:eastAsia="仿宋" w:cs="仿宋"/>
          <w:sz w:val="24"/>
          <w:szCs w:val="20"/>
        </w:rPr>
      </w:pPr>
      <w:r>
        <w:rPr>
          <w:rFonts w:hint="eastAsia" w:ascii="仿宋" w:hAnsi="仿宋" w:eastAsia="仿宋" w:cs="仿宋"/>
          <w:b/>
          <w:bCs/>
          <w:sz w:val="24"/>
        </w:rPr>
        <w:t>1、实质性资格证明文件目录</w:t>
      </w:r>
    </w:p>
    <w:p w14:paraId="1BB7451E">
      <w:pPr>
        <w:snapToGrid w:val="0"/>
        <w:spacing w:line="360" w:lineRule="auto"/>
        <w:ind w:firstLine="482" w:firstLineChars="200"/>
        <w:rPr>
          <w:rFonts w:ascii="仿宋" w:hAnsi="仿宋" w:eastAsia="仿宋" w:cs="仿宋"/>
          <w:b/>
          <w:i/>
          <w:sz w:val="24"/>
          <w:u w:val="single"/>
        </w:rPr>
      </w:pPr>
      <w:r>
        <w:rPr>
          <w:rFonts w:hint="eastAsia" w:ascii="仿宋" w:hAnsi="仿宋" w:eastAsia="仿宋" w:cs="仿宋"/>
          <w:b/>
          <w:i/>
          <w:sz w:val="24"/>
          <w:u w:val="single"/>
        </w:rPr>
        <w:t>文件1</w:t>
      </w:r>
      <w:r>
        <w:rPr>
          <w:rFonts w:hint="eastAsia" w:ascii="仿宋" w:hAnsi="仿宋" w:eastAsia="仿宋" w:cs="仿宋"/>
          <w:b/>
          <w:i/>
          <w:sz w:val="22"/>
          <w:u w:val="single"/>
        </w:rPr>
        <w:t>供应商法人或者其他组织的营业执照等证明文件，自然人的身份证明；</w:t>
      </w:r>
    </w:p>
    <w:p w14:paraId="4FD13EB8">
      <w:pPr>
        <w:snapToGrid w:val="0"/>
        <w:spacing w:before="50" w:afterLines="50" w:line="360" w:lineRule="auto"/>
        <w:ind w:firstLine="480"/>
        <w:jc w:val="left"/>
        <w:rPr>
          <w:rFonts w:ascii="仿宋" w:hAnsi="仿宋" w:eastAsia="仿宋" w:cs="仿宋"/>
          <w:b/>
          <w:i/>
          <w:sz w:val="24"/>
          <w:u w:val="single"/>
        </w:rPr>
      </w:pPr>
      <w:r>
        <w:rPr>
          <w:rFonts w:hint="eastAsia" w:ascii="仿宋" w:hAnsi="仿宋" w:eastAsia="仿宋" w:cs="仿宋"/>
          <w:b/>
          <w:i/>
          <w:sz w:val="24"/>
          <w:u w:val="single"/>
        </w:rPr>
        <w:t>文件2供应商参加政府采购活动前3年内在经营活动中没有重大违法记录的书面声明；</w:t>
      </w:r>
    </w:p>
    <w:p w14:paraId="1D1BCB9E">
      <w:pPr>
        <w:snapToGrid w:val="0"/>
        <w:spacing w:before="50" w:afterLines="50" w:line="360" w:lineRule="auto"/>
        <w:ind w:firstLine="480"/>
        <w:jc w:val="left"/>
        <w:rPr>
          <w:rFonts w:ascii="仿宋" w:hAnsi="仿宋" w:eastAsia="仿宋" w:cs="仿宋"/>
          <w:b/>
          <w:i/>
          <w:sz w:val="24"/>
          <w:u w:val="single"/>
        </w:rPr>
      </w:pPr>
      <w:r>
        <w:rPr>
          <w:rFonts w:hint="eastAsia" w:ascii="仿宋" w:hAnsi="仿宋" w:eastAsia="仿宋" w:cs="仿宋"/>
          <w:b/>
          <w:i/>
          <w:sz w:val="24"/>
          <w:u w:val="single"/>
        </w:rPr>
        <w:t>文件3供应商具备法律、行政法规规定的其他条件的证明材料：供应商未被“信用中国”网站（www.creditchina.gov.cn）、“中国政府采购网”(www.ccgp.gov.cn)列入失信被执行人、重大税收违法案件当事人名单、政府采购严重违法失信行为记录名单。</w:t>
      </w:r>
    </w:p>
    <w:p w14:paraId="7325B793">
      <w:pPr>
        <w:snapToGrid w:val="0"/>
        <w:spacing w:before="50" w:afterLines="50" w:line="360" w:lineRule="auto"/>
        <w:ind w:firstLine="480"/>
        <w:jc w:val="left"/>
        <w:rPr>
          <w:rFonts w:ascii="仿宋" w:hAnsi="仿宋" w:eastAsia="仿宋" w:cs="仿宋"/>
          <w:b/>
          <w:i/>
          <w:sz w:val="24"/>
          <w:u w:val="single"/>
        </w:rPr>
      </w:pPr>
      <w:r>
        <w:rPr>
          <w:rFonts w:hint="eastAsia" w:ascii="仿宋" w:hAnsi="仿宋" w:eastAsia="仿宋" w:cs="仿宋"/>
          <w:b/>
          <w:i/>
          <w:sz w:val="24"/>
          <w:u w:val="single"/>
        </w:rPr>
        <w:t>文件4授权书（复印件）、谈判响应函。</w:t>
      </w:r>
    </w:p>
    <w:p w14:paraId="6DDC7839">
      <w:pPr>
        <w:snapToGrid w:val="0"/>
        <w:spacing w:before="50" w:after="50" w:line="360" w:lineRule="auto"/>
        <w:ind w:firstLine="482" w:firstLineChars="200"/>
        <w:rPr>
          <w:rFonts w:ascii="仿宋" w:hAnsi="仿宋" w:eastAsia="仿宋" w:cs="仿宋"/>
          <w:b/>
          <w:bCs/>
          <w:sz w:val="24"/>
        </w:rPr>
      </w:pPr>
    </w:p>
    <w:p w14:paraId="744974D4">
      <w:pPr>
        <w:snapToGrid w:val="0"/>
        <w:spacing w:before="50" w:after="50" w:line="360" w:lineRule="auto"/>
        <w:ind w:firstLine="482" w:firstLineChars="200"/>
        <w:rPr>
          <w:rFonts w:ascii="仿宋" w:hAnsi="仿宋" w:eastAsia="仿宋" w:cs="仿宋"/>
          <w:b/>
          <w:bCs/>
          <w:sz w:val="24"/>
        </w:rPr>
      </w:pPr>
      <w:r>
        <w:rPr>
          <w:rFonts w:hint="eastAsia" w:ascii="仿宋" w:hAnsi="仿宋" w:eastAsia="仿宋" w:cs="仿宋"/>
          <w:b/>
          <w:bCs/>
          <w:sz w:val="24"/>
        </w:rPr>
        <w:t>2、非实质性资信证明文件目录</w:t>
      </w:r>
      <w:bookmarkStart w:id="154" w:name="_Toc120614291"/>
      <w:bookmarkStart w:id="155" w:name="_Toc49090582"/>
      <w:bookmarkStart w:id="156" w:name="_Toc513029281"/>
      <w:bookmarkStart w:id="157" w:name="_Toc22356583"/>
      <w:bookmarkStart w:id="158" w:name="_Toc120614284"/>
      <w:bookmarkStart w:id="159" w:name="_Toc23828483"/>
      <w:bookmarkStart w:id="160" w:name="_Toc24878535"/>
      <w:bookmarkStart w:id="161" w:name="_Toc26554103"/>
    </w:p>
    <w:p w14:paraId="04D36DBB">
      <w:pPr>
        <w:pStyle w:val="5"/>
        <w:spacing w:line="360" w:lineRule="auto"/>
        <w:ind w:firstLine="0"/>
        <w:rPr>
          <w:rFonts w:ascii="仿宋" w:hAnsi="仿宋" w:eastAsia="仿宋" w:cs="仿宋"/>
          <w:b/>
          <w:bCs/>
          <w:sz w:val="24"/>
          <w:szCs w:val="24"/>
        </w:rPr>
      </w:pPr>
      <w:r>
        <w:rPr>
          <w:rFonts w:hint="eastAsia" w:ascii="仿宋" w:hAnsi="仿宋" w:eastAsia="仿宋" w:cs="仿宋"/>
          <w:b/>
          <w:bCs/>
          <w:sz w:val="24"/>
          <w:szCs w:val="24"/>
        </w:rPr>
        <w:t xml:space="preserve">     供应商根据谈判文件内容自行确定</w:t>
      </w:r>
    </w:p>
    <w:p w14:paraId="264298DF">
      <w:pPr>
        <w:pStyle w:val="24"/>
        <w:spacing w:line="360" w:lineRule="auto"/>
        <w:ind w:left="0" w:firstLine="0"/>
        <w:jc w:val="center"/>
        <w:rPr>
          <w:rFonts w:ascii="仿宋" w:hAnsi="仿宋" w:eastAsia="仿宋" w:cs="仿宋"/>
          <w:bCs w:val="0"/>
          <w:sz w:val="32"/>
          <w:szCs w:val="32"/>
        </w:rPr>
      </w:pPr>
      <w:r>
        <w:rPr>
          <w:rFonts w:hint="eastAsia" w:ascii="仿宋" w:hAnsi="仿宋" w:eastAsia="仿宋" w:cs="仿宋"/>
          <w:sz w:val="32"/>
          <w:szCs w:val="32"/>
        </w:rPr>
        <w:br w:type="page"/>
      </w:r>
      <w:bookmarkStart w:id="162" w:name="_Toc31820"/>
      <w:bookmarkStart w:id="163" w:name="_Toc163"/>
      <w:r>
        <w:rPr>
          <w:rFonts w:hint="eastAsia" w:ascii="仿宋" w:hAnsi="仿宋" w:eastAsia="仿宋" w:cs="仿宋"/>
          <w:bCs w:val="0"/>
          <w:sz w:val="32"/>
          <w:szCs w:val="32"/>
        </w:rPr>
        <w:t>三、谈判响应函</w:t>
      </w:r>
      <w:bookmarkEnd w:id="162"/>
      <w:bookmarkEnd w:id="163"/>
    </w:p>
    <w:p w14:paraId="6D2E33AF">
      <w:pPr>
        <w:widowControl/>
        <w:snapToGrid w:val="0"/>
        <w:spacing w:before="19" w:line="360" w:lineRule="auto"/>
        <w:rPr>
          <w:rFonts w:ascii="仿宋" w:hAnsi="仿宋" w:eastAsia="仿宋" w:cs="仿宋"/>
          <w:sz w:val="24"/>
        </w:rPr>
      </w:pPr>
      <w:r>
        <w:rPr>
          <w:rFonts w:hint="eastAsia" w:ascii="仿宋" w:hAnsi="仿宋" w:eastAsia="仿宋" w:cs="仿宋"/>
          <w:sz w:val="24"/>
          <w:lang w:eastAsia="zh-CN"/>
        </w:rPr>
        <w:t>南京达琛鑫工程咨询有限公司</w:t>
      </w:r>
      <w:r>
        <w:rPr>
          <w:rFonts w:hint="eastAsia" w:ascii="仿宋" w:hAnsi="仿宋" w:eastAsia="仿宋" w:cs="仿宋"/>
          <w:sz w:val="24"/>
        </w:rPr>
        <w:t>：</w:t>
      </w:r>
    </w:p>
    <w:p w14:paraId="2165D0D9">
      <w:pPr>
        <w:widowControl/>
        <w:snapToGrid w:val="0"/>
        <w:spacing w:before="19" w:line="360" w:lineRule="auto"/>
        <w:ind w:firstLine="480" w:firstLineChars="200"/>
        <w:rPr>
          <w:rFonts w:ascii="仿宋" w:hAnsi="仿宋" w:eastAsia="仿宋" w:cs="仿宋"/>
          <w:sz w:val="24"/>
        </w:rPr>
      </w:pPr>
      <w:r>
        <w:rPr>
          <w:rFonts w:hint="eastAsia" w:ascii="仿宋" w:hAnsi="仿宋" w:eastAsia="仿宋" w:cs="仿宋"/>
          <w:sz w:val="24"/>
          <w:lang w:eastAsia="zh-CN"/>
        </w:rPr>
        <w:t>2026年保安服务外包项目</w:t>
      </w:r>
      <w:r>
        <w:rPr>
          <w:rFonts w:hint="eastAsia" w:ascii="仿宋" w:hAnsi="仿宋" w:eastAsia="仿宋" w:cs="仿宋"/>
          <w:sz w:val="24"/>
        </w:rPr>
        <w:t>（采购编号为：</w:t>
      </w:r>
      <w:r>
        <w:rPr>
          <w:rFonts w:hint="eastAsia" w:ascii="仿宋" w:hAnsi="仿宋" w:eastAsia="仿宋" w:cs="仿宋"/>
          <w:sz w:val="24"/>
          <w:lang w:eastAsia="zh-CN"/>
        </w:rPr>
        <w:t>NJDCX-202512051928</w:t>
      </w:r>
      <w:r>
        <w:rPr>
          <w:rFonts w:hint="eastAsia" w:ascii="仿宋" w:hAnsi="仿宋" w:eastAsia="仿宋" w:cs="仿宋"/>
          <w:sz w:val="24"/>
        </w:rPr>
        <w:t>）竞争性谈判文件（包括更正公告，如果有的话）收悉，我们经详细审阅和研究，现决定参加谈判。</w:t>
      </w:r>
    </w:p>
    <w:p w14:paraId="7F4A2377">
      <w:pPr>
        <w:widowControl/>
        <w:snapToGrid w:val="0"/>
        <w:spacing w:before="19" w:line="360" w:lineRule="auto"/>
        <w:ind w:firstLine="480" w:firstLineChars="200"/>
        <w:rPr>
          <w:rFonts w:ascii="仿宋" w:hAnsi="仿宋" w:eastAsia="仿宋" w:cs="仿宋"/>
          <w:sz w:val="24"/>
        </w:rPr>
      </w:pPr>
      <w:r>
        <w:rPr>
          <w:rFonts w:hint="eastAsia" w:ascii="仿宋" w:hAnsi="仿宋" w:eastAsia="仿宋" w:cs="仿宋"/>
          <w:sz w:val="24"/>
        </w:rPr>
        <w:t>1、我们郑重承诺：我们是符合《政府采购法》第22条规定的供应商，并严格遵守《政府采购法》第77条的规定，本谈判文件中提供的所有材料均是真实有效的。</w:t>
      </w:r>
    </w:p>
    <w:p w14:paraId="55E1F18A">
      <w:pPr>
        <w:widowControl/>
        <w:snapToGrid w:val="0"/>
        <w:spacing w:before="19" w:line="360" w:lineRule="auto"/>
        <w:rPr>
          <w:rFonts w:ascii="仿宋" w:hAnsi="仿宋" w:eastAsia="仿宋" w:cs="仿宋"/>
          <w:sz w:val="24"/>
        </w:rPr>
      </w:pPr>
      <w:r>
        <w:rPr>
          <w:rFonts w:hint="eastAsia" w:ascii="仿宋" w:hAnsi="仿宋" w:eastAsia="仿宋" w:cs="仿宋"/>
          <w:sz w:val="24"/>
        </w:rPr>
        <w:t xml:space="preserve">    2、我们接受竞争性谈判文件的所有的条款和规定。</w:t>
      </w:r>
    </w:p>
    <w:p w14:paraId="57200EA7">
      <w:pPr>
        <w:widowControl/>
        <w:snapToGrid w:val="0"/>
        <w:spacing w:before="19" w:line="360" w:lineRule="auto"/>
        <w:rPr>
          <w:rFonts w:ascii="仿宋" w:hAnsi="仿宋" w:eastAsia="仿宋" w:cs="仿宋"/>
          <w:sz w:val="24"/>
        </w:rPr>
      </w:pPr>
      <w:r>
        <w:rPr>
          <w:rFonts w:hint="eastAsia" w:ascii="仿宋" w:hAnsi="仿宋" w:eastAsia="仿宋" w:cs="仿宋"/>
          <w:sz w:val="24"/>
        </w:rPr>
        <w:t xml:space="preserve">    3、我们同意按照本竞争性谈判文件第二章“谈判须知”的规定，本谈判文件的有效期为从谈判之日起计算的九十天，在此期间，本谈判文件将始终对我们具有约束力，并可随时被接受。如果我们成为</w:t>
      </w:r>
      <w:r>
        <w:rPr>
          <w:rFonts w:hint="eastAsia" w:ascii="仿宋" w:hAnsi="仿宋" w:eastAsia="仿宋" w:cs="仿宋"/>
          <w:bCs/>
          <w:sz w:val="24"/>
        </w:rPr>
        <w:t>成交供应商</w:t>
      </w:r>
      <w:r>
        <w:rPr>
          <w:rFonts w:hint="eastAsia" w:ascii="仿宋" w:hAnsi="仿宋" w:eastAsia="仿宋" w:cs="仿宋"/>
          <w:sz w:val="24"/>
        </w:rPr>
        <w:t>，本谈判文件在此期间之后将继续保持有效。</w:t>
      </w:r>
    </w:p>
    <w:p w14:paraId="0A4CE390">
      <w:pPr>
        <w:widowControl/>
        <w:snapToGrid w:val="0"/>
        <w:spacing w:before="19" w:line="360" w:lineRule="auto"/>
        <w:rPr>
          <w:rFonts w:ascii="仿宋" w:hAnsi="仿宋" w:eastAsia="仿宋" w:cs="仿宋"/>
          <w:sz w:val="24"/>
        </w:rPr>
      </w:pPr>
      <w:r>
        <w:rPr>
          <w:rFonts w:hint="eastAsia" w:ascii="仿宋" w:hAnsi="仿宋" w:eastAsia="仿宋" w:cs="仿宋"/>
          <w:sz w:val="24"/>
        </w:rPr>
        <w:t xml:space="preserve">    4、我们同意提供采购人要求的有关本次采购的所有资料。</w:t>
      </w:r>
    </w:p>
    <w:p w14:paraId="76988FAE">
      <w:pPr>
        <w:widowControl/>
        <w:snapToGrid w:val="0"/>
        <w:spacing w:before="19" w:line="360" w:lineRule="auto"/>
        <w:rPr>
          <w:rFonts w:ascii="仿宋" w:hAnsi="仿宋" w:eastAsia="仿宋" w:cs="仿宋"/>
          <w:sz w:val="24"/>
        </w:rPr>
      </w:pPr>
      <w:r>
        <w:rPr>
          <w:rFonts w:hint="eastAsia" w:ascii="仿宋" w:hAnsi="仿宋" w:eastAsia="仿宋" w:cs="仿宋"/>
          <w:sz w:val="24"/>
        </w:rPr>
        <w:t xml:space="preserve">    5、我们理解，你们无义务必须</w:t>
      </w:r>
      <w:r>
        <w:rPr>
          <w:rFonts w:hint="eastAsia" w:ascii="仿宋" w:hAnsi="仿宋" w:eastAsia="仿宋" w:cs="仿宋"/>
          <w:sz w:val="24"/>
          <w:szCs w:val="24"/>
        </w:rPr>
        <w:t>接受谈判报价最低的谈判文件</w:t>
      </w:r>
      <w:r>
        <w:rPr>
          <w:rFonts w:hint="eastAsia" w:ascii="仿宋" w:hAnsi="仿宋" w:eastAsia="仿宋" w:cs="仿宋"/>
          <w:sz w:val="24"/>
        </w:rPr>
        <w:t>，并有权拒绝所有的</w:t>
      </w:r>
      <w:r>
        <w:rPr>
          <w:rFonts w:hint="eastAsia" w:ascii="仿宋" w:hAnsi="仿宋" w:eastAsia="仿宋" w:cs="仿宋"/>
          <w:sz w:val="24"/>
          <w:szCs w:val="24"/>
        </w:rPr>
        <w:t>谈判文件</w:t>
      </w:r>
      <w:r>
        <w:rPr>
          <w:rFonts w:hint="eastAsia" w:ascii="仿宋" w:hAnsi="仿宋" w:eastAsia="仿宋" w:cs="仿宋"/>
          <w:sz w:val="24"/>
        </w:rPr>
        <w:t>。同时也理解你们不承担我们本次谈判的费用。</w:t>
      </w:r>
    </w:p>
    <w:p w14:paraId="1E418D56">
      <w:pPr>
        <w:widowControl/>
        <w:snapToGrid w:val="0"/>
        <w:spacing w:before="19" w:line="360" w:lineRule="auto"/>
        <w:rPr>
          <w:rFonts w:ascii="仿宋" w:hAnsi="仿宋" w:eastAsia="仿宋" w:cs="仿宋"/>
          <w:sz w:val="24"/>
        </w:rPr>
      </w:pPr>
      <w:r>
        <w:rPr>
          <w:rFonts w:hint="eastAsia" w:ascii="仿宋" w:hAnsi="仿宋" w:eastAsia="仿宋" w:cs="仿宋"/>
          <w:sz w:val="24"/>
        </w:rPr>
        <w:t xml:space="preserve">    6、如果我们成为成交供应商，为执行合同，我们将按供应商须知有关要求提供必要的履约保证。</w:t>
      </w:r>
    </w:p>
    <w:p w14:paraId="3ED3A823">
      <w:pPr>
        <w:widowControl/>
        <w:snapToGrid w:val="0"/>
        <w:spacing w:before="19" w:line="360" w:lineRule="auto"/>
        <w:rPr>
          <w:rFonts w:ascii="仿宋" w:hAnsi="仿宋" w:eastAsia="仿宋" w:cs="仿宋"/>
          <w:sz w:val="24"/>
        </w:rPr>
      </w:pPr>
      <w:r>
        <w:rPr>
          <w:rFonts w:hint="eastAsia" w:ascii="仿宋" w:hAnsi="仿宋" w:eastAsia="仿宋" w:cs="仿宋"/>
          <w:sz w:val="24"/>
        </w:rPr>
        <w:t>供应商名称：（公章）</w:t>
      </w:r>
    </w:p>
    <w:p w14:paraId="05D03943">
      <w:pPr>
        <w:widowControl/>
        <w:snapToGrid w:val="0"/>
        <w:spacing w:before="19" w:line="360" w:lineRule="auto"/>
        <w:rPr>
          <w:rFonts w:ascii="仿宋" w:hAnsi="仿宋" w:eastAsia="仿宋" w:cs="仿宋"/>
          <w:sz w:val="24"/>
        </w:rPr>
      </w:pPr>
      <w:r>
        <w:rPr>
          <w:rFonts w:hint="eastAsia" w:ascii="仿宋" w:hAnsi="仿宋" w:eastAsia="仿宋" w:cs="仿宋"/>
          <w:sz w:val="24"/>
        </w:rPr>
        <w:t>地址：                          邮编：</w:t>
      </w:r>
    </w:p>
    <w:p w14:paraId="64285FFC">
      <w:pPr>
        <w:widowControl/>
        <w:snapToGrid w:val="0"/>
        <w:spacing w:before="19" w:line="360" w:lineRule="auto"/>
        <w:rPr>
          <w:rFonts w:ascii="仿宋" w:hAnsi="仿宋" w:eastAsia="仿宋" w:cs="仿宋"/>
          <w:sz w:val="24"/>
        </w:rPr>
      </w:pPr>
      <w:r>
        <w:rPr>
          <w:rFonts w:hint="eastAsia" w:ascii="仿宋" w:hAnsi="仿宋" w:eastAsia="仿宋" w:cs="仿宋"/>
          <w:sz w:val="24"/>
        </w:rPr>
        <w:t xml:space="preserve">电话：                          传真：          </w:t>
      </w:r>
    </w:p>
    <w:p w14:paraId="67A1F267">
      <w:pPr>
        <w:widowControl/>
        <w:snapToGrid w:val="0"/>
        <w:spacing w:before="19" w:line="360" w:lineRule="auto"/>
        <w:rPr>
          <w:rFonts w:ascii="仿宋" w:hAnsi="仿宋" w:eastAsia="仿宋" w:cs="仿宋"/>
          <w:sz w:val="24"/>
        </w:rPr>
      </w:pPr>
      <w:r>
        <w:rPr>
          <w:rFonts w:hint="eastAsia" w:ascii="仿宋" w:hAnsi="仿宋" w:eastAsia="仿宋" w:cs="仿宋"/>
          <w:sz w:val="24"/>
        </w:rPr>
        <w:t xml:space="preserve">法定代表人（授权代表）（签字或盖章）：                   </w:t>
      </w:r>
    </w:p>
    <w:p w14:paraId="41EB736F">
      <w:pPr>
        <w:widowControl/>
        <w:snapToGrid w:val="0"/>
        <w:spacing w:before="19" w:line="360" w:lineRule="auto"/>
        <w:rPr>
          <w:rFonts w:ascii="仿宋" w:hAnsi="仿宋" w:eastAsia="仿宋" w:cs="仿宋"/>
          <w:sz w:val="24"/>
        </w:rPr>
      </w:pPr>
      <w:r>
        <w:rPr>
          <w:rFonts w:hint="eastAsia" w:ascii="仿宋" w:hAnsi="仿宋" w:eastAsia="仿宋" w:cs="仿宋"/>
          <w:sz w:val="24"/>
        </w:rPr>
        <w:t xml:space="preserve">职务：                  </w:t>
      </w:r>
    </w:p>
    <w:p w14:paraId="0F3F2D50">
      <w:pPr>
        <w:widowControl/>
        <w:snapToGrid w:val="0"/>
        <w:spacing w:before="19" w:line="360" w:lineRule="auto"/>
        <w:rPr>
          <w:rFonts w:ascii="仿宋" w:hAnsi="仿宋" w:eastAsia="仿宋" w:cs="仿宋"/>
          <w:sz w:val="24"/>
        </w:rPr>
      </w:pPr>
      <w:r>
        <w:rPr>
          <w:rFonts w:hint="eastAsia" w:ascii="仿宋" w:hAnsi="仿宋" w:eastAsia="仿宋" w:cs="仿宋"/>
          <w:sz w:val="24"/>
        </w:rPr>
        <w:t xml:space="preserve">日期：                  </w:t>
      </w:r>
      <w:bookmarkStart w:id="164" w:name="_Toc27417"/>
      <w:bookmarkStart w:id="165" w:name="_Toc2237"/>
    </w:p>
    <w:bookmarkEnd w:id="164"/>
    <w:bookmarkEnd w:id="165"/>
    <w:p w14:paraId="7AF8C6B2">
      <w:pPr>
        <w:widowControl/>
        <w:spacing w:line="360" w:lineRule="auto"/>
        <w:jc w:val="left"/>
        <w:rPr>
          <w:rFonts w:ascii="仿宋" w:hAnsi="仿宋" w:eastAsia="仿宋" w:cs="仿宋"/>
          <w:b/>
          <w:bCs/>
          <w:sz w:val="24"/>
        </w:rPr>
      </w:pPr>
      <w:r>
        <w:rPr>
          <w:rFonts w:hint="eastAsia" w:ascii="仿宋" w:hAnsi="仿宋" w:eastAsia="仿宋" w:cs="仿宋"/>
          <w:b/>
          <w:bCs/>
          <w:sz w:val="24"/>
        </w:rPr>
        <w:br w:type="page"/>
      </w:r>
    </w:p>
    <w:p w14:paraId="563BF18A">
      <w:pPr>
        <w:pStyle w:val="24"/>
        <w:spacing w:line="360" w:lineRule="auto"/>
        <w:ind w:left="0" w:firstLine="0"/>
        <w:jc w:val="center"/>
        <w:rPr>
          <w:rFonts w:ascii="仿宋" w:hAnsi="仿宋" w:eastAsia="仿宋" w:cs="仿宋"/>
          <w:bCs w:val="0"/>
          <w:sz w:val="32"/>
          <w:szCs w:val="32"/>
        </w:rPr>
      </w:pPr>
      <w:bookmarkStart w:id="166" w:name="_Toc20423"/>
      <w:bookmarkStart w:id="167" w:name="_Toc9120"/>
      <w:r>
        <w:rPr>
          <w:rFonts w:hint="eastAsia" w:ascii="仿宋" w:hAnsi="仿宋" w:eastAsia="仿宋" w:cs="仿宋"/>
          <w:bCs w:val="0"/>
          <w:sz w:val="32"/>
          <w:szCs w:val="32"/>
        </w:rPr>
        <w:t>四、报价一览表</w:t>
      </w:r>
      <w:bookmarkEnd w:id="166"/>
      <w:bookmarkEnd w:id="167"/>
    </w:p>
    <w:p w14:paraId="32222CF3">
      <w:pPr>
        <w:spacing w:line="360" w:lineRule="auto"/>
        <w:rPr>
          <w:rFonts w:ascii="仿宋" w:hAnsi="仿宋" w:eastAsia="仿宋" w:cs="仿宋"/>
        </w:rPr>
      </w:pPr>
    </w:p>
    <w:p w14:paraId="6E84A42C">
      <w:pPr>
        <w:spacing w:line="360" w:lineRule="auto"/>
        <w:rPr>
          <w:rFonts w:ascii="仿宋" w:hAnsi="仿宋" w:eastAsia="仿宋" w:cs="仿宋"/>
        </w:rPr>
      </w:pPr>
    </w:p>
    <w:tbl>
      <w:tblPr>
        <w:tblStyle w:val="18"/>
        <w:tblpPr w:leftFromText="45" w:rightFromText="45" w:vertAnchor="text" w:tblpXSpec="center"/>
        <w:tblW w:w="9461"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809"/>
        <w:gridCol w:w="6652"/>
      </w:tblGrid>
      <w:tr w14:paraId="02BF7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8" w:hRule="atLeast"/>
          <w:tblCellSpacing w:w="0" w:type="dxa"/>
          <w:jc w:val="center"/>
        </w:trPr>
        <w:tc>
          <w:tcPr>
            <w:tcW w:w="2809" w:type="dxa"/>
            <w:vAlign w:val="center"/>
          </w:tcPr>
          <w:p w14:paraId="09C1E2F1">
            <w:pPr>
              <w:spacing w:line="360" w:lineRule="auto"/>
              <w:jc w:val="center"/>
              <w:rPr>
                <w:rFonts w:ascii="仿宋" w:hAnsi="仿宋" w:eastAsia="仿宋" w:cs="仿宋"/>
                <w:color w:val="000000"/>
                <w:sz w:val="24"/>
              </w:rPr>
            </w:pPr>
            <w:r>
              <w:rPr>
                <w:rFonts w:hint="eastAsia" w:ascii="仿宋" w:hAnsi="仿宋" w:eastAsia="仿宋" w:cs="仿宋"/>
                <w:color w:val="000000"/>
                <w:sz w:val="24"/>
              </w:rPr>
              <w:t>项目名称</w:t>
            </w:r>
          </w:p>
        </w:tc>
        <w:tc>
          <w:tcPr>
            <w:tcW w:w="6652" w:type="dxa"/>
            <w:vAlign w:val="center"/>
          </w:tcPr>
          <w:p w14:paraId="3E8A1282">
            <w:pPr>
              <w:spacing w:afterLines="50" w:line="360" w:lineRule="auto"/>
              <w:jc w:val="center"/>
              <w:rPr>
                <w:rFonts w:hint="eastAsia" w:ascii="仿宋" w:hAnsi="仿宋" w:eastAsia="仿宋" w:cs="仿宋"/>
                <w:color w:val="000000"/>
                <w:sz w:val="24"/>
                <w:lang w:eastAsia="zh-CN"/>
              </w:rPr>
            </w:pPr>
            <w:r>
              <w:rPr>
                <w:rFonts w:hint="eastAsia" w:ascii="仿宋" w:hAnsi="仿宋" w:eastAsia="仿宋" w:cs="仿宋"/>
                <w:sz w:val="24"/>
                <w:szCs w:val="24"/>
                <w:lang w:eastAsia="zh-CN"/>
              </w:rPr>
              <w:t>2026年保安服务外包项目</w:t>
            </w:r>
          </w:p>
        </w:tc>
      </w:tr>
      <w:tr w14:paraId="4F590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6" w:hRule="atLeast"/>
          <w:tblCellSpacing w:w="0" w:type="dxa"/>
          <w:jc w:val="center"/>
        </w:trPr>
        <w:tc>
          <w:tcPr>
            <w:tcW w:w="2809" w:type="dxa"/>
            <w:vAlign w:val="center"/>
          </w:tcPr>
          <w:p w14:paraId="3A7EB2A5">
            <w:pPr>
              <w:tabs>
                <w:tab w:val="left" w:pos="142"/>
              </w:tabs>
              <w:spacing w:line="360" w:lineRule="auto"/>
              <w:ind w:firstLine="960" w:firstLineChars="400"/>
              <w:rPr>
                <w:rFonts w:ascii="仿宋" w:hAnsi="仿宋" w:eastAsia="仿宋" w:cs="仿宋"/>
                <w:color w:val="000000"/>
                <w:sz w:val="24"/>
              </w:rPr>
            </w:pPr>
            <w:r>
              <w:rPr>
                <w:rFonts w:hint="eastAsia" w:ascii="仿宋" w:hAnsi="仿宋" w:eastAsia="仿宋" w:cs="仿宋"/>
                <w:color w:val="000000"/>
                <w:sz w:val="24"/>
              </w:rPr>
              <w:t>项目编号</w:t>
            </w:r>
          </w:p>
        </w:tc>
        <w:tc>
          <w:tcPr>
            <w:tcW w:w="6652" w:type="dxa"/>
            <w:vAlign w:val="center"/>
          </w:tcPr>
          <w:p w14:paraId="5B8DDD6F">
            <w:pPr>
              <w:tabs>
                <w:tab w:val="left" w:pos="142"/>
              </w:tabs>
              <w:spacing w:line="360" w:lineRule="auto"/>
              <w:jc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NJDCX-202512051928</w:t>
            </w:r>
          </w:p>
        </w:tc>
      </w:tr>
      <w:tr w14:paraId="76420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6" w:hRule="atLeast"/>
          <w:tblCellSpacing w:w="0" w:type="dxa"/>
          <w:jc w:val="center"/>
        </w:trPr>
        <w:tc>
          <w:tcPr>
            <w:tcW w:w="2809" w:type="dxa"/>
            <w:vAlign w:val="center"/>
          </w:tcPr>
          <w:p w14:paraId="71E094ED">
            <w:pPr>
              <w:spacing w:line="360" w:lineRule="auto"/>
              <w:jc w:val="center"/>
              <w:rPr>
                <w:rFonts w:ascii="仿宋" w:hAnsi="仿宋" w:eastAsia="仿宋" w:cs="仿宋"/>
                <w:color w:val="000000"/>
                <w:sz w:val="24"/>
              </w:rPr>
            </w:pPr>
            <w:r>
              <w:rPr>
                <w:rFonts w:hint="eastAsia" w:ascii="仿宋" w:hAnsi="仿宋" w:eastAsia="仿宋" w:cs="仿宋"/>
                <w:sz w:val="24"/>
              </w:rPr>
              <w:t>谈判报价</w:t>
            </w:r>
          </w:p>
        </w:tc>
        <w:tc>
          <w:tcPr>
            <w:tcW w:w="6652" w:type="dxa"/>
            <w:vAlign w:val="center"/>
          </w:tcPr>
          <w:p w14:paraId="4F2C401D">
            <w:pPr>
              <w:spacing w:line="360" w:lineRule="auto"/>
              <w:jc w:val="center"/>
              <w:rPr>
                <w:rFonts w:ascii="仿宋" w:hAnsi="仿宋" w:eastAsia="仿宋" w:cs="仿宋"/>
                <w:sz w:val="24"/>
              </w:rPr>
            </w:pPr>
            <w:r>
              <w:rPr>
                <w:rFonts w:hint="eastAsia" w:ascii="仿宋" w:hAnsi="仿宋" w:eastAsia="仿宋" w:cs="仿宋"/>
                <w:sz w:val="24"/>
              </w:rPr>
              <w:t>￥</w:t>
            </w:r>
            <w:r>
              <w:rPr>
                <w:rFonts w:hint="eastAsia" w:ascii="仿宋" w:hAnsi="仿宋" w:eastAsia="仿宋" w:cs="仿宋"/>
                <w:sz w:val="24"/>
                <w:u w:val="single"/>
              </w:rPr>
              <w:t> 　　    　 </w:t>
            </w:r>
            <w:r>
              <w:rPr>
                <w:rFonts w:hint="eastAsia" w:ascii="仿宋" w:hAnsi="仿宋" w:eastAsia="仿宋" w:cs="仿宋"/>
                <w:sz w:val="24"/>
              </w:rPr>
              <w:t>圆整</w:t>
            </w:r>
          </w:p>
          <w:p w14:paraId="179B4D73">
            <w:pPr>
              <w:spacing w:line="360" w:lineRule="auto"/>
              <w:ind w:firstLine="480" w:firstLineChars="200"/>
              <w:rPr>
                <w:rFonts w:hint="default" w:ascii="仿宋" w:hAnsi="仿宋" w:eastAsia="仿宋" w:cs="仿宋"/>
                <w:color w:val="000000"/>
                <w:sz w:val="24"/>
                <w:u w:val="single"/>
                <w:lang w:val="en-US" w:eastAsia="zh-CN"/>
              </w:rPr>
            </w:pPr>
            <w:r>
              <w:rPr>
                <w:rFonts w:hint="eastAsia" w:ascii="仿宋" w:hAnsi="仿宋" w:eastAsia="仿宋" w:cs="仿宋"/>
                <w:sz w:val="24"/>
              </w:rPr>
              <w:t>人民币 (大写)</w:t>
            </w:r>
            <w:r>
              <w:rPr>
                <w:rFonts w:hint="eastAsia" w:ascii="仿宋" w:hAnsi="仿宋" w:eastAsia="仿宋" w:cs="仿宋"/>
                <w:sz w:val="24"/>
                <w:u w:val="single"/>
                <w:lang w:val="en-US" w:eastAsia="zh-CN"/>
              </w:rPr>
              <w:t xml:space="preserve">                        </w:t>
            </w:r>
          </w:p>
        </w:tc>
      </w:tr>
      <w:tr w14:paraId="10610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0" w:hRule="atLeast"/>
          <w:tblCellSpacing w:w="0" w:type="dxa"/>
          <w:jc w:val="center"/>
        </w:trPr>
        <w:tc>
          <w:tcPr>
            <w:tcW w:w="2809" w:type="dxa"/>
            <w:vAlign w:val="center"/>
          </w:tcPr>
          <w:p w14:paraId="530DA34A">
            <w:pPr>
              <w:spacing w:line="360" w:lineRule="auto"/>
              <w:jc w:val="center"/>
              <w:rPr>
                <w:rFonts w:ascii="仿宋" w:hAnsi="仿宋" w:eastAsia="仿宋" w:cs="仿宋"/>
                <w:color w:val="000000"/>
                <w:sz w:val="24"/>
              </w:rPr>
            </w:pPr>
            <w:r>
              <w:rPr>
                <w:rFonts w:hint="eastAsia" w:ascii="仿宋" w:hAnsi="仿宋" w:eastAsia="仿宋" w:cs="仿宋"/>
                <w:color w:val="000000"/>
                <w:sz w:val="24"/>
                <w:lang w:val="en-US" w:eastAsia="zh-CN"/>
              </w:rPr>
              <w:t>服务期限</w:t>
            </w:r>
          </w:p>
        </w:tc>
        <w:tc>
          <w:tcPr>
            <w:tcW w:w="6652" w:type="dxa"/>
            <w:vAlign w:val="center"/>
          </w:tcPr>
          <w:p w14:paraId="2EB5E509">
            <w:pPr>
              <w:spacing w:line="360" w:lineRule="auto"/>
              <w:jc w:val="center"/>
              <w:rPr>
                <w:rFonts w:ascii="仿宋" w:hAnsi="仿宋" w:eastAsia="仿宋" w:cs="仿宋"/>
                <w:color w:val="000000"/>
                <w:sz w:val="24"/>
              </w:rPr>
            </w:pPr>
          </w:p>
        </w:tc>
      </w:tr>
    </w:tbl>
    <w:p w14:paraId="1216D2BF">
      <w:pPr>
        <w:pStyle w:val="16"/>
        <w:spacing w:before="0" w:beforeAutospacing="0" w:after="0" w:afterAutospacing="0" w:line="360" w:lineRule="auto"/>
        <w:rPr>
          <w:rFonts w:ascii="仿宋" w:hAnsi="仿宋" w:eastAsia="仿宋" w:cs="仿宋"/>
          <w:color w:val="000000"/>
        </w:rPr>
      </w:pPr>
    </w:p>
    <w:p w14:paraId="312AF12A">
      <w:pPr>
        <w:pStyle w:val="16"/>
        <w:spacing w:before="0" w:beforeAutospacing="0" w:after="0" w:afterAutospacing="0" w:line="360" w:lineRule="auto"/>
        <w:rPr>
          <w:rFonts w:ascii="仿宋" w:hAnsi="仿宋" w:eastAsia="仿宋" w:cs="仿宋"/>
          <w:kern w:val="2"/>
        </w:rPr>
      </w:pPr>
      <w:r>
        <w:rPr>
          <w:rFonts w:hint="eastAsia" w:ascii="仿宋" w:hAnsi="仿宋" w:eastAsia="仿宋" w:cs="仿宋"/>
          <w:b/>
          <w:bCs/>
          <w:kern w:val="2"/>
        </w:rPr>
        <w:t>供应商</w:t>
      </w:r>
      <w:r>
        <w:rPr>
          <w:rFonts w:hint="eastAsia" w:ascii="仿宋" w:hAnsi="仿宋" w:eastAsia="仿宋" w:cs="仿宋"/>
          <w:kern w:val="2"/>
        </w:rPr>
        <w:t>全称（公章）：        </w:t>
      </w:r>
    </w:p>
    <w:p w14:paraId="0F331DCD">
      <w:pPr>
        <w:pStyle w:val="16"/>
        <w:spacing w:before="0" w:beforeAutospacing="0" w:after="0" w:afterAutospacing="0" w:line="360" w:lineRule="auto"/>
        <w:rPr>
          <w:rFonts w:hint="eastAsia" w:ascii="仿宋" w:hAnsi="仿宋" w:eastAsia="仿宋" w:cs="仿宋"/>
          <w:kern w:val="2"/>
        </w:rPr>
      </w:pPr>
      <w:r>
        <w:rPr>
          <w:rFonts w:hint="eastAsia" w:ascii="仿宋" w:hAnsi="仿宋" w:eastAsia="仿宋" w:cs="仿宋"/>
          <w:kern w:val="2"/>
        </w:rPr>
        <w:t xml:space="preserve">法定代表人（授权代表）（签字或盖章）：     </w:t>
      </w:r>
    </w:p>
    <w:p w14:paraId="51A3811D">
      <w:pPr>
        <w:pStyle w:val="16"/>
        <w:spacing w:before="0" w:beforeAutospacing="0" w:after="0" w:afterAutospacing="0" w:line="360" w:lineRule="auto"/>
        <w:rPr>
          <w:rFonts w:hint="eastAsia" w:ascii="仿宋" w:hAnsi="仿宋" w:eastAsia="仿宋" w:cs="仿宋"/>
          <w:kern w:val="2"/>
        </w:rPr>
      </w:pPr>
    </w:p>
    <w:p w14:paraId="21926096">
      <w:pPr>
        <w:spacing w:line="360" w:lineRule="auto"/>
        <w:ind w:firstLine="480" w:firstLineChars="200"/>
        <w:jc w:val="right"/>
        <w:rPr>
          <w:rFonts w:ascii="仿宋" w:hAnsi="仿宋" w:eastAsia="仿宋" w:cs="仿宋"/>
          <w:color w:val="000000"/>
          <w:sz w:val="24"/>
          <w:szCs w:val="24"/>
        </w:rPr>
      </w:pPr>
      <w:r>
        <w:rPr>
          <w:rFonts w:hint="eastAsia" w:ascii="仿宋" w:hAnsi="仿宋" w:eastAsia="仿宋" w:cs="仿宋"/>
          <w:color w:val="000000"/>
          <w:sz w:val="24"/>
          <w:szCs w:val="24"/>
        </w:rPr>
        <w:t>日期：  年   月   日</w:t>
      </w:r>
    </w:p>
    <w:p w14:paraId="49379202">
      <w:pPr>
        <w:pStyle w:val="16"/>
        <w:spacing w:before="0" w:beforeAutospacing="0" w:after="0" w:afterAutospacing="0" w:line="360" w:lineRule="auto"/>
        <w:rPr>
          <w:rFonts w:hint="default" w:ascii="仿宋" w:hAnsi="仿宋" w:eastAsia="仿宋" w:cs="仿宋"/>
          <w:kern w:val="2"/>
          <w:lang w:val="en-US" w:eastAsia="zh-CN"/>
        </w:rPr>
      </w:pPr>
    </w:p>
    <w:p w14:paraId="431E7A41">
      <w:pPr>
        <w:pStyle w:val="16"/>
        <w:spacing w:before="0" w:beforeAutospacing="0" w:after="0" w:afterAutospacing="0" w:line="360" w:lineRule="auto"/>
        <w:rPr>
          <w:rFonts w:hint="eastAsia" w:ascii="仿宋" w:hAnsi="仿宋" w:eastAsia="仿宋" w:cs="仿宋"/>
          <w:kern w:val="2"/>
        </w:rPr>
      </w:pPr>
    </w:p>
    <w:p w14:paraId="2A20ECFB">
      <w:pPr>
        <w:pStyle w:val="16"/>
        <w:spacing w:before="0" w:beforeAutospacing="0" w:after="0" w:afterAutospacing="0" w:line="360" w:lineRule="auto"/>
        <w:rPr>
          <w:rFonts w:ascii="仿宋" w:hAnsi="仿宋" w:eastAsia="仿宋" w:cs="仿宋"/>
          <w:kern w:val="2"/>
        </w:rPr>
      </w:pPr>
      <w:r>
        <w:rPr>
          <w:rFonts w:hint="eastAsia" w:ascii="仿宋" w:hAnsi="仿宋" w:eastAsia="仿宋" w:cs="仿宋"/>
          <w:kern w:val="2"/>
        </w:rPr>
        <w:t xml:space="preserve">   </w:t>
      </w:r>
    </w:p>
    <w:p w14:paraId="6EB95347">
      <w:pPr>
        <w:spacing w:line="360" w:lineRule="auto"/>
        <w:rPr>
          <w:rFonts w:ascii="仿宋" w:hAnsi="仿宋" w:eastAsia="仿宋" w:cs="仿宋"/>
          <w:sz w:val="24"/>
        </w:rPr>
      </w:pPr>
      <w:r>
        <w:rPr>
          <w:rFonts w:hint="eastAsia" w:ascii="仿宋" w:hAnsi="仿宋" w:eastAsia="仿宋" w:cs="仿宋"/>
          <w:sz w:val="24"/>
        </w:rPr>
        <w:t>注:谈判总报价应包含本项目实施期间的所有含税费用。</w:t>
      </w:r>
    </w:p>
    <w:p w14:paraId="5FFE4889">
      <w:pPr>
        <w:pStyle w:val="24"/>
        <w:spacing w:line="360" w:lineRule="auto"/>
        <w:ind w:left="0" w:firstLine="0"/>
        <w:jc w:val="center"/>
        <w:rPr>
          <w:rFonts w:ascii="仿宋" w:hAnsi="仿宋" w:eastAsia="仿宋" w:cs="仿宋"/>
          <w:bCs w:val="0"/>
          <w:sz w:val="32"/>
          <w:szCs w:val="32"/>
        </w:rPr>
      </w:pPr>
      <w:r>
        <w:rPr>
          <w:rFonts w:hint="eastAsia" w:ascii="仿宋" w:hAnsi="仿宋" w:eastAsia="仿宋" w:cs="仿宋"/>
          <w:b w:val="0"/>
          <w:bCs w:val="0"/>
          <w:sz w:val="24"/>
          <w:szCs w:val="24"/>
        </w:rPr>
        <w:br w:type="page"/>
      </w:r>
      <w:bookmarkStart w:id="168" w:name="_Toc3211"/>
      <w:bookmarkStart w:id="169" w:name="_Toc30276"/>
      <w:bookmarkStart w:id="170" w:name="_Toc15770"/>
      <w:bookmarkStart w:id="171" w:name="_Toc22736"/>
      <w:r>
        <w:rPr>
          <w:rFonts w:hint="eastAsia" w:ascii="仿宋" w:hAnsi="仿宋" w:eastAsia="仿宋" w:cs="仿宋"/>
          <w:bCs w:val="0"/>
          <w:sz w:val="32"/>
          <w:szCs w:val="32"/>
        </w:rPr>
        <w:t>五、报价明细表</w:t>
      </w:r>
      <w:bookmarkEnd w:id="168"/>
      <w:bookmarkEnd w:id="169"/>
      <w:bookmarkEnd w:id="170"/>
      <w:bookmarkEnd w:id="171"/>
    </w:p>
    <w:p w14:paraId="6C665020">
      <w:pPr>
        <w:pStyle w:val="17"/>
        <w:spacing w:line="360" w:lineRule="auto"/>
        <w:ind w:firstLine="480"/>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项目名称：</w:t>
      </w:r>
      <w:r>
        <w:rPr>
          <w:rFonts w:hint="eastAsia" w:ascii="仿宋" w:hAnsi="仿宋" w:eastAsia="仿宋" w:cs="仿宋"/>
          <w:color w:val="000000" w:themeColor="text1"/>
          <w:sz w:val="24"/>
          <w:szCs w:val="24"/>
          <w:lang w:eastAsia="zh-CN"/>
          <w14:textFill>
            <w14:solidFill>
              <w14:schemeClr w14:val="tx1"/>
            </w14:solidFill>
          </w14:textFill>
        </w:rPr>
        <w:t>2026年保安服务外包项目</w:t>
      </w:r>
    </w:p>
    <w:p w14:paraId="6AF84E75">
      <w:pPr>
        <w:pStyle w:val="17"/>
        <w:spacing w:line="0" w:lineRule="atLeast"/>
        <w:ind w:firstLine="480"/>
        <w:rPr>
          <w:rFonts w:hint="eastAsia" w:ascii="仿宋" w:hAnsi="仿宋" w:eastAsia="仿宋" w:cs="仿宋"/>
          <w:color w:val="000000"/>
          <w:szCs w:val="28"/>
          <w:lang w:eastAsia="zh-CN"/>
        </w:rPr>
      </w:pPr>
      <w:r>
        <w:rPr>
          <w:rFonts w:hint="eastAsia" w:ascii="仿宋" w:hAnsi="仿宋" w:eastAsia="仿宋" w:cs="仿宋"/>
          <w:color w:val="000000" w:themeColor="text1"/>
          <w:sz w:val="24"/>
          <w14:textFill>
            <w14:solidFill>
              <w14:schemeClr w14:val="tx1"/>
            </w14:solidFill>
          </w14:textFill>
        </w:rPr>
        <w:t>项目编号：</w:t>
      </w:r>
      <w:r>
        <w:rPr>
          <w:rFonts w:hint="eastAsia" w:ascii="仿宋" w:hAnsi="仿宋" w:eastAsia="仿宋" w:cs="仿宋"/>
          <w:color w:val="000000" w:themeColor="text1"/>
          <w:sz w:val="24"/>
          <w:szCs w:val="24"/>
          <w:lang w:eastAsia="zh-CN"/>
          <w14:textFill>
            <w14:solidFill>
              <w14:schemeClr w14:val="tx1"/>
            </w14:solidFill>
          </w14:textFill>
        </w:rPr>
        <w:t>NJDCX-202512051928</w:t>
      </w:r>
    </w:p>
    <w:tbl>
      <w:tblPr>
        <w:tblStyle w:val="18"/>
        <w:tblpPr w:leftFromText="180" w:rightFromText="180" w:vertAnchor="text" w:horzAnchor="page" w:tblpX="1332" w:tblpY="177"/>
        <w:tblOverlap w:val="never"/>
        <w:tblW w:w="92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2053"/>
        <w:gridCol w:w="2325"/>
        <w:gridCol w:w="945"/>
        <w:gridCol w:w="1200"/>
        <w:gridCol w:w="1789"/>
      </w:tblGrid>
      <w:tr w14:paraId="03CBA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958" w:type="dxa"/>
            <w:vAlign w:val="center"/>
          </w:tcPr>
          <w:p w14:paraId="20575C80">
            <w:pPr>
              <w:spacing w:line="0" w:lineRule="atLeast"/>
              <w:jc w:val="center"/>
              <w:rPr>
                <w:rFonts w:ascii="仿宋" w:hAnsi="仿宋" w:eastAsia="仿宋" w:cs="仿宋"/>
                <w:sz w:val="24"/>
              </w:rPr>
            </w:pPr>
            <w:r>
              <w:rPr>
                <w:rFonts w:hint="eastAsia" w:ascii="仿宋" w:hAnsi="仿宋" w:eastAsia="仿宋" w:cs="仿宋"/>
                <w:sz w:val="24"/>
              </w:rPr>
              <w:t>序号</w:t>
            </w:r>
          </w:p>
        </w:tc>
        <w:tc>
          <w:tcPr>
            <w:tcW w:w="2053" w:type="dxa"/>
            <w:vAlign w:val="center"/>
          </w:tcPr>
          <w:p w14:paraId="509635F0">
            <w:pPr>
              <w:spacing w:line="0" w:lineRule="atLeast"/>
              <w:jc w:val="center"/>
              <w:rPr>
                <w:rFonts w:hint="default" w:ascii="仿宋" w:hAnsi="仿宋" w:eastAsia="仿宋" w:cs="仿宋"/>
                <w:sz w:val="24"/>
                <w:lang w:val="en-US" w:eastAsia="zh-CN"/>
              </w:rPr>
            </w:pPr>
            <w:r>
              <w:rPr>
                <w:rFonts w:hint="eastAsia" w:ascii="仿宋" w:hAnsi="仿宋" w:eastAsia="仿宋" w:cs="仿宋"/>
                <w:sz w:val="24"/>
                <w:lang w:eastAsia="zh-CN"/>
              </w:rPr>
              <w:t>服务</w:t>
            </w:r>
            <w:r>
              <w:rPr>
                <w:rFonts w:hint="eastAsia" w:ascii="仿宋" w:hAnsi="仿宋" w:eastAsia="仿宋" w:cs="仿宋"/>
                <w:sz w:val="24"/>
              </w:rPr>
              <w:t>名称</w:t>
            </w:r>
            <w:r>
              <w:rPr>
                <w:rFonts w:hint="eastAsia" w:ascii="仿宋" w:hAnsi="仿宋" w:eastAsia="仿宋" w:cs="仿宋"/>
                <w:sz w:val="24"/>
                <w:lang w:val="en-US" w:eastAsia="zh-CN"/>
              </w:rPr>
              <w:t>/内容</w:t>
            </w:r>
          </w:p>
        </w:tc>
        <w:tc>
          <w:tcPr>
            <w:tcW w:w="2325" w:type="dxa"/>
            <w:vAlign w:val="center"/>
          </w:tcPr>
          <w:p w14:paraId="3148F0B0">
            <w:pPr>
              <w:spacing w:line="0" w:lineRule="atLeast"/>
              <w:jc w:val="center"/>
              <w:rPr>
                <w:rFonts w:ascii="仿宋" w:hAnsi="仿宋" w:eastAsia="仿宋" w:cs="仿宋"/>
                <w:sz w:val="24"/>
              </w:rPr>
            </w:pPr>
            <w:r>
              <w:rPr>
                <w:rFonts w:hint="eastAsia" w:ascii="仿宋" w:hAnsi="仿宋" w:eastAsia="仿宋" w:cs="仿宋"/>
                <w:sz w:val="24"/>
              </w:rPr>
              <w:t>内容描述</w:t>
            </w:r>
          </w:p>
        </w:tc>
        <w:tc>
          <w:tcPr>
            <w:tcW w:w="945" w:type="dxa"/>
            <w:vAlign w:val="center"/>
          </w:tcPr>
          <w:p w14:paraId="5F4AB8AE">
            <w:pPr>
              <w:spacing w:line="0" w:lineRule="atLeast"/>
              <w:jc w:val="center"/>
              <w:rPr>
                <w:rFonts w:ascii="仿宋" w:hAnsi="仿宋" w:eastAsia="仿宋" w:cs="仿宋"/>
                <w:sz w:val="24"/>
              </w:rPr>
            </w:pPr>
            <w:r>
              <w:rPr>
                <w:rFonts w:hint="eastAsia" w:ascii="仿宋" w:hAnsi="仿宋" w:eastAsia="仿宋" w:cs="仿宋"/>
                <w:sz w:val="24"/>
              </w:rPr>
              <w:t>数量</w:t>
            </w:r>
          </w:p>
        </w:tc>
        <w:tc>
          <w:tcPr>
            <w:tcW w:w="1200" w:type="dxa"/>
            <w:vAlign w:val="center"/>
          </w:tcPr>
          <w:p w14:paraId="1F6DB9BA">
            <w:pPr>
              <w:spacing w:line="0" w:lineRule="atLeast"/>
              <w:jc w:val="center"/>
              <w:rPr>
                <w:rFonts w:ascii="仿宋" w:hAnsi="仿宋" w:eastAsia="仿宋" w:cs="仿宋"/>
                <w:sz w:val="24"/>
              </w:rPr>
            </w:pPr>
            <w:r>
              <w:rPr>
                <w:rFonts w:hint="eastAsia" w:ascii="仿宋" w:hAnsi="仿宋" w:eastAsia="仿宋" w:cs="仿宋"/>
                <w:sz w:val="24"/>
              </w:rPr>
              <w:t>单价</w:t>
            </w:r>
          </w:p>
          <w:p w14:paraId="38DC4281">
            <w:pPr>
              <w:spacing w:line="0" w:lineRule="atLeast"/>
              <w:jc w:val="center"/>
              <w:rPr>
                <w:rFonts w:ascii="仿宋" w:hAnsi="仿宋" w:eastAsia="仿宋" w:cs="仿宋"/>
                <w:sz w:val="24"/>
              </w:rPr>
            </w:pPr>
            <w:r>
              <w:rPr>
                <w:rFonts w:hint="eastAsia" w:ascii="仿宋" w:hAnsi="仿宋" w:eastAsia="仿宋" w:cs="仿宋"/>
                <w:sz w:val="24"/>
              </w:rPr>
              <w:t>（元）</w:t>
            </w:r>
          </w:p>
        </w:tc>
        <w:tc>
          <w:tcPr>
            <w:tcW w:w="1789" w:type="dxa"/>
            <w:vAlign w:val="center"/>
          </w:tcPr>
          <w:p w14:paraId="66FE924E">
            <w:pPr>
              <w:spacing w:line="0" w:lineRule="atLeast"/>
              <w:jc w:val="center"/>
              <w:rPr>
                <w:rFonts w:ascii="仿宋" w:hAnsi="仿宋" w:eastAsia="仿宋" w:cs="仿宋"/>
                <w:sz w:val="24"/>
              </w:rPr>
            </w:pPr>
            <w:r>
              <w:rPr>
                <w:rFonts w:hint="eastAsia" w:ascii="仿宋" w:hAnsi="仿宋" w:eastAsia="仿宋" w:cs="仿宋"/>
                <w:sz w:val="24"/>
              </w:rPr>
              <w:t>单项合计价</w:t>
            </w:r>
          </w:p>
          <w:p w14:paraId="13DAA502">
            <w:pPr>
              <w:spacing w:line="0" w:lineRule="atLeast"/>
              <w:jc w:val="center"/>
              <w:rPr>
                <w:rFonts w:ascii="仿宋" w:hAnsi="仿宋" w:eastAsia="仿宋" w:cs="仿宋"/>
                <w:sz w:val="24"/>
              </w:rPr>
            </w:pPr>
            <w:r>
              <w:rPr>
                <w:rFonts w:hint="eastAsia" w:ascii="仿宋" w:hAnsi="仿宋" w:eastAsia="仿宋" w:cs="仿宋"/>
                <w:sz w:val="24"/>
              </w:rPr>
              <w:t>（元）</w:t>
            </w:r>
          </w:p>
        </w:tc>
      </w:tr>
      <w:tr w14:paraId="2A8B7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958" w:type="dxa"/>
            <w:vAlign w:val="center"/>
          </w:tcPr>
          <w:p w14:paraId="567B3FA0">
            <w:pPr>
              <w:spacing w:line="0" w:lineRule="atLeast"/>
              <w:jc w:val="center"/>
              <w:rPr>
                <w:rFonts w:ascii="仿宋" w:hAnsi="仿宋" w:eastAsia="仿宋" w:cs="仿宋"/>
                <w:sz w:val="24"/>
              </w:rPr>
            </w:pPr>
          </w:p>
        </w:tc>
        <w:tc>
          <w:tcPr>
            <w:tcW w:w="2053" w:type="dxa"/>
            <w:vAlign w:val="center"/>
          </w:tcPr>
          <w:p w14:paraId="4F2D47F5">
            <w:pPr>
              <w:spacing w:line="0" w:lineRule="atLeast"/>
              <w:jc w:val="center"/>
              <w:rPr>
                <w:rFonts w:ascii="仿宋" w:hAnsi="仿宋" w:eastAsia="仿宋" w:cs="仿宋"/>
                <w:sz w:val="24"/>
              </w:rPr>
            </w:pPr>
          </w:p>
        </w:tc>
        <w:tc>
          <w:tcPr>
            <w:tcW w:w="2325" w:type="dxa"/>
            <w:vAlign w:val="center"/>
          </w:tcPr>
          <w:p w14:paraId="64F123B0">
            <w:pPr>
              <w:spacing w:line="0" w:lineRule="atLeast"/>
              <w:jc w:val="center"/>
              <w:rPr>
                <w:rFonts w:ascii="仿宋" w:hAnsi="仿宋" w:eastAsia="仿宋" w:cs="仿宋"/>
                <w:sz w:val="24"/>
              </w:rPr>
            </w:pPr>
          </w:p>
        </w:tc>
        <w:tc>
          <w:tcPr>
            <w:tcW w:w="945" w:type="dxa"/>
            <w:vAlign w:val="center"/>
          </w:tcPr>
          <w:p w14:paraId="166F148C">
            <w:pPr>
              <w:spacing w:line="0" w:lineRule="atLeast"/>
              <w:jc w:val="center"/>
              <w:rPr>
                <w:rFonts w:ascii="仿宋" w:hAnsi="仿宋" w:eastAsia="仿宋" w:cs="仿宋"/>
                <w:sz w:val="24"/>
              </w:rPr>
            </w:pPr>
          </w:p>
        </w:tc>
        <w:tc>
          <w:tcPr>
            <w:tcW w:w="1200" w:type="dxa"/>
            <w:vAlign w:val="center"/>
          </w:tcPr>
          <w:p w14:paraId="4E7B0153">
            <w:pPr>
              <w:spacing w:line="0" w:lineRule="atLeast"/>
              <w:jc w:val="center"/>
              <w:rPr>
                <w:rFonts w:ascii="仿宋" w:hAnsi="仿宋" w:eastAsia="仿宋" w:cs="仿宋"/>
                <w:sz w:val="24"/>
              </w:rPr>
            </w:pPr>
          </w:p>
        </w:tc>
        <w:tc>
          <w:tcPr>
            <w:tcW w:w="1789" w:type="dxa"/>
            <w:vAlign w:val="center"/>
          </w:tcPr>
          <w:p w14:paraId="61F5C0D0">
            <w:pPr>
              <w:spacing w:line="0" w:lineRule="atLeast"/>
              <w:jc w:val="center"/>
              <w:rPr>
                <w:rFonts w:ascii="仿宋" w:hAnsi="仿宋" w:eastAsia="仿宋" w:cs="仿宋"/>
                <w:sz w:val="24"/>
              </w:rPr>
            </w:pPr>
          </w:p>
        </w:tc>
      </w:tr>
      <w:tr w14:paraId="1661B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958" w:type="dxa"/>
            <w:vAlign w:val="center"/>
          </w:tcPr>
          <w:p w14:paraId="42EBB447">
            <w:pPr>
              <w:spacing w:line="0" w:lineRule="atLeast"/>
              <w:jc w:val="center"/>
              <w:rPr>
                <w:rFonts w:ascii="仿宋" w:hAnsi="仿宋" w:eastAsia="仿宋" w:cs="仿宋"/>
                <w:sz w:val="24"/>
              </w:rPr>
            </w:pPr>
          </w:p>
        </w:tc>
        <w:tc>
          <w:tcPr>
            <w:tcW w:w="2053" w:type="dxa"/>
            <w:vAlign w:val="center"/>
          </w:tcPr>
          <w:p w14:paraId="291A4085">
            <w:pPr>
              <w:spacing w:line="0" w:lineRule="atLeast"/>
              <w:jc w:val="center"/>
              <w:rPr>
                <w:rFonts w:ascii="仿宋" w:hAnsi="仿宋" w:eastAsia="仿宋" w:cs="仿宋"/>
                <w:sz w:val="24"/>
              </w:rPr>
            </w:pPr>
          </w:p>
        </w:tc>
        <w:tc>
          <w:tcPr>
            <w:tcW w:w="2325" w:type="dxa"/>
            <w:vAlign w:val="center"/>
          </w:tcPr>
          <w:p w14:paraId="12A380E3">
            <w:pPr>
              <w:spacing w:line="0" w:lineRule="atLeast"/>
              <w:jc w:val="center"/>
              <w:rPr>
                <w:rFonts w:ascii="仿宋" w:hAnsi="仿宋" w:eastAsia="仿宋" w:cs="仿宋"/>
                <w:sz w:val="24"/>
              </w:rPr>
            </w:pPr>
          </w:p>
        </w:tc>
        <w:tc>
          <w:tcPr>
            <w:tcW w:w="945" w:type="dxa"/>
            <w:vAlign w:val="center"/>
          </w:tcPr>
          <w:p w14:paraId="444C3036">
            <w:pPr>
              <w:spacing w:line="0" w:lineRule="atLeast"/>
              <w:jc w:val="center"/>
              <w:rPr>
                <w:rFonts w:ascii="仿宋" w:hAnsi="仿宋" w:eastAsia="仿宋" w:cs="仿宋"/>
                <w:sz w:val="24"/>
              </w:rPr>
            </w:pPr>
          </w:p>
        </w:tc>
        <w:tc>
          <w:tcPr>
            <w:tcW w:w="1200" w:type="dxa"/>
            <w:vAlign w:val="center"/>
          </w:tcPr>
          <w:p w14:paraId="40BB0D37">
            <w:pPr>
              <w:spacing w:line="0" w:lineRule="atLeast"/>
              <w:jc w:val="center"/>
              <w:rPr>
                <w:rFonts w:ascii="仿宋" w:hAnsi="仿宋" w:eastAsia="仿宋" w:cs="仿宋"/>
                <w:sz w:val="24"/>
              </w:rPr>
            </w:pPr>
          </w:p>
        </w:tc>
        <w:tc>
          <w:tcPr>
            <w:tcW w:w="1789" w:type="dxa"/>
            <w:vAlign w:val="center"/>
          </w:tcPr>
          <w:p w14:paraId="64CCC78B">
            <w:pPr>
              <w:spacing w:line="0" w:lineRule="atLeast"/>
              <w:jc w:val="center"/>
              <w:rPr>
                <w:rFonts w:ascii="仿宋" w:hAnsi="仿宋" w:eastAsia="仿宋" w:cs="仿宋"/>
                <w:sz w:val="24"/>
              </w:rPr>
            </w:pPr>
          </w:p>
        </w:tc>
      </w:tr>
      <w:tr w14:paraId="55C61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958" w:type="dxa"/>
            <w:vAlign w:val="center"/>
          </w:tcPr>
          <w:p w14:paraId="58F98D45">
            <w:pPr>
              <w:spacing w:line="0" w:lineRule="atLeast"/>
              <w:jc w:val="center"/>
              <w:rPr>
                <w:rFonts w:ascii="仿宋" w:hAnsi="仿宋" w:eastAsia="仿宋" w:cs="仿宋"/>
                <w:sz w:val="24"/>
              </w:rPr>
            </w:pPr>
          </w:p>
        </w:tc>
        <w:tc>
          <w:tcPr>
            <w:tcW w:w="2053" w:type="dxa"/>
            <w:vAlign w:val="center"/>
          </w:tcPr>
          <w:p w14:paraId="2E510E4F">
            <w:pPr>
              <w:spacing w:line="0" w:lineRule="atLeast"/>
              <w:jc w:val="center"/>
              <w:rPr>
                <w:rFonts w:ascii="仿宋" w:hAnsi="仿宋" w:eastAsia="仿宋" w:cs="仿宋"/>
                <w:sz w:val="24"/>
              </w:rPr>
            </w:pPr>
          </w:p>
        </w:tc>
        <w:tc>
          <w:tcPr>
            <w:tcW w:w="2325" w:type="dxa"/>
            <w:vAlign w:val="center"/>
          </w:tcPr>
          <w:p w14:paraId="05304B8B">
            <w:pPr>
              <w:spacing w:line="0" w:lineRule="atLeast"/>
              <w:jc w:val="center"/>
              <w:rPr>
                <w:rFonts w:ascii="仿宋" w:hAnsi="仿宋" w:eastAsia="仿宋" w:cs="仿宋"/>
                <w:sz w:val="24"/>
              </w:rPr>
            </w:pPr>
          </w:p>
        </w:tc>
        <w:tc>
          <w:tcPr>
            <w:tcW w:w="945" w:type="dxa"/>
            <w:vAlign w:val="center"/>
          </w:tcPr>
          <w:p w14:paraId="0D0280F2">
            <w:pPr>
              <w:spacing w:line="0" w:lineRule="atLeast"/>
              <w:jc w:val="center"/>
              <w:rPr>
                <w:rFonts w:ascii="仿宋" w:hAnsi="仿宋" w:eastAsia="仿宋" w:cs="仿宋"/>
                <w:sz w:val="24"/>
              </w:rPr>
            </w:pPr>
          </w:p>
        </w:tc>
        <w:tc>
          <w:tcPr>
            <w:tcW w:w="1200" w:type="dxa"/>
            <w:vAlign w:val="center"/>
          </w:tcPr>
          <w:p w14:paraId="47DC1526">
            <w:pPr>
              <w:spacing w:line="0" w:lineRule="atLeast"/>
              <w:jc w:val="center"/>
              <w:rPr>
                <w:rFonts w:ascii="仿宋" w:hAnsi="仿宋" w:eastAsia="仿宋" w:cs="仿宋"/>
                <w:sz w:val="24"/>
              </w:rPr>
            </w:pPr>
          </w:p>
        </w:tc>
        <w:tc>
          <w:tcPr>
            <w:tcW w:w="1789" w:type="dxa"/>
            <w:vAlign w:val="center"/>
          </w:tcPr>
          <w:p w14:paraId="344BDD41">
            <w:pPr>
              <w:spacing w:line="0" w:lineRule="atLeast"/>
              <w:jc w:val="center"/>
              <w:rPr>
                <w:rFonts w:ascii="仿宋" w:hAnsi="仿宋" w:eastAsia="仿宋" w:cs="仿宋"/>
                <w:sz w:val="24"/>
              </w:rPr>
            </w:pPr>
          </w:p>
        </w:tc>
      </w:tr>
      <w:tr w14:paraId="2C11F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958" w:type="dxa"/>
            <w:vAlign w:val="center"/>
          </w:tcPr>
          <w:p w14:paraId="1E6890AA">
            <w:pPr>
              <w:spacing w:line="0" w:lineRule="atLeast"/>
              <w:jc w:val="center"/>
              <w:rPr>
                <w:rFonts w:ascii="仿宋" w:hAnsi="仿宋" w:eastAsia="仿宋" w:cs="仿宋"/>
                <w:sz w:val="24"/>
              </w:rPr>
            </w:pPr>
          </w:p>
        </w:tc>
        <w:tc>
          <w:tcPr>
            <w:tcW w:w="2053" w:type="dxa"/>
            <w:vAlign w:val="center"/>
          </w:tcPr>
          <w:p w14:paraId="52469841">
            <w:pPr>
              <w:spacing w:line="0" w:lineRule="atLeast"/>
              <w:jc w:val="center"/>
              <w:rPr>
                <w:rFonts w:ascii="仿宋" w:hAnsi="仿宋" w:eastAsia="仿宋" w:cs="仿宋"/>
                <w:sz w:val="24"/>
              </w:rPr>
            </w:pPr>
          </w:p>
        </w:tc>
        <w:tc>
          <w:tcPr>
            <w:tcW w:w="2325" w:type="dxa"/>
            <w:vAlign w:val="center"/>
          </w:tcPr>
          <w:p w14:paraId="1AE40065">
            <w:pPr>
              <w:spacing w:line="0" w:lineRule="atLeast"/>
              <w:jc w:val="center"/>
              <w:rPr>
                <w:rFonts w:ascii="仿宋" w:hAnsi="仿宋" w:eastAsia="仿宋" w:cs="仿宋"/>
                <w:sz w:val="24"/>
              </w:rPr>
            </w:pPr>
          </w:p>
        </w:tc>
        <w:tc>
          <w:tcPr>
            <w:tcW w:w="945" w:type="dxa"/>
            <w:vAlign w:val="center"/>
          </w:tcPr>
          <w:p w14:paraId="39989A1D">
            <w:pPr>
              <w:spacing w:line="0" w:lineRule="atLeast"/>
              <w:jc w:val="center"/>
              <w:rPr>
                <w:rFonts w:ascii="仿宋" w:hAnsi="仿宋" w:eastAsia="仿宋" w:cs="仿宋"/>
                <w:sz w:val="24"/>
              </w:rPr>
            </w:pPr>
          </w:p>
        </w:tc>
        <w:tc>
          <w:tcPr>
            <w:tcW w:w="1200" w:type="dxa"/>
            <w:vAlign w:val="center"/>
          </w:tcPr>
          <w:p w14:paraId="53BE239A">
            <w:pPr>
              <w:spacing w:line="0" w:lineRule="atLeast"/>
              <w:jc w:val="center"/>
              <w:rPr>
                <w:rFonts w:ascii="仿宋" w:hAnsi="仿宋" w:eastAsia="仿宋" w:cs="仿宋"/>
                <w:sz w:val="24"/>
              </w:rPr>
            </w:pPr>
          </w:p>
        </w:tc>
        <w:tc>
          <w:tcPr>
            <w:tcW w:w="1789" w:type="dxa"/>
            <w:vAlign w:val="center"/>
          </w:tcPr>
          <w:p w14:paraId="0B5E672B">
            <w:pPr>
              <w:spacing w:line="0" w:lineRule="atLeast"/>
              <w:jc w:val="center"/>
              <w:rPr>
                <w:rFonts w:ascii="仿宋" w:hAnsi="仿宋" w:eastAsia="仿宋" w:cs="仿宋"/>
                <w:sz w:val="24"/>
              </w:rPr>
            </w:pPr>
          </w:p>
        </w:tc>
      </w:tr>
      <w:tr w14:paraId="60FEF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958" w:type="dxa"/>
            <w:vAlign w:val="center"/>
          </w:tcPr>
          <w:p w14:paraId="79F7F7AB">
            <w:pPr>
              <w:spacing w:line="0" w:lineRule="atLeast"/>
              <w:jc w:val="center"/>
              <w:rPr>
                <w:rFonts w:ascii="仿宋" w:hAnsi="仿宋" w:eastAsia="仿宋" w:cs="仿宋"/>
                <w:sz w:val="24"/>
              </w:rPr>
            </w:pPr>
          </w:p>
        </w:tc>
        <w:tc>
          <w:tcPr>
            <w:tcW w:w="2053" w:type="dxa"/>
            <w:vAlign w:val="center"/>
          </w:tcPr>
          <w:p w14:paraId="49C303B1">
            <w:pPr>
              <w:spacing w:line="0" w:lineRule="atLeast"/>
              <w:jc w:val="center"/>
              <w:rPr>
                <w:rFonts w:ascii="仿宋" w:hAnsi="仿宋" w:eastAsia="仿宋" w:cs="仿宋"/>
                <w:sz w:val="24"/>
              </w:rPr>
            </w:pPr>
          </w:p>
        </w:tc>
        <w:tc>
          <w:tcPr>
            <w:tcW w:w="2325" w:type="dxa"/>
            <w:vAlign w:val="center"/>
          </w:tcPr>
          <w:p w14:paraId="2570F755">
            <w:pPr>
              <w:spacing w:line="0" w:lineRule="atLeast"/>
              <w:jc w:val="center"/>
              <w:rPr>
                <w:rFonts w:ascii="仿宋" w:hAnsi="仿宋" w:eastAsia="仿宋" w:cs="仿宋"/>
                <w:sz w:val="24"/>
              </w:rPr>
            </w:pPr>
          </w:p>
        </w:tc>
        <w:tc>
          <w:tcPr>
            <w:tcW w:w="945" w:type="dxa"/>
            <w:vAlign w:val="center"/>
          </w:tcPr>
          <w:p w14:paraId="7B4E4663">
            <w:pPr>
              <w:spacing w:line="0" w:lineRule="atLeast"/>
              <w:jc w:val="center"/>
              <w:rPr>
                <w:rFonts w:ascii="仿宋" w:hAnsi="仿宋" w:eastAsia="仿宋" w:cs="仿宋"/>
                <w:sz w:val="24"/>
              </w:rPr>
            </w:pPr>
          </w:p>
        </w:tc>
        <w:tc>
          <w:tcPr>
            <w:tcW w:w="1200" w:type="dxa"/>
            <w:vAlign w:val="center"/>
          </w:tcPr>
          <w:p w14:paraId="3100F4A6">
            <w:pPr>
              <w:spacing w:line="0" w:lineRule="atLeast"/>
              <w:jc w:val="center"/>
              <w:rPr>
                <w:rFonts w:ascii="仿宋" w:hAnsi="仿宋" w:eastAsia="仿宋" w:cs="仿宋"/>
                <w:sz w:val="24"/>
              </w:rPr>
            </w:pPr>
          </w:p>
        </w:tc>
        <w:tc>
          <w:tcPr>
            <w:tcW w:w="1789" w:type="dxa"/>
            <w:vAlign w:val="center"/>
          </w:tcPr>
          <w:p w14:paraId="7E77AD17">
            <w:pPr>
              <w:spacing w:line="0" w:lineRule="atLeast"/>
              <w:jc w:val="center"/>
              <w:rPr>
                <w:rFonts w:ascii="仿宋" w:hAnsi="仿宋" w:eastAsia="仿宋" w:cs="仿宋"/>
                <w:sz w:val="24"/>
              </w:rPr>
            </w:pPr>
          </w:p>
        </w:tc>
      </w:tr>
      <w:tr w14:paraId="1FF9B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958" w:type="dxa"/>
            <w:vAlign w:val="center"/>
          </w:tcPr>
          <w:p w14:paraId="65DA907C">
            <w:pPr>
              <w:spacing w:line="0" w:lineRule="atLeast"/>
              <w:jc w:val="center"/>
              <w:rPr>
                <w:rFonts w:ascii="仿宋" w:hAnsi="仿宋" w:eastAsia="仿宋" w:cs="仿宋"/>
                <w:sz w:val="24"/>
              </w:rPr>
            </w:pPr>
          </w:p>
        </w:tc>
        <w:tc>
          <w:tcPr>
            <w:tcW w:w="2053" w:type="dxa"/>
            <w:vAlign w:val="center"/>
          </w:tcPr>
          <w:p w14:paraId="6D617066">
            <w:pPr>
              <w:spacing w:line="0" w:lineRule="atLeast"/>
              <w:jc w:val="center"/>
              <w:rPr>
                <w:rFonts w:ascii="仿宋" w:hAnsi="仿宋" w:eastAsia="仿宋" w:cs="仿宋"/>
                <w:sz w:val="24"/>
              </w:rPr>
            </w:pPr>
          </w:p>
        </w:tc>
        <w:tc>
          <w:tcPr>
            <w:tcW w:w="2325" w:type="dxa"/>
            <w:vAlign w:val="center"/>
          </w:tcPr>
          <w:p w14:paraId="7B6399B1">
            <w:pPr>
              <w:spacing w:line="0" w:lineRule="atLeast"/>
              <w:jc w:val="center"/>
              <w:rPr>
                <w:rFonts w:ascii="仿宋" w:hAnsi="仿宋" w:eastAsia="仿宋" w:cs="仿宋"/>
                <w:sz w:val="24"/>
              </w:rPr>
            </w:pPr>
          </w:p>
        </w:tc>
        <w:tc>
          <w:tcPr>
            <w:tcW w:w="945" w:type="dxa"/>
            <w:vAlign w:val="center"/>
          </w:tcPr>
          <w:p w14:paraId="40C42F41">
            <w:pPr>
              <w:spacing w:line="0" w:lineRule="atLeast"/>
              <w:jc w:val="center"/>
              <w:rPr>
                <w:rFonts w:ascii="仿宋" w:hAnsi="仿宋" w:eastAsia="仿宋" w:cs="仿宋"/>
                <w:sz w:val="24"/>
              </w:rPr>
            </w:pPr>
          </w:p>
        </w:tc>
        <w:tc>
          <w:tcPr>
            <w:tcW w:w="1200" w:type="dxa"/>
            <w:vAlign w:val="center"/>
          </w:tcPr>
          <w:p w14:paraId="794C7B02">
            <w:pPr>
              <w:spacing w:line="0" w:lineRule="atLeast"/>
              <w:jc w:val="center"/>
              <w:rPr>
                <w:rFonts w:ascii="仿宋" w:hAnsi="仿宋" w:eastAsia="仿宋" w:cs="仿宋"/>
                <w:sz w:val="24"/>
              </w:rPr>
            </w:pPr>
          </w:p>
        </w:tc>
        <w:tc>
          <w:tcPr>
            <w:tcW w:w="1789" w:type="dxa"/>
            <w:vAlign w:val="center"/>
          </w:tcPr>
          <w:p w14:paraId="4917F19E">
            <w:pPr>
              <w:spacing w:line="0" w:lineRule="atLeast"/>
              <w:jc w:val="center"/>
              <w:rPr>
                <w:rFonts w:ascii="仿宋" w:hAnsi="仿宋" w:eastAsia="仿宋" w:cs="仿宋"/>
                <w:sz w:val="24"/>
              </w:rPr>
            </w:pPr>
          </w:p>
        </w:tc>
      </w:tr>
      <w:tr w14:paraId="2C5E9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9270" w:type="dxa"/>
            <w:gridSpan w:val="6"/>
            <w:vAlign w:val="center"/>
          </w:tcPr>
          <w:p w14:paraId="35CCCA6F">
            <w:pPr>
              <w:spacing w:line="0" w:lineRule="atLeast"/>
              <w:jc w:val="left"/>
              <w:rPr>
                <w:rFonts w:ascii="仿宋" w:hAnsi="仿宋" w:eastAsia="仿宋" w:cs="仿宋"/>
                <w:sz w:val="24"/>
              </w:rPr>
            </w:pPr>
            <w:r>
              <w:rPr>
                <w:rFonts w:hint="eastAsia" w:ascii="仿宋" w:hAnsi="仿宋" w:eastAsia="仿宋" w:cs="仿宋"/>
                <w:sz w:val="24"/>
              </w:rPr>
              <w:t>投标报价总计：</w:t>
            </w:r>
          </w:p>
        </w:tc>
      </w:tr>
    </w:tbl>
    <w:p w14:paraId="2FEA3071">
      <w:pPr>
        <w:spacing w:line="360" w:lineRule="auto"/>
        <w:ind w:firstLine="480" w:firstLineChars="200"/>
        <w:rPr>
          <w:rFonts w:hint="eastAsia" w:ascii="仿宋" w:hAnsi="仿宋" w:eastAsia="仿宋" w:cs="仿宋"/>
          <w:color w:val="000000"/>
          <w:sz w:val="24"/>
          <w:szCs w:val="24"/>
        </w:rPr>
      </w:pPr>
    </w:p>
    <w:p w14:paraId="253521A8">
      <w:pPr>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 xml:space="preserve">供应商名称（加盖公章）： </w:t>
      </w:r>
    </w:p>
    <w:p w14:paraId="690252C2">
      <w:pPr>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供应商授权代表签字：</w:t>
      </w:r>
    </w:p>
    <w:p w14:paraId="196720CD">
      <w:pPr>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日期：  年   月   日</w:t>
      </w:r>
    </w:p>
    <w:p w14:paraId="39E89FA8">
      <w:pPr>
        <w:spacing w:line="360" w:lineRule="auto"/>
        <w:rPr>
          <w:rFonts w:ascii="仿宋" w:hAnsi="仿宋" w:eastAsia="仿宋" w:cs="仿宋"/>
          <w:b/>
          <w:bCs/>
          <w:szCs w:val="21"/>
        </w:rPr>
      </w:pPr>
      <w:r>
        <w:rPr>
          <w:rFonts w:hint="eastAsia" w:ascii="仿宋" w:hAnsi="仿宋" w:eastAsia="仿宋" w:cs="仿宋"/>
          <w:b/>
          <w:bCs/>
          <w:szCs w:val="21"/>
          <w:lang w:val="zh-CN"/>
        </w:rPr>
        <w:t>注：</w:t>
      </w:r>
    </w:p>
    <w:p w14:paraId="6418A86F">
      <w:pPr>
        <w:spacing w:line="0" w:lineRule="atLeast"/>
        <w:ind w:left="210" w:leftChars="100"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1、此表为表样，行数可自行添加，但表式不变；</w:t>
      </w:r>
    </w:p>
    <w:p w14:paraId="2BFC91E7">
      <w:pPr>
        <w:spacing w:line="0" w:lineRule="atLeast"/>
        <w:ind w:left="210" w:leftChars="100"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2、后续服务及其他所有费用由供应商自行计算填列；</w:t>
      </w:r>
    </w:p>
    <w:p w14:paraId="215E7C54">
      <w:pPr>
        <w:spacing w:line="0" w:lineRule="atLeast"/>
        <w:ind w:left="210" w:leftChars="100"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3、上表中的“报价总计”应当等于“报价一览表”中“谈判报价”。</w:t>
      </w:r>
    </w:p>
    <w:p w14:paraId="25D52A7E">
      <w:pPr>
        <w:spacing w:line="360" w:lineRule="auto"/>
        <w:rPr>
          <w:rFonts w:ascii="仿宋" w:hAnsi="仿宋" w:eastAsia="仿宋" w:cs="仿宋"/>
          <w:sz w:val="24"/>
        </w:rPr>
      </w:pPr>
      <w:r>
        <w:rPr>
          <w:rFonts w:hint="eastAsia" w:ascii="仿宋" w:hAnsi="仿宋" w:eastAsia="仿宋" w:cs="仿宋"/>
          <w:sz w:val="24"/>
        </w:rPr>
        <w:br w:type="page"/>
      </w:r>
    </w:p>
    <w:p w14:paraId="06E2B342">
      <w:pPr>
        <w:pStyle w:val="24"/>
        <w:spacing w:line="360" w:lineRule="auto"/>
        <w:ind w:left="0" w:firstLine="0"/>
        <w:jc w:val="center"/>
        <w:rPr>
          <w:rFonts w:ascii="仿宋" w:hAnsi="仿宋" w:eastAsia="仿宋" w:cs="仿宋"/>
          <w:sz w:val="32"/>
          <w:szCs w:val="36"/>
        </w:rPr>
      </w:pPr>
      <w:bookmarkStart w:id="172" w:name="_Toc2415"/>
      <w:bookmarkStart w:id="173" w:name="_Toc22407"/>
      <w:r>
        <w:rPr>
          <w:rFonts w:ascii="仿宋" w:hAnsi="仿宋" w:eastAsia="仿宋" w:cs="仿宋"/>
          <w:bCs w:val="0"/>
          <w:sz w:val="32"/>
          <w:szCs w:val="32"/>
        </w:rPr>
        <w:t>六、</w:t>
      </w:r>
      <w:r>
        <w:rPr>
          <w:rFonts w:ascii="仿宋" w:hAnsi="仿宋" w:eastAsia="仿宋" w:cs="仿宋"/>
          <w:sz w:val="32"/>
          <w:szCs w:val="36"/>
        </w:rPr>
        <w:t>商务</w:t>
      </w:r>
      <w:r>
        <w:rPr>
          <w:rFonts w:hint="eastAsia" w:ascii="仿宋" w:hAnsi="仿宋" w:eastAsia="仿宋" w:cs="仿宋"/>
          <w:sz w:val="32"/>
          <w:szCs w:val="36"/>
        </w:rPr>
        <w:t>要求响应</w:t>
      </w:r>
      <w:r>
        <w:rPr>
          <w:rFonts w:ascii="仿宋" w:hAnsi="仿宋" w:eastAsia="仿宋" w:cs="仿宋"/>
          <w:sz w:val="32"/>
          <w:szCs w:val="36"/>
        </w:rPr>
        <w:t>表</w:t>
      </w:r>
    </w:p>
    <w:p w14:paraId="48B96E2C">
      <w:pPr>
        <w:rPr>
          <w:rFonts w:ascii="仿宋" w:hAnsi="仿宋" w:eastAsia="仿宋" w:cs="仿宋"/>
          <w:b/>
          <w:szCs w:val="21"/>
        </w:rPr>
      </w:pPr>
    </w:p>
    <w:tbl>
      <w:tblPr>
        <w:tblStyle w:val="18"/>
        <w:tblW w:w="10237"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864"/>
        <w:gridCol w:w="1800"/>
        <w:gridCol w:w="2846"/>
        <w:gridCol w:w="2927"/>
        <w:gridCol w:w="1800"/>
      </w:tblGrid>
      <w:tr w14:paraId="6AAA1F2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3" w:hRule="atLeast"/>
          <w:jc w:val="center"/>
        </w:trPr>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14:paraId="53193402">
            <w:pPr>
              <w:widowControl/>
              <w:spacing w:line="360" w:lineRule="auto"/>
              <w:jc w:val="left"/>
              <w:textAlignment w:val="center"/>
              <w:rPr>
                <w:rFonts w:ascii="仿宋" w:hAnsi="仿宋" w:eastAsia="仿宋" w:cs="仿宋"/>
                <w:b w:val="0"/>
                <w:bCs/>
                <w:sz w:val="24"/>
                <w:szCs w:val="24"/>
              </w:rPr>
            </w:pPr>
            <w:r>
              <w:rPr>
                <w:rFonts w:ascii="仿宋" w:hAnsi="仿宋" w:eastAsia="仿宋" w:cs="仿宋"/>
                <w:b w:val="0"/>
                <w:bCs/>
                <w:sz w:val="24"/>
                <w:szCs w:val="24"/>
              </w:rPr>
              <w:t>序号</w:t>
            </w:r>
          </w:p>
        </w:tc>
        <w:tc>
          <w:tcPr>
            <w:tcW w:w="1800" w:type="dxa"/>
            <w:tcBorders>
              <w:top w:val="single" w:color="auto" w:sz="4" w:space="0"/>
              <w:left w:val="nil"/>
              <w:bottom w:val="single" w:color="auto" w:sz="4" w:space="0"/>
              <w:right w:val="single" w:color="auto" w:sz="4" w:space="0"/>
            </w:tcBorders>
            <w:shd w:val="clear" w:color="auto" w:fill="auto"/>
            <w:vAlign w:val="center"/>
          </w:tcPr>
          <w:p w14:paraId="2E82009A">
            <w:pPr>
              <w:widowControl/>
              <w:spacing w:line="360" w:lineRule="auto"/>
              <w:jc w:val="center"/>
              <w:textAlignment w:val="center"/>
              <w:rPr>
                <w:rFonts w:ascii="仿宋" w:hAnsi="仿宋" w:eastAsia="仿宋" w:cs="仿宋"/>
                <w:b w:val="0"/>
                <w:bCs/>
                <w:sz w:val="24"/>
                <w:szCs w:val="24"/>
              </w:rPr>
            </w:pPr>
            <w:r>
              <w:rPr>
                <w:rFonts w:ascii="仿宋" w:hAnsi="仿宋" w:eastAsia="仿宋" w:cs="仿宋"/>
                <w:b w:val="0"/>
                <w:bCs/>
                <w:sz w:val="24"/>
                <w:szCs w:val="24"/>
              </w:rPr>
              <w:t>商务要求条目</w:t>
            </w:r>
          </w:p>
        </w:tc>
        <w:tc>
          <w:tcPr>
            <w:tcW w:w="2846" w:type="dxa"/>
            <w:tcBorders>
              <w:top w:val="single" w:color="auto" w:sz="4" w:space="0"/>
              <w:left w:val="nil"/>
              <w:bottom w:val="single" w:color="auto" w:sz="4" w:space="0"/>
              <w:right w:val="single" w:color="auto" w:sz="4" w:space="0"/>
            </w:tcBorders>
            <w:shd w:val="clear" w:color="auto" w:fill="auto"/>
            <w:vAlign w:val="center"/>
          </w:tcPr>
          <w:p w14:paraId="504D5586">
            <w:pPr>
              <w:widowControl/>
              <w:jc w:val="center"/>
              <w:textAlignment w:val="center"/>
              <w:rPr>
                <w:rFonts w:ascii="仿宋" w:hAnsi="仿宋" w:eastAsia="仿宋" w:cs="仿宋"/>
                <w:b w:val="0"/>
                <w:bCs/>
                <w:sz w:val="24"/>
                <w:szCs w:val="24"/>
              </w:rPr>
            </w:pPr>
            <w:r>
              <w:rPr>
                <w:rFonts w:hint="eastAsia" w:ascii="仿宋" w:hAnsi="仿宋" w:eastAsia="仿宋" w:cs="仿宋"/>
                <w:b w:val="0"/>
                <w:bCs/>
                <w:sz w:val="24"/>
                <w:szCs w:val="24"/>
              </w:rPr>
              <w:t>谈判</w:t>
            </w:r>
            <w:r>
              <w:rPr>
                <w:rFonts w:ascii="仿宋" w:hAnsi="仿宋" w:eastAsia="仿宋" w:cs="仿宋"/>
                <w:b w:val="0"/>
                <w:bCs/>
                <w:sz w:val="24"/>
                <w:szCs w:val="24"/>
              </w:rPr>
              <w:t>文件中的商务要求</w:t>
            </w:r>
          </w:p>
        </w:tc>
        <w:tc>
          <w:tcPr>
            <w:tcW w:w="2927" w:type="dxa"/>
            <w:tcBorders>
              <w:top w:val="single" w:color="auto" w:sz="4" w:space="0"/>
              <w:left w:val="nil"/>
              <w:bottom w:val="single" w:color="auto" w:sz="4" w:space="0"/>
              <w:right w:val="single" w:color="auto" w:sz="4" w:space="0"/>
            </w:tcBorders>
            <w:shd w:val="clear" w:color="auto" w:fill="auto"/>
            <w:vAlign w:val="center"/>
          </w:tcPr>
          <w:p w14:paraId="7F67D67E">
            <w:pPr>
              <w:widowControl/>
              <w:jc w:val="center"/>
              <w:textAlignment w:val="center"/>
              <w:rPr>
                <w:rFonts w:ascii="仿宋" w:hAnsi="仿宋" w:eastAsia="仿宋" w:cs="仿宋"/>
                <w:b w:val="0"/>
                <w:bCs/>
                <w:sz w:val="24"/>
                <w:szCs w:val="24"/>
              </w:rPr>
            </w:pPr>
            <w:r>
              <w:rPr>
                <w:rFonts w:ascii="仿宋" w:hAnsi="仿宋" w:eastAsia="仿宋" w:cs="仿宋"/>
                <w:b w:val="0"/>
                <w:bCs/>
                <w:sz w:val="24"/>
                <w:szCs w:val="24"/>
              </w:rPr>
              <w:t>响应供应商的承诺或说明</w:t>
            </w:r>
          </w:p>
        </w:tc>
        <w:tc>
          <w:tcPr>
            <w:tcW w:w="1800" w:type="dxa"/>
            <w:tcBorders>
              <w:top w:val="single" w:color="auto" w:sz="4" w:space="0"/>
              <w:left w:val="nil"/>
              <w:bottom w:val="single" w:color="auto" w:sz="4" w:space="0"/>
              <w:right w:val="single" w:color="auto" w:sz="4" w:space="0"/>
            </w:tcBorders>
            <w:shd w:val="clear" w:color="auto" w:fill="auto"/>
            <w:vAlign w:val="center"/>
          </w:tcPr>
          <w:p w14:paraId="6F856AEA">
            <w:pPr>
              <w:widowControl/>
              <w:jc w:val="center"/>
              <w:textAlignment w:val="center"/>
              <w:rPr>
                <w:rFonts w:ascii="仿宋" w:hAnsi="仿宋" w:eastAsia="仿宋" w:cs="仿宋"/>
                <w:b w:val="0"/>
                <w:bCs/>
                <w:sz w:val="24"/>
                <w:szCs w:val="24"/>
              </w:rPr>
            </w:pPr>
            <w:r>
              <w:rPr>
                <w:rFonts w:ascii="仿宋" w:hAnsi="仿宋" w:eastAsia="仿宋" w:cs="仿宋"/>
                <w:b w:val="0"/>
                <w:bCs/>
                <w:sz w:val="24"/>
                <w:szCs w:val="24"/>
              </w:rPr>
              <w:t>偏离情况</w:t>
            </w:r>
          </w:p>
          <w:p w14:paraId="5C79EE9C">
            <w:pPr>
              <w:widowControl/>
              <w:jc w:val="center"/>
              <w:textAlignment w:val="center"/>
              <w:rPr>
                <w:rFonts w:ascii="仿宋" w:hAnsi="仿宋" w:eastAsia="仿宋" w:cs="仿宋"/>
                <w:b w:val="0"/>
                <w:bCs/>
                <w:sz w:val="24"/>
                <w:szCs w:val="24"/>
              </w:rPr>
            </w:pPr>
            <w:r>
              <w:rPr>
                <w:rFonts w:ascii="仿宋" w:hAnsi="仿宋" w:eastAsia="仿宋" w:cs="仿宋"/>
                <w:b w:val="0"/>
                <w:bCs/>
                <w:sz w:val="24"/>
                <w:szCs w:val="24"/>
              </w:rPr>
              <w:t>（＋/-/=）</w:t>
            </w:r>
          </w:p>
        </w:tc>
      </w:tr>
      <w:tr w14:paraId="5A53CB7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47" w:hRule="atLeast"/>
          <w:jc w:val="center"/>
        </w:trPr>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14:paraId="4943BBC0">
            <w:pPr>
              <w:widowControl/>
              <w:spacing w:line="360" w:lineRule="auto"/>
              <w:jc w:val="center"/>
              <w:textAlignment w:val="center"/>
              <w:rPr>
                <w:rFonts w:ascii="仿宋" w:hAnsi="仿宋" w:eastAsia="仿宋" w:cs="仿宋"/>
                <w:b w:val="0"/>
                <w:bCs/>
                <w:sz w:val="24"/>
                <w:szCs w:val="24"/>
              </w:rPr>
            </w:pPr>
            <w:r>
              <w:rPr>
                <w:rFonts w:ascii="仿宋" w:hAnsi="仿宋" w:eastAsia="仿宋" w:cs="仿宋"/>
                <w:b w:val="0"/>
                <w:bCs/>
                <w:sz w:val="24"/>
                <w:szCs w:val="24"/>
              </w:rPr>
              <w:t>1</w:t>
            </w:r>
          </w:p>
        </w:tc>
        <w:tc>
          <w:tcPr>
            <w:tcW w:w="1800" w:type="dxa"/>
            <w:tcBorders>
              <w:top w:val="single" w:color="auto" w:sz="4" w:space="0"/>
              <w:left w:val="nil"/>
              <w:bottom w:val="single" w:color="auto" w:sz="4" w:space="0"/>
              <w:right w:val="single" w:color="auto" w:sz="4" w:space="0"/>
            </w:tcBorders>
            <w:shd w:val="clear" w:color="auto" w:fill="auto"/>
            <w:vAlign w:val="center"/>
          </w:tcPr>
          <w:p w14:paraId="35234C47">
            <w:pPr>
              <w:widowControl/>
              <w:spacing w:line="360" w:lineRule="auto"/>
              <w:jc w:val="left"/>
              <w:textAlignment w:val="center"/>
              <w:rPr>
                <w:rFonts w:ascii="仿宋" w:hAnsi="仿宋" w:eastAsia="仿宋" w:cs="仿宋"/>
                <w:b w:val="0"/>
                <w:bCs/>
                <w:sz w:val="24"/>
                <w:szCs w:val="24"/>
              </w:rPr>
            </w:pPr>
          </w:p>
        </w:tc>
        <w:tc>
          <w:tcPr>
            <w:tcW w:w="2846" w:type="dxa"/>
            <w:tcBorders>
              <w:top w:val="single" w:color="auto" w:sz="4" w:space="0"/>
              <w:left w:val="nil"/>
              <w:bottom w:val="single" w:color="auto" w:sz="4" w:space="0"/>
              <w:right w:val="single" w:color="auto" w:sz="4" w:space="0"/>
            </w:tcBorders>
            <w:shd w:val="clear" w:color="auto" w:fill="auto"/>
            <w:vAlign w:val="center"/>
          </w:tcPr>
          <w:p w14:paraId="0EEF5CC2">
            <w:pPr>
              <w:widowControl/>
              <w:spacing w:line="360" w:lineRule="auto"/>
              <w:jc w:val="left"/>
              <w:textAlignment w:val="center"/>
              <w:rPr>
                <w:rFonts w:ascii="仿宋" w:hAnsi="仿宋" w:eastAsia="仿宋" w:cs="仿宋"/>
                <w:b w:val="0"/>
                <w:bCs/>
                <w:sz w:val="24"/>
                <w:szCs w:val="24"/>
              </w:rPr>
            </w:pPr>
          </w:p>
        </w:tc>
        <w:tc>
          <w:tcPr>
            <w:tcW w:w="2927" w:type="dxa"/>
            <w:tcBorders>
              <w:top w:val="single" w:color="auto" w:sz="4" w:space="0"/>
              <w:left w:val="nil"/>
              <w:bottom w:val="single" w:color="auto" w:sz="4" w:space="0"/>
              <w:right w:val="single" w:color="auto" w:sz="4" w:space="0"/>
            </w:tcBorders>
            <w:shd w:val="clear" w:color="auto" w:fill="auto"/>
            <w:vAlign w:val="center"/>
          </w:tcPr>
          <w:p w14:paraId="6F311B0D">
            <w:pPr>
              <w:widowControl/>
              <w:spacing w:line="360" w:lineRule="auto"/>
              <w:jc w:val="left"/>
              <w:textAlignment w:val="center"/>
              <w:rPr>
                <w:rFonts w:ascii="仿宋" w:hAnsi="仿宋" w:eastAsia="仿宋" w:cs="仿宋"/>
                <w:b w:val="0"/>
                <w:bCs/>
                <w:sz w:val="24"/>
                <w:szCs w:val="24"/>
              </w:rPr>
            </w:pPr>
          </w:p>
        </w:tc>
        <w:tc>
          <w:tcPr>
            <w:tcW w:w="1800" w:type="dxa"/>
            <w:tcBorders>
              <w:top w:val="single" w:color="auto" w:sz="4" w:space="0"/>
              <w:left w:val="nil"/>
              <w:bottom w:val="single" w:color="auto" w:sz="4" w:space="0"/>
              <w:right w:val="single" w:color="auto" w:sz="4" w:space="0"/>
            </w:tcBorders>
            <w:shd w:val="clear" w:color="auto" w:fill="auto"/>
            <w:vAlign w:val="center"/>
          </w:tcPr>
          <w:p w14:paraId="551AAC9E">
            <w:pPr>
              <w:widowControl/>
              <w:spacing w:line="360" w:lineRule="auto"/>
              <w:jc w:val="left"/>
              <w:textAlignment w:val="center"/>
              <w:rPr>
                <w:rFonts w:ascii="仿宋" w:hAnsi="仿宋" w:eastAsia="仿宋" w:cs="仿宋"/>
                <w:b w:val="0"/>
                <w:bCs/>
                <w:sz w:val="24"/>
                <w:szCs w:val="24"/>
              </w:rPr>
            </w:pPr>
          </w:p>
        </w:tc>
      </w:tr>
      <w:tr w14:paraId="660D11C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2" w:hRule="atLeast"/>
          <w:jc w:val="center"/>
        </w:trPr>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14:paraId="379765CE">
            <w:pPr>
              <w:widowControl/>
              <w:spacing w:line="360" w:lineRule="auto"/>
              <w:jc w:val="center"/>
              <w:textAlignment w:val="center"/>
              <w:rPr>
                <w:rFonts w:ascii="仿宋" w:hAnsi="仿宋" w:eastAsia="仿宋" w:cs="仿宋"/>
                <w:b w:val="0"/>
                <w:bCs/>
                <w:sz w:val="24"/>
                <w:szCs w:val="24"/>
              </w:rPr>
            </w:pPr>
            <w:r>
              <w:rPr>
                <w:rFonts w:ascii="仿宋" w:hAnsi="仿宋" w:eastAsia="仿宋" w:cs="仿宋"/>
                <w:b w:val="0"/>
                <w:bCs/>
                <w:sz w:val="24"/>
                <w:szCs w:val="24"/>
              </w:rPr>
              <w:t>2</w:t>
            </w:r>
          </w:p>
        </w:tc>
        <w:tc>
          <w:tcPr>
            <w:tcW w:w="1800" w:type="dxa"/>
            <w:tcBorders>
              <w:top w:val="single" w:color="auto" w:sz="4" w:space="0"/>
              <w:left w:val="nil"/>
              <w:bottom w:val="single" w:color="auto" w:sz="4" w:space="0"/>
              <w:right w:val="single" w:color="auto" w:sz="4" w:space="0"/>
            </w:tcBorders>
            <w:shd w:val="clear" w:color="auto" w:fill="auto"/>
            <w:vAlign w:val="center"/>
          </w:tcPr>
          <w:p w14:paraId="392FCB79">
            <w:pPr>
              <w:widowControl/>
              <w:spacing w:line="360" w:lineRule="auto"/>
              <w:jc w:val="left"/>
              <w:textAlignment w:val="center"/>
              <w:rPr>
                <w:rFonts w:ascii="仿宋" w:hAnsi="仿宋" w:eastAsia="仿宋" w:cs="仿宋"/>
                <w:b w:val="0"/>
                <w:bCs/>
                <w:sz w:val="24"/>
                <w:szCs w:val="24"/>
              </w:rPr>
            </w:pPr>
          </w:p>
        </w:tc>
        <w:tc>
          <w:tcPr>
            <w:tcW w:w="2846" w:type="dxa"/>
            <w:tcBorders>
              <w:top w:val="single" w:color="auto" w:sz="4" w:space="0"/>
              <w:left w:val="nil"/>
              <w:bottom w:val="single" w:color="auto" w:sz="4" w:space="0"/>
              <w:right w:val="single" w:color="auto" w:sz="4" w:space="0"/>
            </w:tcBorders>
            <w:shd w:val="clear" w:color="auto" w:fill="auto"/>
            <w:vAlign w:val="center"/>
          </w:tcPr>
          <w:p w14:paraId="40B3712B">
            <w:pPr>
              <w:widowControl/>
              <w:spacing w:line="360" w:lineRule="auto"/>
              <w:jc w:val="left"/>
              <w:textAlignment w:val="center"/>
              <w:rPr>
                <w:rFonts w:ascii="仿宋" w:hAnsi="仿宋" w:eastAsia="仿宋" w:cs="仿宋"/>
                <w:b w:val="0"/>
                <w:bCs/>
                <w:sz w:val="24"/>
                <w:szCs w:val="24"/>
              </w:rPr>
            </w:pPr>
          </w:p>
        </w:tc>
        <w:tc>
          <w:tcPr>
            <w:tcW w:w="2927" w:type="dxa"/>
            <w:tcBorders>
              <w:top w:val="single" w:color="auto" w:sz="4" w:space="0"/>
              <w:left w:val="nil"/>
              <w:bottom w:val="single" w:color="auto" w:sz="4" w:space="0"/>
              <w:right w:val="single" w:color="auto" w:sz="4" w:space="0"/>
            </w:tcBorders>
            <w:shd w:val="clear" w:color="auto" w:fill="auto"/>
            <w:vAlign w:val="center"/>
          </w:tcPr>
          <w:p w14:paraId="33BFBAD1">
            <w:pPr>
              <w:widowControl/>
              <w:spacing w:line="360" w:lineRule="auto"/>
              <w:jc w:val="left"/>
              <w:textAlignment w:val="center"/>
              <w:rPr>
                <w:rFonts w:ascii="仿宋" w:hAnsi="仿宋" w:eastAsia="仿宋" w:cs="仿宋"/>
                <w:b w:val="0"/>
                <w:bCs/>
                <w:sz w:val="24"/>
                <w:szCs w:val="24"/>
              </w:rPr>
            </w:pPr>
          </w:p>
        </w:tc>
        <w:tc>
          <w:tcPr>
            <w:tcW w:w="1800" w:type="dxa"/>
            <w:tcBorders>
              <w:top w:val="single" w:color="auto" w:sz="4" w:space="0"/>
              <w:left w:val="nil"/>
              <w:bottom w:val="single" w:color="auto" w:sz="4" w:space="0"/>
              <w:right w:val="single" w:color="auto" w:sz="4" w:space="0"/>
            </w:tcBorders>
            <w:shd w:val="clear" w:color="auto" w:fill="auto"/>
            <w:vAlign w:val="center"/>
          </w:tcPr>
          <w:p w14:paraId="6E858DF0">
            <w:pPr>
              <w:widowControl/>
              <w:spacing w:line="360" w:lineRule="auto"/>
              <w:jc w:val="left"/>
              <w:textAlignment w:val="center"/>
              <w:rPr>
                <w:rFonts w:ascii="仿宋" w:hAnsi="仿宋" w:eastAsia="仿宋" w:cs="仿宋"/>
                <w:b w:val="0"/>
                <w:bCs/>
                <w:sz w:val="24"/>
                <w:szCs w:val="24"/>
              </w:rPr>
            </w:pPr>
          </w:p>
        </w:tc>
      </w:tr>
      <w:tr w14:paraId="2AD3062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41" w:hRule="atLeast"/>
          <w:jc w:val="center"/>
        </w:trPr>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14:paraId="0D29E2FC">
            <w:pPr>
              <w:widowControl/>
              <w:spacing w:line="360" w:lineRule="auto"/>
              <w:jc w:val="center"/>
              <w:textAlignment w:val="center"/>
              <w:rPr>
                <w:rFonts w:ascii="仿宋" w:hAnsi="仿宋" w:eastAsia="仿宋" w:cs="仿宋"/>
                <w:b w:val="0"/>
                <w:bCs/>
                <w:sz w:val="24"/>
                <w:szCs w:val="24"/>
              </w:rPr>
            </w:pPr>
            <w:r>
              <w:rPr>
                <w:rFonts w:ascii="仿宋" w:hAnsi="仿宋" w:eastAsia="仿宋" w:cs="仿宋"/>
                <w:b w:val="0"/>
                <w:bCs/>
                <w:sz w:val="24"/>
                <w:szCs w:val="24"/>
              </w:rPr>
              <w:t>3</w:t>
            </w:r>
          </w:p>
        </w:tc>
        <w:tc>
          <w:tcPr>
            <w:tcW w:w="1800" w:type="dxa"/>
            <w:tcBorders>
              <w:top w:val="single" w:color="auto" w:sz="4" w:space="0"/>
              <w:left w:val="nil"/>
              <w:bottom w:val="single" w:color="auto" w:sz="4" w:space="0"/>
              <w:right w:val="single" w:color="auto" w:sz="4" w:space="0"/>
            </w:tcBorders>
            <w:shd w:val="clear" w:color="auto" w:fill="auto"/>
            <w:vAlign w:val="center"/>
          </w:tcPr>
          <w:p w14:paraId="564B52BD">
            <w:pPr>
              <w:widowControl/>
              <w:spacing w:line="360" w:lineRule="auto"/>
              <w:jc w:val="left"/>
              <w:textAlignment w:val="center"/>
              <w:rPr>
                <w:rFonts w:ascii="仿宋" w:hAnsi="仿宋" w:eastAsia="仿宋" w:cs="仿宋"/>
                <w:b w:val="0"/>
                <w:bCs/>
                <w:sz w:val="24"/>
                <w:szCs w:val="24"/>
              </w:rPr>
            </w:pPr>
          </w:p>
        </w:tc>
        <w:tc>
          <w:tcPr>
            <w:tcW w:w="2846" w:type="dxa"/>
            <w:tcBorders>
              <w:top w:val="single" w:color="auto" w:sz="4" w:space="0"/>
              <w:left w:val="nil"/>
              <w:bottom w:val="single" w:color="auto" w:sz="4" w:space="0"/>
              <w:right w:val="single" w:color="auto" w:sz="4" w:space="0"/>
            </w:tcBorders>
            <w:shd w:val="clear" w:color="auto" w:fill="auto"/>
            <w:vAlign w:val="center"/>
          </w:tcPr>
          <w:p w14:paraId="419B935C">
            <w:pPr>
              <w:widowControl/>
              <w:spacing w:line="360" w:lineRule="auto"/>
              <w:jc w:val="left"/>
              <w:textAlignment w:val="center"/>
              <w:rPr>
                <w:rFonts w:ascii="仿宋" w:hAnsi="仿宋" w:eastAsia="仿宋" w:cs="仿宋"/>
                <w:b w:val="0"/>
                <w:bCs/>
                <w:sz w:val="24"/>
                <w:szCs w:val="24"/>
              </w:rPr>
            </w:pPr>
          </w:p>
        </w:tc>
        <w:tc>
          <w:tcPr>
            <w:tcW w:w="2927" w:type="dxa"/>
            <w:tcBorders>
              <w:top w:val="single" w:color="auto" w:sz="4" w:space="0"/>
              <w:left w:val="nil"/>
              <w:bottom w:val="single" w:color="auto" w:sz="4" w:space="0"/>
              <w:right w:val="single" w:color="auto" w:sz="4" w:space="0"/>
            </w:tcBorders>
            <w:shd w:val="clear" w:color="auto" w:fill="auto"/>
            <w:vAlign w:val="center"/>
          </w:tcPr>
          <w:p w14:paraId="1B7C4A7C">
            <w:pPr>
              <w:widowControl/>
              <w:spacing w:line="360" w:lineRule="auto"/>
              <w:jc w:val="left"/>
              <w:textAlignment w:val="center"/>
              <w:rPr>
                <w:rFonts w:ascii="仿宋" w:hAnsi="仿宋" w:eastAsia="仿宋" w:cs="仿宋"/>
                <w:b w:val="0"/>
                <w:bCs/>
                <w:sz w:val="24"/>
                <w:szCs w:val="24"/>
              </w:rPr>
            </w:pPr>
          </w:p>
        </w:tc>
        <w:tc>
          <w:tcPr>
            <w:tcW w:w="1800" w:type="dxa"/>
            <w:tcBorders>
              <w:top w:val="single" w:color="auto" w:sz="4" w:space="0"/>
              <w:left w:val="nil"/>
              <w:bottom w:val="single" w:color="auto" w:sz="4" w:space="0"/>
              <w:right w:val="single" w:color="auto" w:sz="4" w:space="0"/>
            </w:tcBorders>
            <w:shd w:val="clear" w:color="auto" w:fill="auto"/>
            <w:vAlign w:val="center"/>
          </w:tcPr>
          <w:p w14:paraId="1FF12E49">
            <w:pPr>
              <w:widowControl/>
              <w:spacing w:line="360" w:lineRule="auto"/>
              <w:jc w:val="left"/>
              <w:textAlignment w:val="center"/>
              <w:rPr>
                <w:rFonts w:ascii="仿宋" w:hAnsi="仿宋" w:eastAsia="仿宋" w:cs="仿宋"/>
                <w:b w:val="0"/>
                <w:bCs/>
                <w:sz w:val="24"/>
                <w:szCs w:val="24"/>
              </w:rPr>
            </w:pPr>
          </w:p>
        </w:tc>
      </w:tr>
      <w:tr w14:paraId="48E02E0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41" w:hRule="atLeast"/>
          <w:jc w:val="center"/>
        </w:trPr>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14:paraId="14F51D95">
            <w:pPr>
              <w:widowControl/>
              <w:spacing w:line="360" w:lineRule="auto"/>
              <w:jc w:val="center"/>
              <w:textAlignment w:val="center"/>
              <w:rPr>
                <w:rFonts w:ascii="仿宋" w:hAnsi="仿宋" w:eastAsia="仿宋" w:cs="仿宋"/>
                <w:b w:val="0"/>
                <w:bCs/>
                <w:sz w:val="24"/>
                <w:szCs w:val="24"/>
              </w:rPr>
            </w:pPr>
            <w:r>
              <w:rPr>
                <w:rFonts w:ascii="仿宋" w:hAnsi="仿宋" w:eastAsia="仿宋" w:cs="仿宋"/>
                <w:b w:val="0"/>
                <w:bCs/>
                <w:sz w:val="24"/>
                <w:szCs w:val="24"/>
              </w:rPr>
              <w:t>4</w:t>
            </w:r>
          </w:p>
        </w:tc>
        <w:tc>
          <w:tcPr>
            <w:tcW w:w="1800" w:type="dxa"/>
            <w:tcBorders>
              <w:top w:val="single" w:color="auto" w:sz="4" w:space="0"/>
              <w:left w:val="nil"/>
              <w:bottom w:val="single" w:color="auto" w:sz="4" w:space="0"/>
              <w:right w:val="single" w:color="auto" w:sz="4" w:space="0"/>
            </w:tcBorders>
            <w:shd w:val="clear" w:color="auto" w:fill="auto"/>
            <w:vAlign w:val="center"/>
          </w:tcPr>
          <w:p w14:paraId="508F5537">
            <w:pPr>
              <w:widowControl/>
              <w:spacing w:line="360" w:lineRule="auto"/>
              <w:jc w:val="left"/>
              <w:textAlignment w:val="center"/>
              <w:rPr>
                <w:rFonts w:ascii="仿宋" w:hAnsi="仿宋" w:eastAsia="仿宋" w:cs="仿宋"/>
                <w:b w:val="0"/>
                <w:bCs/>
                <w:sz w:val="24"/>
                <w:szCs w:val="24"/>
              </w:rPr>
            </w:pPr>
          </w:p>
        </w:tc>
        <w:tc>
          <w:tcPr>
            <w:tcW w:w="2846" w:type="dxa"/>
            <w:tcBorders>
              <w:top w:val="single" w:color="auto" w:sz="4" w:space="0"/>
              <w:left w:val="nil"/>
              <w:bottom w:val="single" w:color="auto" w:sz="4" w:space="0"/>
              <w:right w:val="single" w:color="auto" w:sz="4" w:space="0"/>
            </w:tcBorders>
            <w:shd w:val="clear" w:color="auto" w:fill="auto"/>
            <w:vAlign w:val="center"/>
          </w:tcPr>
          <w:p w14:paraId="6396D920">
            <w:pPr>
              <w:widowControl/>
              <w:spacing w:line="360" w:lineRule="auto"/>
              <w:jc w:val="left"/>
              <w:textAlignment w:val="center"/>
              <w:rPr>
                <w:rFonts w:ascii="仿宋" w:hAnsi="仿宋" w:eastAsia="仿宋" w:cs="仿宋"/>
                <w:b w:val="0"/>
                <w:bCs/>
                <w:sz w:val="24"/>
                <w:szCs w:val="24"/>
              </w:rPr>
            </w:pPr>
          </w:p>
        </w:tc>
        <w:tc>
          <w:tcPr>
            <w:tcW w:w="2927" w:type="dxa"/>
            <w:tcBorders>
              <w:top w:val="single" w:color="auto" w:sz="4" w:space="0"/>
              <w:left w:val="nil"/>
              <w:bottom w:val="single" w:color="auto" w:sz="4" w:space="0"/>
              <w:right w:val="single" w:color="auto" w:sz="4" w:space="0"/>
            </w:tcBorders>
            <w:shd w:val="clear" w:color="auto" w:fill="auto"/>
            <w:vAlign w:val="center"/>
          </w:tcPr>
          <w:p w14:paraId="060FD0F6">
            <w:pPr>
              <w:widowControl/>
              <w:spacing w:line="360" w:lineRule="auto"/>
              <w:jc w:val="left"/>
              <w:textAlignment w:val="center"/>
              <w:rPr>
                <w:rFonts w:ascii="仿宋" w:hAnsi="仿宋" w:eastAsia="仿宋" w:cs="仿宋"/>
                <w:b w:val="0"/>
                <w:bCs/>
                <w:sz w:val="24"/>
                <w:szCs w:val="24"/>
              </w:rPr>
            </w:pPr>
          </w:p>
        </w:tc>
        <w:tc>
          <w:tcPr>
            <w:tcW w:w="1800" w:type="dxa"/>
            <w:tcBorders>
              <w:top w:val="single" w:color="auto" w:sz="4" w:space="0"/>
              <w:left w:val="nil"/>
              <w:bottom w:val="single" w:color="auto" w:sz="4" w:space="0"/>
              <w:right w:val="single" w:color="auto" w:sz="4" w:space="0"/>
            </w:tcBorders>
            <w:shd w:val="clear" w:color="auto" w:fill="auto"/>
            <w:vAlign w:val="center"/>
          </w:tcPr>
          <w:p w14:paraId="2F582587">
            <w:pPr>
              <w:widowControl/>
              <w:spacing w:line="360" w:lineRule="auto"/>
              <w:jc w:val="left"/>
              <w:textAlignment w:val="center"/>
              <w:rPr>
                <w:rFonts w:ascii="仿宋" w:hAnsi="仿宋" w:eastAsia="仿宋" w:cs="仿宋"/>
                <w:b w:val="0"/>
                <w:bCs/>
                <w:sz w:val="24"/>
                <w:szCs w:val="24"/>
              </w:rPr>
            </w:pPr>
          </w:p>
        </w:tc>
      </w:tr>
      <w:tr w14:paraId="7E91BBF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76" w:hRule="atLeast"/>
          <w:jc w:val="center"/>
        </w:trPr>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14:paraId="26F99455">
            <w:pPr>
              <w:widowControl/>
              <w:spacing w:line="360" w:lineRule="auto"/>
              <w:jc w:val="center"/>
              <w:textAlignment w:val="center"/>
              <w:rPr>
                <w:rFonts w:ascii="仿宋" w:hAnsi="仿宋" w:eastAsia="仿宋" w:cs="仿宋"/>
                <w:b w:val="0"/>
                <w:bCs/>
                <w:sz w:val="24"/>
                <w:szCs w:val="24"/>
              </w:rPr>
            </w:pPr>
            <w:r>
              <w:rPr>
                <w:rFonts w:ascii="仿宋" w:hAnsi="仿宋" w:eastAsia="仿宋" w:cs="仿宋"/>
                <w:b w:val="0"/>
                <w:bCs/>
                <w:sz w:val="24"/>
                <w:szCs w:val="24"/>
              </w:rPr>
              <w:t>5</w:t>
            </w:r>
          </w:p>
        </w:tc>
        <w:tc>
          <w:tcPr>
            <w:tcW w:w="1800" w:type="dxa"/>
            <w:tcBorders>
              <w:top w:val="single" w:color="auto" w:sz="4" w:space="0"/>
              <w:left w:val="nil"/>
              <w:bottom w:val="single" w:color="auto" w:sz="4" w:space="0"/>
              <w:right w:val="single" w:color="auto" w:sz="4" w:space="0"/>
            </w:tcBorders>
            <w:shd w:val="clear" w:color="auto" w:fill="auto"/>
            <w:vAlign w:val="center"/>
          </w:tcPr>
          <w:p w14:paraId="6983DDEE">
            <w:pPr>
              <w:widowControl/>
              <w:spacing w:line="360" w:lineRule="auto"/>
              <w:jc w:val="left"/>
              <w:textAlignment w:val="center"/>
              <w:rPr>
                <w:rFonts w:ascii="仿宋" w:hAnsi="仿宋" w:eastAsia="仿宋" w:cs="仿宋"/>
                <w:b w:val="0"/>
                <w:bCs/>
                <w:sz w:val="24"/>
                <w:szCs w:val="24"/>
              </w:rPr>
            </w:pPr>
          </w:p>
        </w:tc>
        <w:tc>
          <w:tcPr>
            <w:tcW w:w="2846" w:type="dxa"/>
            <w:tcBorders>
              <w:top w:val="single" w:color="auto" w:sz="4" w:space="0"/>
              <w:left w:val="nil"/>
              <w:bottom w:val="single" w:color="auto" w:sz="4" w:space="0"/>
              <w:right w:val="single" w:color="auto" w:sz="4" w:space="0"/>
            </w:tcBorders>
            <w:shd w:val="clear" w:color="auto" w:fill="auto"/>
            <w:vAlign w:val="center"/>
          </w:tcPr>
          <w:p w14:paraId="0EFA822F">
            <w:pPr>
              <w:widowControl/>
              <w:spacing w:line="360" w:lineRule="auto"/>
              <w:jc w:val="left"/>
              <w:textAlignment w:val="center"/>
              <w:rPr>
                <w:rFonts w:ascii="仿宋" w:hAnsi="仿宋" w:eastAsia="仿宋" w:cs="仿宋"/>
                <w:b w:val="0"/>
                <w:bCs/>
                <w:sz w:val="24"/>
                <w:szCs w:val="24"/>
              </w:rPr>
            </w:pPr>
          </w:p>
        </w:tc>
        <w:tc>
          <w:tcPr>
            <w:tcW w:w="2927" w:type="dxa"/>
            <w:tcBorders>
              <w:top w:val="single" w:color="auto" w:sz="4" w:space="0"/>
              <w:left w:val="nil"/>
              <w:bottom w:val="single" w:color="auto" w:sz="4" w:space="0"/>
              <w:right w:val="single" w:color="auto" w:sz="4" w:space="0"/>
            </w:tcBorders>
            <w:shd w:val="clear" w:color="auto" w:fill="auto"/>
            <w:vAlign w:val="center"/>
          </w:tcPr>
          <w:p w14:paraId="42360C8E">
            <w:pPr>
              <w:widowControl/>
              <w:spacing w:line="360" w:lineRule="auto"/>
              <w:jc w:val="left"/>
              <w:textAlignment w:val="center"/>
              <w:rPr>
                <w:rFonts w:ascii="仿宋" w:hAnsi="仿宋" w:eastAsia="仿宋" w:cs="仿宋"/>
                <w:b w:val="0"/>
                <w:bCs/>
                <w:sz w:val="24"/>
                <w:szCs w:val="24"/>
              </w:rPr>
            </w:pPr>
          </w:p>
        </w:tc>
        <w:tc>
          <w:tcPr>
            <w:tcW w:w="1800" w:type="dxa"/>
            <w:tcBorders>
              <w:top w:val="single" w:color="auto" w:sz="4" w:space="0"/>
              <w:left w:val="nil"/>
              <w:bottom w:val="single" w:color="auto" w:sz="4" w:space="0"/>
              <w:right w:val="single" w:color="auto" w:sz="4" w:space="0"/>
            </w:tcBorders>
            <w:shd w:val="clear" w:color="auto" w:fill="auto"/>
            <w:vAlign w:val="center"/>
          </w:tcPr>
          <w:p w14:paraId="749620DE">
            <w:pPr>
              <w:widowControl/>
              <w:spacing w:line="360" w:lineRule="auto"/>
              <w:jc w:val="left"/>
              <w:textAlignment w:val="center"/>
              <w:rPr>
                <w:rFonts w:ascii="仿宋" w:hAnsi="仿宋" w:eastAsia="仿宋" w:cs="仿宋"/>
                <w:b w:val="0"/>
                <w:bCs/>
                <w:sz w:val="24"/>
                <w:szCs w:val="24"/>
              </w:rPr>
            </w:pPr>
          </w:p>
        </w:tc>
      </w:tr>
      <w:tr w14:paraId="4C62C1C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01" w:hRule="atLeast"/>
          <w:jc w:val="center"/>
        </w:trPr>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14:paraId="522E747D">
            <w:pPr>
              <w:widowControl/>
              <w:spacing w:line="360" w:lineRule="auto"/>
              <w:jc w:val="center"/>
              <w:textAlignment w:val="center"/>
              <w:rPr>
                <w:rFonts w:ascii="仿宋" w:hAnsi="仿宋" w:eastAsia="仿宋" w:cs="仿宋"/>
                <w:b w:val="0"/>
                <w:bCs/>
                <w:sz w:val="24"/>
                <w:szCs w:val="24"/>
              </w:rPr>
            </w:pPr>
            <w:r>
              <w:rPr>
                <w:rFonts w:ascii="仿宋" w:hAnsi="仿宋" w:eastAsia="仿宋" w:cs="仿宋"/>
                <w:b w:val="0"/>
                <w:bCs/>
                <w:sz w:val="24"/>
                <w:szCs w:val="24"/>
              </w:rPr>
              <w:t>6</w:t>
            </w:r>
          </w:p>
        </w:tc>
        <w:tc>
          <w:tcPr>
            <w:tcW w:w="1800" w:type="dxa"/>
            <w:tcBorders>
              <w:top w:val="single" w:color="auto" w:sz="4" w:space="0"/>
              <w:left w:val="nil"/>
              <w:bottom w:val="single" w:color="auto" w:sz="4" w:space="0"/>
              <w:right w:val="single" w:color="auto" w:sz="4" w:space="0"/>
            </w:tcBorders>
            <w:shd w:val="clear" w:color="auto" w:fill="auto"/>
            <w:vAlign w:val="center"/>
          </w:tcPr>
          <w:p w14:paraId="3AC3C514">
            <w:pPr>
              <w:widowControl/>
              <w:spacing w:line="360" w:lineRule="auto"/>
              <w:jc w:val="left"/>
              <w:textAlignment w:val="center"/>
              <w:rPr>
                <w:rFonts w:ascii="仿宋" w:hAnsi="仿宋" w:eastAsia="仿宋" w:cs="仿宋"/>
                <w:b w:val="0"/>
                <w:bCs/>
                <w:sz w:val="24"/>
                <w:szCs w:val="24"/>
              </w:rPr>
            </w:pPr>
          </w:p>
        </w:tc>
        <w:tc>
          <w:tcPr>
            <w:tcW w:w="2846" w:type="dxa"/>
            <w:tcBorders>
              <w:top w:val="single" w:color="auto" w:sz="4" w:space="0"/>
              <w:left w:val="nil"/>
              <w:bottom w:val="single" w:color="auto" w:sz="4" w:space="0"/>
              <w:right w:val="single" w:color="auto" w:sz="4" w:space="0"/>
            </w:tcBorders>
            <w:shd w:val="clear" w:color="auto" w:fill="auto"/>
            <w:vAlign w:val="center"/>
          </w:tcPr>
          <w:p w14:paraId="18FD9BBE">
            <w:pPr>
              <w:widowControl/>
              <w:spacing w:line="360" w:lineRule="auto"/>
              <w:jc w:val="left"/>
              <w:textAlignment w:val="center"/>
              <w:rPr>
                <w:rFonts w:ascii="仿宋" w:hAnsi="仿宋" w:eastAsia="仿宋" w:cs="仿宋"/>
                <w:b w:val="0"/>
                <w:bCs/>
                <w:sz w:val="24"/>
                <w:szCs w:val="24"/>
              </w:rPr>
            </w:pPr>
          </w:p>
        </w:tc>
        <w:tc>
          <w:tcPr>
            <w:tcW w:w="2927" w:type="dxa"/>
            <w:tcBorders>
              <w:top w:val="single" w:color="auto" w:sz="4" w:space="0"/>
              <w:left w:val="nil"/>
              <w:bottom w:val="single" w:color="auto" w:sz="4" w:space="0"/>
              <w:right w:val="single" w:color="auto" w:sz="4" w:space="0"/>
            </w:tcBorders>
            <w:shd w:val="clear" w:color="auto" w:fill="auto"/>
            <w:vAlign w:val="center"/>
          </w:tcPr>
          <w:p w14:paraId="23861890">
            <w:pPr>
              <w:widowControl/>
              <w:spacing w:line="360" w:lineRule="auto"/>
              <w:jc w:val="left"/>
              <w:textAlignment w:val="center"/>
              <w:rPr>
                <w:rFonts w:ascii="仿宋" w:hAnsi="仿宋" w:eastAsia="仿宋" w:cs="仿宋"/>
                <w:b w:val="0"/>
                <w:bCs/>
                <w:sz w:val="24"/>
                <w:szCs w:val="24"/>
              </w:rPr>
            </w:pPr>
          </w:p>
        </w:tc>
        <w:tc>
          <w:tcPr>
            <w:tcW w:w="1800" w:type="dxa"/>
            <w:tcBorders>
              <w:top w:val="single" w:color="auto" w:sz="4" w:space="0"/>
              <w:left w:val="nil"/>
              <w:bottom w:val="single" w:color="auto" w:sz="4" w:space="0"/>
              <w:right w:val="single" w:color="auto" w:sz="4" w:space="0"/>
            </w:tcBorders>
            <w:shd w:val="clear" w:color="auto" w:fill="auto"/>
            <w:vAlign w:val="center"/>
          </w:tcPr>
          <w:p w14:paraId="323F3924">
            <w:pPr>
              <w:widowControl/>
              <w:spacing w:line="360" w:lineRule="auto"/>
              <w:jc w:val="left"/>
              <w:textAlignment w:val="center"/>
              <w:rPr>
                <w:rFonts w:ascii="仿宋" w:hAnsi="仿宋" w:eastAsia="仿宋" w:cs="仿宋"/>
                <w:b w:val="0"/>
                <w:bCs/>
                <w:sz w:val="24"/>
                <w:szCs w:val="24"/>
              </w:rPr>
            </w:pPr>
          </w:p>
        </w:tc>
      </w:tr>
      <w:tr w14:paraId="6666D7F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61" w:hRule="atLeast"/>
          <w:jc w:val="center"/>
        </w:trPr>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14:paraId="2151B176">
            <w:pPr>
              <w:widowControl/>
              <w:spacing w:line="360" w:lineRule="auto"/>
              <w:jc w:val="center"/>
              <w:textAlignment w:val="center"/>
              <w:rPr>
                <w:rFonts w:ascii="仿宋" w:hAnsi="仿宋" w:eastAsia="仿宋" w:cs="仿宋"/>
                <w:b w:val="0"/>
                <w:bCs/>
                <w:sz w:val="24"/>
                <w:szCs w:val="24"/>
              </w:rPr>
            </w:pPr>
          </w:p>
        </w:tc>
        <w:tc>
          <w:tcPr>
            <w:tcW w:w="1800" w:type="dxa"/>
            <w:tcBorders>
              <w:top w:val="single" w:color="auto" w:sz="4" w:space="0"/>
              <w:left w:val="nil"/>
              <w:bottom w:val="single" w:color="auto" w:sz="4" w:space="0"/>
              <w:right w:val="single" w:color="auto" w:sz="4" w:space="0"/>
            </w:tcBorders>
            <w:shd w:val="clear" w:color="auto" w:fill="auto"/>
            <w:vAlign w:val="center"/>
          </w:tcPr>
          <w:p w14:paraId="62CD784C">
            <w:pPr>
              <w:widowControl/>
              <w:spacing w:line="360" w:lineRule="auto"/>
              <w:jc w:val="left"/>
              <w:textAlignment w:val="center"/>
              <w:rPr>
                <w:rFonts w:ascii="仿宋" w:hAnsi="仿宋" w:eastAsia="仿宋" w:cs="仿宋"/>
                <w:b w:val="0"/>
                <w:bCs/>
                <w:sz w:val="24"/>
                <w:szCs w:val="24"/>
              </w:rPr>
            </w:pPr>
          </w:p>
        </w:tc>
        <w:tc>
          <w:tcPr>
            <w:tcW w:w="2846" w:type="dxa"/>
            <w:tcBorders>
              <w:top w:val="single" w:color="auto" w:sz="4" w:space="0"/>
              <w:left w:val="nil"/>
              <w:bottom w:val="single" w:color="auto" w:sz="4" w:space="0"/>
              <w:right w:val="single" w:color="auto" w:sz="4" w:space="0"/>
            </w:tcBorders>
            <w:shd w:val="clear" w:color="auto" w:fill="auto"/>
            <w:vAlign w:val="center"/>
          </w:tcPr>
          <w:p w14:paraId="51A3D86E">
            <w:pPr>
              <w:widowControl/>
              <w:spacing w:line="360" w:lineRule="auto"/>
              <w:jc w:val="left"/>
              <w:textAlignment w:val="center"/>
              <w:rPr>
                <w:rFonts w:ascii="仿宋" w:hAnsi="仿宋" w:eastAsia="仿宋" w:cs="仿宋"/>
                <w:b w:val="0"/>
                <w:bCs/>
                <w:sz w:val="24"/>
                <w:szCs w:val="24"/>
              </w:rPr>
            </w:pPr>
          </w:p>
        </w:tc>
        <w:tc>
          <w:tcPr>
            <w:tcW w:w="2927" w:type="dxa"/>
            <w:tcBorders>
              <w:top w:val="single" w:color="auto" w:sz="4" w:space="0"/>
              <w:left w:val="nil"/>
              <w:bottom w:val="single" w:color="auto" w:sz="4" w:space="0"/>
              <w:right w:val="single" w:color="auto" w:sz="4" w:space="0"/>
            </w:tcBorders>
            <w:shd w:val="clear" w:color="auto" w:fill="auto"/>
            <w:vAlign w:val="center"/>
          </w:tcPr>
          <w:p w14:paraId="2FC80F50">
            <w:pPr>
              <w:widowControl/>
              <w:spacing w:line="360" w:lineRule="auto"/>
              <w:jc w:val="left"/>
              <w:textAlignment w:val="center"/>
              <w:rPr>
                <w:rFonts w:ascii="仿宋" w:hAnsi="仿宋" w:eastAsia="仿宋" w:cs="仿宋"/>
                <w:b w:val="0"/>
                <w:bCs/>
                <w:sz w:val="24"/>
                <w:szCs w:val="24"/>
              </w:rPr>
            </w:pPr>
          </w:p>
        </w:tc>
        <w:tc>
          <w:tcPr>
            <w:tcW w:w="1800" w:type="dxa"/>
            <w:tcBorders>
              <w:top w:val="single" w:color="auto" w:sz="4" w:space="0"/>
              <w:left w:val="nil"/>
              <w:bottom w:val="single" w:color="auto" w:sz="4" w:space="0"/>
              <w:right w:val="single" w:color="auto" w:sz="4" w:space="0"/>
            </w:tcBorders>
            <w:shd w:val="clear" w:color="auto" w:fill="auto"/>
            <w:vAlign w:val="center"/>
          </w:tcPr>
          <w:p w14:paraId="6425B3E1">
            <w:pPr>
              <w:widowControl/>
              <w:spacing w:line="360" w:lineRule="auto"/>
              <w:jc w:val="left"/>
              <w:textAlignment w:val="center"/>
              <w:rPr>
                <w:rFonts w:ascii="仿宋" w:hAnsi="仿宋" w:eastAsia="仿宋" w:cs="仿宋"/>
                <w:b w:val="0"/>
                <w:bCs/>
                <w:sz w:val="24"/>
                <w:szCs w:val="24"/>
              </w:rPr>
            </w:pPr>
          </w:p>
        </w:tc>
      </w:tr>
      <w:tr w14:paraId="794321F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61" w:hRule="atLeast"/>
          <w:jc w:val="center"/>
        </w:trPr>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14:paraId="5D80CEA5">
            <w:pPr>
              <w:widowControl/>
              <w:spacing w:line="360" w:lineRule="auto"/>
              <w:jc w:val="left"/>
              <w:textAlignment w:val="center"/>
              <w:rPr>
                <w:rFonts w:ascii="仿宋" w:hAnsi="仿宋" w:eastAsia="仿宋" w:cs="仿宋"/>
                <w:b w:val="0"/>
                <w:bCs/>
                <w:sz w:val="24"/>
                <w:szCs w:val="24"/>
              </w:rPr>
            </w:pPr>
          </w:p>
        </w:tc>
        <w:tc>
          <w:tcPr>
            <w:tcW w:w="1800" w:type="dxa"/>
            <w:tcBorders>
              <w:top w:val="single" w:color="auto" w:sz="4" w:space="0"/>
              <w:left w:val="nil"/>
              <w:bottom w:val="single" w:color="auto" w:sz="4" w:space="0"/>
              <w:right w:val="single" w:color="auto" w:sz="4" w:space="0"/>
            </w:tcBorders>
            <w:shd w:val="clear" w:color="auto" w:fill="auto"/>
            <w:vAlign w:val="center"/>
          </w:tcPr>
          <w:p w14:paraId="40FE0D3F">
            <w:pPr>
              <w:widowControl/>
              <w:spacing w:line="360" w:lineRule="auto"/>
              <w:jc w:val="left"/>
              <w:textAlignment w:val="center"/>
              <w:rPr>
                <w:rFonts w:ascii="仿宋" w:hAnsi="仿宋" w:eastAsia="仿宋" w:cs="仿宋"/>
                <w:b w:val="0"/>
                <w:bCs/>
                <w:sz w:val="24"/>
                <w:szCs w:val="24"/>
              </w:rPr>
            </w:pPr>
            <w:r>
              <w:rPr>
                <w:rFonts w:ascii="仿宋" w:hAnsi="仿宋" w:eastAsia="仿宋" w:cs="仿宋"/>
                <w:b w:val="0"/>
                <w:bCs/>
                <w:sz w:val="24"/>
                <w:szCs w:val="24"/>
              </w:rPr>
              <w:t>（本表可根据</w:t>
            </w:r>
          </w:p>
          <w:p w14:paraId="6B50697C">
            <w:pPr>
              <w:widowControl/>
              <w:spacing w:line="360" w:lineRule="auto"/>
              <w:jc w:val="left"/>
              <w:textAlignment w:val="center"/>
              <w:rPr>
                <w:rFonts w:ascii="仿宋" w:hAnsi="仿宋" w:eastAsia="仿宋" w:cs="仿宋"/>
                <w:b w:val="0"/>
                <w:bCs/>
                <w:sz w:val="24"/>
                <w:szCs w:val="24"/>
              </w:rPr>
            </w:pPr>
            <w:r>
              <w:rPr>
                <w:rFonts w:ascii="仿宋" w:hAnsi="仿宋" w:eastAsia="仿宋" w:cs="仿宋"/>
                <w:b w:val="0"/>
                <w:bCs/>
                <w:sz w:val="24"/>
                <w:szCs w:val="24"/>
              </w:rPr>
              <w:t>需要自行添加行）</w:t>
            </w:r>
          </w:p>
        </w:tc>
        <w:tc>
          <w:tcPr>
            <w:tcW w:w="2846" w:type="dxa"/>
            <w:tcBorders>
              <w:top w:val="single" w:color="auto" w:sz="4" w:space="0"/>
              <w:left w:val="nil"/>
              <w:bottom w:val="single" w:color="auto" w:sz="4" w:space="0"/>
              <w:right w:val="single" w:color="auto" w:sz="4" w:space="0"/>
            </w:tcBorders>
            <w:shd w:val="clear" w:color="auto" w:fill="auto"/>
            <w:vAlign w:val="center"/>
          </w:tcPr>
          <w:p w14:paraId="69FD06EF">
            <w:pPr>
              <w:widowControl/>
              <w:spacing w:line="360" w:lineRule="auto"/>
              <w:jc w:val="left"/>
              <w:textAlignment w:val="center"/>
              <w:rPr>
                <w:rFonts w:ascii="仿宋" w:hAnsi="仿宋" w:eastAsia="仿宋" w:cs="仿宋"/>
                <w:b w:val="0"/>
                <w:bCs/>
                <w:sz w:val="24"/>
                <w:szCs w:val="24"/>
              </w:rPr>
            </w:pPr>
          </w:p>
        </w:tc>
        <w:tc>
          <w:tcPr>
            <w:tcW w:w="2927" w:type="dxa"/>
            <w:tcBorders>
              <w:top w:val="single" w:color="auto" w:sz="4" w:space="0"/>
              <w:left w:val="nil"/>
              <w:bottom w:val="single" w:color="auto" w:sz="4" w:space="0"/>
              <w:right w:val="single" w:color="auto" w:sz="4" w:space="0"/>
            </w:tcBorders>
            <w:shd w:val="clear" w:color="auto" w:fill="auto"/>
            <w:vAlign w:val="center"/>
          </w:tcPr>
          <w:p w14:paraId="152CAD0C">
            <w:pPr>
              <w:widowControl/>
              <w:spacing w:line="360" w:lineRule="auto"/>
              <w:jc w:val="left"/>
              <w:textAlignment w:val="center"/>
              <w:rPr>
                <w:rFonts w:ascii="仿宋" w:hAnsi="仿宋" w:eastAsia="仿宋" w:cs="仿宋"/>
                <w:b w:val="0"/>
                <w:bCs/>
                <w:sz w:val="24"/>
                <w:szCs w:val="24"/>
              </w:rPr>
            </w:pPr>
          </w:p>
        </w:tc>
        <w:tc>
          <w:tcPr>
            <w:tcW w:w="1800" w:type="dxa"/>
            <w:tcBorders>
              <w:top w:val="single" w:color="auto" w:sz="4" w:space="0"/>
              <w:left w:val="nil"/>
              <w:bottom w:val="single" w:color="auto" w:sz="4" w:space="0"/>
              <w:right w:val="single" w:color="auto" w:sz="4" w:space="0"/>
            </w:tcBorders>
            <w:shd w:val="clear" w:color="auto" w:fill="auto"/>
            <w:vAlign w:val="center"/>
          </w:tcPr>
          <w:p w14:paraId="1DA232AF">
            <w:pPr>
              <w:widowControl/>
              <w:spacing w:line="360" w:lineRule="auto"/>
              <w:jc w:val="left"/>
              <w:textAlignment w:val="center"/>
              <w:rPr>
                <w:rFonts w:ascii="仿宋" w:hAnsi="仿宋" w:eastAsia="仿宋" w:cs="仿宋"/>
                <w:b w:val="0"/>
                <w:bCs/>
                <w:sz w:val="24"/>
                <w:szCs w:val="24"/>
              </w:rPr>
            </w:pPr>
          </w:p>
        </w:tc>
      </w:tr>
    </w:tbl>
    <w:p w14:paraId="3FB60E0E">
      <w:pPr>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供应商名称（加盖公章）：</w:t>
      </w:r>
    </w:p>
    <w:p w14:paraId="34812CCF">
      <w:pPr>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法定代表人（授权代表）</w:t>
      </w:r>
      <w:r>
        <w:rPr>
          <w:rFonts w:hint="eastAsia" w:ascii="仿宋" w:hAnsi="仿宋" w:eastAsia="仿宋" w:cs="仿宋"/>
          <w:sz w:val="24"/>
          <w:szCs w:val="24"/>
          <w:lang w:val="en-US" w:eastAsia="zh-CN"/>
        </w:rPr>
        <w:t>签字或盖章</w:t>
      </w:r>
      <w:r>
        <w:rPr>
          <w:rFonts w:ascii="仿宋" w:hAnsi="仿宋" w:eastAsia="仿宋" w:cs="仿宋"/>
          <w:sz w:val="24"/>
          <w:szCs w:val="24"/>
        </w:rPr>
        <w:t>：</w:t>
      </w:r>
    </w:p>
    <w:p w14:paraId="28463488">
      <w:pPr>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日期：</w:t>
      </w:r>
    </w:p>
    <w:p w14:paraId="7047B305">
      <w:pPr>
        <w:spacing w:line="360" w:lineRule="auto"/>
        <w:ind w:firstLine="482" w:firstLineChars="200"/>
        <w:jc w:val="left"/>
        <w:rPr>
          <w:rFonts w:ascii="仿宋" w:hAnsi="仿宋" w:eastAsia="仿宋" w:cs="仿宋"/>
          <w:b/>
          <w:sz w:val="24"/>
          <w:szCs w:val="24"/>
        </w:rPr>
      </w:pPr>
    </w:p>
    <w:p w14:paraId="263B0AF6">
      <w:pPr>
        <w:pStyle w:val="16"/>
        <w:widowControl w:val="0"/>
        <w:adjustRightInd w:val="0"/>
        <w:snapToGrid w:val="0"/>
        <w:spacing w:before="0" w:beforeAutospacing="0" w:after="0" w:afterAutospacing="0"/>
        <w:ind w:firstLine="482" w:firstLineChars="200"/>
        <w:jc w:val="both"/>
        <w:rPr>
          <w:rFonts w:ascii="仿宋" w:hAnsi="仿宋" w:eastAsia="仿宋" w:cs="仿宋"/>
          <w:b/>
          <w:szCs w:val="24"/>
        </w:rPr>
      </w:pPr>
    </w:p>
    <w:p w14:paraId="119AC2C2">
      <w:pPr>
        <w:pStyle w:val="16"/>
        <w:widowControl w:val="0"/>
        <w:adjustRightInd w:val="0"/>
        <w:snapToGrid w:val="0"/>
        <w:spacing w:before="0" w:beforeAutospacing="0" w:after="0" w:afterAutospacing="0"/>
        <w:ind w:firstLine="482" w:firstLineChars="200"/>
        <w:jc w:val="both"/>
        <w:rPr>
          <w:rFonts w:ascii="仿宋" w:hAnsi="仿宋" w:eastAsia="仿宋" w:cs="仿宋"/>
          <w:b/>
          <w:szCs w:val="24"/>
        </w:rPr>
      </w:pPr>
    </w:p>
    <w:p w14:paraId="11BC8C8A">
      <w:pPr>
        <w:pStyle w:val="16"/>
        <w:widowControl w:val="0"/>
        <w:adjustRightInd w:val="0"/>
        <w:snapToGrid w:val="0"/>
        <w:spacing w:before="0" w:beforeAutospacing="0" w:after="0" w:afterAutospacing="0"/>
        <w:ind w:firstLine="482" w:firstLineChars="200"/>
        <w:jc w:val="both"/>
        <w:rPr>
          <w:rFonts w:ascii="仿宋" w:hAnsi="仿宋" w:eastAsia="仿宋" w:cs="仿宋"/>
          <w:b/>
          <w:szCs w:val="24"/>
        </w:rPr>
      </w:pPr>
    </w:p>
    <w:p w14:paraId="7747692E">
      <w:pPr>
        <w:spacing w:line="360" w:lineRule="auto"/>
        <w:rPr>
          <w:rFonts w:ascii="仿宋" w:hAnsi="仿宋" w:eastAsia="仿宋" w:cs="仿宋"/>
          <w:szCs w:val="21"/>
        </w:rPr>
      </w:pPr>
      <w:r>
        <w:rPr>
          <w:rFonts w:ascii="仿宋" w:hAnsi="仿宋" w:eastAsia="仿宋" w:cs="仿宋"/>
          <w:szCs w:val="21"/>
        </w:rPr>
        <w:t>填写说明：</w:t>
      </w:r>
    </w:p>
    <w:p w14:paraId="438D7179">
      <w:pPr>
        <w:spacing w:line="500" w:lineRule="exact"/>
        <w:rPr>
          <w:rFonts w:ascii="仿宋" w:hAnsi="仿宋" w:eastAsia="仿宋" w:cs="仿宋"/>
          <w:szCs w:val="21"/>
        </w:rPr>
      </w:pPr>
      <w:bookmarkStart w:id="174" w:name="_Toc14697"/>
      <w:bookmarkEnd w:id="174"/>
      <w:bookmarkStart w:id="175" w:name="_Toc14169"/>
      <w:bookmarkEnd w:id="175"/>
      <w:bookmarkStart w:id="176" w:name="_Toc23974"/>
      <w:bookmarkEnd w:id="176"/>
      <w:bookmarkStart w:id="177" w:name="_Toc7905"/>
      <w:bookmarkEnd w:id="177"/>
      <w:bookmarkStart w:id="178" w:name="_Toc5273"/>
      <w:bookmarkEnd w:id="178"/>
      <w:bookmarkStart w:id="179" w:name="_Toc9811"/>
      <w:bookmarkEnd w:id="179"/>
      <w:bookmarkStart w:id="180" w:name="_Toc8652"/>
      <w:bookmarkEnd w:id="180"/>
      <w:bookmarkStart w:id="181" w:name="_Toc18307"/>
      <w:bookmarkEnd w:id="181"/>
      <w:bookmarkStart w:id="182" w:name="_Toc23648"/>
      <w:bookmarkEnd w:id="182"/>
      <w:bookmarkStart w:id="183" w:name="_Toc17110"/>
      <w:bookmarkEnd w:id="183"/>
      <w:bookmarkStart w:id="184" w:name="_Toc15127"/>
      <w:bookmarkEnd w:id="184"/>
      <w:bookmarkStart w:id="185" w:name="_Toc14322"/>
      <w:bookmarkEnd w:id="185"/>
      <w:bookmarkStart w:id="186" w:name="_Toc11058"/>
      <w:bookmarkEnd w:id="186"/>
      <w:bookmarkStart w:id="187" w:name="_Toc20356"/>
      <w:bookmarkEnd w:id="187"/>
      <w:r>
        <w:rPr>
          <w:rFonts w:ascii="仿宋" w:hAnsi="仿宋" w:eastAsia="仿宋" w:cs="仿宋"/>
          <w:szCs w:val="21"/>
        </w:rPr>
        <w:t>①此表为表样，行数可自行添加，但表式不变。</w:t>
      </w:r>
    </w:p>
    <w:p w14:paraId="11F83051">
      <w:pPr>
        <w:spacing w:line="500" w:lineRule="exact"/>
        <w:rPr>
          <w:rFonts w:ascii="仿宋" w:hAnsi="仿宋" w:eastAsia="仿宋" w:cs="仿宋"/>
          <w:szCs w:val="21"/>
        </w:rPr>
      </w:pPr>
      <w:r>
        <w:rPr>
          <w:rFonts w:ascii="仿宋" w:hAnsi="仿宋" w:eastAsia="仿宋" w:cs="仿宋"/>
          <w:szCs w:val="21"/>
        </w:rPr>
        <w:t>②是否偏离用符号“+、-”分别表示正偏离、负偏离。</w:t>
      </w:r>
    </w:p>
    <w:p w14:paraId="533B47EB">
      <w:pPr>
        <w:spacing w:line="500" w:lineRule="exact"/>
        <w:rPr>
          <w:rFonts w:ascii="仿宋" w:hAnsi="仿宋" w:eastAsia="仿宋" w:cs="仿宋"/>
          <w:szCs w:val="21"/>
        </w:rPr>
      </w:pPr>
      <w:r>
        <w:rPr>
          <w:rFonts w:ascii="仿宋" w:hAnsi="仿宋" w:eastAsia="仿宋" w:cs="仿宋"/>
          <w:szCs w:val="21"/>
        </w:rPr>
        <w:t>③供应商必须仔细阅读本采购文件中所有商务要求，并列入上表。</w:t>
      </w:r>
    </w:p>
    <w:p w14:paraId="67C2FB9E">
      <w:pPr>
        <w:spacing w:line="500" w:lineRule="exact"/>
        <w:rPr>
          <w:rFonts w:hint="eastAsia" w:ascii="仿宋" w:hAnsi="仿宋" w:eastAsia="仿宋" w:cs="仿宋"/>
          <w:b/>
          <w:sz w:val="32"/>
          <w:szCs w:val="32"/>
          <w:lang w:val="en-US" w:eastAsia="zh-CN"/>
        </w:rPr>
        <w:sectPr>
          <w:pgSz w:w="11906" w:h="16838"/>
          <w:pgMar w:top="1440" w:right="1080" w:bottom="1440" w:left="1080" w:header="1020" w:footer="992" w:gutter="0"/>
          <w:cols w:space="425" w:num="1"/>
          <w:titlePg/>
          <w:docGrid w:type="lines" w:linePitch="312" w:charSpace="0"/>
        </w:sectPr>
      </w:pPr>
      <w:r>
        <w:rPr>
          <w:rFonts w:ascii="仿宋" w:hAnsi="仿宋" w:eastAsia="仿宋" w:cs="仿宋"/>
          <w:szCs w:val="21"/>
        </w:rPr>
        <w:t>④若响应文件中出现与此表表述不一致的，以此表为准</w:t>
      </w:r>
      <w:r>
        <w:rPr>
          <w:rFonts w:hint="eastAsia" w:ascii="仿宋" w:hAnsi="仿宋" w:eastAsia="仿宋" w:cs="仿宋"/>
          <w:szCs w:val="21"/>
          <w:lang w:eastAsia="zh-CN"/>
        </w:rPr>
        <w:t>。</w:t>
      </w:r>
    </w:p>
    <w:p w14:paraId="2A3D18E1">
      <w:pPr>
        <w:pStyle w:val="24"/>
        <w:pageBreakBefore/>
        <w:spacing w:line="360" w:lineRule="auto"/>
        <w:ind w:left="0" w:firstLine="0"/>
        <w:jc w:val="center"/>
        <w:outlineLvl w:val="0"/>
        <w:rPr>
          <w:rFonts w:ascii="仿宋" w:hAnsi="仿宋" w:eastAsia="仿宋" w:cs="仿宋"/>
          <w:color w:val="000000" w:themeColor="text1"/>
          <w:sz w:val="32"/>
          <w:szCs w:val="32"/>
          <w14:textFill>
            <w14:solidFill>
              <w14:schemeClr w14:val="tx1"/>
            </w14:solidFill>
          </w14:textFill>
        </w:rPr>
      </w:pPr>
      <w:bookmarkStart w:id="188" w:name="_Toc22832"/>
      <w:bookmarkStart w:id="189" w:name="_Toc20387"/>
      <w:r>
        <w:rPr>
          <w:rFonts w:hint="eastAsia" w:ascii="仿宋" w:hAnsi="仿宋" w:eastAsia="仿宋" w:cs="仿宋"/>
          <w:color w:val="000000" w:themeColor="text1"/>
          <w:sz w:val="32"/>
          <w:szCs w:val="32"/>
          <w14:textFill>
            <w14:solidFill>
              <w14:schemeClr w14:val="tx1"/>
            </w14:solidFill>
          </w14:textFill>
        </w:rPr>
        <w:t>七、服务要求响应表</w:t>
      </w:r>
      <w:bookmarkEnd w:id="188"/>
      <w:bookmarkEnd w:id="189"/>
    </w:p>
    <w:p w14:paraId="4CCF2DC2">
      <w:pPr>
        <w:rPr>
          <w:rFonts w:ascii="仿宋" w:hAnsi="仿宋" w:eastAsia="仿宋" w:cs="仿宋"/>
          <w:color w:val="000000" w:themeColor="text1"/>
          <w14:textFill>
            <w14:solidFill>
              <w14:schemeClr w14:val="tx1"/>
            </w14:solidFill>
          </w14:textFill>
        </w:rPr>
      </w:pPr>
    </w:p>
    <w:tbl>
      <w:tblPr>
        <w:tblStyle w:val="18"/>
        <w:tblW w:w="97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4"/>
        <w:gridCol w:w="2268"/>
        <w:gridCol w:w="2551"/>
        <w:gridCol w:w="1985"/>
        <w:gridCol w:w="2385"/>
      </w:tblGrid>
      <w:tr w14:paraId="6F497F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14:paraId="52CADFC9">
            <w:pPr>
              <w:widowControl/>
              <w:jc w:val="left"/>
              <w:textAlignment w:val="center"/>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序号</w:t>
            </w:r>
          </w:p>
        </w:tc>
        <w:tc>
          <w:tcPr>
            <w:tcW w:w="2268" w:type="dxa"/>
            <w:tcBorders>
              <w:top w:val="single" w:color="auto" w:sz="4" w:space="0"/>
              <w:left w:val="single" w:color="auto" w:sz="4" w:space="0"/>
              <w:bottom w:val="single" w:color="auto" w:sz="4" w:space="0"/>
              <w:right w:val="single" w:color="auto" w:sz="4" w:space="0"/>
            </w:tcBorders>
            <w:vAlign w:val="center"/>
          </w:tcPr>
          <w:p w14:paraId="759D6D13">
            <w:pPr>
              <w:widowControl/>
              <w:ind w:firstLine="440" w:firstLineChars="200"/>
              <w:jc w:val="left"/>
              <w:textAlignment w:val="center"/>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服务需求条目</w:t>
            </w:r>
          </w:p>
        </w:tc>
        <w:tc>
          <w:tcPr>
            <w:tcW w:w="2551" w:type="dxa"/>
            <w:tcBorders>
              <w:top w:val="single" w:color="auto" w:sz="4" w:space="0"/>
              <w:left w:val="single" w:color="auto" w:sz="4" w:space="0"/>
              <w:bottom w:val="single" w:color="auto" w:sz="4" w:space="0"/>
              <w:right w:val="single" w:color="auto" w:sz="4" w:space="0"/>
            </w:tcBorders>
            <w:vAlign w:val="center"/>
          </w:tcPr>
          <w:p w14:paraId="3436914A">
            <w:pPr>
              <w:widowControl/>
              <w:jc w:val="center"/>
              <w:textAlignment w:val="center"/>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采购文件中的</w:t>
            </w:r>
          </w:p>
          <w:p w14:paraId="0C6C276A">
            <w:pPr>
              <w:widowControl/>
              <w:jc w:val="center"/>
              <w:textAlignment w:val="center"/>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服务要求</w:t>
            </w:r>
          </w:p>
        </w:tc>
        <w:tc>
          <w:tcPr>
            <w:tcW w:w="1985" w:type="dxa"/>
            <w:tcBorders>
              <w:top w:val="single" w:color="auto" w:sz="4" w:space="0"/>
              <w:left w:val="single" w:color="auto" w:sz="4" w:space="0"/>
              <w:bottom w:val="single" w:color="auto" w:sz="4" w:space="0"/>
              <w:right w:val="single" w:color="auto" w:sz="4" w:space="0"/>
            </w:tcBorders>
            <w:vAlign w:val="center"/>
          </w:tcPr>
          <w:p w14:paraId="37F2115F">
            <w:pPr>
              <w:widowControl/>
              <w:jc w:val="center"/>
              <w:textAlignment w:val="center"/>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供应商</w:t>
            </w:r>
          </w:p>
          <w:p w14:paraId="50D88302">
            <w:pPr>
              <w:widowControl/>
              <w:jc w:val="center"/>
              <w:textAlignment w:val="center"/>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的承诺或说明</w:t>
            </w:r>
          </w:p>
        </w:tc>
        <w:tc>
          <w:tcPr>
            <w:tcW w:w="2385" w:type="dxa"/>
            <w:tcBorders>
              <w:top w:val="single" w:color="auto" w:sz="4" w:space="0"/>
              <w:left w:val="single" w:color="auto" w:sz="4" w:space="0"/>
              <w:bottom w:val="single" w:color="auto" w:sz="4" w:space="0"/>
              <w:right w:val="single" w:color="auto" w:sz="4" w:space="0"/>
            </w:tcBorders>
            <w:vAlign w:val="center"/>
          </w:tcPr>
          <w:p w14:paraId="55ADD627">
            <w:pPr>
              <w:widowControl/>
              <w:jc w:val="center"/>
              <w:textAlignment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偏离情况</w:t>
            </w:r>
          </w:p>
          <w:p w14:paraId="2518FC0E">
            <w:pPr>
              <w:widowControl/>
              <w:jc w:val="center"/>
              <w:textAlignment w:val="center"/>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p>
        </w:tc>
      </w:tr>
      <w:tr w14:paraId="0E3C35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14:paraId="7040AC2A">
            <w:pPr>
              <w:widowControl/>
              <w:jc w:val="center"/>
              <w:textAlignment w:val="center"/>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1</w:t>
            </w:r>
          </w:p>
        </w:tc>
        <w:tc>
          <w:tcPr>
            <w:tcW w:w="2268" w:type="dxa"/>
            <w:tcBorders>
              <w:top w:val="single" w:color="auto" w:sz="4" w:space="0"/>
              <w:left w:val="single" w:color="auto" w:sz="4" w:space="0"/>
              <w:bottom w:val="single" w:color="auto" w:sz="4" w:space="0"/>
              <w:right w:val="single" w:color="auto" w:sz="4" w:space="0"/>
            </w:tcBorders>
            <w:vAlign w:val="center"/>
          </w:tcPr>
          <w:p w14:paraId="6ED8061A">
            <w:pPr>
              <w:widowControl/>
              <w:jc w:val="left"/>
              <w:textAlignment w:val="center"/>
              <w:rPr>
                <w:rFonts w:ascii="仿宋" w:hAnsi="仿宋" w:eastAsia="仿宋" w:cs="仿宋"/>
                <w:color w:val="000000" w:themeColor="text1"/>
                <w:sz w:val="22"/>
                <w14:textFill>
                  <w14:solidFill>
                    <w14:schemeClr w14:val="tx1"/>
                  </w14:solidFill>
                </w14:textFill>
              </w:rPr>
            </w:pPr>
          </w:p>
        </w:tc>
        <w:tc>
          <w:tcPr>
            <w:tcW w:w="2551" w:type="dxa"/>
            <w:tcBorders>
              <w:top w:val="single" w:color="auto" w:sz="4" w:space="0"/>
              <w:left w:val="single" w:color="auto" w:sz="4" w:space="0"/>
              <w:bottom w:val="single" w:color="auto" w:sz="4" w:space="0"/>
              <w:right w:val="single" w:color="auto" w:sz="4" w:space="0"/>
            </w:tcBorders>
            <w:vAlign w:val="center"/>
          </w:tcPr>
          <w:p w14:paraId="6D9A13F5">
            <w:pPr>
              <w:widowControl/>
              <w:jc w:val="left"/>
              <w:textAlignment w:val="center"/>
              <w:rPr>
                <w:rFonts w:ascii="仿宋" w:hAnsi="仿宋" w:eastAsia="仿宋" w:cs="仿宋"/>
                <w:color w:val="000000" w:themeColor="text1"/>
                <w:sz w:val="22"/>
                <w14:textFill>
                  <w14:solidFill>
                    <w14:schemeClr w14:val="tx1"/>
                  </w14:solidFill>
                </w14:textFill>
              </w:rPr>
            </w:pPr>
          </w:p>
        </w:tc>
        <w:tc>
          <w:tcPr>
            <w:tcW w:w="1985" w:type="dxa"/>
            <w:tcBorders>
              <w:top w:val="single" w:color="auto" w:sz="4" w:space="0"/>
              <w:left w:val="single" w:color="auto" w:sz="4" w:space="0"/>
              <w:bottom w:val="single" w:color="auto" w:sz="4" w:space="0"/>
              <w:right w:val="single" w:color="auto" w:sz="4" w:space="0"/>
            </w:tcBorders>
            <w:vAlign w:val="center"/>
          </w:tcPr>
          <w:p w14:paraId="142A52AA">
            <w:pPr>
              <w:widowControl/>
              <w:jc w:val="left"/>
              <w:textAlignment w:val="center"/>
              <w:rPr>
                <w:rFonts w:ascii="仿宋" w:hAnsi="仿宋" w:eastAsia="仿宋" w:cs="仿宋"/>
                <w:color w:val="000000" w:themeColor="text1"/>
                <w:sz w:val="22"/>
                <w14:textFill>
                  <w14:solidFill>
                    <w14:schemeClr w14:val="tx1"/>
                  </w14:solidFill>
                </w14:textFill>
              </w:rPr>
            </w:pPr>
          </w:p>
        </w:tc>
        <w:tc>
          <w:tcPr>
            <w:tcW w:w="2385" w:type="dxa"/>
            <w:tcBorders>
              <w:top w:val="single" w:color="auto" w:sz="4" w:space="0"/>
              <w:left w:val="single" w:color="auto" w:sz="4" w:space="0"/>
              <w:bottom w:val="single" w:color="auto" w:sz="4" w:space="0"/>
              <w:right w:val="single" w:color="auto" w:sz="4" w:space="0"/>
            </w:tcBorders>
            <w:vAlign w:val="center"/>
          </w:tcPr>
          <w:p w14:paraId="5F09539A">
            <w:pPr>
              <w:widowControl/>
              <w:jc w:val="left"/>
              <w:textAlignment w:val="center"/>
              <w:rPr>
                <w:rFonts w:ascii="仿宋" w:hAnsi="仿宋" w:eastAsia="仿宋" w:cs="仿宋"/>
                <w:color w:val="000000" w:themeColor="text1"/>
                <w:sz w:val="22"/>
                <w14:textFill>
                  <w14:solidFill>
                    <w14:schemeClr w14:val="tx1"/>
                  </w14:solidFill>
                </w14:textFill>
              </w:rPr>
            </w:pPr>
          </w:p>
        </w:tc>
      </w:tr>
      <w:tr w14:paraId="3B40D3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14:paraId="5C6EE382">
            <w:pPr>
              <w:widowControl/>
              <w:jc w:val="center"/>
              <w:textAlignment w:val="center"/>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2</w:t>
            </w:r>
          </w:p>
        </w:tc>
        <w:tc>
          <w:tcPr>
            <w:tcW w:w="2268" w:type="dxa"/>
            <w:tcBorders>
              <w:top w:val="single" w:color="auto" w:sz="4" w:space="0"/>
              <w:left w:val="single" w:color="auto" w:sz="4" w:space="0"/>
              <w:bottom w:val="single" w:color="auto" w:sz="4" w:space="0"/>
              <w:right w:val="single" w:color="auto" w:sz="4" w:space="0"/>
            </w:tcBorders>
            <w:vAlign w:val="center"/>
          </w:tcPr>
          <w:p w14:paraId="2898B68C">
            <w:pPr>
              <w:widowControl/>
              <w:jc w:val="left"/>
              <w:textAlignment w:val="center"/>
              <w:rPr>
                <w:rFonts w:ascii="仿宋" w:hAnsi="仿宋" w:eastAsia="仿宋" w:cs="仿宋"/>
                <w:color w:val="000000" w:themeColor="text1"/>
                <w:sz w:val="22"/>
                <w14:textFill>
                  <w14:solidFill>
                    <w14:schemeClr w14:val="tx1"/>
                  </w14:solidFill>
                </w14:textFill>
              </w:rPr>
            </w:pPr>
          </w:p>
        </w:tc>
        <w:tc>
          <w:tcPr>
            <w:tcW w:w="2551" w:type="dxa"/>
            <w:tcBorders>
              <w:top w:val="single" w:color="auto" w:sz="4" w:space="0"/>
              <w:left w:val="single" w:color="auto" w:sz="4" w:space="0"/>
              <w:bottom w:val="single" w:color="auto" w:sz="4" w:space="0"/>
              <w:right w:val="single" w:color="auto" w:sz="4" w:space="0"/>
            </w:tcBorders>
            <w:vAlign w:val="center"/>
          </w:tcPr>
          <w:p w14:paraId="1632E1BC">
            <w:pPr>
              <w:widowControl/>
              <w:jc w:val="left"/>
              <w:textAlignment w:val="center"/>
              <w:rPr>
                <w:rFonts w:ascii="仿宋" w:hAnsi="仿宋" w:eastAsia="仿宋" w:cs="仿宋"/>
                <w:color w:val="000000" w:themeColor="text1"/>
                <w:sz w:val="22"/>
                <w14:textFill>
                  <w14:solidFill>
                    <w14:schemeClr w14:val="tx1"/>
                  </w14:solidFill>
                </w14:textFill>
              </w:rPr>
            </w:pPr>
          </w:p>
        </w:tc>
        <w:tc>
          <w:tcPr>
            <w:tcW w:w="1985" w:type="dxa"/>
            <w:tcBorders>
              <w:top w:val="single" w:color="auto" w:sz="4" w:space="0"/>
              <w:left w:val="single" w:color="auto" w:sz="4" w:space="0"/>
              <w:bottom w:val="single" w:color="auto" w:sz="4" w:space="0"/>
              <w:right w:val="single" w:color="auto" w:sz="4" w:space="0"/>
            </w:tcBorders>
            <w:vAlign w:val="center"/>
          </w:tcPr>
          <w:p w14:paraId="456B79FF">
            <w:pPr>
              <w:widowControl/>
              <w:jc w:val="left"/>
              <w:textAlignment w:val="center"/>
              <w:rPr>
                <w:rFonts w:ascii="仿宋" w:hAnsi="仿宋" w:eastAsia="仿宋" w:cs="仿宋"/>
                <w:color w:val="000000" w:themeColor="text1"/>
                <w:sz w:val="22"/>
                <w14:textFill>
                  <w14:solidFill>
                    <w14:schemeClr w14:val="tx1"/>
                  </w14:solidFill>
                </w14:textFill>
              </w:rPr>
            </w:pPr>
          </w:p>
        </w:tc>
        <w:tc>
          <w:tcPr>
            <w:tcW w:w="2385" w:type="dxa"/>
            <w:tcBorders>
              <w:top w:val="single" w:color="auto" w:sz="4" w:space="0"/>
              <w:left w:val="single" w:color="auto" w:sz="4" w:space="0"/>
              <w:bottom w:val="single" w:color="auto" w:sz="4" w:space="0"/>
              <w:right w:val="single" w:color="auto" w:sz="4" w:space="0"/>
            </w:tcBorders>
            <w:vAlign w:val="center"/>
          </w:tcPr>
          <w:p w14:paraId="76F3528E">
            <w:pPr>
              <w:widowControl/>
              <w:jc w:val="left"/>
              <w:textAlignment w:val="center"/>
              <w:rPr>
                <w:rFonts w:ascii="仿宋" w:hAnsi="仿宋" w:eastAsia="仿宋" w:cs="仿宋"/>
                <w:color w:val="000000" w:themeColor="text1"/>
                <w:sz w:val="22"/>
                <w14:textFill>
                  <w14:solidFill>
                    <w14:schemeClr w14:val="tx1"/>
                  </w14:solidFill>
                </w14:textFill>
              </w:rPr>
            </w:pPr>
          </w:p>
        </w:tc>
      </w:tr>
      <w:tr w14:paraId="4B74C2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1"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14:paraId="2DC4861D">
            <w:pPr>
              <w:widowControl/>
              <w:jc w:val="center"/>
              <w:textAlignment w:val="center"/>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3</w:t>
            </w:r>
          </w:p>
        </w:tc>
        <w:tc>
          <w:tcPr>
            <w:tcW w:w="2268" w:type="dxa"/>
            <w:tcBorders>
              <w:top w:val="single" w:color="auto" w:sz="4" w:space="0"/>
              <w:left w:val="single" w:color="auto" w:sz="4" w:space="0"/>
              <w:bottom w:val="single" w:color="auto" w:sz="4" w:space="0"/>
              <w:right w:val="single" w:color="auto" w:sz="4" w:space="0"/>
            </w:tcBorders>
            <w:vAlign w:val="center"/>
          </w:tcPr>
          <w:p w14:paraId="4DC880DA">
            <w:pPr>
              <w:widowControl/>
              <w:jc w:val="left"/>
              <w:textAlignment w:val="center"/>
              <w:rPr>
                <w:rFonts w:ascii="仿宋" w:hAnsi="仿宋" w:eastAsia="仿宋" w:cs="仿宋"/>
                <w:color w:val="000000" w:themeColor="text1"/>
                <w:sz w:val="22"/>
                <w14:textFill>
                  <w14:solidFill>
                    <w14:schemeClr w14:val="tx1"/>
                  </w14:solidFill>
                </w14:textFill>
              </w:rPr>
            </w:pPr>
          </w:p>
        </w:tc>
        <w:tc>
          <w:tcPr>
            <w:tcW w:w="2551" w:type="dxa"/>
            <w:tcBorders>
              <w:top w:val="single" w:color="auto" w:sz="4" w:space="0"/>
              <w:left w:val="single" w:color="auto" w:sz="4" w:space="0"/>
              <w:bottom w:val="single" w:color="auto" w:sz="4" w:space="0"/>
              <w:right w:val="single" w:color="auto" w:sz="4" w:space="0"/>
            </w:tcBorders>
            <w:vAlign w:val="center"/>
          </w:tcPr>
          <w:p w14:paraId="726C4104">
            <w:pPr>
              <w:widowControl/>
              <w:jc w:val="left"/>
              <w:textAlignment w:val="center"/>
              <w:rPr>
                <w:rFonts w:ascii="仿宋" w:hAnsi="仿宋" w:eastAsia="仿宋" w:cs="仿宋"/>
                <w:color w:val="000000" w:themeColor="text1"/>
                <w:sz w:val="22"/>
                <w14:textFill>
                  <w14:solidFill>
                    <w14:schemeClr w14:val="tx1"/>
                  </w14:solidFill>
                </w14:textFill>
              </w:rPr>
            </w:pPr>
          </w:p>
        </w:tc>
        <w:tc>
          <w:tcPr>
            <w:tcW w:w="1985" w:type="dxa"/>
            <w:tcBorders>
              <w:top w:val="single" w:color="auto" w:sz="4" w:space="0"/>
              <w:left w:val="single" w:color="auto" w:sz="4" w:space="0"/>
              <w:bottom w:val="single" w:color="auto" w:sz="4" w:space="0"/>
              <w:right w:val="single" w:color="auto" w:sz="4" w:space="0"/>
            </w:tcBorders>
            <w:vAlign w:val="center"/>
          </w:tcPr>
          <w:p w14:paraId="556BF24B">
            <w:pPr>
              <w:widowControl/>
              <w:jc w:val="left"/>
              <w:textAlignment w:val="center"/>
              <w:rPr>
                <w:rFonts w:ascii="仿宋" w:hAnsi="仿宋" w:eastAsia="仿宋" w:cs="仿宋"/>
                <w:color w:val="000000" w:themeColor="text1"/>
                <w:sz w:val="22"/>
                <w14:textFill>
                  <w14:solidFill>
                    <w14:schemeClr w14:val="tx1"/>
                  </w14:solidFill>
                </w14:textFill>
              </w:rPr>
            </w:pPr>
          </w:p>
        </w:tc>
        <w:tc>
          <w:tcPr>
            <w:tcW w:w="2385" w:type="dxa"/>
            <w:tcBorders>
              <w:top w:val="single" w:color="auto" w:sz="4" w:space="0"/>
              <w:left w:val="single" w:color="auto" w:sz="4" w:space="0"/>
              <w:bottom w:val="single" w:color="auto" w:sz="4" w:space="0"/>
              <w:right w:val="single" w:color="auto" w:sz="4" w:space="0"/>
            </w:tcBorders>
            <w:vAlign w:val="center"/>
          </w:tcPr>
          <w:p w14:paraId="41DD86F9">
            <w:pPr>
              <w:widowControl/>
              <w:jc w:val="left"/>
              <w:textAlignment w:val="center"/>
              <w:rPr>
                <w:rFonts w:ascii="仿宋" w:hAnsi="仿宋" w:eastAsia="仿宋" w:cs="仿宋"/>
                <w:color w:val="000000" w:themeColor="text1"/>
                <w:sz w:val="22"/>
                <w14:textFill>
                  <w14:solidFill>
                    <w14:schemeClr w14:val="tx1"/>
                  </w14:solidFill>
                </w14:textFill>
              </w:rPr>
            </w:pPr>
          </w:p>
        </w:tc>
      </w:tr>
      <w:tr w14:paraId="5462B7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14:paraId="63E1B025">
            <w:pPr>
              <w:widowControl/>
              <w:jc w:val="center"/>
              <w:textAlignment w:val="center"/>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4</w:t>
            </w:r>
          </w:p>
        </w:tc>
        <w:tc>
          <w:tcPr>
            <w:tcW w:w="2268" w:type="dxa"/>
            <w:tcBorders>
              <w:top w:val="single" w:color="auto" w:sz="4" w:space="0"/>
              <w:left w:val="single" w:color="auto" w:sz="4" w:space="0"/>
              <w:bottom w:val="single" w:color="auto" w:sz="4" w:space="0"/>
              <w:right w:val="single" w:color="auto" w:sz="4" w:space="0"/>
            </w:tcBorders>
            <w:vAlign w:val="center"/>
          </w:tcPr>
          <w:p w14:paraId="09A477BE">
            <w:pPr>
              <w:widowControl/>
              <w:jc w:val="left"/>
              <w:textAlignment w:val="center"/>
              <w:rPr>
                <w:rFonts w:ascii="仿宋" w:hAnsi="仿宋" w:eastAsia="仿宋" w:cs="仿宋"/>
                <w:color w:val="000000" w:themeColor="text1"/>
                <w:sz w:val="22"/>
                <w14:textFill>
                  <w14:solidFill>
                    <w14:schemeClr w14:val="tx1"/>
                  </w14:solidFill>
                </w14:textFill>
              </w:rPr>
            </w:pPr>
          </w:p>
        </w:tc>
        <w:tc>
          <w:tcPr>
            <w:tcW w:w="2551" w:type="dxa"/>
            <w:tcBorders>
              <w:top w:val="single" w:color="auto" w:sz="4" w:space="0"/>
              <w:left w:val="single" w:color="auto" w:sz="4" w:space="0"/>
              <w:bottom w:val="single" w:color="auto" w:sz="4" w:space="0"/>
              <w:right w:val="single" w:color="auto" w:sz="4" w:space="0"/>
            </w:tcBorders>
            <w:vAlign w:val="center"/>
          </w:tcPr>
          <w:p w14:paraId="00C2684F">
            <w:pPr>
              <w:widowControl/>
              <w:jc w:val="left"/>
              <w:textAlignment w:val="center"/>
              <w:rPr>
                <w:rFonts w:ascii="仿宋" w:hAnsi="仿宋" w:eastAsia="仿宋" w:cs="仿宋"/>
                <w:color w:val="000000" w:themeColor="text1"/>
                <w:sz w:val="22"/>
                <w14:textFill>
                  <w14:solidFill>
                    <w14:schemeClr w14:val="tx1"/>
                  </w14:solidFill>
                </w14:textFill>
              </w:rPr>
            </w:pPr>
          </w:p>
        </w:tc>
        <w:tc>
          <w:tcPr>
            <w:tcW w:w="1985" w:type="dxa"/>
            <w:tcBorders>
              <w:top w:val="single" w:color="auto" w:sz="4" w:space="0"/>
              <w:left w:val="single" w:color="auto" w:sz="4" w:space="0"/>
              <w:bottom w:val="single" w:color="auto" w:sz="4" w:space="0"/>
              <w:right w:val="single" w:color="auto" w:sz="4" w:space="0"/>
            </w:tcBorders>
            <w:vAlign w:val="center"/>
          </w:tcPr>
          <w:p w14:paraId="0145B258">
            <w:pPr>
              <w:widowControl/>
              <w:jc w:val="left"/>
              <w:textAlignment w:val="center"/>
              <w:rPr>
                <w:rFonts w:ascii="仿宋" w:hAnsi="仿宋" w:eastAsia="仿宋" w:cs="仿宋"/>
                <w:color w:val="000000" w:themeColor="text1"/>
                <w:sz w:val="22"/>
                <w14:textFill>
                  <w14:solidFill>
                    <w14:schemeClr w14:val="tx1"/>
                  </w14:solidFill>
                </w14:textFill>
              </w:rPr>
            </w:pPr>
          </w:p>
        </w:tc>
        <w:tc>
          <w:tcPr>
            <w:tcW w:w="2385" w:type="dxa"/>
            <w:tcBorders>
              <w:top w:val="single" w:color="auto" w:sz="4" w:space="0"/>
              <w:left w:val="single" w:color="auto" w:sz="4" w:space="0"/>
              <w:bottom w:val="single" w:color="auto" w:sz="4" w:space="0"/>
              <w:right w:val="single" w:color="auto" w:sz="4" w:space="0"/>
            </w:tcBorders>
            <w:vAlign w:val="center"/>
          </w:tcPr>
          <w:p w14:paraId="4D6F6E72">
            <w:pPr>
              <w:widowControl/>
              <w:jc w:val="left"/>
              <w:textAlignment w:val="center"/>
              <w:rPr>
                <w:rFonts w:ascii="仿宋" w:hAnsi="仿宋" w:eastAsia="仿宋" w:cs="仿宋"/>
                <w:color w:val="000000" w:themeColor="text1"/>
                <w:sz w:val="22"/>
                <w14:textFill>
                  <w14:solidFill>
                    <w14:schemeClr w14:val="tx1"/>
                  </w14:solidFill>
                </w14:textFill>
              </w:rPr>
            </w:pPr>
          </w:p>
        </w:tc>
      </w:tr>
      <w:tr w14:paraId="005F58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14:paraId="14A4FBED">
            <w:pPr>
              <w:widowControl/>
              <w:jc w:val="center"/>
              <w:textAlignment w:val="center"/>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5</w:t>
            </w:r>
          </w:p>
        </w:tc>
        <w:tc>
          <w:tcPr>
            <w:tcW w:w="2268" w:type="dxa"/>
            <w:tcBorders>
              <w:top w:val="single" w:color="auto" w:sz="4" w:space="0"/>
              <w:left w:val="single" w:color="auto" w:sz="4" w:space="0"/>
              <w:bottom w:val="single" w:color="auto" w:sz="4" w:space="0"/>
              <w:right w:val="single" w:color="auto" w:sz="4" w:space="0"/>
            </w:tcBorders>
            <w:vAlign w:val="center"/>
          </w:tcPr>
          <w:p w14:paraId="6C1621FC">
            <w:pPr>
              <w:widowControl/>
              <w:jc w:val="left"/>
              <w:textAlignment w:val="center"/>
              <w:rPr>
                <w:rFonts w:ascii="仿宋" w:hAnsi="仿宋" w:eastAsia="仿宋" w:cs="仿宋"/>
                <w:color w:val="000000" w:themeColor="text1"/>
                <w:sz w:val="22"/>
                <w14:textFill>
                  <w14:solidFill>
                    <w14:schemeClr w14:val="tx1"/>
                  </w14:solidFill>
                </w14:textFill>
              </w:rPr>
            </w:pPr>
          </w:p>
        </w:tc>
        <w:tc>
          <w:tcPr>
            <w:tcW w:w="2551" w:type="dxa"/>
            <w:tcBorders>
              <w:top w:val="single" w:color="auto" w:sz="4" w:space="0"/>
              <w:left w:val="single" w:color="auto" w:sz="4" w:space="0"/>
              <w:bottom w:val="single" w:color="auto" w:sz="4" w:space="0"/>
              <w:right w:val="single" w:color="auto" w:sz="4" w:space="0"/>
            </w:tcBorders>
            <w:vAlign w:val="center"/>
          </w:tcPr>
          <w:p w14:paraId="686419FE">
            <w:pPr>
              <w:widowControl/>
              <w:jc w:val="left"/>
              <w:textAlignment w:val="center"/>
              <w:rPr>
                <w:rFonts w:ascii="仿宋" w:hAnsi="仿宋" w:eastAsia="仿宋" w:cs="仿宋"/>
                <w:color w:val="000000" w:themeColor="text1"/>
                <w:sz w:val="22"/>
                <w14:textFill>
                  <w14:solidFill>
                    <w14:schemeClr w14:val="tx1"/>
                  </w14:solidFill>
                </w14:textFill>
              </w:rPr>
            </w:pPr>
          </w:p>
        </w:tc>
        <w:tc>
          <w:tcPr>
            <w:tcW w:w="1985" w:type="dxa"/>
            <w:tcBorders>
              <w:top w:val="single" w:color="auto" w:sz="4" w:space="0"/>
              <w:left w:val="single" w:color="auto" w:sz="4" w:space="0"/>
              <w:bottom w:val="single" w:color="auto" w:sz="4" w:space="0"/>
              <w:right w:val="single" w:color="auto" w:sz="4" w:space="0"/>
            </w:tcBorders>
            <w:vAlign w:val="center"/>
          </w:tcPr>
          <w:p w14:paraId="159CF20A">
            <w:pPr>
              <w:widowControl/>
              <w:jc w:val="left"/>
              <w:textAlignment w:val="center"/>
              <w:rPr>
                <w:rFonts w:ascii="仿宋" w:hAnsi="仿宋" w:eastAsia="仿宋" w:cs="仿宋"/>
                <w:color w:val="000000" w:themeColor="text1"/>
                <w:sz w:val="22"/>
                <w14:textFill>
                  <w14:solidFill>
                    <w14:schemeClr w14:val="tx1"/>
                  </w14:solidFill>
                </w14:textFill>
              </w:rPr>
            </w:pPr>
          </w:p>
        </w:tc>
        <w:tc>
          <w:tcPr>
            <w:tcW w:w="2385" w:type="dxa"/>
            <w:tcBorders>
              <w:top w:val="single" w:color="auto" w:sz="4" w:space="0"/>
              <w:left w:val="single" w:color="auto" w:sz="4" w:space="0"/>
              <w:bottom w:val="single" w:color="auto" w:sz="4" w:space="0"/>
              <w:right w:val="single" w:color="auto" w:sz="4" w:space="0"/>
            </w:tcBorders>
            <w:vAlign w:val="center"/>
          </w:tcPr>
          <w:p w14:paraId="4AAC1EA4">
            <w:pPr>
              <w:widowControl/>
              <w:jc w:val="left"/>
              <w:textAlignment w:val="center"/>
              <w:rPr>
                <w:rFonts w:ascii="仿宋" w:hAnsi="仿宋" w:eastAsia="仿宋" w:cs="仿宋"/>
                <w:color w:val="000000" w:themeColor="text1"/>
                <w:sz w:val="22"/>
                <w14:textFill>
                  <w14:solidFill>
                    <w14:schemeClr w14:val="tx1"/>
                  </w14:solidFill>
                </w14:textFill>
              </w:rPr>
            </w:pPr>
          </w:p>
        </w:tc>
      </w:tr>
      <w:tr w14:paraId="3D9815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14:paraId="00B158FB">
            <w:pPr>
              <w:widowControl/>
              <w:jc w:val="center"/>
              <w:textAlignment w:val="center"/>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6</w:t>
            </w:r>
          </w:p>
        </w:tc>
        <w:tc>
          <w:tcPr>
            <w:tcW w:w="2268" w:type="dxa"/>
            <w:tcBorders>
              <w:top w:val="single" w:color="auto" w:sz="4" w:space="0"/>
              <w:left w:val="single" w:color="auto" w:sz="4" w:space="0"/>
              <w:bottom w:val="single" w:color="auto" w:sz="4" w:space="0"/>
              <w:right w:val="single" w:color="auto" w:sz="4" w:space="0"/>
            </w:tcBorders>
            <w:vAlign w:val="center"/>
          </w:tcPr>
          <w:p w14:paraId="58B2E4E3">
            <w:pPr>
              <w:widowControl/>
              <w:jc w:val="center"/>
              <w:textAlignment w:val="center"/>
              <w:rPr>
                <w:rFonts w:ascii="仿宋" w:hAnsi="仿宋" w:eastAsia="仿宋" w:cs="仿宋"/>
                <w:color w:val="000000" w:themeColor="text1"/>
                <w:sz w:val="22"/>
                <w14:textFill>
                  <w14:solidFill>
                    <w14:schemeClr w14:val="tx1"/>
                  </w14:solidFill>
                </w14:textFill>
              </w:rPr>
            </w:pPr>
          </w:p>
        </w:tc>
        <w:tc>
          <w:tcPr>
            <w:tcW w:w="2551" w:type="dxa"/>
            <w:tcBorders>
              <w:top w:val="single" w:color="auto" w:sz="4" w:space="0"/>
              <w:left w:val="single" w:color="auto" w:sz="4" w:space="0"/>
              <w:bottom w:val="single" w:color="auto" w:sz="4" w:space="0"/>
              <w:right w:val="single" w:color="auto" w:sz="4" w:space="0"/>
            </w:tcBorders>
            <w:vAlign w:val="center"/>
          </w:tcPr>
          <w:p w14:paraId="42BB7C13">
            <w:pPr>
              <w:widowControl/>
              <w:jc w:val="left"/>
              <w:textAlignment w:val="center"/>
              <w:rPr>
                <w:rFonts w:ascii="仿宋" w:hAnsi="仿宋" w:eastAsia="仿宋" w:cs="仿宋"/>
                <w:color w:val="000000" w:themeColor="text1"/>
                <w:sz w:val="22"/>
                <w14:textFill>
                  <w14:solidFill>
                    <w14:schemeClr w14:val="tx1"/>
                  </w14:solidFill>
                </w14:textFill>
              </w:rPr>
            </w:pPr>
          </w:p>
        </w:tc>
        <w:tc>
          <w:tcPr>
            <w:tcW w:w="1985" w:type="dxa"/>
            <w:tcBorders>
              <w:top w:val="single" w:color="auto" w:sz="4" w:space="0"/>
              <w:left w:val="single" w:color="auto" w:sz="4" w:space="0"/>
              <w:bottom w:val="single" w:color="auto" w:sz="4" w:space="0"/>
              <w:right w:val="single" w:color="auto" w:sz="4" w:space="0"/>
            </w:tcBorders>
            <w:vAlign w:val="center"/>
          </w:tcPr>
          <w:p w14:paraId="02CEA372">
            <w:pPr>
              <w:widowControl/>
              <w:jc w:val="left"/>
              <w:textAlignment w:val="center"/>
              <w:rPr>
                <w:rFonts w:ascii="仿宋" w:hAnsi="仿宋" w:eastAsia="仿宋" w:cs="仿宋"/>
                <w:color w:val="000000" w:themeColor="text1"/>
                <w:sz w:val="22"/>
                <w14:textFill>
                  <w14:solidFill>
                    <w14:schemeClr w14:val="tx1"/>
                  </w14:solidFill>
                </w14:textFill>
              </w:rPr>
            </w:pPr>
          </w:p>
        </w:tc>
        <w:tc>
          <w:tcPr>
            <w:tcW w:w="2385" w:type="dxa"/>
            <w:tcBorders>
              <w:top w:val="single" w:color="auto" w:sz="4" w:space="0"/>
              <w:left w:val="single" w:color="auto" w:sz="4" w:space="0"/>
              <w:bottom w:val="single" w:color="auto" w:sz="4" w:space="0"/>
              <w:right w:val="single" w:color="auto" w:sz="4" w:space="0"/>
            </w:tcBorders>
            <w:vAlign w:val="center"/>
          </w:tcPr>
          <w:p w14:paraId="238FC876">
            <w:pPr>
              <w:widowControl/>
              <w:jc w:val="left"/>
              <w:textAlignment w:val="center"/>
              <w:rPr>
                <w:rFonts w:ascii="仿宋" w:hAnsi="仿宋" w:eastAsia="仿宋" w:cs="仿宋"/>
                <w:color w:val="000000" w:themeColor="text1"/>
                <w:sz w:val="22"/>
                <w14:textFill>
                  <w14:solidFill>
                    <w14:schemeClr w14:val="tx1"/>
                  </w14:solidFill>
                </w14:textFill>
              </w:rPr>
            </w:pPr>
          </w:p>
        </w:tc>
      </w:tr>
      <w:tr w14:paraId="7B58E8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14:paraId="0D1BCF56">
            <w:pPr>
              <w:widowControl/>
              <w:jc w:val="center"/>
              <w:textAlignment w:val="center"/>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7</w:t>
            </w:r>
          </w:p>
        </w:tc>
        <w:tc>
          <w:tcPr>
            <w:tcW w:w="2268" w:type="dxa"/>
            <w:tcBorders>
              <w:top w:val="single" w:color="auto" w:sz="4" w:space="0"/>
              <w:left w:val="single" w:color="auto" w:sz="4" w:space="0"/>
              <w:bottom w:val="single" w:color="auto" w:sz="4" w:space="0"/>
              <w:right w:val="single" w:color="auto" w:sz="4" w:space="0"/>
            </w:tcBorders>
            <w:vAlign w:val="center"/>
          </w:tcPr>
          <w:p w14:paraId="7D2BFDB4">
            <w:pPr>
              <w:widowControl/>
              <w:jc w:val="center"/>
              <w:textAlignment w:val="center"/>
              <w:rPr>
                <w:rFonts w:ascii="仿宋" w:hAnsi="仿宋" w:eastAsia="仿宋" w:cs="仿宋"/>
                <w:color w:val="000000" w:themeColor="text1"/>
                <w:sz w:val="22"/>
                <w14:textFill>
                  <w14:solidFill>
                    <w14:schemeClr w14:val="tx1"/>
                  </w14:solidFill>
                </w14:textFill>
              </w:rPr>
            </w:pPr>
          </w:p>
        </w:tc>
        <w:tc>
          <w:tcPr>
            <w:tcW w:w="2551" w:type="dxa"/>
            <w:tcBorders>
              <w:top w:val="single" w:color="auto" w:sz="4" w:space="0"/>
              <w:left w:val="single" w:color="auto" w:sz="4" w:space="0"/>
              <w:bottom w:val="single" w:color="auto" w:sz="4" w:space="0"/>
              <w:right w:val="single" w:color="auto" w:sz="4" w:space="0"/>
            </w:tcBorders>
            <w:vAlign w:val="center"/>
          </w:tcPr>
          <w:p w14:paraId="3F4ED7B2">
            <w:pPr>
              <w:widowControl/>
              <w:jc w:val="left"/>
              <w:textAlignment w:val="center"/>
              <w:rPr>
                <w:rFonts w:ascii="仿宋" w:hAnsi="仿宋" w:eastAsia="仿宋" w:cs="仿宋"/>
                <w:color w:val="000000" w:themeColor="text1"/>
                <w:sz w:val="22"/>
                <w14:textFill>
                  <w14:solidFill>
                    <w14:schemeClr w14:val="tx1"/>
                  </w14:solidFill>
                </w14:textFill>
              </w:rPr>
            </w:pPr>
          </w:p>
        </w:tc>
        <w:tc>
          <w:tcPr>
            <w:tcW w:w="1985" w:type="dxa"/>
            <w:tcBorders>
              <w:top w:val="single" w:color="auto" w:sz="4" w:space="0"/>
              <w:left w:val="single" w:color="auto" w:sz="4" w:space="0"/>
              <w:bottom w:val="single" w:color="auto" w:sz="4" w:space="0"/>
              <w:right w:val="single" w:color="auto" w:sz="4" w:space="0"/>
            </w:tcBorders>
            <w:vAlign w:val="center"/>
          </w:tcPr>
          <w:p w14:paraId="4A0CFAD2">
            <w:pPr>
              <w:widowControl/>
              <w:jc w:val="left"/>
              <w:textAlignment w:val="center"/>
              <w:rPr>
                <w:rFonts w:ascii="仿宋" w:hAnsi="仿宋" w:eastAsia="仿宋" w:cs="仿宋"/>
                <w:color w:val="000000" w:themeColor="text1"/>
                <w:sz w:val="22"/>
                <w14:textFill>
                  <w14:solidFill>
                    <w14:schemeClr w14:val="tx1"/>
                  </w14:solidFill>
                </w14:textFill>
              </w:rPr>
            </w:pPr>
          </w:p>
        </w:tc>
        <w:tc>
          <w:tcPr>
            <w:tcW w:w="2385" w:type="dxa"/>
            <w:tcBorders>
              <w:top w:val="single" w:color="auto" w:sz="4" w:space="0"/>
              <w:left w:val="single" w:color="auto" w:sz="4" w:space="0"/>
              <w:bottom w:val="single" w:color="auto" w:sz="4" w:space="0"/>
              <w:right w:val="single" w:color="auto" w:sz="4" w:space="0"/>
            </w:tcBorders>
            <w:vAlign w:val="center"/>
          </w:tcPr>
          <w:p w14:paraId="6401D1BD">
            <w:pPr>
              <w:widowControl/>
              <w:jc w:val="left"/>
              <w:textAlignment w:val="center"/>
              <w:rPr>
                <w:rFonts w:ascii="仿宋" w:hAnsi="仿宋" w:eastAsia="仿宋" w:cs="仿宋"/>
                <w:color w:val="000000" w:themeColor="text1"/>
                <w:sz w:val="22"/>
                <w14:textFill>
                  <w14:solidFill>
                    <w14:schemeClr w14:val="tx1"/>
                  </w14:solidFill>
                </w14:textFill>
              </w:rPr>
            </w:pPr>
          </w:p>
        </w:tc>
      </w:tr>
      <w:tr w14:paraId="1295A1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14:paraId="79D824E7">
            <w:pPr>
              <w:widowControl/>
              <w:jc w:val="center"/>
              <w:textAlignment w:val="center"/>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8</w:t>
            </w:r>
          </w:p>
        </w:tc>
        <w:tc>
          <w:tcPr>
            <w:tcW w:w="2268" w:type="dxa"/>
            <w:tcBorders>
              <w:top w:val="single" w:color="auto" w:sz="4" w:space="0"/>
              <w:left w:val="single" w:color="auto" w:sz="4" w:space="0"/>
              <w:bottom w:val="single" w:color="auto" w:sz="4" w:space="0"/>
              <w:right w:val="single" w:color="auto" w:sz="4" w:space="0"/>
            </w:tcBorders>
            <w:vAlign w:val="center"/>
          </w:tcPr>
          <w:p w14:paraId="0FDB261F">
            <w:pPr>
              <w:widowControl/>
              <w:jc w:val="center"/>
              <w:textAlignment w:val="center"/>
              <w:rPr>
                <w:rFonts w:ascii="仿宋" w:hAnsi="仿宋" w:eastAsia="仿宋" w:cs="仿宋"/>
                <w:color w:val="000000" w:themeColor="text1"/>
                <w:sz w:val="22"/>
                <w14:textFill>
                  <w14:solidFill>
                    <w14:schemeClr w14:val="tx1"/>
                  </w14:solidFill>
                </w14:textFill>
              </w:rPr>
            </w:pPr>
          </w:p>
        </w:tc>
        <w:tc>
          <w:tcPr>
            <w:tcW w:w="2551" w:type="dxa"/>
            <w:tcBorders>
              <w:top w:val="single" w:color="auto" w:sz="4" w:space="0"/>
              <w:left w:val="single" w:color="auto" w:sz="4" w:space="0"/>
              <w:bottom w:val="single" w:color="auto" w:sz="4" w:space="0"/>
              <w:right w:val="single" w:color="auto" w:sz="4" w:space="0"/>
            </w:tcBorders>
            <w:vAlign w:val="center"/>
          </w:tcPr>
          <w:p w14:paraId="6E0AC139">
            <w:pPr>
              <w:widowControl/>
              <w:jc w:val="left"/>
              <w:textAlignment w:val="center"/>
              <w:rPr>
                <w:rFonts w:ascii="仿宋" w:hAnsi="仿宋" w:eastAsia="仿宋" w:cs="仿宋"/>
                <w:color w:val="000000" w:themeColor="text1"/>
                <w:sz w:val="22"/>
                <w14:textFill>
                  <w14:solidFill>
                    <w14:schemeClr w14:val="tx1"/>
                  </w14:solidFill>
                </w14:textFill>
              </w:rPr>
            </w:pPr>
          </w:p>
        </w:tc>
        <w:tc>
          <w:tcPr>
            <w:tcW w:w="1985" w:type="dxa"/>
            <w:tcBorders>
              <w:top w:val="single" w:color="auto" w:sz="4" w:space="0"/>
              <w:left w:val="single" w:color="auto" w:sz="4" w:space="0"/>
              <w:bottom w:val="single" w:color="auto" w:sz="4" w:space="0"/>
              <w:right w:val="single" w:color="auto" w:sz="4" w:space="0"/>
            </w:tcBorders>
            <w:vAlign w:val="center"/>
          </w:tcPr>
          <w:p w14:paraId="2270446E">
            <w:pPr>
              <w:widowControl/>
              <w:jc w:val="left"/>
              <w:textAlignment w:val="center"/>
              <w:rPr>
                <w:rFonts w:ascii="仿宋" w:hAnsi="仿宋" w:eastAsia="仿宋" w:cs="仿宋"/>
                <w:color w:val="000000" w:themeColor="text1"/>
                <w:sz w:val="22"/>
                <w14:textFill>
                  <w14:solidFill>
                    <w14:schemeClr w14:val="tx1"/>
                  </w14:solidFill>
                </w14:textFill>
              </w:rPr>
            </w:pPr>
          </w:p>
        </w:tc>
        <w:tc>
          <w:tcPr>
            <w:tcW w:w="2385" w:type="dxa"/>
            <w:tcBorders>
              <w:top w:val="single" w:color="auto" w:sz="4" w:space="0"/>
              <w:left w:val="single" w:color="auto" w:sz="4" w:space="0"/>
              <w:bottom w:val="single" w:color="auto" w:sz="4" w:space="0"/>
              <w:right w:val="single" w:color="auto" w:sz="4" w:space="0"/>
            </w:tcBorders>
            <w:vAlign w:val="center"/>
          </w:tcPr>
          <w:p w14:paraId="6E71DD05">
            <w:pPr>
              <w:widowControl/>
              <w:jc w:val="left"/>
              <w:textAlignment w:val="center"/>
              <w:rPr>
                <w:rFonts w:ascii="仿宋" w:hAnsi="仿宋" w:eastAsia="仿宋" w:cs="仿宋"/>
                <w:color w:val="000000" w:themeColor="text1"/>
                <w:sz w:val="22"/>
                <w14:textFill>
                  <w14:solidFill>
                    <w14:schemeClr w14:val="tx1"/>
                  </w14:solidFill>
                </w14:textFill>
              </w:rPr>
            </w:pPr>
          </w:p>
        </w:tc>
      </w:tr>
      <w:tr w14:paraId="20C75A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14:paraId="2BF2C22A">
            <w:pPr>
              <w:widowControl/>
              <w:jc w:val="center"/>
              <w:textAlignment w:val="center"/>
              <w:rPr>
                <w:rFonts w:ascii="仿宋" w:hAnsi="仿宋" w:eastAsia="仿宋" w:cs="仿宋"/>
                <w:color w:val="000000" w:themeColor="text1"/>
                <w:sz w:val="22"/>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cBorders>
            <w:vAlign w:val="center"/>
          </w:tcPr>
          <w:p w14:paraId="7502F209">
            <w:pPr>
              <w:widowControl/>
              <w:jc w:val="center"/>
              <w:textAlignment w:val="center"/>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（本表可根据需要</w:t>
            </w:r>
          </w:p>
          <w:p w14:paraId="70D8CEE1">
            <w:pPr>
              <w:widowControl/>
              <w:jc w:val="center"/>
              <w:textAlignment w:val="center"/>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自行添加行）</w:t>
            </w:r>
          </w:p>
        </w:tc>
        <w:tc>
          <w:tcPr>
            <w:tcW w:w="2551" w:type="dxa"/>
            <w:tcBorders>
              <w:top w:val="single" w:color="auto" w:sz="4" w:space="0"/>
              <w:left w:val="single" w:color="auto" w:sz="4" w:space="0"/>
              <w:bottom w:val="single" w:color="auto" w:sz="4" w:space="0"/>
              <w:right w:val="single" w:color="auto" w:sz="4" w:space="0"/>
            </w:tcBorders>
            <w:vAlign w:val="center"/>
          </w:tcPr>
          <w:p w14:paraId="2CFFA26A">
            <w:pPr>
              <w:widowControl/>
              <w:jc w:val="left"/>
              <w:textAlignment w:val="center"/>
              <w:rPr>
                <w:rFonts w:ascii="仿宋" w:hAnsi="仿宋" w:eastAsia="仿宋" w:cs="仿宋"/>
                <w:color w:val="000000" w:themeColor="text1"/>
                <w:sz w:val="22"/>
                <w14:textFill>
                  <w14:solidFill>
                    <w14:schemeClr w14:val="tx1"/>
                  </w14:solidFill>
                </w14:textFill>
              </w:rPr>
            </w:pPr>
          </w:p>
        </w:tc>
        <w:tc>
          <w:tcPr>
            <w:tcW w:w="1985" w:type="dxa"/>
            <w:tcBorders>
              <w:top w:val="single" w:color="auto" w:sz="4" w:space="0"/>
              <w:left w:val="single" w:color="auto" w:sz="4" w:space="0"/>
              <w:bottom w:val="single" w:color="auto" w:sz="4" w:space="0"/>
              <w:right w:val="single" w:color="auto" w:sz="4" w:space="0"/>
            </w:tcBorders>
            <w:vAlign w:val="center"/>
          </w:tcPr>
          <w:p w14:paraId="21A58F8D">
            <w:pPr>
              <w:widowControl/>
              <w:jc w:val="left"/>
              <w:textAlignment w:val="center"/>
              <w:rPr>
                <w:rFonts w:ascii="仿宋" w:hAnsi="仿宋" w:eastAsia="仿宋" w:cs="仿宋"/>
                <w:color w:val="000000" w:themeColor="text1"/>
                <w:sz w:val="22"/>
                <w14:textFill>
                  <w14:solidFill>
                    <w14:schemeClr w14:val="tx1"/>
                  </w14:solidFill>
                </w14:textFill>
              </w:rPr>
            </w:pPr>
          </w:p>
        </w:tc>
        <w:tc>
          <w:tcPr>
            <w:tcW w:w="2385" w:type="dxa"/>
            <w:tcBorders>
              <w:top w:val="single" w:color="auto" w:sz="4" w:space="0"/>
              <w:left w:val="single" w:color="auto" w:sz="4" w:space="0"/>
              <w:bottom w:val="single" w:color="auto" w:sz="4" w:space="0"/>
              <w:right w:val="single" w:color="auto" w:sz="4" w:space="0"/>
            </w:tcBorders>
            <w:vAlign w:val="center"/>
          </w:tcPr>
          <w:p w14:paraId="24445CFF">
            <w:pPr>
              <w:widowControl/>
              <w:jc w:val="left"/>
              <w:textAlignment w:val="center"/>
              <w:rPr>
                <w:rFonts w:ascii="仿宋" w:hAnsi="仿宋" w:eastAsia="仿宋" w:cs="仿宋"/>
                <w:color w:val="000000" w:themeColor="text1"/>
                <w:sz w:val="22"/>
                <w14:textFill>
                  <w14:solidFill>
                    <w14:schemeClr w14:val="tx1"/>
                  </w14:solidFill>
                </w14:textFill>
              </w:rPr>
            </w:pPr>
          </w:p>
        </w:tc>
      </w:tr>
    </w:tbl>
    <w:p w14:paraId="0F6985FD">
      <w:pPr>
        <w:tabs>
          <w:tab w:val="left" w:pos="142"/>
        </w:tabs>
        <w:spacing w:line="500" w:lineRule="exact"/>
        <w:ind w:firstLine="480" w:firstLineChars="200"/>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供应商名称（加盖公章）：</w:t>
      </w:r>
    </w:p>
    <w:p w14:paraId="797A59C0">
      <w:pPr>
        <w:tabs>
          <w:tab w:val="left" w:pos="142"/>
        </w:tabs>
        <w:spacing w:line="500" w:lineRule="exact"/>
        <w:ind w:firstLine="480" w:firstLineChars="200"/>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法定代表人（授权代表）</w:t>
      </w:r>
      <w:r>
        <w:rPr>
          <w:rFonts w:hint="eastAsia" w:ascii="仿宋" w:hAnsi="仿宋" w:eastAsia="仿宋" w:cs="仿宋"/>
          <w:color w:val="000000" w:themeColor="text1"/>
          <w:sz w:val="24"/>
          <w:szCs w:val="24"/>
          <w:lang w:val="en-US" w:eastAsia="zh-CN"/>
          <w14:textFill>
            <w14:solidFill>
              <w14:schemeClr w14:val="tx1"/>
            </w14:solidFill>
          </w14:textFill>
        </w:rPr>
        <w:t>签字或盖章</w:t>
      </w:r>
      <w:r>
        <w:rPr>
          <w:rFonts w:hint="eastAsia" w:ascii="仿宋" w:hAnsi="仿宋" w:eastAsia="仿宋" w:cs="仿宋"/>
          <w:color w:val="000000" w:themeColor="text1"/>
          <w:sz w:val="24"/>
          <w:szCs w:val="24"/>
          <w14:textFill>
            <w14:solidFill>
              <w14:schemeClr w14:val="tx1"/>
            </w14:solidFill>
          </w14:textFill>
        </w:rPr>
        <w:t>：</w:t>
      </w:r>
    </w:p>
    <w:p w14:paraId="515BB2C1">
      <w:pPr>
        <w:tabs>
          <w:tab w:val="left" w:pos="142"/>
        </w:tabs>
        <w:spacing w:line="500" w:lineRule="exact"/>
        <w:ind w:firstLine="480" w:firstLineChars="200"/>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日期：</w:t>
      </w:r>
    </w:p>
    <w:p w14:paraId="21E6F569">
      <w:pPr>
        <w:tabs>
          <w:tab w:val="left" w:pos="142"/>
        </w:tabs>
        <w:spacing w:line="500" w:lineRule="exact"/>
        <w:ind w:firstLine="480" w:firstLineChars="200"/>
        <w:jc w:val="left"/>
        <w:rPr>
          <w:rFonts w:ascii="仿宋" w:hAnsi="仿宋" w:eastAsia="仿宋" w:cs="仿宋"/>
          <w:color w:val="000000" w:themeColor="text1"/>
          <w:sz w:val="24"/>
          <w:szCs w:val="24"/>
          <w14:textFill>
            <w14:solidFill>
              <w14:schemeClr w14:val="tx1"/>
            </w14:solidFill>
          </w14:textFill>
        </w:rPr>
      </w:pPr>
    </w:p>
    <w:p w14:paraId="17DD4480">
      <w:pPr>
        <w:tabs>
          <w:tab w:val="left" w:pos="142"/>
        </w:tabs>
        <w:spacing w:line="500" w:lineRule="exact"/>
        <w:ind w:firstLine="480" w:firstLineChars="200"/>
        <w:jc w:val="left"/>
        <w:rPr>
          <w:rFonts w:ascii="仿宋" w:hAnsi="仿宋" w:eastAsia="仿宋" w:cs="仿宋"/>
          <w:color w:val="000000" w:themeColor="text1"/>
          <w:sz w:val="24"/>
          <w:szCs w:val="24"/>
          <w14:textFill>
            <w14:solidFill>
              <w14:schemeClr w14:val="tx1"/>
            </w14:solidFill>
          </w14:textFill>
        </w:rPr>
      </w:pPr>
    </w:p>
    <w:p w14:paraId="38271236">
      <w:pPr>
        <w:tabs>
          <w:tab w:val="left" w:pos="142"/>
        </w:tabs>
        <w:spacing w:line="500" w:lineRule="exact"/>
        <w:ind w:firstLine="480" w:firstLineChars="200"/>
        <w:jc w:val="left"/>
        <w:rPr>
          <w:rFonts w:ascii="仿宋" w:hAnsi="仿宋" w:eastAsia="仿宋" w:cs="仿宋"/>
          <w:color w:val="000000" w:themeColor="text1"/>
          <w:sz w:val="24"/>
          <w:szCs w:val="24"/>
          <w14:textFill>
            <w14:solidFill>
              <w14:schemeClr w14:val="tx1"/>
            </w14:solidFill>
          </w14:textFill>
        </w:rPr>
      </w:pPr>
    </w:p>
    <w:p w14:paraId="45530B77">
      <w:pPr>
        <w:spacing w:line="360" w:lineRule="auto"/>
        <w:rPr>
          <w:rFonts w:ascii="仿宋" w:hAnsi="仿宋" w:eastAsia="仿宋" w:cs="仿宋"/>
          <w:szCs w:val="21"/>
        </w:rPr>
      </w:pPr>
      <w:r>
        <w:rPr>
          <w:rFonts w:ascii="仿宋" w:hAnsi="仿宋" w:eastAsia="仿宋" w:cs="仿宋"/>
          <w:szCs w:val="21"/>
        </w:rPr>
        <w:t>填写说明：</w:t>
      </w:r>
    </w:p>
    <w:p w14:paraId="010B3733">
      <w:pPr>
        <w:spacing w:line="500" w:lineRule="exact"/>
        <w:rPr>
          <w:rFonts w:ascii="仿宋" w:hAnsi="仿宋" w:eastAsia="仿宋" w:cs="仿宋"/>
          <w:szCs w:val="21"/>
        </w:rPr>
      </w:pPr>
      <w:r>
        <w:rPr>
          <w:rFonts w:ascii="仿宋" w:hAnsi="仿宋" w:eastAsia="仿宋" w:cs="仿宋"/>
          <w:szCs w:val="21"/>
        </w:rPr>
        <w:t>①此表为表样，行数可自行添加，但表式不变。</w:t>
      </w:r>
    </w:p>
    <w:p w14:paraId="7A1F060B">
      <w:pPr>
        <w:spacing w:line="500" w:lineRule="exact"/>
        <w:rPr>
          <w:rFonts w:ascii="仿宋" w:hAnsi="仿宋" w:eastAsia="仿宋" w:cs="仿宋"/>
          <w:szCs w:val="21"/>
        </w:rPr>
      </w:pPr>
      <w:r>
        <w:rPr>
          <w:rFonts w:ascii="仿宋" w:hAnsi="仿宋" w:eastAsia="仿宋" w:cs="仿宋"/>
          <w:szCs w:val="21"/>
        </w:rPr>
        <w:t>②是否偏离用符号“+、-”分别表示正偏离、负偏离。</w:t>
      </w:r>
    </w:p>
    <w:p w14:paraId="5835EDFC">
      <w:pPr>
        <w:spacing w:line="500" w:lineRule="exact"/>
        <w:rPr>
          <w:rFonts w:ascii="仿宋" w:hAnsi="仿宋" w:eastAsia="仿宋" w:cs="仿宋"/>
          <w:szCs w:val="21"/>
        </w:rPr>
      </w:pPr>
      <w:r>
        <w:rPr>
          <w:rFonts w:ascii="仿宋" w:hAnsi="仿宋" w:eastAsia="仿宋" w:cs="仿宋"/>
          <w:szCs w:val="21"/>
        </w:rPr>
        <w:t>③供应商必须仔细阅读本采购文件中所有</w:t>
      </w:r>
      <w:r>
        <w:rPr>
          <w:rFonts w:hint="eastAsia" w:ascii="仿宋" w:hAnsi="仿宋" w:eastAsia="仿宋" w:cs="仿宋"/>
          <w:szCs w:val="21"/>
          <w:lang w:eastAsia="zh-CN"/>
        </w:rPr>
        <w:t>服务</w:t>
      </w:r>
      <w:r>
        <w:rPr>
          <w:rFonts w:ascii="仿宋" w:hAnsi="仿宋" w:eastAsia="仿宋" w:cs="仿宋"/>
          <w:szCs w:val="21"/>
        </w:rPr>
        <w:t>要求，并列入上表。</w:t>
      </w:r>
    </w:p>
    <w:p w14:paraId="3C9BA6E8">
      <w:pPr>
        <w:spacing w:line="500" w:lineRule="exact"/>
        <w:rPr>
          <w:rFonts w:hint="eastAsia" w:ascii="仿宋" w:hAnsi="仿宋" w:eastAsia="仿宋" w:cs="仿宋"/>
          <w:b/>
          <w:sz w:val="32"/>
          <w:szCs w:val="32"/>
          <w:lang w:val="en-US" w:eastAsia="zh-CN"/>
        </w:rPr>
        <w:sectPr>
          <w:pgSz w:w="11906" w:h="16838"/>
          <w:pgMar w:top="1440" w:right="1080" w:bottom="1440" w:left="1080" w:header="1020" w:footer="992" w:gutter="0"/>
          <w:cols w:space="425" w:num="1"/>
          <w:titlePg/>
          <w:docGrid w:type="lines" w:linePitch="312" w:charSpace="0"/>
        </w:sectPr>
      </w:pPr>
      <w:r>
        <w:rPr>
          <w:rFonts w:ascii="仿宋" w:hAnsi="仿宋" w:eastAsia="仿宋" w:cs="仿宋"/>
          <w:szCs w:val="21"/>
        </w:rPr>
        <w:t>④若响应文件中出现与此表表述不一致的，以此表为准</w:t>
      </w:r>
      <w:r>
        <w:rPr>
          <w:rFonts w:hint="eastAsia" w:ascii="仿宋" w:hAnsi="仿宋" w:eastAsia="仿宋" w:cs="仿宋"/>
          <w:szCs w:val="21"/>
          <w:lang w:eastAsia="zh-CN"/>
        </w:rPr>
        <w:t>。</w:t>
      </w:r>
    </w:p>
    <w:p w14:paraId="4D158C9A">
      <w:pPr>
        <w:jc w:val="center"/>
        <w:rPr>
          <w:rFonts w:ascii="仿宋" w:hAnsi="仿宋" w:eastAsia="仿宋" w:cs="仿宋"/>
          <w:b/>
          <w:bCs/>
          <w:sz w:val="32"/>
          <w:szCs w:val="32"/>
        </w:rPr>
      </w:pPr>
      <w:r>
        <w:rPr>
          <w:rFonts w:hint="eastAsia" w:ascii="仿宋" w:hAnsi="仿宋" w:eastAsia="仿宋" w:cs="仿宋"/>
          <w:b/>
          <w:bCs/>
          <w:sz w:val="32"/>
          <w:szCs w:val="32"/>
        </w:rPr>
        <w:t>八</w:t>
      </w:r>
      <w:r>
        <w:rPr>
          <w:rFonts w:ascii="仿宋" w:hAnsi="仿宋" w:eastAsia="仿宋" w:cs="仿宋"/>
          <w:b/>
          <w:bCs/>
          <w:sz w:val="32"/>
          <w:szCs w:val="32"/>
        </w:rPr>
        <w:t>、</w:t>
      </w:r>
      <w:r>
        <w:rPr>
          <w:rFonts w:hint="eastAsia" w:ascii="仿宋" w:hAnsi="仿宋" w:eastAsia="仿宋" w:cs="仿宋"/>
          <w:b/>
          <w:bCs/>
          <w:sz w:val="32"/>
          <w:szCs w:val="32"/>
        </w:rPr>
        <w:t>拟投入项目人员一览表</w:t>
      </w:r>
      <w:bookmarkEnd w:id="172"/>
      <w:bookmarkEnd w:id="173"/>
    </w:p>
    <w:p w14:paraId="01EAC416">
      <w:pPr>
        <w:spacing w:line="360" w:lineRule="auto"/>
        <w:rPr>
          <w:rFonts w:ascii="仿宋" w:hAnsi="仿宋" w:eastAsia="仿宋" w:cs="仿宋"/>
        </w:rPr>
      </w:pPr>
    </w:p>
    <w:p w14:paraId="73647CE4">
      <w:pPr>
        <w:pStyle w:val="11"/>
        <w:spacing w:line="360" w:lineRule="auto"/>
        <w:rPr>
          <w:rFonts w:ascii="仿宋" w:hAnsi="仿宋" w:eastAsia="仿宋" w:cs="仿宋"/>
          <w:szCs w:val="24"/>
        </w:rPr>
      </w:pPr>
      <w:r>
        <w:rPr>
          <w:rFonts w:hint="eastAsia" w:ascii="仿宋" w:hAnsi="仿宋" w:eastAsia="仿宋" w:cs="仿宋"/>
          <w:szCs w:val="24"/>
        </w:rPr>
        <w:t xml:space="preserve">项目名称： </w:t>
      </w:r>
    </w:p>
    <w:p w14:paraId="74635F70">
      <w:pPr>
        <w:adjustRightInd w:val="0"/>
        <w:snapToGrid w:val="0"/>
        <w:spacing w:afterLines="50" w:line="360" w:lineRule="auto"/>
        <w:rPr>
          <w:rFonts w:ascii="仿宋" w:hAnsi="仿宋" w:eastAsia="仿宋" w:cs="仿宋"/>
          <w:sz w:val="24"/>
        </w:rPr>
      </w:pPr>
      <w:r>
        <w:rPr>
          <w:rFonts w:hint="eastAsia" w:ascii="仿宋" w:hAnsi="仿宋" w:eastAsia="仿宋" w:cs="仿宋"/>
          <w:sz w:val="24"/>
        </w:rPr>
        <w:t xml:space="preserve">项目编号：    </w:t>
      </w:r>
    </w:p>
    <w:p w14:paraId="026DC4E3">
      <w:pPr>
        <w:adjustRightInd w:val="0"/>
        <w:snapToGrid w:val="0"/>
        <w:spacing w:line="360" w:lineRule="auto"/>
        <w:rPr>
          <w:rFonts w:ascii="仿宋" w:hAnsi="仿宋" w:eastAsia="仿宋" w:cs="仿宋"/>
          <w:sz w:val="24"/>
        </w:rPr>
      </w:pPr>
    </w:p>
    <w:tbl>
      <w:tblPr>
        <w:tblStyle w:val="18"/>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1185"/>
        <w:gridCol w:w="1200"/>
        <w:gridCol w:w="1275"/>
        <w:gridCol w:w="2130"/>
        <w:gridCol w:w="2237"/>
      </w:tblGrid>
      <w:tr w14:paraId="09E57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3" w:type="dxa"/>
            <w:vAlign w:val="center"/>
          </w:tcPr>
          <w:p w14:paraId="7E76CAB7">
            <w:pPr>
              <w:adjustRightInd w:val="0"/>
              <w:snapToGrid w:val="0"/>
              <w:spacing w:line="360" w:lineRule="auto"/>
              <w:jc w:val="center"/>
              <w:rPr>
                <w:rFonts w:ascii="仿宋" w:hAnsi="仿宋" w:eastAsia="仿宋" w:cs="仿宋"/>
                <w:b/>
                <w:bCs/>
              </w:rPr>
            </w:pPr>
            <w:r>
              <w:rPr>
                <w:rFonts w:hint="eastAsia" w:ascii="仿宋" w:hAnsi="仿宋" w:eastAsia="仿宋" w:cs="仿宋"/>
                <w:b/>
                <w:bCs/>
              </w:rPr>
              <w:t>序号</w:t>
            </w:r>
          </w:p>
        </w:tc>
        <w:tc>
          <w:tcPr>
            <w:tcW w:w="1185" w:type="dxa"/>
            <w:vAlign w:val="center"/>
          </w:tcPr>
          <w:p w14:paraId="33653E9E">
            <w:pPr>
              <w:adjustRightInd w:val="0"/>
              <w:snapToGrid w:val="0"/>
              <w:spacing w:line="360" w:lineRule="auto"/>
              <w:jc w:val="center"/>
              <w:rPr>
                <w:rFonts w:ascii="仿宋" w:hAnsi="仿宋" w:eastAsia="仿宋" w:cs="仿宋"/>
                <w:b/>
                <w:bCs/>
              </w:rPr>
            </w:pPr>
            <w:r>
              <w:rPr>
                <w:rFonts w:hint="eastAsia" w:ascii="仿宋" w:hAnsi="仿宋" w:eastAsia="仿宋" w:cs="仿宋"/>
                <w:b/>
                <w:bCs/>
              </w:rPr>
              <w:t>姓名</w:t>
            </w:r>
          </w:p>
        </w:tc>
        <w:tc>
          <w:tcPr>
            <w:tcW w:w="1200" w:type="dxa"/>
            <w:vAlign w:val="center"/>
          </w:tcPr>
          <w:p w14:paraId="1A28AB0F">
            <w:pPr>
              <w:adjustRightInd w:val="0"/>
              <w:snapToGrid w:val="0"/>
              <w:spacing w:line="360" w:lineRule="auto"/>
              <w:jc w:val="center"/>
              <w:rPr>
                <w:rFonts w:ascii="仿宋" w:hAnsi="仿宋" w:eastAsia="仿宋" w:cs="仿宋"/>
                <w:b/>
                <w:bCs/>
              </w:rPr>
            </w:pPr>
            <w:r>
              <w:rPr>
                <w:rFonts w:hint="eastAsia" w:ascii="仿宋" w:hAnsi="仿宋" w:eastAsia="仿宋" w:cs="仿宋"/>
                <w:b/>
                <w:bCs/>
              </w:rPr>
              <w:t>性别</w:t>
            </w:r>
          </w:p>
        </w:tc>
        <w:tc>
          <w:tcPr>
            <w:tcW w:w="1275" w:type="dxa"/>
            <w:vAlign w:val="center"/>
          </w:tcPr>
          <w:p w14:paraId="3A09DCB9">
            <w:pPr>
              <w:adjustRightInd w:val="0"/>
              <w:snapToGrid w:val="0"/>
              <w:spacing w:line="360" w:lineRule="auto"/>
              <w:jc w:val="center"/>
              <w:rPr>
                <w:rFonts w:ascii="仿宋" w:hAnsi="仿宋" w:eastAsia="仿宋" w:cs="仿宋"/>
                <w:b/>
                <w:bCs/>
              </w:rPr>
            </w:pPr>
            <w:r>
              <w:rPr>
                <w:rFonts w:hint="eastAsia" w:ascii="仿宋" w:hAnsi="仿宋" w:eastAsia="仿宋" w:cs="仿宋"/>
                <w:b/>
                <w:bCs/>
              </w:rPr>
              <w:t>年龄</w:t>
            </w:r>
          </w:p>
        </w:tc>
        <w:tc>
          <w:tcPr>
            <w:tcW w:w="2130" w:type="dxa"/>
            <w:vAlign w:val="center"/>
          </w:tcPr>
          <w:p w14:paraId="7DC6C2C9">
            <w:pPr>
              <w:adjustRightInd w:val="0"/>
              <w:snapToGrid w:val="0"/>
              <w:spacing w:line="360" w:lineRule="auto"/>
              <w:jc w:val="center"/>
              <w:rPr>
                <w:rFonts w:ascii="仿宋" w:hAnsi="仿宋" w:eastAsia="仿宋" w:cs="仿宋"/>
                <w:b/>
                <w:bCs/>
              </w:rPr>
            </w:pPr>
            <w:r>
              <w:rPr>
                <w:rFonts w:hint="eastAsia" w:ascii="仿宋" w:hAnsi="仿宋" w:eastAsia="仿宋" w:cs="仿宋"/>
                <w:b/>
                <w:bCs/>
              </w:rPr>
              <w:t>职务</w:t>
            </w:r>
          </w:p>
        </w:tc>
        <w:tc>
          <w:tcPr>
            <w:tcW w:w="2237" w:type="dxa"/>
            <w:vAlign w:val="center"/>
          </w:tcPr>
          <w:p w14:paraId="607AF68C">
            <w:pPr>
              <w:adjustRightInd w:val="0"/>
              <w:snapToGrid w:val="0"/>
              <w:spacing w:line="360" w:lineRule="auto"/>
              <w:jc w:val="center"/>
              <w:rPr>
                <w:rFonts w:hint="eastAsia" w:ascii="仿宋" w:hAnsi="仿宋" w:eastAsia="仿宋" w:cs="仿宋"/>
                <w:b/>
                <w:bCs/>
                <w:lang w:eastAsia="zh-CN"/>
              </w:rPr>
            </w:pPr>
            <w:r>
              <w:rPr>
                <w:rFonts w:hint="eastAsia" w:ascii="仿宋" w:hAnsi="仿宋" w:eastAsia="仿宋" w:cs="仿宋"/>
                <w:b/>
                <w:bCs/>
                <w:lang w:val="en-US" w:eastAsia="zh-CN"/>
              </w:rPr>
              <w:t>具体服务内容</w:t>
            </w:r>
          </w:p>
        </w:tc>
      </w:tr>
      <w:tr w14:paraId="6638A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3" w:type="dxa"/>
            <w:vAlign w:val="center"/>
          </w:tcPr>
          <w:p w14:paraId="18C0DEDE">
            <w:pPr>
              <w:adjustRightInd w:val="0"/>
              <w:snapToGrid w:val="0"/>
              <w:spacing w:line="360" w:lineRule="auto"/>
              <w:jc w:val="center"/>
              <w:rPr>
                <w:rFonts w:ascii="仿宋" w:hAnsi="仿宋" w:eastAsia="仿宋" w:cs="仿宋"/>
              </w:rPr>
            </w:pPr>
            <w:r>
              <w:rPr>
                <w:rFonts w:hint="eastAsia" w:ascii="仿宋" w:hAnsi="仿宋" w:eastAsia="仿宋" w:cs="仿宋"/>
              </w:rPr>
              <w:t>1</w:t>
            </w:r>
          </w:p>
        </w:tc>
        <w:tc>
          <w:tcPr>
            <w:tcW w:w="1185" w:type="dxa"/>
            <w:vAlign w:val="center"/>
          </w:tcPr>
          <w:p w14:paraId="6BF2B239">
            <w:pPr>
              <w:adjustRightInd w:val="0"/>
              <w:snapToGrid w:val="0"/>
              <w:spacing w:line="360" w:lineRule="auto"/>
              <w:jc w:val="center"/>
              <w:rPr>
                <w:rFonts w:ascii="仿宋" w:hAnsi="仿宋" w:eastAsia="仿宋" w:cs="仿宋"/>
              </w:rPr>
            </w:pPr>
          </w:p>
        </w:tc>
        <w:tc>
          <w:tcPr>
            <w:tcW w:w="1200" w:type="dxa"/>
            <w:vAlign w:val="center"/>
          </w:tcPr>
          <w:p w14:paraId="5EFEFC54">
            <w:pPr>
              <w:adjustRightInd w:val="0"/>
              <w:snapToGrid w:val="0"/>
              <w:spacing w:line="360" w:lineRule="auto"/>
              <w:jc w:val="center"/>
              <w:rPr>
                <w:rFonts w:ascii="仿宋" w:hAnsi="仿宋" w:eastAsia="仿宋" w:cs="仿宋"/>
              </w:rPr>
            </w:pPr>
          </w:p>
        </w:tc>
        <w:tc>
          <w:tcPr>
            <w:tcW w:w="1275" w:type="dxa"/>
            <w:vAlign w:val="center"/>
          </w:tcPr>
          <w:p w14:paraId="6B847C16">
            <w:pPr>
              <w:adjustRightInd w:val="0"/>
              <w:snapToGrid w:val="0"/>
              <w:spacing w:line="360" w:lineRule="auto"/>
              <w:jc w:val="center"/>
              <w:rPr>
                <w:rFonts w:ascii="仿宋" w:hAnsi="仿宋" w:eastAsia="仿宋" w:cs="仿宋"/>
              </w:rPr>
            </w:pPr>
          </w:p>
        </w:tc>
        <w:tc>
          <w:tcPr>
            <w:tcW w:w="2130" w:type="dxa"/>
            <w:vAlign w:val="center"/>
          </w:tcPr>
          <w:p w14:paraId="5F985385">
            <w:pPr>
              <w:adjustRightInd w:val="0"/>
              <w:snapToGrid w:val="0"/>
              <w:spacing w:line="360" w:lineRule="auto"/>
              <w:jc w:val="center"/>
              <w:rPr>
                <w:rFonts w:ascii="仿宋" w:hAnsi="仿宋" w:eastAsia="仿宋" w:cs="仿宋"/>
              </w:rPr>
            </w:pPr>
          </w:p>
        </w:tc>
        <w:tc>
          <w:tcPr>
            <w:tcW w:w="2237" w:type="dxa"/>
            <w:vAlign w:val="center"/>
          </w:tcPr>
          <w:p w14:paraId="0EF7A37D">
            <w:pPr>
              <w:adjustRightInd w:val="0"/>
              <w:snapToGrid w:val="0"/>
              <w:spacing w:line="360" w:lineRule="auto"/>
              <w:jc w:val="center"/>
              <w:rPr>
                <w:rFonts w:ascii="仿宋" w:hAnsi="仿宋" w:eastAsia="仿宋" w:cs="仿宋"/>
              </w:rPr>
            </w:pPr>
          </w:p>
        </w:tc>
      </w:tr>
      <w:tr w14:paraId="15229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3" w:type="dxa"/>
            <w:vAlign w:val="center"/>
          </w:tcPr>
          <w:p w14:paraId="62518139">
            <w:pPr>
              <w:adjustRightInd w:val="0"/>
              <w:snapToGrid w:val="0"/>
              <w:spacing w:line="360" w:lineRule="auto"/>
              <w:jc w:val="center"/>
              <w:rPr>
                <w:rFonts w:ascii="仿宋" w:hAnsi="仿宋" w:eastAsia="仿宋" w:cs="仿宋"/>
              </w:rPr>
            </w:pPr>
            <w:r>
              <w:rPr>
                <w:rFonts w:hint="eastAsia" w:ascii="仿宋" w:hAnsi="仿宋" w:eastAsia="仿宋" w:cs="仿宋"/>
              </w:rPr>
              <w:t>2</w:t>
            </w:r>
          </w:p>
        </w:tc>
        <w:tc>
          <w:tcPr>
            <w:tcW w:w="1185" w:type="dxa"/>
            <w:vAlign w:val="center"/>
          </w:tcPr>
          <w:p w14:paraId="6DCD1132">
            <w:pPr>
              <w:adjustRightInd w:val="0"/>
              <w:snapToGrid w:val="0"/>
              <w:spacing w:line="360" w:lineRule="auto"/>
              <w:jc w:val="center"/>
              <w:rPr>
                <w:rFonts w:ascii="仿宋" w:hAnsi="仿宋" w:eastAsia="仿宋" w:cs="仿宋"/>
              </w:rPr>
            </w:pPr>
          </w:p>
        </w:tc>
        <w:tc>
          <w:tcPr>
            <w:tcW w:w="1200" w:type="dxa"/>
            <w:vAlign w:val="center"/>
          </w:tcPr>
          <w:p w14:paraId="3BC02ACB">
            <w:pPr>
              <w:adjustRightInd w:val="0"/>
              <w:snapToGrid w:val="0"/>
              <w:spacing w:line="360" w:lineRule="auto"/>
              <w:jc w:val="center"/>
              <w:rPr>
                <w:rFonts w:ascii="仿宋" w:hAnsi="仿宋" w:eastAsia="仿宋" w:cs="仿宋"/>
              </w:rPr>
            </w:pPr>
          </w:p>
        </w:tc>
        <w:tc>
          <w:tcPr>
            <w:tcW w:w="1275" w:type="dxa"/>
            <w:vAlign w:val="center"/>
          </w:tcPr>
          <w:p w14:paraId="0867C23D">
            <w:pPr>
              <w:adjustRightInd w:val="0"/>
              <w:snapToGrid w:val="0"/>
              <w:spacing w:line="360" w:lineRule="auto"/>
              <w:jc w:val="center"/>
              <w:rPr>
                <w:rFonts w:ascii="仿宋" w:hAnsi="仿宋" w:eastAsia="仿宋" w:cs="仿宋"/>
              </w:rPr>
            </w:pPr>
          </w:p>
        </w:tc>
        <w:tc>
          <w:tcPr>
            <w:tcW w:w="2130" w:type="dxa"/>
            <w:vAlign w:val="center"/>
          </w:tcPr>
          <w:p w14:paraId="037A96C1">
            <w:pPr>
              <w:adjustRightInd w:val="0"/>
              <w:snapToGrid w:val="0"/>
              <w:spacing w:line="360" w:lineRule="auto"/>
              <w:jc w:val="center"/>
              <w:rPr>
                <w:rFonts w:ascii="仿宋" w:hAnsi="仿宋" w:eastAsia="仿宋" w:cs="仿宋"/>
              </w:rPr>
            </w:pPr>
          </w:p>
        </w:tc>
        <w:tc>
          <w:tcPr>
            <w:tcW w:w="2237" w:type="dxa"/>
            <w:vAlign w:val="center"/>
          </w:tcPr>
          <w:p w14:paraId="0F14DEFB">
            <w:pPr>
              <w:adjustRightInd w:val="0"/>
              <w:snapToGrid w:val="0"/>
              <w:spacing w:line="360" w:lineRule="auto"/>
              <w:jc w:val="center"/>
              <w:rPr>
                <w:rFonts w:ascii="仿宋" w:hAnsi="仿宋" w:eastAsia="仿宋" w:cs="仿宋"/>
              </w:rPr>
            </w:pPr>
          </w:p>
        </w:tc>
      </w:tr>
      <w:tr w14:paraId="05A93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3" w:type="dxa"/>
            <w:vAlign w:val="center"/>
          </w:tcPr>
          <w:p w14:paraId="6587AC2D">
            <w:pPr>
              <w:adjustRightInd w:val="0"/>
              <w:snapToGrid w:val="0"/>
              <w:spacing w:line="360" w:lineRule="auto"/>
              <w:jc w:val="center"/>
              <w:rPr>
                <w:rFonts w:ascii="仿宋" w:hAnsi="仿宋" w:eastAsia="仿宋" w:cs="仿宋"/>
              </w:rPr>
            </w:pPr>
            <w:r>
              <w:rPr>
                <w:rFonts w:hint="eastAsia" w:ascii="仿宋" w:hAnsi="仿宋" w:eastAsia="仿宋" w:cs="仿宋"/>
              </w:rPr>
              <w:t>3</w:t>
            </w:r>
          </w:p>
        </w:tc>
        <w:tc>
          <w:tcPr>
            <w:tcW w:w="1185" w:type="dxa"/>
            <w:vAlign w:val="center"/>
          </w:tcPr>
          <w:p w14:paraId="0B197B88">
            <w:pPr>
              <w:adjustRightInd w:val="0"/>
              <w:snapToGrid w:val="0"/>
              <w:spacing w:line="360" w:lineRule="auto"/>
              <w:jc w:val="center"/>
              <w:rPr>
                <w:rFonts w:ascii="仿宋" w:hAnsi="仿宋" w:eastAsia="仿宋" w:cs="仿宋"/>
              </w:rPr>
            </w:pPr>
          </w:p>
        </w:tc>
        <w:tc>
          <w:tcPr>
            <w:tcW w:w="1200" w:type="dxa"/>
            <w:vAlign w:val="center"/>
          </w:tcPr>
          <w:p w14:paraId="7F706BA3">
            <w:pPr>
              <w:adjustRightInd w:val="0"/>
              <w:snapToGrid w:val="0"/>
              <w:spacing w:line="360" w:lineRule="auto"/>
              <w:jc w:val="center"/>
              <w:rPr>
                <w:rFonts w:ascii="仿宋" w:hAnsi="仿宋" w:eastAsia="仿宋" w:cs="仿宋"/>
              </w:rPr>
            </w:pPr>
          </w:p>
        </w:tc>
        <w:tc>
          <w:tcPr>
            <w:tcW w:w="1275" w:type="dxa"/>
            <w:vAlign w:val="center"/>
          </w:tcPr>
          <w:p w14:paraId="676FE919">
            <w:pPr>
              <w:adjustRightInd w:val="0"/>
              <w:snapToGrid w:val="0"/>
              <w:spacing w:line="360" w:lineRule="auto"/>
              <w:jc w:val="center"/>
              <w:rPr>
                <w:rFonts w:ascii="仿宋" w:hAnsi="仿宋" w:eastAsia="仿宋" w:cs="仿宋"/>
              </w:rPr>
            </w:pPr>
          </w:p>
        </w:tc>
        <w:tc>
          <w:tcPr>
            <w:tcW w:w="2130" w:type="dxa"/>
            <w:vAlign w:val="center"/>
          </w:tcPr>
          <w:p w14:paraId="3ACE1480">
            <w:pPr>
              <w:adjustRightInd w:val="0"/>
              <w:snapToGrid w:val="0"/>
              <w:spacing w:line="360" w:lineRule="auto"/>
              <w:jc w:val="center"/>
              <w:rPr>
                <w:rFonts w:ascii="仿宋" w:hAnsi="仿宋" w:eastAsia="仿宋" w:cs="仿宋"/>
              </w:rPr>
            </w:pPr>
          </w:p>
        </w:tc>
        <w:tc>
          <w:tcPr>
            <w:tcW w:w="2237" w:type="dxa"/>
            <w:vAlign w:val="center"/>
          </w:tcPr>
          <w:p w14:paraId="13630250">
            <w:pPr>
              <w:adjustRightInd w:val="0"/>
              <w:snapToGrid w:val="0"/>
              <w:spacing w:line="360" w:lineRule="auto"/>
              <w:jc w:val="center"/>
              <w:rPr>
                <w:rFonts w:ascii="仿宋" w:hAnsi="仿宋" w:eastAsia="仿宋" w:cs="仿宋"/>
              </w:rPr>
            </w:pPr>
          </w:p>
        </w:tc>
      </w:tr>
      <w:tr w14:paraId="318E0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3" w:type="dxa"/>
            <w:vAlign w:val="center"/>
          </w:tcPr>
          <w:p w14:paraId="39AECE73">
            <w:pPr>
              <w:adjustRightInd w:val="0"/>
              <w:snapToGrid w:val="0"/>
              <w:spacing w:line="360" w:lineRule="auto"/>
              <w:jc w:val="center"/>
              <w:rPr>
                <w:rFonts w:ascii="仿宋" w:hAnsi="仿宋" w:eastAsia="仿宋" w:cs="仿宋"/>
              </w:rPr>
            </w:pPr>
            <w:r>
              <w:rPr>
                <w:rFonts w:hint="eastAsia" w:ascii="仿宋" w:hAnsi="仿宋" w:eastAsia="仿宋" w:cs="仿宋"/>
              </w:rPr>
              <w:t>4</w:t>
            </w:r>
          </w:p>
        </w:tc>
        <w:tc>
          <w:tcPr>
            <w:tcW w:w="1185" w:type="dxa"/>
            <w:vAlign w:val="center"/>
          </w:tcPr>
          <w:p w14:paraId="717B7173">
            <w:pPr>
              <w:adjustRightInd w:val="0"/>
              <w:snapToGrid w:val="0"/>
              <w:spacing w:line="360" w:lineRule="auto"/>
              <w:jc w:val="center"/>
              <w:rPr>
                <w:rFonts w:ascii="仿宋" w:hAnsi="仿宋" w:eastAsia="仿宋" w:cs="仿宋"/>
              </w:rPr>
            </w:pPr>
          </w:p>
        </w:tc>
        <w:tc>
          <w:tcPr>
            <w:tcW w:w="1200" w:type="dxa"/>
            <w:vAlign w:val="center"/>
          </w:tcPr>
          <w:p w14:paraId="52491049">
            <w:pPr>
              <w:adjustRightInd w:val="0"/>
              <w:snapToGrid w:val="0"/>
              <w:spacing w:line="360" w:lineRule="auto"/>
              <w:jc w:val="center"/>
              <w:rPr>
                <w:rFonts w:ascii="仿宋" w:hAnsi="仿宋" w:eastAsia="仿宋" w:cs="仿宋"/>
              </w:rPr>
            </w:pPr>
          </w:p>
        </w:tc>
        <w:tc>
          <w:tcPr>
            <w:tcW w:w="1275" w:type="dxa"/>
            <w:vAlign w:val="center"/>
          </w:tcPr>
          <w:p w14:paraId="78A923B5">
            <w:pPr>
              <w:adjustRightInd w:val="0"/>
              <w:snapToGrid w:val="0"/>
              <w:spacing w:line="360" w:lineRule="auto"/>
              <w:jc w:val="center"/>
              <w:rPr>
                <w:rFonts w:ascii="仿宋" w:hAnsi="仿宋" w:eastAsia="仿宋" w:cs="仿宋"/>
              </w:rPr>
            </w:pPr>
          </w:p>
        </w:tc>
        <w:tc>
          <w:tcPr>
            <w:tcW w:w="2130" w:type="dxa"/>
            <w:vAlign w:val="center"/>
          </w:tcPr>
          <w:p w14:paraId="5A0DFEC3">
            <w:pPr>
              <w:adjustRightInd w:val="0"/>
              <w:snapToGrid w:val="0"/>
              <w:spacing w:line="360" w:lineRule="auto"/>
              <w:jc w:val="center"/>
              <w:rPr>
                <w:rFonts w:ascii="仿宋" w:hAnsi="仿宋" w:eastAsia="仿宋" w:cs="仿宋"/>
              </w:rPr>
            </w:pPr>
          </w:p>
        </w:tc>
        <w:tc>
          <w:tcPr>
            <w:tcW w:w="2237" w:type="dxa"/>
            <w:vAlign w:val="center"/>
          </w:tcPr>
          <w:p w14:paraId="0B4B7706">
            <w:pPr>
              <w:adjustRightInd w:val="0"/>
              <w:snapToGrid w:val="0"/>
              <w:spacing w:line="360" w:lineRule="auto"/>
              <w:jc w:val="center"/>
              <w:rPr>
                <w:rFonts w:ascii="仿宋" w:hAnsi="仿宋" w:eastAsia="仿宋" w:cs="仿宋"/>
              </w:rPr>
            </w:pPr>
          </w:p>
        </w:tc>
      </w:tr>
      <w:tr w14:paraId="7052E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3" w:type="dxa"/>
            <w:vAlign w:val="center"/>
          </w:tcPr>
          <w:p w14:paraId="6CB44A0E">
            <w:pPr>
              <w:adjustRightInd w:val="0"/>
              <w:snapToGrid w:val="0"/>
              <w:spacing w:line="360" w:lineRule="auto"/>
              <w:jc w:val="center"/>
              <w:rPr>
                <w:rFonts w:ascii="仿宋" w:hAnsi="仿宋" w:eastAsia="仿宋" w:cs="仿宋"/>
              </w:rPr>
            </w:pPr>
            <w:r>
              <w:rPr>
                <w:rFonts w:hint="eastAsia" w:ascii="仿宋" w:hAnsi="仿宋" w:eastAsia="仿宋" w:cs="仿宋"/>
              </w:rPr>
              <w:t>...</w:t>
            </w:r>
          </w:p>
        </w:tc>
        <w:tc>
          <w:tcPr>
            <w:tcW w:w="1185" w:type="dxa"/>
            <w:vAlign w:val="center"/>
          </w:tcPr>
          <w:p w14:paraId="36C06861">
            <w:pPr>
              <w:adjustRightInd w:val="0"/>
              <w:snapToGrid w:val="0"/>
              <w:spacing w:line="360" w:lineRule="auto"/>
              <w:jc w:val="center"/>
              <w:rPr>
                <w:rFonts w:ascii="仿宋" w:hAnsi="仿宋" w:eastAsia="仿宋" w:cs="仿宋"/>
              </w:rPr>
            </w:pPr>
          </w:p>
        </w:tc>
        <w:tc>
          <w:tcPr>
            <w:tcW w:w="1200" w:type="dxa"/>
            <w:vAlign w:val="center"/>
          </w:tcPr>
          <w:p w14:paraId="1F047E55">
            <w:pPr>
              <w:adjustRightInd w:val="0"/>
              <w:snapToGrid w:val="0"/>
              <w:spacing w:line="360" w:lineRule="auto"/>
              <w:jc w:val="center"/>
              <w:rPr>
                <w:rFonts w:ascii="仿宋" w:hAnsi="仿宋" w:eastAsia="仿宋" w:cs="仿宋"/>
              </w:rPr>
            </w:pPr>
          </w:p>
        </w:tc>
        <w:tc>
          <w:tcPr>
            <w:tcW w:w="1275" w:type="dxa"/>
            <w:vAlign w:val="center"/>
          </w:tcPr>
          <w:p w14:paraId="6850959B">
            <w:pPr>
              <w:adjustRightInd w:val="0"/>
              <w:snapToGrid w:val="0"/>
              <w:spacing w:line="360" w:lineRule="auto"/>
              <w:jc w:val="center"/>
              <w:rPr>
                <w:rFonts w:ascii="仿宋" w:hAnsi="仿宋" w:eastAsia="仿宋" w:cs="仿宋"/>
              </w:rPr>
            </w:pPr>
          </w:p>
        </w:tc>
        <w:tc>
          <w:tcPr>
            <w:tcW w:w="2130" w:type="dxa"/>
            <w:vAlign w:val="center"/>
          </w:tcPr>
          <w:p w14:paraId="59E0B940">
            <w:pPr>
              <w:adjustRightInd w:val="0"/>
              <w:snapToGrid w:val="0"/>
              <w:spacing w:line="360" w:lineRule="auto"/>
              <w:jc w:val="center"/>
              <w:rPr>
                <w:rFonts w:ascii="仿宋" w:hAnsi="仿宋" w:eastAsia="仿宋" w:cs="仿宋"/>
              </w:rPr>
            </w:pPr>
          </w:p>
        </w:tc>
        <w:tc>
          <w:tcPr>
            <w:tcW w:w="2237" w:type="dxa"/>
            <w:vAlign w:val="center"/>
          </w:tcPr>
          <w:p w14:paraId="236ADCB2">
            <w:pPr>
              <w:adjustRightInd w:val="0"/>
              <w:snapToGrid w:val="0"/>
              <w:spacing w:line="360" w:lineRule="auto"/>
              <w:jc w:val="center"/>
              <w:rPr>
                <w:rFonts w:ascii="仿宋" w:hAnsi="仿宋" w:eastAsia="仿宋" w:cs="仿宋"/>
              </w:rPr>
            </w:pPr>
          </w:p>
        </w:tc>
      </w:tr>
    </w:tbl>
    <w:p w14:paraId="62ADA3E2">
      <w:pPr>
        <w:tabs>
          <w:tab w:val="left" w:pos="142"/>
        </w:tabs>
        <w:spacing w:line="360" w:lineRule="auto"/>
        <w:ind w:firstLine="480" w:firstLineChars="200"/>
        <w:jc w:val="left"/>
        <w:rPr>
          <w:rFonts w:ascii="仿宋" w:hAnsi="仿宋" w:eastAsia="仿宋" w:cs="仿宋"/>
          <w:sz w:val="24"/>
        </w:rPr>
      </w:pPr>
      <w:r>
        <w:rPr>
          <w:rFonts w:hint="eastAsia" w:ascii="仿宋" w:hAnsi="仿宋" w:eastAsia="仿宋" w:cs="仿宋"/>
          <w:sz w:val="24"/>
        </w:rPr>
        <w:t>供应商名称（加盖公章）：</w:t>
      </w:r>
    </w:p>
    <w:p w14:paraId="6CF56157">
      <w:pPr>
        <w:tabs>
          <w:tab w:val="left" w:pos="142"/>
        </w:tabs>
        <w:spacing w:line="360" w:lineRule="auto"/>
        <w:ind w:firstLine="480" w:firstLineChars="200"/>
        <w:jc w:val="left"/>
        <w:rPr>
          <w:rFonts w:ascii="仿宋" w:hAnsi="仿宋" w:eastAsia="仿宋" w:cs="仿宋"/>
          <w:sz w:val="24"/>
        </w:rPr>
      </w:pPr>
      <w:r>
        <w:rPr>
          <w:rFonts w:hint="eastAsia" w:ascii="仿宋" w:hAnsi="仿宋" w:eastAsia="仿宋" w:cs="仿宋"/>
          <w:sz w:val="24"/>
        </w:rPr>
        <w:t>法定代表人（授权代表）</w:t>
      </w:r>
      <w:r>
        <w:rPr>
          <w:rFonts w:hint="eastAsia" w:ascii="仿宋" w:hAnsi="仿宋" w:eastAsia="仿宋" w:cs="仿宋"/>
          <w:sz w:val="24"/>
          <w:lang w:val="en-US" w:eastAsia="zh-CN"/>
        </w:rPr>
        <w:t>签字或盖章</w:t>
      </w:r>
      <w:r>
        <w:rPr>
          <w:rFonts w:hint="eastAsia" w:ascii="仿宋" w:hAnsi="仿宋" w:eastAsia="仿宋" w:cs="仿宋"/>
          <w:sz w:val="24"/>
        </w:rPr>
        <w:t>：</w:t>
      </w:r>
    </w:p>
    <w:p w14:paraId="6C6A4B59">
      <w:pPr>
        <w:tabs>
          <w:tab w:val="left" w:pos="142"/>
        </w:tabs>
        <w:spacing w:line="360" w:lineRule="auto"/>
        <w:ind w:firstLine="480" w:firstLineChars="200"/>
        <w:jc w:val="left"/>
        <w:rPr>
          <w:rFonts w:ascii="仿宋" w:hAnsi="仿宋" w:eastAsia="仿宋" w:cs="仿宋"/>
          <w:sz w:val="24"/>
        </w:rPr>
      </w:pPr>
      <w:r>
        <w:rPr>
          <w:rFonts w:hint="eastAsia" w:ascii="仿宋" w:hAnsi="仿宋" w:eastAsia="仿宋" w:cs="仿宋"/>
          <w:sz w:val="24"/>
        </w:rPr>
        <w:t>日期：</w:t>
      </w:r>
    </w:p>
    <w:p w14:paraId="15AF3414">
      <w:pPr>
        <w:pStyle w:val="21"/>
        <w:ind w:firstLine="0"/>
        <w:rPr>
          <w:rFonts w:ascii="仿宋" w:hAnsi="仿宋" w:eastAsia="仿宋" w:cs="仿宋"/>
        </w:rPr>
      </w:pPr>
    </w:p>
    <w:p w14:paraId="48AB548C">
      <w:pPr>
        <w:pStyle w:val="5"/>
        <w:spacing w:line="360" w:lineRule="auto"/>
        <w:rPr>
          <w:rFonts w:ascii="仿宋" w:hAnsi="仿宋" w:eastAsia="仿宋" w:cs="仿宋"/>
          <w:sz w:val="24"/>
        </w:rPr>
      </w:pPr>
    </w:p>
    <w:p w14:paraId="5612F490">
      <w:pPr>
        <w:pStyle w:val="24"/>
        <w:spacing w:line="360" w:lineRule="auto"/>
        <w:ind w:left="0" w:firstLine="0"/>
        <w:jc w:val="center"/>
        <w:rPr>
          <w:rFonts w:ascii="仿宋" w:hAnsi="仿宋" w:eastAsia="仿宋" w:cs="仿宋"/>
          <w:bCs w:val="0"/>
          <w:sz w:val="32"/>
          <w:szCs w:val="32"/>
        </w:rPr>
      </w:pPr>
      <w:r>
        <w:rPr>
          <w:rFonts w:hint="eastAsia" w:ascii="仿宋" w:hAnsi="仿宋" w:eastAsia="仿宋" w:cs="仿宋"/>
          <w:sz w:val="44"/>
        </w:rPr>
        <w:br w:type="page"/>
      </w:r>
      <w:bookmarkEnd w:id="154"/>
      <w:bookmarkEnd w:id="155"/>
      <w:bookmarkEnd w:id="156"/>
      <w:bookmarkEnd w:id="157"/>
      <w:bookmarkEnd w:id="158"/>
      <w:bookmarkEnd w:id="159"/>
      <w:bookmarkEnd w:id="160"/>
      <w:bookmarkEnd w:id="161"/>
      <w:bookmarkStart w:id="190" w:name="_Toc2487"/>
      <w:bookmarkStart w:id="191" w:name="_Toc15881"/>
      <w:r>
        <w:rPr>
          <w:rFonts w:hint="eastAsia" w:ascii="仿宋" w:hAnsi="仿宋" w:eastAsia="仿宋" w:cs="仿宋"/>
          <w:bCs w:val="0"/>
          <w:sz w:val="32"/>
          <w:szCs w:val="32"/>
        </w:rPr>
        <w:t>九、服务方案</w:t>
      </w:r>
      <w:bookmarkEnd w:id="190"/>
      <w:r>
        <w:rPr>
          <w:rFonts w:ascii="仿宋" w:hAnsi="仿宋" w:eastAsia="仿宋" w:cs="仿宋"/>
          <w:bCs w:val="0"/>
          <w:sz w:val="32"/>
          <w:szCs w:val="32"/>
        </w:rPr>
        <w:t>与服务承诺</w:t>
      </w:r>
      <w:bookmarkEnd w:id="191"/>
    </w:p>
    <w:p w14:paraId="4ED02C3B">
      <w:pPr>
        <w:spacing w:line="360" w:lineRule="auto"/>
        <w:jc w:val="center"/>
        <w:rPr>
          <w:rFonts w:ascii="仿宋" w:hAnsi="仿宋" w:eastAsia="仿宋" w:cs="仿宋"/>
          <w:b/>
          <w:sz w:val="24"/>
        </w:rPr>
      </w:pPr>
      <w:r>
        <w:rPr>
          <w:rFonts w:hint="eastAsia" w:ascii="仿宋" w:hAnsi="仿宋" w:eastAsia="仿宋" w:cs="仿宋"/>
          <w:b/>
          <w:sz w:val="24"/>
        </w:rPr>
        <w:t>（格式自</w:t>
      </w:r>
      <w:r>
        <w:rPr>
          <w:rFonts w:hint="eastAsia" w:ascii="仿宋" w:hAnsi="仿宋" w:eastAsia="仿宋" w:cs="仿宋"/>
          <w:b/>
          <w:sz w:val="24"/>
          <w:lang w:eastAsia="zh-CN"/>
        </w:rPr>
        <w:t>拟</w:t>
      </w:r>
      <w:r>
        <w:rPr>
          <w:rFonts w:hint="eastAsia" w:ascii="仿宋" w:hAnsi="仿宋" w:eastAsia="仿宋" w:cs="仿宋"/>
          <w:b/>
          <w:sz w:val="24"/>
        </w:rPr>
        <w:t>）</w:t>
      </w:r>
    </w:p>
    <w:p w14:paraId="02191730">
      <w:pPr>
        <w:rPr>
          <w:rFonts w:ascii="仿宋" w:hAnsi="仿宋" w:eastAsia="仿宋" w:cs="仿宋"/>
          <w:sz w:val="32"/>
          <w:szCs w:val="32"/>
        </w:rPr>
      </w:pPr>
      <w:bookmarkStart w:id="192" w:name="_Toc20732"/>
      <w:bookmarkStart w:id="193" w:name="_Toc459319320"/>
      <w:r>
        <w:rPr>
          <w:rFonts w:hint="eastAsia" w:ascii="仿宋" w:hAnsi="仿宋" w:eastAsia="仿宋" w:cs="仿宋"/>
          <w:sz w:val="32"/>
          <w:szCs w:val="32"/>
        </w:rPr>
        <w:br w:type="page"/>
      </w:r>
    </w:p>
    <w:p w14:paraId="5C273C7F">
      <w:pPr>
        <w:pStyle w:val="24"/>
        <w:tabs>
          <w:tab w:val="clear" w:pos="720"/>
        </w:tabs>
        <w:spacing w:line="360" w:lineRule="auto"/>
        <w:ind w:left="0" w:firstLine="0"/>
        <w:jc w:val="center"/>
        <w:rPr>
          <w:rFonts w:ascii="仿宋" w:hAnsi="仿宋" w:eastAsia="仿宋" w:cs="仿宋"/>
          <w:bCs w:val="0"/>
          <w:sz w:val="32"/>
          <w:szCs w:val="32"/>
        </w:rPr>
      </w:pPr>
      <w:bookmarkStart w:id="194" w:name="_Toc27156"/>
      <w:r>
        <w:rPr>
          <w:rFonts w:hint="eastAsia" w:ascii="仿宋" w:hAnsi="仿宋" w:eastAsia="仿宋" w:cs="仿宋"/>
          <w:bCs w:val="0"/>
          <w:sz w:val="32"/>
          <w:szCs w:val="32"/>
        </w:rPr>
        <w:t>十、相关附表格式</w:t>
      </w:r>
      <w:bookmarkEnd w:id="192"/>
      <w:bookmarkEnd w:id="194"/>
    </w:p>
    <w:p w14:paraId="6C2CB22D">
      <w:pPr>
        <w:pStyle w:val="4"/>
        <w:numPr>
          <w:ilvl w:val="1"/>
          <w:numId w:val="0"/>
        </w:numPr>
        <w:spacing w:before="140" w:after="140" w:line="360" w:lineRule="auto"/>
        <w:rPr>
          <w:rFonts w:ascii="仿宋" w:hAnsi="仿宋" w:eastAsia="仿宋" w:cs="仿宋"/>
          <w:b/>
          <w:color w:val="000000"/>
          <w:sz w:val="28"/>
          <w:szCs w:val="28"/>
        </w:rPr>
      </w:pPr>
      <w:bookmarkStart w:id="195" w:name="_Toc25966"/>
      <w:bookmarkStart w:id="196" w:name="_Toc30587"/>
      <w:r>
        <w:rPr>
          <w:rFonts w:hint="eastAsia" w:ascii="仿宋" w:hAnsi="仿宋" w:eastAsia="仿宋" w:cs="仿宋"/>
          <w:b/>
          <w:color w:val="000000"/>
          <w:sz w:val="28"/>
          <w:szCs w:val="28"/>
        </w:rPr>
        <w:t>附 件1：法人授权委托书</w:t>
      </w:r>
      <w:bookmarkEnd w:id="195"/>
      <w:bookmarkEnd w:id="196"/>
    </w:p>
    <w:p w14:paraId="12900C6A">
      <w:pPr>
        <w:spacing w:line="360" w:lineRule="auto"/>
        <w:ind w:firstLine="360" w:firstLineChars="150"/>
        <w:rPr>
          <w:rFonts w:ascii="仿宋" w:hAnsi="仿宋" w:eastAsia="仿宋" w:cs="仿宋"/>
          <w:sz w:val="24"/>
        </w:rPr>
      </w:pPr>
      <w:r>
        <w:rPr>
          <w:rFonts w:hint="eastAsia" w:ascii="仿宋" w:hAnsi="仿宋" w:eastAsia="仿宋" w:cs="仿宋"/>
          <w:sz w:val="24"/>
          <w:lang w:eastAsia="zh-CN"/>
        </w:rPr>
        <w:t>南京达琛鑫工程咨询有限公司</w:t>
      </w:r>
      <w:r>
        <w:rPr>
          <w:rFonts w:hint="eastAsia" w:ascii="仿宋" w:hAnsi="仿宋" w:eastAsia="仿宋" w:cs="仿宋"/>
          <w:sz w:val="24"/>
        </w:rPr>
        <w:t>：</w:t>
      </w:r>
    </w:p>
    <w:p w14:paraId="532167E2">
      <w:pPr>
        <w:spacing w:line="360" w:lineRule="auto"/>
        <w:ind w:firstLine="360" w:firstLineChars="150"/>
        <w:rPr>
          <w:rFonts w:ascii="仿宋" w:hAnsi="仿宋" w:eastAsia="仿宋" w:cs="仿宋"/>
          <w:sz w:val="24"/>
        </w:rPr>
      </w:pPr>
      <w:r>
        <w:rPr>
          <w:rFonts w:hint="eastAsia" w:ascii="仿宋" w:hAnsi="仿宋" w:eastAsia="仿宋" w:cs="仿宋"/>
          <w:sz w:val="24"/>
        </w:rPr>
        <w:t xml:space="preserve">   委托单位：                     地    址：                      </w:t>
      </w:r>
    </w:p>
    <w:p w14:paraId="31C5655B">
      <w:pPr>
        <w:spacing w:line="360" w:lineRule="auto"/>
        <w:ind w:firstLine="360" w:firstLineChars="150"/>
        <w:rPr>
          <w:rFonts w:ascii="仿宋" w:hAnsi="仿宋" w:eastAsia="仿宋" w:cs="仿宋"/>
          <w:sz w:val="24"/>
        </w:rPr>
      </w:pPr>
      <w:r>
        <w:rPr>
          <w:rFonts w:hint="eastAsia" w:ascii="仿宋" w:hAnsi="仿宋" w:eastAsia="仿宋" w:cs="仿宋"/>
          <w:sz w:val="24"/>
        </w:rPr>
        <w:t xml:space="preserve">   法定代表人：                   受托人：                         </w:t>
      </w:r>
    </w:p>
    <w:p w14:paraId="2898AE04">
      <w:pPr>
        <w:spacing w:line="360" w:lineRule="auto"/>
        <w:ind w:firstLine="360" w:firstLineChars="150"/>
        <w:rPr>
          <w:rFonts w:ascii="仿宋" w:hAnsi="仿宋" w:eastAsia="仿宋" w:cs="仿宋"/>
          <w:sz w:val="24"/>
        </w:rPr>
      </w:pPr>
      <w:r>
        <w:rPr>
          <w:rFonts w:hint="eastAsia" w:ascii="仿宋" w:hAnsi="仿宋" w:eastAsia="仿宋" w:cs="仿宋"/>
          <w:sz w:val="24"/>
        </w:rPr>
        <w:t xml:space="preserve">   出生日期：   年    月    日</w:t>
      </w:r>
    </w:p>
    <w:p w14:paraId="30A71234">
      <w:pPr>
        <w:spacing w:line="360" w:lineRule="auto"/>
        <w:ind w:firstLine="360" w:firstLineChars="150"/>
        <w:rPr>
          <w:rFonts w:ascii="仿宋" w:hAnsi="仿宋" w:eastAsia="仿宋" w:cs="仿宋"/>
          <w:sz w:val="24"/>
        </w:rPr>
      </w:pPr>
      <w:r>
        <w:rPr>
          <w:rFonts w:hint="eastAsia" w:ascii="仿宋" w:hAnsi="仿宋" w:eastAsia="仿宋" w:cs="仿宋"/>
          <w:sz w:val="24"/>
        </w:rPr>
        <w:t xml:space="preserve">   所在单位：                     职务：                    </w:t>
      </w:r>
    </w:p>
    <w:p w14:paraId="38AC99F2">
      <w:pPr>
        <w:spacing w:line="360" w:lineRule="auto"/>
        <w:ind w:firstLine="360" w:firstLineChars="150"/>
        <w:rPr>
          <w:rFonts w:ascii="仿宋" w:hAnsi="仿宋" w:eastAsia="仿宋" w:cs="仿宋"/>
          <w:sz w:val="24"/>
        </w:rPr>
      </w:pPr>
      <w:r>
        <w:rPr>
          <w:rFonts w:hint="eastAsia" w:ascii="仿宋" w:hAnsi="仿宋" w:eastAsia="仿宋" w:cs="仿宋"/>
          <w:sz w:val="24"/>
        </w:rPr>
        <w:t xml:space="preserve">   身 份 证：                     联系方式:                      </w:t>
      </w:r>
    </w:p>
    <w:p w14:paraId="18C30050">
      <w:pPr>
        <w:spacing w:line="360" w:lineRule="auto"/>
        <w:ind w:firstLine="600" w:firstLineChars="250"/>
        <w:rPr>
          <w:rFonts w:ascii="仿宋" w:hAnsi="仿宋" w:eastAsia="仿宋" w:cs="仿宋"/>
          <w:sz w:val="24"/>
        </w:rPr>
      </w:pPr>
      <w:r>
        <w:rPr>
          <w:rFonts w:hint="eastAsia" w:ascii="仿宋" w:hAnsi="仿宋" w:eastAsia="仿宋" w:cs="仿宋"/>
          <w:sz w:val="24"/>
        </w:rPr>
        <w:t>兹委托受托人合法地代表我单位参加</w:t>
      </w:r>
      <w:r>
        <w:rPr>
          <w:rFonts w:hint="eastAsia" w:ascii="仿宋" w:hAnsi="仿宋" w:eastAsia="仿宋" w:cs="仿宋"/>
          <w:sz w:val="24"/>
          <w:lang w:eastAsia="zh-CN"/>
        </w:rPr>
        <w:t>南京达琛鑫工程咨询有限公司</w:t>
      </w:r>
      <w:r>
        <w:rPr>
          <w:rFonts w:hint="eastAsia" w:ascii="仿宋" w:hAnsi="仿宋" w:eastAsia="仿宋" w:cs="仿宋"/>
          <w:sz w:val="24"/>
        </w:rPr>
        <w:t>组织的（采购编号为：</w:t>
      </w:r>
      <w:r>
        <w:rPr>
          <w:rFonts w:hint="eastAsia" w:ascii="仿宋" w:hAnsi="仿宋" w:eastAsia="仿宋" w:cs="仿宋"/>
          <w:sz w:val="24"/>
          <w:lang w:eastAsia="zh-CN"/>
        </w:rPr>
        <w:t>NJDCX-202512051928</w:t>
      </w:r>
      <w:r>
        <w:rPr>
          <w:rFonts w:hint="eastAsia" w:ascii="仿宋" w:hAnsi="仿宋" w:eastAsia="仿宋" w:cs="仿宋"/>
          <w:sz w:val="24"/>
        </w:rPr>
        <w:t>）</w:t>
      </w:r>
      <w:r>
        <w:rPr>
          <w:rFonts w:hint="eastAsia" w:ascii="仿宋" w:hAnsi="仿宋" w:eastAsia="仿宋" w:cs="仿宋"/>
          <w:sz w:val="24"/>
          <w:u w:val="single"/>
          <w:lang w:eastAsia="zh-CN"/>
        </w:rPr>
        <w:t>2026年保安服务外包项目</w:t>
      </w:r>
      <w:r>
        <w:rPr>
          <w:rFonts w:hint="eastAsia" w:ascii="仿宋" w:hAnsi="仿宋" w:eastAsia="仿宋" w:cs="仿宋"/>
          <w:sz w:val="24"/>
        </w:rPr>
        <w:t>采购活动，受托人有权在该谈判活动中，以我单位的名义签署谈判书和谈判文件，与采购代理机构协商、澄清、解释、质疑，签订合同书并执行一切与此有关的事项。</w:t>
      </w:r>
    </w:p>
    <w:p w14:paraId="0768AAA5">
      <w:pPr>
        <w:spacing w:line="360" w:lineRule="auto"/>
        <w:ind w:firstLine="360" w:firstLineChars="150"/>
        <w:rPr>
          <w:rFonts w:ascii="仿宋" w:hAnsi="仿宋" w:eastAsia="仿宋" w:cs="仿宋"/>
          <w:sz w:val="24"/>
        </w:rPr>
      </w:pPr>
      <w:r>
        <w:rPr>
          <w:rFonts w:hint="eastAsia" w:ascii="仿宋" w:hAnsi="仿宋" w:eastAsia="仿宋" w:cs="仿宋"/>
          <w:sz w:val="24"/>
        </w:rPr>
        <w:t>受托人在办理上述事宜过程中以其自己的名义所签署的所有文件我均予以承认。受托人无转委托权。</w:t>
      </w:r>
    </w:p>
    <w:p w14:paraId="60D8BFA8">
      <w:pPr>
        <w:spacing w:line="360" w:lineRule="auto"/>
        <w:ind w:firstLine="360" w:firstLineChars="150"/>
        <w:rPr>
          <w:rFonts w:ascii="仿宋" w:hAnsi="仿宋" w:eastAsia="仿宋" w:cs="仿宋"/>
          <w:sz w:val="24"/>
        </w:rPr>
      </w:pPr>
      <w:r>
        <w:rPr>
          <w:rFonts w:hint="eastAsia" w:ascii="仿宋" w:hAnsi="仿宋" w:eastAsia="仿宋" w:cs="仿宋"/>
          <w:sz w:val="24"/>
        </w:rPr>
        <w:t>委托期限：至上述事宜处理完毕止。</w:t>
      </w:r>
    </w:p>
    <w:p w14:paraId="7BAB288E">
      <w:pPr>
        <w:spacing w:line="360" w:lineRule="auto"/>
        <w:ind w:firstLine="4320" w:firstLineChars="1800"/>
        <w:rPr>
          <w:rFonts w:ascii="仿宋" w:hAnsi="仿宋" w:eastAsia="仿宋" w:cs="仿宋"/>
          <w:sz w:val="24"/>
        </w:rPr>
      </w:pPr>
      <w:r>
        <w:rPr>
          <w:rFonts w:hint="eastAsia" w:ascii="仿宋" w:hAnsi="仿宋" w:eastAsia="仿宋" w:cs="仿宋"/>
          <w:sz w:val="24"/>
        </w:rPr>
        <w:t>委托单位   （公章）</w:t>
      </w:r>
    </w:p>
    <w:p w14:paraId="35F3DD82">
      <w:pPr>
        <w:spacing w:line="360" w:lineRule="auto"/>
        <w:ind w:firstLine="4320" w:firstLineChars="1800"/>
        <w:rPr>
          <w:rFonts w:ascii="仿宋" w:hAnsi="仿宋" w:eastAsia="仿宋" w:cs="仿宋"/>
          <w:sz w:val="24"/>
        </w:rPr>
      </w:pPr>
      <w:r>
        <w:rPr>
          <w:rFonts w:hint="eastAsia" w:ascii="仿宋" w:hAnsi="仿宋" w:eastAsia="仿宋" w:cs="仿宋"/>
          <w:sz w:val="24"/>
        </w:rPr>
        <w:t>法定代表人（签字或盖章）</w:t>
      </w:r>
    </w:p>
    <w:p w14:paraId="1FEB4918">
      <w:pPr>
        <w:spacing w:line="360" w:lineRule="auto"/>
        <w:ind w:firstLine="6120" w:firstLineChars="2550"/>
        <w:rPr>
          <w:rFonts w:ascii="仿宋" w:hAnsi="仿宋" w:eastAsia="仿宋" w:cs="仿宋"/>
          <w:sz w:val="24"/>
        </w:rPr>
      </w:pPr>
      <w:r>
        <w:rPr>
          <w:rFonts w:hint="eastAsia" w:ascii="仿宋" w:hAnsi="仿宋" w:eastAsia="仿宋" w:cs="仿宋"/>
          <w:sz w:val="24"/>
        </w:rPr>
        <w:t>202</w:t>
      </w:r>
      <w:r>
        <w:rPr>
          <w:rFonts w:hint="eastAsia" w:ascii="仿宋" w:hAnsi="仿宋" w:eastAsia="仿宋" w:cs="仿宋"/>
          <w:sz w:val="24"/>
          <w:lang w:val="en-US" w:eastAsia="zh-CN"/>
        </w:rPr>
        <w:t>5</w:t>
      </w:r>
      <w:r>
        <w:rPr>
          <w:rFonts w:hint="eastAsia" w:ascii="仿宋" w:hAnsi="仿宋" w:eastAsia="仿宋" w:cs="仿宋"/>
          <w:sz w:val="24"/>
        </w:rPr>
        <w:t>年  月  日</w:t>
      </w:r>
    </w:p>
    <w:p w14:paraId="04AC80DB">
      <w:pPr>
        <w:spacing w:line="360" w:lineRule="auto"/>
        <w:ind w:firstLine="360" w:firstLineChars="150"/>
        <w:rPr>
          <w:rFonts w:ascii="仿宋" w:hAnsi="仿宋" w:eastAsia="仿宋" w:cs="仿宋"/>
          <w:sz w:val="24"/>
        </w:rPr>
      </w:pPr>
      <w:r>
        <w:rPr>
          <w:rFonts w:hint="eastAsia" w:ascii="仿宋" w:hAnsi="仿宋" w:eastAsia="仿宋" w:cs="仿宋"/>
          <w:sz w:val="24"/>
        </w:rPr>
        <w:t>备注：供应商授权代表须在谈判截止时间前持授权书原件及授权代表身份证件办理签名报到。（谈判文件中须附</w:t>
      </w:r>
      <w:r>
        <w:rPr>
          <w:rFonts w:hint="eastAsia" w:ascii="仿宋" w:hAnsi="仿宋" w:eastAsia="仿宋" w:cs="仿宋"/>
          <w:sz w:val="24"/>
          <w:lang w:val="en-US" w:eastAsia="zh-CN"/>
        </w:rPr>
        <w:t>法人授权委托书、</w:t>
      </w:r>
      <w:r>
        <w:rPr>
          <w:rFonts w:hint="eastAsia" w:ascii="仿宋" w:hAnsi="仿宋" w:eastAsia="仿宋" w:cs="仿宋"/>
          <w:sz w:val="24"/>
        </w:rPr>
        <w:t>授权代表及法人的身份证复印件）。</w:t>
      </w:r>
    </w:p>
    <w:p w14:paraId="48C0A6C1">
      <w:pPr>
        <w:spacing w:line="360" w:lineRule="auto"/>
        <w:ind w:firstLine="360" w:firstLineChars="150"/>
        <w:rPr>
          <w:rFonts w:ascii="仿宋" w:hAnsi="仿宋" w:eastAsia="仿宋" w:cs="仿宋"/>
          <w:sz w:val="24"/>
        </w:rPr>
      </w:pPr>
      <w:r>
        <w:rPr>
          <w:rFonts w:hint="eastAsia" w:ascii="仿宋" w:hAnsi="仿宋" w:eastAsia="仿宋" w:cs="仿宋"/>
          <w:sz w:val="24"/>
        </w:rPr>
        <w:t>非授权代表办理上述事宜，采购人将拒绝。</w:t>
      </w:r>
    </w:p>
    <w:p w14:paraId="3476BDF3">
      <w:pPr>
        <w:spacing w:line="360" w:lineRule="auto"/>
        <w:ind w:firstLine="360" w:firstLineChars="150"/>
        <w:rPr>
          <w:rFonts w:ascii="仿宋" w:hAnsi="仿宋" w:eastAsia="仿宋" w:cs="仿宋"/>
          <w:color w:val="000000"/>
          <w:sz w:val="28"/>
          <w:szCs w:val="28"/>
        </w:rPr>
      </w:pPr>
      <w:r>
        <w:rPr>
          <w:rFonts w:hint="eastAsia" w:ascii="仿宋" w:hAnsi="仿宋" w:eastAsia="仿宋" w:cs="仿宋"/>
          <w:sz w:val="24"/>
        </w:rPr>
        <w:t>供应商法定代表人直接参加谈判的，无须提供法人授权委托书，但须持本人身份证件及营业执照复印件</w:t>
      </w:r>
      <w:r>
        <w:rPr>
          <w:rFonts w:hint="eastAsia" w:ascii="仿宋" w:hAnsi="仿宋" w:eastAsia="仿宋" w:cs="仿宋"/>
          <w:sz w:val="24"/>
          <w:lang w:eastAsia="zh-CN"/>
        </w:rPr>
        <w:t>、</w:t>
      </w:r>
      <w:r>
        <w:rPr>
          <w:rFonts w:hint="eastAsia" w:ascii="仿宋" w:hAnsi="仿宋" w:eastAsia="仿宋" w:cs="仿宋"/>
          <w:sz w:val="24"/>
          <w:lang w:val="en-US" w:eastAsia="zh-CN"/>
        </w:rPr>
        <w:t>本人身份证复印件并附于响应标书内</w:t>
      </w:r>
      <w:r>
        <w:rPr>
          <w:rFonts w:hint="eastAsia" w:ascii="仿宋" w:hAnsi="仿宋" w:eastAsia="仿宋" w:cs="仿宋"/>
          <w:sz w:val="24"/>
        </w:rPr>
        <w:t>。</w:t>
      </w:r>
    </w:p>
    <w:p w14:paraId="1EF3EE77">
      <w:pPr>
        <w:spacing w:line="360" w:lineRule="auto"/>
        <w:jc w:val="center"/>
        <w:rPr>
          <w:rFonts w:ascii="仿宋" w:hAnsi="仿宋" w:eastAsia="仿宋" w:cs="仿宋"/>
          <w:b/>
          <w:bCs/>
          <w:color w:val="000000"/>
          <w:sz w:val="28"/>
          <w:szCs w:val="28"/>
        </w:rPr>
      </w:pPr>
      <w:bookmarkStart w:id="197" w:name="_Toc30644"/>
      <w:r>
        <w:rPr>
          <w:rFonts w:hint="eastAsia" w:ascii="仿宋" w:hAnsi="仿宋" w:eastAsia="仿宋" w:cs="仿宋"/>
          <w:b/>
          <w:bCs/>
          <w:color w:val="000000"/>
          <w:sz w:val="28"/>
          <w:szCs w:val="28"/>
        </w:rPr>
        <w:br w:type="page"/>
      </w:r>
    </w:p>
    <w:bookmarkEnd w:id="197"/>
    <w:p w14:paraId="2437BCC3">
      <w:pPr>
        <w:pStyle w:val="4"/>
        <w:pageBreakBefore/>
        <w:numPr>
          <w:ilvl w:val="1"/>
          <w:numId w:val="0"/>
        </w:numPr>
        <w:spacing w:before="140" w:after="140" w:line="360" w:lineRule="auto"/>
        <w:rPr>
          <w:rFonts w:ascii="仿宋" w:hAnsi="仿宋" w:eastAsia="仿宋" w:cs="仿宋"/>
          <w:b/>
          <w:bCs w:val="0"/>
          <w:color w:val="000000"/>
          <w:sz w:val="28"/>
          <w:szCs w:val="28"/>
        </w:rPr>
      </w:pPr>
      <w:bookmarkStart w:id="198" w:name="_Toc9521"/>
      <w:bookmarkStart w:id="199" w:name="_Toc2180"/>
      <w:bookmarkStart w:id="200" w:name="_Toc23137"/>
      <w:bookmarkStart w:id="201" w:name="_Toc9284"/>
      <w:bookmarkStart w:id="202" w:name="_Toc15503"/>
      <w:bookmarkStart w:id="203" w:name="_Toc9701"/>
      <w:r>
        <w:rPr>
          <w:rFonts w:hint="eastAsia" w:ascii="仿宋" w:hAnsi="仿宋" w:eastAsia="仿宋" w:cs="仿宋"/>
          <w:b/>
          <w:bCs w:val="0"/>
          <w:color w:val="000000"/>
          <w:sz w:val="28"/>
          <w:szCs w:val="28"/>
        </w:rPr>
        <w:t>附 件2：具备履行合同所必需的设备和专业技术能力的书面声明</w:t>
      </w:r>
      <w:bookmarkEnd w:id="198"/>
      <w:bookmarkEnd w:id="199"/>
      <w:bookmarkEnd w:id="200"/>
      <w:bookmarkEnd w:id="201"/>
      <w:bookmarkEnd w:id="202"/>
    </w:p>
    <w:bookmarkEnd w:id="203"/>
    <w:p w14:paraId="0AD63096">
      <w:pPr>
        <w:spacing w:line="360" w:lineRule="auto"/>
        <w:rPr>
          <w:rFonts w:ascii="仿宋" w:hAnsi="仿宋" w:eastAsia="仿宋" w:cs="仿宋"/>
          <w:color w:val="000000"/>
          <w:sz w:val="24"/>
        </w:rPr>
      </w:pPr>
    </w:p>
    <w:p w14:paraId="0C7570F2">
      <w:pPr>
        <w:spacing w:line="360" w:lineRule="auto"/>
        <w:ind w:firstLine="492"/>
        <w:rPr>
          <w:rFonts w:ascii="仿宋" w:hAnsi="仿宋" w:eastAsia="仿宋" w:cs="仿宋"/>
          <w:color w:val="000000"/>
          <w:sz w:val="24"/>
        </w:rPr>
      </w:pPr>
      <w:r>
        <w:rPr>
          <w:rFonts w:hint="eastAsia" w:ascii="仿宋" w:hAnsi="仿宋" w:eastAsia="仿宋" w:cs="仿宋"/>
          <w:color w:val="000000"/>
          <w:sz w:val="24"/>
        </w:rPr>
        <w:t>我公司郑重声明：我公司具备履行本项采购合同所必需的设备和专业技术能力</w:t>
      </w:r>
      <w:r>
        <w:rPr>
          <w:rFonts w:hint="eastAsia" w:ascii="仿宋" w:hAnsi="仿宋" w:eastAsia="仿宋" w:cs="仿宋"/>
          <w:color w:val="000000"/>
          <w:sz w:val="24"/>
          <w:lang w:eastAsia="zh-CN"/>
        </w:rPr>
        <w:t>。</w:t>
      </w:r>
      <w:r>
        <w:rPr>
          <w:rFonts w:hint="eastAsia" w:ascii="仿宋" w:hAnsi="仿宋" w:eastAsia="仿宋" w:cs="仿宋"/>
          <w:color w:val="000000"/>
          <w:sz w:val="24"/>
          <w:lang w:val="en-US" w:eastAsia="zh-CN"/>
        </w:rPr>
        <w:t>如：</w:t>
      </w:r>
      <w:r>
        <w:rPr>
          <w:rFonts w:hint="eastAsia" w:ascii="仿宋" w:hAnsi="仿宋" w:eastAsia="仿宋" w:cs="仿宋"/>
          <w:color w:val="000000"/>
          <w:sz w:val="24"/>
        </w:rPr>
        <w:t>为履行本项采购合同我公司具备如下主要设备和主要专业技术能力：</w:t>
      </w:r>
    </w:p>
    <w:p w14:paraId="4B7E90C5">
      <w:pPr>
        <w:spacing w:line="360" w:lineRule="auto"/>
        <w:ind w:firstLine="492"/>
        <w:rPr>
          <w:rFonts w:ascii="仿宋" w:hAnsi="仿宋" w:eastAsia="仿宋" w:cs="仿宋"/>
          <w:color w:val="000000"/>
          <w:sz w:val="24"/>
        </w:rPr>
      </w:pPr>
      <w:r>
        <w:rPr>
          <w:rFonts w:hint="eastAsia" w:ascii="仿宋" w:hAnsi="仿宋" w:eastAsia="仿宋" w:cs="仿宋"/>
          <w:color w:val="000000"/>
          <w:sz w:val="24"/>
        </w:rPr>
        <w:t>主要设备有：  。</w:t>
      </w:r>
    </w:p>
    <w:p w14:paraId="45FBBB7D">
      <w:pPr>
        <w:spacing w:line="360" w:lineRule="auto"/>
        <w:ind w:firstLine="492"/>
        <w:rPr>
          <w:rFonts w:ascii="仿宋" w:hAnsi="仿宋" w:eastAsia="仿宋" w:cs="仿宋"/>
          <w:color w:val="000000"/>
          <w:sz w:val="24"/>
        </w:rPr>
      </w:pPr>
      <w:r>
        <w:rPr>
          <w:rFonts w:hint="eastAsia" w:ascii="仿宋" w:hAnsi="仿宋" w:eastAsia="仿宋" w:cs="仿宋"/>
          <w:color w:val="000000"/>
          <w:sz w:val="24"/>
        </w:rPr>
        <w:t>主要专业技术能力有：   。</w:t>
      </w:r>
    </w:p>
    <w:p w14:paraId="3132CEC2">
      <w:pPr>
        <w:spacing w:line="360" w:lineRule="auto"/>
        <w:rPr>
          <w:rFonts w:ascii="仿宋" w:hAnsi="仿宋" w:eastAsia="仿宋" w:cs="仿宋"/>
          <w:color w:val="000000"/>
          <w:sz w:val="24"/>
        </w:rPr>
      </w:pPr>
    </w:p>
    <w:p w14:paraId="29F674C8">
      <w:pPr>
        <w:spacing w:line="360" w:lineRule="auto"/>
        <w:rPr>
          <w:rFonts w:ascii="仿宋" w:hAnsi="仿宋" w:eastAsia="仿宋" w:cs="仿宋"/>
          <w:color w:val="000000"/>
          <w:sz w:val="24"/>
        </w:rPr>
      </w:pPr>
    </w:p>
    <w:p w14:paraId="7255A3E7">
      <w:pPr>
        <w:spacing w:line="360" w:lineRule="auto"/>
        <w:ind w:firstLine="4560" w:firstLineChars="1900"/>
        <w:rPr>
          <w:rFonts w:ascii="仿宋" w:hAnsi="仿宋" w:eastAsia="仿宋" w:cs="仿宋"/>
          <w:color w:val="000000"/>
          <w:sz w:val="24"/>
        </w:rPr>
      </w:pPr>
      <w:r>
        <w:rPr>
          <w:rFonts w:hint="eastAsia" w:ascii="仿宋" w:hAnsi="仿宋" w:eastAsia="仿宋" w:cs="仿宋"/>
          <w:color w:val="000000"/>
          <w:sz w:val="24"/>
        </w:rPr>
        <w:t>法定代表人或授权代表签字：</w:t>
      </w:r>
    </w:p>
    <w:p w14:paraId="009C14A1">
      <w:pPr>
        <w:spacing w:line="360" w:lineRule="auto"/>
        <w:rPr>
          <w:rFonts w:ascii="仿宋" w:hAnsi="仿宋" w:eastAsia="仿宋" w:cs="仿宋"/>
          <w:color w:val="000000"/>
          <w:sz w:val="24"/>
        </w:rPr>
      </w:pPr>
      <w:r>
        <w:rPr>
          <w:rFonts w:hint="eastAsia" w:ascii="仿宋" w:hAnsi="仿宋" w:eastAsia="仿宋" w:cs="仿宋"/>
          <w:color w:val="000000"/>
          <w:sz w:val="24"/>
        </w:rPr>
        <w:t xml:space="preserve">                                      日期：年月日</w:t>
      </w:r>
    </w:p>
    <w:p w14:paraId="4B24A77C">
      <w:pPr>
        <w:pStyle w:val="25"/>
        <w:spacing w:line="360" w:lineRule="auto"/>
        <w:ind w:firstLine="482"/>
        <w:rPr>
          <w:rFonts w:ascii="仿宋" w:hAnsi="仿宋" w:eastAsia="仿宋" w:cs="仿宋"/>
          <w:color w:val="000000"/>
        </w:rPr>
      </w:pPr>
      <w:r>
        <w:rPr>
          <w:rFonts w:hint="eastAsia" w:ascii="仿宋" w:hAnsi="仿宋" w:eastAsia="仿宋" w:cs="仿宋"/>
          <w:color w:val="000000"/>
        </w:rPr>
        <w:br w:type="page"/>
      </w:r>
    </w:p>
    <w:p w14:paraId="0379FFE9">
      <w:pPr>
        <w:pStyle w:val="4"/>
        <w:numPr>
          <w:ilvl w:val="1"/>
          <w:numId w:val="0"/>
        </w:numPr>
        <w:spacing w:before="140" w:after="140" w:line="360" w:lineRule="auto"/>
        <w:rPr>
          <w:rFonts w:ascii="仿宋" w:hAnsi="仿宋" w:eastAsia="仿宋" w:cs="仿宋"/>
          <w:b/>
          <w:bCs w:val="0"/>
          <w:color w:val="000000"/>
          <w:sz w:val="28"/>
          <w:szCs w:val="28"/>
        </w:rPr>
      </w:pPr>
      <w:bookmarkStart w:id="204" w:name="_Toc18188"/>
      <w:bookmarkStart w:id="205" w:name="_Toc190"/>
      <w:bookmarkStart w:id="206" w:name="_Toc22070"/>
      <w:bookmarkStart w:id="207" w:name="_Toc10944"/>
      <w:bookmarkStart w:id="208" w:name="_Toc30482"/>
      <w:bookmarkStart w:id="209" w:name="_Toc26453"/>
      <w:bookmarkStart w:id="210" w:name="_Toc7466"/>
      <w:bookmarkStart w:id="211" w:name="_Toc18647"/>
      <w:r>
        <w:rPr>
          <w:rFonts w:hint="eastAsia" w:ascii="仿宋" w:hAnsi="仿宋" w:eastAsia="仿宋" w:cs="仿宋"/>
          <w:b/>
          <w:bCs w:val="0"/>
          <w:color w:val="000000"/>
          <w:sz w:val="28"/>
          <w:szCs w:val="28"/>
        </w:rPr>
        <w:t>附 件</w:t>
      </w:r>
      <w:bookmarkEnd w:id="204"/>
      <w:bookmarkEnd w:id="205"/>
      <w:r>
        <w:rPr>
          <w:rFonts w:hint="eastAsia" w:ascii="仿宋" w:hAnsi="仿宋" w:eastAsia="仿宋" w:cs="仿宋"/>
          <w:b/>
          <w:bCs w:val="0"/>
          <w:color w:val="000000"/>
          <w:sz w:val="28"/>
          <w:szCs w:val="28"/>
        </w:rPr>
        <w:t>3：三年内无重大违纪声明</w:t>
      </w:r>
      <w:bookmarkEnd w:id="206"/>
      <w:bookmarkEnd w:id="207"/>
      <w:bookmarkEnd w:id="208"/>
      <w:bookmarkEnd w:id="209"/>
      <w:bookmarkEnd w:id="210"/>
      <w:bookmarkEnd w:id="211"/>
    </w:p>
    <w:p w14:paraId="1CA3E4EA">
      <w:pPr>
        <w:spacing w:line="360" w:lineRule="auto"/>
        <w:jc w:val="center"/>
        <w:rPr>
          <w:rFonts w:ascii="仿宋" w:hAnsi="仿宋" w:eastAsia="仿宋" w:cs="仿宋"/>
          <w:color w:val="000000"/>
          <w:sz w:val="36"/>
          <w:szCs w:val="36"/>
        </w:rPr>
      </w:pPr>
      <w:r>
        <w:rPr>
          <w:rFonts w:hint="eastAsia" w:ascii="仿宋" w:hAnsi="仿宋" w:eastAsia="仿宋" w:cs="仿宋"/>
          <w:b/>
          <w:bCs/>
          <w:color w:val="000000"/>
          <w:sz w:val="36"/>
          <w:szCs w:val="36"/>
        </w:rPr>
        <w:t>声  明</w:t>
      </w:r>
    </w:p>
    <w:p w14:paraId="58E67747">
      <w:pPr>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我公司郑重声明：参加本次采购活动前3年内，我公司在经营活动中没有因违法经营受到刑事处罚或者责令停产停业、吊销许可证或者执照、较大数额罚款等行政处罚。若采购单位在本项目采购过程中发现我公司近三年内在经营活动中有重大违法记录，我公司将无条件地退出本项目的采购，并承担因此引起的一切后果。</w:t>
      </w:r>
    </w:p>
    <w:p w14:paraId="603A4C43">
      <w:pPr>
        <w:spacing w:line="360" w:lineRule="auto"/>
        <w:rPr>
          <w:rFonts w:ascii="仿宋" w:hAnsi="仿宋" w:eastAsia="仿宋" w:cs="仿宋"/>
          <w:color w:val="000000"/>
          <w:sz w:val="24"/>
        </w:rPr>
      </w:pPr>
    </w:p>
    <w:p w14:paraId="77E12E4A">
      <w:pPr>
        <w:spacing w:line="360" w:lineRule="auto"/>
        <w:rPr>
          <w:rFonts w:ascii="仿宋" w:hAnsi="仿宋" w:eastAsia="仿宋" w:cs="仿宋"/>
          <w:color w:val="000000"/>
          <w:sz w:val="24"/>
        </w:rPr>
      </w:pPr>
    </w:p>
    <w:p w14:paraId="2086E8E1">
      <w:pPr>
        <w:spacing w:line="360" w:lineRule="auto"/>
        <w:rPr>
          <w:rFonts w:ascii="仿宋" w:hAnsi="仿宋" w:eastAsia="仿宋" w:cs="仿宋"/>
          <w:color w:val="000000"/>
          <w:sz w:val="24"/>
        </w:rPr>
      </w:pPr>
    </w:p>
    <w:p w14:paraId="15427D8A">
      <w:pPr>
        <w:spacing w:line="360" w:lineRule="auto"/>
        <w:rPr>
          <w:rFonts w:ascii="仿宋" w:hAnsi="仿宋" w:eastAsia="仿宋" w:cs="仿宋"/>
          <w:color w:val="000000"/>
          <w:sz w:val="24"/>
        </w:rPr>
      </w:pPr>
      <w:r>
        <w:rPr>
          <w:rFonts w:hint="eastAsia" w:ascii="仿宋" w:hAnsi="仿宋" w:eastAsia="仿宋" w:cs="仿宋"/>
          <w:color w:val="000000"/>
          <w:sz w:val="24"/>
        </w:rPr>
        <w:t xml:space="preserve">                                供应商全称（公章）：</w:t>
      </w:r>
    </w:p>
    <w:p w14:paraId="31443ADB">
      <w:pPr>
        <w:spacing w:line="360" w:lineRule="auto"/>
        <w:rPr>
          <w:rFonts w:ascii="仿宋" w:hAnsi="仿宋" w:eastAsia="仿宋" w:cs="仿宋"/>
          <w:color w:val="000000"/>
          <w:sz w:val="24"/>
        </w:rPr>
      </w:pPr>
      <w:r>
        <w:rPr>
          <w:rFonts w:hint="eastAsia" w:ascii="仿宋" w:hAnsi="仿宋" w:eastAsia="仿宋" w:cs="仿宋"/>
          <w:color w:val="000000"/>
          <w:sz w:val="24"/>
        </w:rPr>
        <w:t xml:space="preserve">                                法定代表人（授权代表）</w:t>
      </w:r>
      <w:r>
        <w:rPr>
          <w:rFonts w:hint="eastAsia" w:ascii="仿宋" w:hAnsi="仿宋" w:eastAsia="仿宋" w:cs="仿宋"/>
          <w:color w:val="000000"/>
          <w:sz w:val="24"/>
          <w:lang w:val="en-US" w:eastAsia="zh-CN"/>
        </w:rPr>
        <w:t>签字或盖章</w:t>
      </w:r>
      <w:r>
        <w:rPr>
          <w:rFonts w:hint="eastAsia" w:ascii="仿宋" w:hAnsi="仿宋" w:eastAsia="仿宋" w:cs="仿宋"/>
          <w:color w:val="000000"/>
          <w:sz w:val="24"/>
        </w:rPr>
        <w:t>：</w:t>
      </w:r>
    </w:p>
    <w:p w14:paraId="723D3CC7">
      <w:pPr>
        <w:spacing w:line="360" w:lineRule="auto"/>
        <w:rPr>
          <w:rFonts w:ascii="仿宋" w:hAnsi="仿宋" w:eastAsia="仿宋" w:cs="仿宋"/>
          <w:color w:val="000000"/>
          <w:sz w:val="24"/>
        </w:rPr>
      </w:pPr>
      <w:r>
        <w:rPr>
          <w:rFonts w:hint="eastAsia" w:ascii="仿宋" w:hAnsi="仿宋" w:eastAsia="仿宋" w:cs="仿宋"/>
          <w:color w:val="000000"/>
          <w:sz w:val="24"/>
        </w:rPr>
        <w:t xml:space="preserve">                                日期：</w:t>
      </w:r>
    </w:p>
    <w:p w14:paraId="7F520744">
      <w:pPr>
        <w:spacing w:line="360" w:lineRule="auto"/>
        <w:rPr>
          <w:rFonts w:ascii="仿宋" w:hAnsi="仿宋" w:eastAsia="仿宋" w:cs="仿宋"/>
          <w:color w:val="000000"/>
          <w:sz w:val="24"/>
        </w:rPr>
      </w:pPr>
    </w:p>
    <w:p w14:paraId="53F3B790">
      <w:pPr>
        <w:spacing w:line="360" w:lineRule="auto"/>
        <w:jc w:val="center"/>
        <w:rPr>
          <w:rFonts w:ascii="仿宋" w:hAnsi="仿宋" w:eastAsia="仿宋" w:cs="仿宋"/>
          <w:b/>
          <w:bCs/>
          <w:color w:val="000000"/>
          <w:sz w:val="24"/>
        </w:rPr>
      </w:pPr>
      <w:r>
        <w:rPr>
          <w:rFonts w:hint="eastAsia" w:ascii="仿宋" w:hAnsi="仿宋" w:eastAsia="仿宋" w:cs="仿宋"/>
          <w:b/>
          <w:bCs/>
          <w:color w:val="000000"/>
          <w:sz w:val="24"/>
        </w:rPr>
        <w:br w:type="page"/>
      </w:r>
    </w:p>
    <w:bookmarkEnd w:id="193"/>
    <w:p w14:paraId="47728A3E">
      <w:pPr>
        <w:outlineLvl w:val="9"/>
        <w:rPr>
          <w:rFonts w:ascii="仿宋" w:hAnsi="仿宋" w:eastAsia="仿宋" w:cs="仿宋"/>
          <w:color w:val="000000" w:themeColor="text1"/>
          <w14:textFill>
            <w14:solidFill>
              <w14:schemeClr w14:val="tx1"/>
            </w14:solidFill>
          </w14:textFill>
        </w:rPr>
      </w:pPr>
    </w:p>
    <w:p w14:paraId="240DFB9F">
      <w:pPr>
        <w:pStyle w:val="4"/>
        <w:numPr>
          <w:ilvl w:val="1"/>
          <w:numId w:val="0"/>
        </w:numPr>
        <w:spacing w:before="140" w:after="140" w:line="360" w:lineRule="auto"/>
        <w:rPr>
          <w:rFonts w:ascii="仿宋" w:hAnsi="仿宋" w:eastAsia="仿宋" w:cs="仿宋"/>
          <w:b/>
          <w:bCs w:val="0"/>
          <w:color w:val="000000"/>
          <w:sz w:val="28"/>
          <w:szCs w:val="28"/>
        </w:rPr>
      </w:pPr>
      <w:bookmarkStart w:id="212" w:name="_Toc27056"/>
      <w:bookmarkStart w:id="213" w:name="_Toc11427"/>
      <w:bookmarkStart w:id="214" w:name="_Toc2531"/>
      <w:bookmarkStart w:id="215" w:name="_Toc6655"/>
      <w:bookmarkStart w:id="216" w:name="_Toc13641"/>
      <w:bookmarkStart w:id="217" w:name="_Toc11876"/>
      <w:r>
        <w:rPr>
          <w:rFonts w:hint="eastAsia" w:ascii="仿宋" w:hAnsi="仿宋" w:eastAsia="仿宋" w:cs="仿宋"/>
          <w:b/>
          <w:bCs w:val="0"/>
          <w:color w:val="000000"/>
          <w:sz w:val="28"/>
          <w:szCs w:val="28"/>
        </w:rPr>
        <w:t>附 件</w:t>
      </w:r>
      <w:r>
        <w:rPr>
          <w:rFonts w:hint="eastAsia" w:ascii="仿宋" w:hAnsi="仿宋" w:eastAsia="仿宋" w:cs="仿宋"/>
          <w:b/>
          <w:bCs w:val="0"/>
          <w:color w:val="000000"/>
          <w:sz w:val="28"/>
          <w:szCs w:val="28"/>
          <w:lang w:val="en-US" w:eastAsia="zh-CN"/>
        </w:rPr>
        <w:t>4</w:t>
      </w:r>
      <w:r>
        <w:rPr>
          <w:rFonts w:hint="eastAsia" w:ascii="仿宋" w:hAnsi="仿宋" w:eastAsia="仿宋" w:cs="仿宋"/>
          <w:b/>
          <w:bCs w:val="0"/>
          <w:color w:val="000000"/>
          <w:sz w:val="28"/>
          <w:szCs w:val="28"/>
        </w:rPr>
        <w:t>：残疾人福利性单位声明函</w:t>
      </w:r>
      <w:bookmarkEnd w:id="212"/>
      <w:bookmarkEnd w:id="213"/>
      <w:bookmarkEnd w:id="214"/>
      <w:bookmarkEnd w:id="215"/>
      <w:bookmarkEnd w:id="216"/>
      <w:bookmarkEnd w:id="217"/>
    </w:p>
    <w:p w14:paraId="02255B22">
      <w:pPr>
        <w:spacing w:line="588"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单位的采购文件编号为的项目采购活动提供本单位制造的货物（由本单位承担工程/提供服务），或者提供其他残疾人福利性单位制造的货物（不包括使用非残疾人福利性单位注册商标的货物）。</w:t>
      </w:r>
    </w:p>
    <w:p w14:paraId="404CB723">
      <w:pPr>
        <w:spacing w:line="588"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本单位对上述声明的真实性负责。如有虚假，将依法承担相应责任。</w:t>
      </w:r>
    </w:p>
    <w:p w14:paraId="7ECC7B51">
      <w:pPr>
        <w:spacing w:line="588" w:lineRule="exact"/>
        <w:ind w:firstLine="480" w:firstLineChars="200"/>
        <w:rPr>
          <w:rFonts w:ascii="仿宋" w:hAnsi="仿宋" w:eastAsia="仿宋" w:cs="仿宋"/>
          <w:color w:val="000000" w:themeColor="text1"/>
          <w:sz w:val="24"/>
          <w:szCs w:val="24"/>
          <w14:textFill>
            <w14:solidFill>
              <w14:schemeClr w14:val="tx1"/>
            </w14:solidFill>
          </w14:textFill>
        </w:rPr>
      </w:pPr>
    </w:p>
    <w:p w14:paraId="57C22429">
      <w:pPr>
        <w:spacing w:line="588"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（备注：1、供应商如不提供此声明函，将不享受相关优惠政策。2、成交供应商为残疾人福利单位的，此声明函将随成交结果同时公告，接受社会监督）</w:t>
      </w:r>
    </w:p>
    <w:p w14:paraId="07D6102A">
      <w:pPr>
        <w:spacing w:line="588" w:lineRule="exact"/>
        <w:ind w:firstLine="624" w:firstLineChars="200"/>
        <w:rPr>
          <w:rFonts w:ascii="仿宋" w:hAnsi="仿宋" w:eastAsia="仿宋" w:cs="仿宋"/>
          <w:color w:val="000000" w:themeColor="text1"/>
          <w:spacing w:val="6"/>
          <w:sz w:val="30"/>
          <w:szCs w:val="30"/>
          <w14:textFill>
            <w14:solidFill>
              <w14:schemeClr w14:val="tx1"/>
            </w14:solidFill>
          </w14:textFill>
        </w:rPr>
      </w:pPr>
    </w:p>
    <w:p w14:paraId="32FBC4E6">
      <w:pPr>
        <w:pStyle w:val="26"/>
        <w:rPr>
          <w:rFonts w:ascii="仿宋" w:hAnsi="仿宋" w:eastAsia="仿宋" w:cs="仿宋"/>
          <w:color w:val="000000" w:themeColor="text1"/>
          <w:spacing w:val="6"/>
          <w:sz w:val="30"/>
          <w:szCs w:val="30"/>
          <w14:textFill>
            <w14:solidFill>
              <w14:schemeClr w14:val="tx1"/>
            </w14:solidFill>
          </w14:textFill>
        </w:rPr>
      </w:pPr>
    </w:p>
    <w:p w14:paraId="5CF8113D">
      <w:pPr>
        <w:pStyle w:val="26"/>
        <w:ind w:firstLine="0"/>
        <w:rPr>
          <w:rFonts w:ascii="仿宋" w:hAnsi="仿宋" w:eastAsia="仿宋" w:cs="仿宋"/>
          <w:color w:val="000000" w:themeColor="text1"/>
          <w:spacing w:val="6"/>
          <w:sz w:val="30"/>
          <w:szCs w:val="30"/>
          <w14:textFill>
            <w14:solidFill>
              <w14:schemeClr w14:val="tx1"/>
            </w14:solidFill>
          </w14:textFill>
        </w:rPr>
      </w:pPr>
    </w:p>
    <w:p w14:paraId="1B597ED4">
      <w:pPr>
        <w:spacing w:line="588" w:lineRule="exact"/>
        <w:ind w:right="1560" w:firstLine="480" w:firstLineChars="200"/>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供应商全称（加盖公章）：</w:t>
      </w:r>
    </w:p>
    <w:p w14:paraId="48C477FB">
      <w:pPr>
        <w:spacing w:line="588" w:lineRule="exact"/>
        <w:ind w:right="1560" w:firstLine="480" w:firstLineChars="200"/>
        <w:jc w:val="center"/>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日  期：</w:t>
      </w:r>
      <w:bookmarkStart w:id="218" w:name="_Toc17017"/>
      <w:bookmarkStart w:id="219" w:name="_Toc19567"/>
    </w:p>
    <w:bookmarkEnd w:id="218"/>
    <w:bookmarkEnd w:id="219"/>
    <w:p w14:paraId="0A33A722">
      <w:pPr>
        <w:rPr>
          <w:rFonts w:ascii="仿宋" w:hAnsi="仿宋" w:eastAsia="仿宋" w:cs="仿宋"/>
          <w:color w:val="000000" w:themeColor="text1"/>
          <w14:textFill>
            <w14:solidFill>
              <w14:schemeClr w14:val="tx1"/>
            </w14:solidFill>
          </w14:textFill>
        </w:rPr>
      </w:pPr>
    </w:p>
    <w:p w14:paraId="2E1B85E8">
      <w:r>
        <w:br w:type="page"/>
      </w:r>
    </w:p>
    <w:p w14:paraId="08EF5830">
      <w:pPr>
        <w:pStyle w:val="4"/>
        <w:pageBreakBefore/>
        <w:numPr>
          <w:ilvl w:val="1"/>
          <w:numId w:val="0"/>
        </w:numPr>
        <w:spacing w:before="0" w:after="0" w:line="360" w:lineRule="auto"/>
        <w:rPr>
          <w:rFonts w:ascii="仿宋" w:hAnsi="仿宋" w:eastAsia="仿宋" w:cs="仿宋"/>
          <w:b/>
          <w:bCs w:val="0"/>
          <w:color w:val="000000" w:themeColor="text1"/>
          <w:sz w:val="28"/>
          <w:szCs w:val="28"/>
          <w14:textFill>
            <w14:solidFill>
              <w14:schemeClr w14:val="tx1"/>
            </w14:solidFill>
          </w14:textFill>
        </w:rPr>
      </w:pPr>
      <w:r>
        <w:rPr>
          <w:rFonts w:hint="eastAsia" w:ascii="仿宋" w:hAnsi="仿宋" w:eastAsia="仿宋" w:cs="仿宋"/>
          <w:b/>
          <w:bCs w:val="0"/>
          <w:color w:val="000000" w:themeColor="text1"/>
          <w:sz w:val="28"/>
          <w:szCs w:val="28"/>
          <w14:textFill>
            <w14:solidFill>
              <w14:schemeClr w14:val="tx1"/>
            </w14:solidFill>
          </w14:textFill>
        </w:rPr>
        <w:t>附件</w:t>
      </w:r>
      <w:r>
        <w:rPr>
          <w:rFonts w:hint="eastAsia" w:ascii="仿宋" w:hAnsi="仿宋" w:eastAsia="仿宋" w:cs="仿宋"/>
          <w:b/>
          <w:bCs w:val="0"/>
          <w:color w:val="000000" w:themeColor="text1"/>
          <w:sz w:val="28"/>
          <w:szCs w:val="28"/>
          <w:lang w:val="en-US" w:eastAsia="zh-CN"/>
          <w14:textFill>
            <w14:solidFill>
              <w14:schemeClr w14:val="tx1"/>
            </w14:solidFill>
          </w14:textFill>
        </w:rPr>
        <w:t>5</w:t>
      </w:r>
      <w:r>
        <w:rPr>
          <w:rFonts w:hint="eastAsia" w:ascii="仿宋" w:hAnsi="仿宋" w:eastAsia="仿宋" w:cs="仿宋"/>
          <w:b/>
          <w:bCs w:val="0"/>
          <w:color w:val="000000" w:themeColor="text1"/>
          <w:sz w:val="28"/>
          <w:szCs w:val="28"/>
          <w14:textFill>
            <w14:solidFill>
              <w14:schemeClr w14:val="tx1"/>
            </w14:solidFill>
          </w14:textFill>
        </w:rPr>
        <w:t>：南京市政府采购供应商信用记录表暨信用承诺书</w:t>
      </w:r>
    </w:p>
    <w:tbl>
      <w:tblPr>
        <w:tblStyle w:val="18"/>
        <w:tblpPr w:leftFromText="180" w:rightFromText="180" w:vertAnchor="text" w:horzAnchor="page" w:tblpXSpec="center" w:tblpY="467"/>
        <w:tblOverlap w:val="never"/>
        <w:tblW w:w="9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0"/>
        <w:gridCol w:w="3128"/>
        <w:gridCol w:w="2052"/>
        <w:gridCol w:w="2660"/>
      </w:tblGrid>
      <w:tr w14:paraId="3A618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860" w:type="dxa"/>
            <w:noWrap/>
            <w:vAlign w:val="center"/>
          </w:tcPr>
          <w:p w14:paraId="17B507F3">
            <w:pPr>
              <w:jc w:val="center"/>
              <w:rPr>
                <w:rFonts w:ascii="仿宋" w:hAnsi="仿宋" w:eastAsia="仿宋" w:cs="仿宋"/>
                <w:b/>
                <w:bCs/>
              </w:rPr>
            </w:pPr>
            <w:r>
              <w:rPr>
                <w:rFonts w:hint="eastAsia" w:ascii="仿宋" w:hAnsi="仿宋" w:eastAsia="仿宋" w:cs="仿宋"/>
                <w:b/>
                <w:bCs/>
              </w:rPr>
              <w:t>单位名称</w:t>
            </w:r>
          </w:p>
        </w:tc>
        <w:tc>
          <w:tcPr>
            <w:tcW w:w="3128" w:type="dxa"/>
            <w:noWrap/>
          </w:tcPr>
          <w:p w14:paraId="298B7871">
            <w:pPr>
              <w:pStyle w:val="4"/>
              <w:numPr>
                <w:ilvl w:val="1"/>
                <w:numId w:val="0"/>
              </w:numPr>
              <w:spacing w:before="140" w:after="140" w:line="360" w:lineRule="auto"/>
              <w:rPr>
                <w:rFonts w:ascii="仿宋" w:hAnsi="仿宋" w:eastAsia="仿宋" w:cs="仿宋"/>
                <w:sz w:val="21"/>
                <w:szCs w:val="21"/>
              </w:rPr>
            </w:pPr>
          </w:p>
        </w:tc>
        <w:tc>
          <w:tcPr>
            <w:tcW w:w="2052" w:type="dxa"/>
            <w:noWrap/>
            <w:vAlign w:val="center"/>
          </w:tcPr>
          <w:p w14:paraId="445EE097">
            <w:pPr>
              <w:jc w:val="center"/>
              <w:rPr>
                <w:rFonts w:ascii="仿宋" w:hAnsi="仿宋" w:eastAsia="仿宋" w:cs="仿宋"/>
                <w:b/>
                <w:bCs/>
              </w:rPr>
            </w:pPr>
            <w:r>
              <w:rPr>
                <w:rFonts w:hint="eastAsia" w:ascii="仿宋" w:hAnsi="仿宋" w:eastAsia="仿宋" w:cs="仿宋"/>
                <w:b/>
                <w:bCs/>
              </w:rPr>
              <w:t>统一社会</w:t>
            </w:r>
          </w:p>
          <w:p w14:paraId="2584510C">
            <w:pPr>
              <w:jc w:val="center"/>
              <w:rPr>
                <w:rFonts w:ascii="仿宋" w:hAnsi="仿宋" w:eastAsia="仿宋" w:cs="仿宋"/>
                <w:b/>
                <w:bCs/>
              </w:rPr>
            </w:pPr>
            <w:r>
              <w:rPr>
                <w:rFonts w:hint="eastAsia" w:ascii="仿宋" w:hAnsi="仿宋" w:eastAsia="仿宋" w:cs="仿宋"/>
                <w:b/>
                <w:bCs/>
              </w:rPr>
              <w:t>信用代码</w:t>
            </w:r>
          </w:p>
        </w:tc>
        <w:tc>
          <w:tcPr>
            <w:tcW w:w="2660" w:type="dxa"/>
            <w:noWrap/>
          </w:tcPr>
          <w:p w14:paraId="73F0B045">
            <w:pPr>
              <w:pStyle w:val="4"/>
              <w:numPr>
                <w:ilvl w:val="1"/>
                <w:numId w:val="0"/>
              </w:numPr>
              <w:spacing w:before="140" w:after="140" w:line="360" w:lineRule="auto"/>
              <w:rPr>
                <w:rFonts w:ascii="仿宋" w:hAnsi="仿宋" w:eastAsia="仿宋" w:cs="仿宋"/>
                <w:sz w:val="21"/>
                <w:szCs w:val="21"/>
              </w:rPr>
            </w:pPr>
          </w:p>
        </w:tc>
      </w:tr>
      <w:tr w14:paraId="1D771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860" w:type="dxa"/>
            <w:noWrap/>
            <w:vAlign w:val="center"/>
          </w:tcPr>
          <w:p w14:paraId="50E7E7C9">
            <w:pPr>
              <w:jc w:val="center"/>
              <w:rPr>
                <w:rFonts w:ascii="仿宋" w:hAnsi="仿宋" w:eastAsia="仿宋" w:cs="仿宋"/>
                <w:b/>
                <w:bCs/>
              </w:rPr>
            </w:pPr>
            <w:r>
              <w:rPr>
                <w:rFonts w:hint="eastAsia" w:ascii="仿宋" w:hAnsi="仿宋" w:eastAsia="仿宋" w:cs="仿宋"/>
                <w:b/>
                <w:bCs/>
              </w:rPr>
              <w:t>法定代表人</w:t>
            </w:r>
          </w:p>
        </w:tc>
        <w:tc>
          <w:tcPr>
            <w:tcW w:w="3128" w:type="dxa"/>
            <w:noWrap/>
          </w:tcPr>
          <w:p w14:paraId="39A543D3">
            <w:pPr>
              <w:pStyle w:val="4"/>
              <w:numPr>
                <w:ilvl w:val="1"/>
                <w:numId w:val="0"/>
              </w:numPr>
              <w:spacing w:before="140" w:after="140" w:line="360" w:lineRule="auto"/>
              <w:rPr>
                <w:rFonts w:ascii="仿宋" w:hAnsi="仿宋" w:eastAsia="仿宋" w:cs="仿宋"/>
                <w:sz w:val="21"/>
                <w:szCs w:val="21"/>
              </w:rPr>
            </w:pPr>
          </w:p>
        </w:tc>
        <w:tc>
          <w:tcPr>
            <w:tcW w:w="2052" w:type="dxa"/>
            <w:noWrap/>
            <w:vAlign w:val="center"/>
          </w:tcPr>
          <w:p w14:paraId="13ED9F74">
            <w:pPr>
              <w:jc w:val="center"/>
              <w:rPr>
                <w:rFonts w:ascii="仿宋" w:hAnsi="仿宋" w:eastAsia="仿宋" w:cs="仿宋"/>
                <w:b/>
                <w:bCs/>
              </w:rPr>
            </w:pPr>
            <w:r>
              <w:rPr>
                <w:rFonts w:hint="eastAsia" w:ascii="仿宋" w:hAnsi="仿宋" w:eastAsia="仿宋" w:cs="仿宋"/>
                <w:b/>
                <w:bCs/>
              </w:rPr>
              <w:t>联系人</w:t>
            </w:r>
          </w:p>
        </w:tc>
        <w:tc>
          <w:tcPr>
            <w:tcW w:w="2660" w:type="dxa"/>
            <w:noWrap/>
          </w:tcPr>
          <w:p w14:paraId="209EE841">
            <w:pPr>
              <w:pStyle w:val="4"/>
              <w:numPr>
                <w:ilvl w:val="1"/>
                <w:numId w:val="0"/>
              </w:numPr>
              <w:spacing w:before="140" w:after="140" w:line="360" w:lineRule="auto"/>
              <w:rPr>
                <w:rFonts w:ascii="仿宋" w:hAnsi="仿宋" w:eastAsia="仿宋" w:cs="仿宋"/>
                <w:sz w:val="21"/>
                <w:szCs w:val="21"/>
              </w:rPr>
            </w:pPr>
          </w:p>
        </w:tc>
      </w:tr>
      <w:tr w14:paraId="00DA3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860" w:type="dxa"/>
            <w:noWrap/>
            <w:vAlign w:val="center"/>
          </w:tcPr>
          <w:p w14:paraId="5D71042E">
            <w:pPr>
              <w:jc w:val="center"/>
              <w:rPr>
                <w:rFonts w:ascii="仿宋" w:hAnsi="仿宋" w:eastAsia="仿宋" w:cs="仿宋"/>
                <w:b/>
                <w:bCs/>
              </w:rPr>
            </w:pPr>
            <w:r>
              <w:rPr>
                <w:rFonts w:hint="eastAsia" w:ascii="仿宋" w:hAnsi="仿宋" w:eastAsia="仿宋" w:cs="仿宋"/>
                <w:b/>
                <w:bCs/>
              </w:rPr>
              <w:t>联系地址</w:t>
            </w:r>
          </w:p>
        </w:tc>
        <w:tc>
          <w:tcPr>
            <w:tcW w:w="3128" w:type="dxa"/>
            <w:noWrap/>
          </w:tcPr>
          <w:p w14:paraId="7B1665D3">
            <w:pPr>
              <w:pStyle w:val="4"/>
              <w:numPr>
                <w:ilvl w:val="1"/>
                <w:numId w:val="0"/>
              </w:numPr>
              <w:spacing w:before="140" w:after="140" w:line="360" w:lineRule="auto"/>
              <w:rPr>
                <w:rFonts w:ascii="仿宋" w:hAnsi="仿宋" w:eastAsia="仿宋" w:cs="仿宋"/>
                <w:sz w:val="21"/>
                <w:szCs w:val="21"/>
              </w:rPr>
            </w:pPr>
          </w:p>
        </w:tc>
        <w:tc>
          <w:tcPr>
            <w:tcW w:w="2052" w:type="dxa"/>
            <w:noWrap/>
            <w:vAlign w:val="center"/>
          </w:tcPr>
          <w:p w14:paraId="71BFD2C8">
            <w:pPr>
              <w:jc w:val="center"/>
              <w:rPr>
                <w:rFonts w:ascii="仿宋" w:hAnsi="仿宋" w:eastAsia="仿宋" w:cs="仿宋"/>
                <w:b/>
                <w:bCs/>
              </w:rPr>
            </w:pPr>
            <w:r>
              <w:rPr>
                <w:rFonts w:hint="eastAsia" w:ascii="仿宋" w:hAnsi="仿宋" w:eastAsia="仿宋" w:cs="仿宋"/>
                <w:b/>
                <w:bCs/>
              </w:rPr>
              <w:t>联系电话</w:t>
            </w:r>
          </w:p>
        </w:tc>
        <w:tc>
          <w:tcPr>
            <w:tcW w:w="2660" w:type="dxa"/>
            <w:noWrap/>
          </w:tcPr>
          <w:p w14:paraId="02F0EBD3">
            <w:pPr>
              <w:pStyle w:val="4"/>
              <w:numPr>
                <w:ilvl w:val="1"/>
                <w:numId w:val="0"/>
              </w:numPr>
              <w:spacing w:before="140" w:after="140" w:line="360" w:lineRule="auto"/>
              <w:rPr>
                <w:rFonts w:ascii="仿宋" w:hAnsi="仿宋" w:eastAsia="仿宋" w:cs="仿宋"/>
                <w:sz w:val="21"/>
                <w:szCs w:val="21"/>
              </w:rPr>
            </w:pPr>
          </w:p>
        </w:tc>
      </w:tr>
      <w:tr w14:paraId="10F99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1860" w:type="dxa"/>
            <w:noWrap/>
            <w:vAlign w:val="center"/>
          </w:tcPr>
          <w:p w14:paraId="31D2CC51">
            <w:pPr>
              <w:jc w:val="center"/>
              <w:rPr>
                <w:rFonts w:ascii="仿宋" w:hAnsi="仿宋" w:eastAsia="仿宋" w:cs="仿宋"/>
                <w:b/>
                <w:bCs/>
              </w:rPr>
            </w:pPr>
            <w:r>
              <w:rPr>
                <w:rFonts w:hint="eastAsia" w:ascii="仿宋" w:hAnsi="仿宋" w:eastAsia="仿宋" w:cs="仿宋"/>
                <w:b/>
                <w:bCs/>
              </w:rPr>
              <w:t>诚信档案</w:t>
            </w:r>
          </w:p>
          <w:p w14:paraId="0129EBAD">
            <w:pPr>
              <w:jc w:val="center"/>
              <w:rPr>
                <w:rFonts w:ascii="仿宋" w:hAnsi="仿宋" w:eastAsia="仿宋" w:cs="仿宋"/>
                <w:b/>
                <w:bCs/>
              </w:rPr>
            </w:pPr>
            <w:r>
              <w:rPr>
                <w:rFonts w:hint="eastAsia" w:ascii="仿宋" w:hAnsi="仿宋" w:eastAsia="仿宋" w:cs="仿宋"/>
                <w:b/>
                <w:bCs/>
              </w:rPr>
              <w:t>记录情况</w:t>
            </w:r>
          </w:p>
        </w:tc>
        <w:tc>
          <w:tcPr>
            <w:tcW w:w="7840" w:type="dxa"/>
            <w:gridSpan w:val="3"/>
            <w:noWrap/>
            <w:vAlign w:val="center"/>
          </w:tcPr>
          <w:p w14:paraId="394E0ECB">
            <w:pPr>
              <w:rPr>
                <w:rFonts w:ascii="仿宋" w:hAnsi="仿宋" w:eastAsia="仿宋" w:cs="仿宋"/>
              </w:rPr>
            </w:pPr>
          </w:p>
        </w:tc>
      </w:tr>
      <w:tr w14:paraId="47FE1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4" w:hRule="atLeast"/>
          <w:jc w:val="center"/>
        </w:trPr>
        <w:tc>
          <w:tcPr>
            <w:tcW w:w="1860" w:type="dxa"/>
            <w:noWrap/>
            <w:vAlign w:val="center"/>
          </w:tcPr>
          <w:p w14:paraId="11A238CD">
            <w:pPr>
              <w:jc w:val="center"/>
              <w:rPr>
                <w:rFonts w:ascii="仿宋" w:hAnsi="仿宋" w:eastAsia="仿宋" w:cs="仿宋"/>
              </w:rPr>
            </w:pPr>
            <w:r>
              <w:rPr>
                <w:rFonts w:hint="eastAsia" w:ascii="仿宋" w:hAnsi="仿宋" w:eastAsia="仿宋" w:cs="仿宋"/>
                <w:b/>
                <w:bCs/>
              </w:rPr>
              <w:t>信用承诺</w:t>
            </w:r>
          </w:p>
        </w:tc>
        <w:tc>
          <w:tcPr>
            <w:tcW w:w="7840" w:type="dxa"/>
            <w:gridSpan w:val="3"/>
            <w:noWrap/>
          </w:tcPr>
          <w:p w14:paraId="789BDD3F">
            <w:pPr>
              <w:rPr>
                <w:rFonts w:ascii="仿宋" w:hAnsi="仿宋" w:eastAsia="仿宋" w:cs="仿宋"/>
              </w:rPr>
            </w:pPr>
          </w:p>
          <w:p w14:paraId="7250D2EA">
            <w:pPr>
              <w:ind w:firstLine="480" w:firstLineChars="200"/>
              <w:rPr>
                <w:rFonts w:ascii="仿宋" w:hAnsi="仿宋" w:eastAsia="仿宋" w:cs="仿宋"/>
              </w:rPr>
            </w:pPr>
            <w:r>
              <w:rPr>
                <w:rFonts w:hint="eastAsia" w:ascii="仿宋" w:hAnsi="仿宋" w:eastAsia="仿宋" w:cs="仿宋"/>
                <w:color w:val="000000"/>
                <w:sz w:val="24"/>
                <w:szCs w:val="24"/>
              </w:rPr>
              <w:t>我公司自愿参加贵中心（公司）组织的本次采购活动，严格遵守《中华人民共和国政府采购法》及相关法律法规，坚守公开、公平、公正和诚实信用的原则，依法诚信经营，无条件遵守本次政府采购活动的各项规定。我们郑重承诺，本公司符合《政府采购法》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他违法违规行为，愿承担一切法律责任，接受各级政府采购监管部门和有权机关的审查和处罚。</w:t>
            </w:r>
          </w:p>
          <w:p w14:paraId="35AFEA29">
            <w:pPr>
              <w:ind w:firstLine="1890" w:firstLineChars="900"/>
              <w:rPr>
                <w:rFonts w:ascii="仿宋" w:hAnsi="仿宋" w:eastAsia="仿宋" w:cs="仿宋"/>
              </w:rPr>
            </w:pPr>
            <w:r>
              <w:rPr>
                <w:rFonts w:hint="eastAsia" w:ascii="仿宋" w:hAnsi="仿宋" w:eastAsia="仿宋" w:cs="仿宋"/>
              </w:rPr>
              <w:t>供应商名称(盖章) :</w:t>
            </w:r>
          </w:p>
          <w:p w14:paraId="71DC3FF6">
            <w:pPr>
              <w:ind w:firstLine="1890" w:firstLineChars="900"/>
              <w:rPr>
                <w:rFonts w:ascii="仿宋" w:hAnsi="仿宋" w:eastAsia="仿宋" w:cs="仿宋"/>
              </w:rPr>
            </w:pPr>
            <w:r>
              <w:rPr>
                <w:rFonts w:hint="eastAsia" w:ascii="仿宋" w:hAnsi="仿宋" w:eastAsia="仿宋" w:cs="仿宋"/>
              </w:rPr>
              <w:t>法定代表人(签字) :</w:t>
            </w:r>
          </w:p>
          <w:p w14:paraId="6FB48C6B">
            <w:pPr>
              <w:ind w:firstLine="4620" w:firstLineChars="2200"/>
              <w:rPr>
                <w:rFonts w:ascii="仿宋" w:hAnsi="仿宋" w:eastAsia="仿宋" w:cs="仿宋"/>
              </w:rPr>
            </w:pPr>
            <w:r>
              <w:rPr>
                <w:rFonts w:hint="eastAsia" w:ascii="仿宋" w:hAnsi="仿宋" w:eastAsia="仿宋" w:cs="仿宋"/>
              </w:rPr>
              <w:t>年  月  日</w:t>
            </w:r>
          </w:p>
        </w:tc>
      </w:tr>
    </w:tbl>
    <w:p w14:paraId="1F0CAFC1"/>
    <w:p w14:paraId="535F9018">
      <w:pPr>
        <w:rPr>
          <w:rFonts w:ascii="仿宋" w:hAnsi="仿宋" w:eastAsia="仿宋" w:cs="仿宋"/>
          <w:b/>
          <w:bCs/>
          <w:color w:val="000000" w:themeColor="text1"/>
          <w:szCs w:val="21"/>
          <w14:textFill>
            <w14:solidFill>
              <w14:schemeClr w14:val="tx1"/>
            </w14:solidFill>
          </w14:textFill>
        </w:rPr>
      </w:pPr>
    </w:p>
    <w:p w14:paraId="25ED5B59">
      <w:r>
        <w:rPr>
          <w:rFonts w:hint="eastAsia" w:ascii="仿宋" w:hAnsi="仿宋" w:eastAsia="仿宋" w:cs="仿宋"/>
          <w:b/>
          <w:bCs/>
          <w:color w:val="000000" w:themeColor="text1"/>
          <w:szCs w:val="21"/>
          <w14:textFill>
            <w14:solidFill>
              <w14:schemeClr w14:val="tx1"/>
            </w14:solidFill>
          </w14:textFill>
        </w:rPr>
        <w:t>注</w:t>
      </w:r>
      <w:r>
        <w:rPr>
          <w:rFonts w:hint="eastAsia" w:ascii="仿宋" w:hAnsi="仿宋" w:eastAsia="仿宋" w:cs="仿宋"/>
          <w:color w:val="000000" w:themeColor="text1"/>
          <w:szCs w:val="21"/>
          <w14:textFill>
            <w14:solidFill>
              <w14:schemeClr w14:val="tx1"/>
            </w14:solidFill>
          </w14:textFill>
        </w:rPr>
        <w:t>：</w:t>
      </w:r>
      <w:r>
        <w:rPr>
          <w:rFonts w:hint="eastAsia" w:ascii="仿宋" w:hAnsi="仿宋" w:eastAsia="仿宋" w:cs="仿宋"/>
          <w:b/>
          <w:bCs/>
          <w:color w:val="000000" w:themeColor="text1"/>
          <w:szCs w:val="21"/>
          <w14:textFill>
            <w14:solidFill>
              <w14:schemeClr w14:val="tx1"/>
            </w14:solidFill>
          </w14:textFill>
        </w:rPr>
        <w:t>此表为表样，供应商须登陆“信用南京”（</w:t>
      </w:r>
      <w:r>
        <w:fldChar w:fldCharType="begin"/>
      </w:r>
      <w:r>
        <w:instrText xml:space="preserve"> HYPERLINK \t "_blank" </w:instrText>
      </w:r>
      <w:r>
        <w:fldChar w:fldCharType="separate"/>
      </w:r>
      <w:r>
        <w:rPr>
          <w:rFonts w:hint="eastAsia" w:ascii="仿宋" w:hAnsi="仿宋" w:eastAsia="仿宋" w:cs="仿宋"/>
          <w:b/>
          <w:bCs/>
          <w:color w:val="000000" w:themeColor="text1"/>
          <w:szCs w:val="21"/>
          <w14:textFill>
            <w14:solidFill>
              <w14:schemeClr w14:val="tx1"/>
            </w14:solidFill>
          </w14:textFill>
        </w:rPr>
        <w:t>www.njcredit.gov.cn）或“南京公共采购信息网”（https://njgc.jfh.com/）的“南京政府采购供应商诚信档案管理系统”进行注册</w:t>
      </w:r>
      <w:r>
        <w:rPr>
          <w:rFonts w:hint="eastAsia" w:ascii="仿宋" w:hAnsi="仿宋" w:eastAsia="仿宋" w:cs="仿宋"/>
          <w:b/>
          <w:bCs/>
          <w:color w:val="000000" w:themeColor="text1"/>
          <w:szCs w:val="21"/>
          <w14:textFill>
            <w14:solidFill>
              <w14:schemeClr w14:val="tx1"/>
            </w14:solidFill>
          </w14:textFill>
        </w:rPr>
        <w:fldChar w:fldCharType="end"/>
      </w:r>
      <w:r>
        <w:rPr>
          <w:rFonts w:hint="eastAsia" w:ascii="仿宋" w:hAnsi="仿宋" w:eastAsia="仿宋" w:cs="仿宋"/>
          <w:b/>
          <w:bCs/>
          <w:color w:val="000000" w:themeColor="text1"/>
          <w:szCs w:val="21"/>
          <w14:textFill>
            <w14:solidFill>
              <w14:schemeClr w14:val="tx1"/>
            </w14:solidFill>
          </w14:textFill>
        </w:rPr>
        <w:t>，如实填写《南京市政府采购供应商诚信档案注册登记表》，上传相关资料，并进行信用承诺确认后，提交注册申请。供应商参加政府采购活动投标（响应）截止日前，应先登录“南京政府采购供应商诚信档案管理系统”在线打印信用记录表，经法定代表人签名盖章后作为投标（响应）文件的组成部分提交，南京市政府采购供应商诚信档案管理系统客服电话：025-52718366；供应商可就用户注册与打印“南京市政府采购供应商信用记录表暨信用承诺书”等事宜进行咨询。</w:t>
      </w:r>
    </w:p>
    <w:p w14:paraId="53B9323E"/>
    <w:sectPr>
      <w:pgSz w:w="11906" w:h="16838"/>
      <w:pgMar w:top="1440" w:right="1080" w:bottom="1440" w:left="108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4D0D3">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82E37">
    <w:pPr>
      <w:pStyle w:val="1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273010641"/>
                          </w:sdtPr>
                          <w:sdtContent>
                            <w:p w14:paraId="4E3CF5CE">
                              <w:pPr>
                                <w:pStyle w:val="13"/>
                                <w:jc w:val="center"/>
                              </w:pPr>
                              <w:r>
                                <w:fldChar w:fldCharType="begin"/>
                              </w:r>
                              <w:r>
                                <w:instrText xml:space="preserve">PAGE   \* MERGEFORMAT</w:instrText>
                              </w:r>
                              <w:r>
                                <w:fldChar w:fldCharType="separate"/>
                              </w:r>
                              <w:r>
                                <w:rPr>
                                  <w:lang w:val="zh-CN"/>
                                </w:rPr>
                                <w:t>19</w:t>
                              </w:r>
                              <w:r>
                                <w:rPr>
                                  <w:lang w:val="zh-CN"/>
                                </w:rPr>
                                <w:fldChar w:fldCharType="end"/>
                              </w:r>
                            </w:p>
                          </w:sdtContent>
                        </w:sdt>
                        <w:p w14:paraId="0C84343D">
                          <w:pPr>
                            <w:pStyle w:val="17"/>
                            <w:ind w:firstLine="56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sdt>
                    <w:sdtPr>
                      <w:id w:val="-273010641"/>
                    </w:sdtPr>
                    <w:sdtContent>
                      <w:p w14:paraId="4E3CF5CE">
                        <w:pPr>
                          <w:pStyle w:val="13"/>
                          <w:jc w:val="center"/>
                        </w:pPr>
                        <w:r>
                          <w:fldChar w:fldCharType="begin"/>
                        </w:r>
                        <w:r>
                          <w:instrText xml:space="preserve">PAGE   \* MERGEFORMAT</w:instrText>
                        </w:r>
                        <w:r>
                          <w:fldChar w:fldCharType="separate"/>
                        </w:r>
                        <w:r>
                          <w:rPr>
                            <w:lang w:val="zh-CN"/>
                          </w:rPr>
                          <w:t>19</w:t>
                        </w:r>
                        <w:r>
                          <w:rPr>
                            <w:lang w:val="zh-CN"/>
                          </w:rPr>
                          <w:fldChar w:fldCharType="end"/>
                        </w:r>
                      </w:p>
                    </w:sdtContent>
                  </w:sdt>
                  <w:p w14:paraId="0C84343D">
                    <w:pPr>
                      <w:pStyle w:val="17"/>
                      <w:ind w:firstLine="560"/>
                    </w:pPr>
                  </w:p>
                </w:txbxContent>
              </v:textbox>
            </v:shape>
          </w:pict>
        </mc:Fallback>
      </mc:AlternateContent>
    </w:r>
  </w:p>
  <w:p w14:paraId="62901E1D">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B4931">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8449AAD">
                          <w:pPr>
                            <w:pStyle w:val="13"/>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58449AAD">
                    <w:pPr>
                      <w:pStyle w:val="13"/>
                    </w:pPr>
                    <w:r>
                      <w:fldChar w:fldCharType="begin"/>
                    </w:r>
                    <w:r>
                      <w:instrText xml:space="preserve"> PAGE  \* MERGEFORMAT </w:instrText>
                    </w:r>
                    <w:r>
                      <w:fldChar w:fldCharType="separate"/>
                    </w:r>
                    <w:r>
                      <w:t>18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127BD">
    <w:pPr>
      <w:pStyle w:val="14"/>
      <w:pBdr>
        <w:bottom w:val="none" w:color="auto" w:sz="0" w:space="1"/>
      </w:pBdr>
      <w:jc w:val="both"/>
      <w:rPr>
        <w:rFonts w:ascii="楷体" w:hAnsi="楷体" w:eastAsia="楷体" w:cs="楷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1FEA6">
    <w:pPr>
      <w:pStyle w:val="14"/>
      <w:pBdr>
        <w:bottom w:val="thickThinSmallGap" w:color="auto" w:sz="12" w:space="1"/>
      </w:pBdr>
      <w:jc w:val="both"/>
      <w:rPr>
        <w:rFonts w:ascii="仿宋" w:hAnsi="仿宋" w:eastAsia="仿宋" w:cs="仿宋"/>
      </w:rPr>
    </w:pPr>
  </w:p>
  <w:p w14:paraId="4EBAC4A1">
    <w:pPr>
      <w:pStyle w:val="14"/>
      <w:pBdr>
        <w:bottom w:val="thickThinSmallGap" w:color="auto" w:sz="12" w:space="1"/>
      </w:pBdr>
      <w:jc w:val="both"/>
      <w:rPr>
        <w:rFonts w:hint="eastAsia" w:eastAsia="仿宋"/>
        <w:lang w:eastAsia="zh-CN"/>
      </w:rPr>
    </w:pPr>
    <w:r>
      <w:rPr>
        <w:rFonts w:hint="eastAsia" w:ascii="仿宋" w:hAnsi="仿宋" w:eastAsia="仿宋" w:cs="仿宋"/>
        <w:lang w:eastAsia="zh-CN"/>
      </w:rPr>
      <w:t>NJDCX-202512051928</w:t>
    </w:r>
    <w:r>
      <w:rPr>
        <w:rFonts w:hint="eastAsia" w:ascii="仿宋" w:hAnsi="仿宋" w:eastAsia="仿宋" w:cs="仿宋"/>
        <w:lang w:val="en-US" w:eastAsia="zh-CN"/>
      </w:rPr>
      <w:t xml:space="preserve">                                                             </w:t>
    </w:r>
    <w:r>
      <w:rPr>
        <w:rFonts w:hint="eastAsia" w:ascii="仿宋" w:hAnsi="仿宋" w:eastAsia="仿宋" w:cs="仿宋"/>
        <w:lang w:eastAsia="zh-CN"/>
      </w:rPr>
      <w:t>南京达琛鑫工程咨询有限公司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2CEBE">
    <w:pPr>
      <w:pStyle w:val="14"/>
      <w:pBdr>
        <w:bottom w:val="single" w:color="auto" w:sz="4" w:space="1"/>
      </w:pBdr>
      <w:tabs>
        <w:tab w:val="left" w:pos="3565"/>
        <w:tab w:val="clear" w:pos="4153"/>
        <w:tab w:val="clear" w:pos="8306"/>
      </w:tabs>
      <w:rPr>
        <w:rFonts w:hint="eastAsia" w:eastAsia="楷体"/>
        <w:lang w:eastAsia="zh-CN"/>
      </w:rPr>
    </w:pPr>
    <w:r>
      <w:rPr>
        <w:rFonts w:hint="eastAsia" w:ascii="楷体" w:hAnsi="楷体" w:eastAsia="楷体" w:cs="楷体"/>
        <w:lang w:eastAsia="zh-CN"/>
      </w:rPr>
      <w:t>NJDCX-202512051928</w:t>
    </w:r>
    <w:r>
      <w:rPr>
        <w:rFonts w:hint="eastAsia" w:ascii="楷体" w:hAnsi="楷体" w:eastAsia="楷体" w:cs="楷体"/>
        <w:lang w:val="en-US" w:eastAsia="zh-CN"/>
      </w:rPr>
      <w:t xml:space="preserve">                                                      </w:t>
    </w:r>
    <w:r>
      <w:rPr>
        <w:rFonts w:hint="eastAsia" w:ascii="楷体" w:hAnsi="楷体" w:eastAsia="楷体" w:cs="楷体"/>
        <w:lang w:eastAsia="zh-CN"/>
      </w:rPr>
      <w:t>南京达琛鑫工程咨询有限公司</w:t>
    </w:r>
  </w:p>
  <w:p w14:paraId="3DE988FD">
    <w:pPr>
      <w:pStyle w:val="14"/>
      <w:pBdr>
        <w:bottom w:val="none" w:color="auto" w:sz="0" w:space="1"/>
      </w:pBdr>
      <w:tabs>
        <w:tab w:val="left" w:pos="3565"/>
        <w:tab w:val="clear" w:pos="4153"/>
        <w:tab w:val="clear" w:pos="8306"/>
      </w:tabs>
      <w:jc w:val="both"/>
      <w:rPr>
        <w:rFonts w:ascii="楷体" w:hAnsi="楷体" w:eastAsia="楷体" w:cs="楷体"/>
        <w:color w:val="00000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27A86">
    <w:pPr>
      <w:pBdr>
        <w:bottom w:val="single" w:color="auto" w:sz="6" w:space="1"/>
      </w:pBdr>
      <w:tabs>
        <w:tab w:val="center" w:pos="4153"/>
        <w:tab w:val="center" w:pos="4213"/>
        <w:tab w:val="right" w:pos="8306"/>
      </w:tabs>
      <w:autoSpaceDE w:val="0"/>
      <w:autoSpaceDN w:val="0"/>
      <w:adjustRightInd w:val="0"/>
      <w:snapToGrid w:val="0"/>
      <w:ind w:firstLine="360" w:firstLineChars="200"/>
      <w:jc w:val="left"/>
      <w:rPr>
        <w:rFonts w:hint="eastAsia" w:ascii="仿宋" w:hAnsi="仿宋" w:eastAsia="仿宋" w:cs="仿宋"/>
        <w:lang w:eastAsia="zh-CN"/>
      </w:rPr>
    </w:pPr>
    <w:r>
      <w:rPr>
        <w:rFonts w:hint="eastAsia" w:ascii="仿宋" w:hAnsi="仿宋" w:eastAsia="仿宋" w:cs="仿宋"/>
        <w:kern w:val="0"/>
        <w:sz w:val="18"/>
        <w:szCs w:val="18"/>
        <w:lang w:eastAsia="zh-CN"/>
      </w:rPr>
      <w:t>NJDCX-202512051928</w:t>
    </w:r>
    <w:r>
      <w:rPr>
        <w:rFonts w:hint="eastAsia" w:ascii="仿宋" w:hAnsi="仿宋" w:eastAsia="仿宋" w:cs="仿宋"/>
        <w:kern w:val="0"/>
        <w:sz w:val="18"/>
        <w:szCs w:val="18"/>
        <w:lang w:val="en-US" w:eastAsia="zh-CN"/>
      </w:rPr>
      <w:t xml:space="preserve">                                                        </w:t>
    </w:r>
    <w:r>
      <w:rPr>
        <w:rFonts w:hint="eastAsia" w:ascii="仿宋" w:hAnsi="仿宋" w:eastAsia="仿宋" w:cs="仿宋"/>
        <w:kern w:val="0"/>
        <w:sz w:val="18"/>
        <w:szCs w:val="18"/>
        <w:lang w:eastAsia="zh-CN"/>
      </w:rPr>
      <w:t>南京达琛鑫工程咨询有限公司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E75315"/>
    <w:multiLevelType w:val="singleLevel"/>
    <w:tmpl w:val="B6E75315"/>
    <w:lvl w:ilvl="0" w:tentative="0">
      <w:start w:val="1"/>
      <w:numFmt w:val="chineseCounting"/>
      <w:suff w:val="nothing"/>
      <w:lvlText w:val="%1、"/>
      <w:lvlJc w:val="left"/>
      <w:rPr>
        <w:rFonts w:hint="eastAsia"/>
      </w:rPr>
    </w:lvl>
  </w:abstractNum>
  <w:abstractNum w:abstractNumId="1">
    <w:nsid w:val="E31B86EE"/>
    <w:multiLevelType w:val="singleLevel"/>
    <w:tmpl w:val="E31B86EE"/>
    <w:lvl w:ilvl="0" w:tentative="0">
      <w:start w:val="1"/>
      <w:numFmt w:val="chineseCounting"/>
      <w:suff w:val="space"/>
      <w:lvlText w:val="第%1章"/>
      <w:lvlJc w:val="left"/>
      <w:rPr>
        <w:rFonts w:hint="eastAsia"/>
      </w:rPr>
    </w:lvl>
  </w:abstractNum>
  <w:abstractNum w:abstractNumId="2">
    <w:nsid w:val="E782702B"/>
    <w:multiLevelType w:val="singleLevel"/>
    <w:tmpl w:val="E782702B"/>
    <w:lvl w:ilvl="0" w:tentative="0">
      <w:start w:val="3"/>
      <w:numFmt w:val="decimal"/>
      <w:lvlText w:val="%1."/>
      <w:lvlJc w:val="left"/>
      <w:pPr>
        <w:tabs>
          <w:tab w:val="left" w:pos="312"/>
        </w:tabs>
      </w:pPr>
    </w:lvl>
  </w:abstractNum>
  <w:abstractNum w:abstractNumId="3">
    <w:nsid w:val="22BA6FC9"/>
    <w:multiLevelType w:val="multilevel"/>
    <w:tmpl w:val="22BA6FC9"/>
    <w:lvl w:ilvl="0" w:tentative="0">
      <w:start w:val="1"/>
      <w:numFmt w:val="decimal"/>
      <w:lvlText w:val="%1."/>
      <w:lvlJc w:val="left"/>
      <w:pPr>
        <w:ind w:left="840" w:hanging="420"/>
      </w:pPr>
    </w:lvl>
    <w:lvl w:ilvl="1" w:tentative="0">
      <w:start w:val="1"/>
      <w:numFmt w:val="decimal"/>
      <w:lvlText w:val="%2、"/>
      <w:lvlJc w:val="left"/>
      <w:pPr>
        <w:ind w:left="1200" w:hanging="360"/>
      </w:pPr>
      <w:rPr>
        <w:rFonts w:hint="default"/>
      </w:rPr>
    </w:lvl>
    <w:lvl w:ilvl="2" w:tentative="0">
      <w:start w:val="1"/>
      <w:numFmt w:val="japaneseCounting"/>
      <w:lvlText w:val="%3、"/>
      <w:lvlJc w:val="left"/>
      <w:pPr>
        <w:ind w:left="1710" w:hanging="450"/>
      </w:pPr>
      <w:rPr>
        <w:rFonts w:hint="default"/>
      </w:r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38ECABBA"/>
    <w:multiLevelType w:val="singleLevel"/>
    <w:tmpl w:val="38ECABBA"/>
    <w:lvl w:ilvl="0" w:tentative="0">
      <w:start w:val="3"/>
      <w:numFmt w:val="chineseCounting"/>
      <w:suff w:val="nothing"/>
      <w:lvlText w:val="（%1）"/>
      <w:lvlJc w:val="left"/>
      <w:rPr>
        <w:rFonts w:hint="eastAsia"/>
      </w:rPr>
    </w:lvl>
  </w:abstractNum>
  <w:abstractNum w:abstractNumId="5">
    <w:nsid w:val="76B8875D"/>
    <w:multiLevelType w:val="singleLevel"/>
    <w:tmpl w:val="76B8875D"/>
    <w:lvl w:ilvl="0" w:tentative="0">
      <w:start w:val="1"/>
      <w:numFmt w:val="chineseCounting"/>
      <w:suff w:val="nothing"/>
      <w:lvlText w:val="%1、"/>
      <w:lvlJc w:val="left"/>
      <w:pPr>
        <w:ind w:left="0" w:firstLine="420"/>
      </w:pPr>
      <w:rPr>
        <w:rFonts w:hint="eastAsia"/>
      </w:rPr>
    </w:lvl>
  </w:abstractNum>
  <w:num w:numId="1">
    <w:abstractNumId w:val="1"/>
  </w:num>
  <w:num w:numId="2">
    <w:abstractNumId w:val="0"/>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mYjRjNjVlZDcxZTA5M2YwZTI1NjRhZTdjZDM4MmUifQ=="/>
  </w:docVars>
  <w:rsids>
    <w:rsidRoot w:val="17B25C04"/>
    <w:rsid w:val="0018260C"/>
    <w:rsid w:val="00306D79"/>
    <w:rsid w:val="007158F3"/>
    <w:rsid w:val="00AB666F"/>
    <w:rsid w:val="00C01135"/>
    <w:rsid w:val="00D32C68"/>
    <w:rsid w:val="00E17011"/>
    <w:rsid w:val="012D3015"/>
    <w:rsid w:val="039662CA"/>
    <w:rsid w:val="06390E25"/>
    <w:rsid w:val="06B11331"/>
    <w:rsid w:val="07A310D0"/>
    <w:rsid w:val="09B44B87"/>
    <w:rsid w:val="09E75CD3"/>
    <w:rsid w:val="09F77876"/>
    <w:rsid w:val="09FC4E8C"/>
    <w:rsid w:val="0B4C7FDE"/>
    <w:rsid w:val="0BB124C8"/>
    <w:rsid w:val="0BB61FF3"/>
    <w:rsid w:val="0C717CB9"/>
    <w:rsid w:val="0C8F646D"/>
    <w:rsid w:val="0D067678"/>
    <w:rsid w:val="0D0B338D"/>
    <w:rsid w:val="0F9E16EA"/>
    <w:rsid w:val="0FF52C8D"/>
    <w:rsid w:val="102E7E66"/>
    <w:rsid w:val="10B4026F"/>
    <w:rsid w:val="115A35CE"/>
    <w:rsid w:val="11E47318"/>
    <w:rsid w:val="131C495C"/>
    <w:rsid w:val="14206D94"/>
    <w:rsid w:val="14FC3E68"/>
    <w:rsid w:val="155C2C83"/>
    <w:rsid w:val="156D6C3E"/>
    <w:rsid w:val="1578334E"/>
    <w:rsid w:val="16094541"/>
    <w:rsid w:val="1658458D"/>
    <w:rsid w:val="16F506B6"/>
    <w:rsid w:val="17337603"/>
    <w:rsid w:val="176242BF"/>
    <w:rsid w:val="17B25C04"/>
    <w:rsid w:val="181F5AD8"/>
    <w:rsid w:val="190119C3"/>
    <w:rsid w:val="1997583C"/>
    <w:rsid w:val="1A4E3931"/>
    <w:rsid w:val="1C2858AF"/>
    <w:rsid w:val="1C89291C"/>
    <w:rsid w:val="1D1D3842"/>
    <w:rsid w:val="1DF328B5"/>
    <w:rsid w:val="1DFF4410"/>
    <w:rsid w:val="1EF26B32"/>
    <w:rsid w:val="1F394761"/>
    <w:rsid w:val="20770238"/>
    <w:rsid w:val="20A53270"/>
    <w:rsid w:val="20DC4A4C"/>
    <w:rsid w:val="21723F5A"/>
    <w:rsid w:val="22160315"/>
    <w:rsid w:val="2285488D"/>
    <w:rsid w:val="22B702B1"/>
    <w:rsid w:val="23184957"/>
    <w:rsid w:val="2524430B"/>
    <w:rsid w:val="2572277A"/>
    <w:rsid w:val="2594620B"/>
    <w:rsid w:val="26E35F26"/>
    <w:rsid w:val="271138CD"/>
    <w:rsid w:val="285919D0"/>
    <w:rsid w:val="2A605BB0"/>
    <w:rsid w:val="2A7B77DF"/>
    <w:rsid w:val="2AFC6642"/>
    <w:rsid w:val="2B7E402F"/>
    <w:rsid w:val="2C937E06"/>
    <w:rsid w:val="2DAC25A2"/>
    <w:rsid w:val="2DF31F7F"/>
    <w:rsid w:val="2E156399"/>
    <w:rsid w:val="2FA26824"/>
    <w:rsid w:val="32C76415"/>
    <w:rsid w:val="32DD1049"/>
    <w:rsid w:val="337F5F96"/>
    <w:rsid w:val="33D0601B"/>
    <w:rsid w:val="349A0498"/>
    <w:rsid w:val="35231EEE"/>
    <w:rsid w:val="35E90555"/>
    <w:rsid w:val="37425D25"/>
    <w:rsid w:val="37482601"/>
    <w:rsid w:val="37965C14"/>
    <w:rsid w:val="38173FAE"/>
    <w:rsid w:val="387737AC"/>
    <w:rsid w:val="38E00FC6"/>
    <w:rsid w:val="397523E2"/>
    <w:rsid w:val="3A39340F"/>
    <w:rsid w:val="3A436AF9"/>
    <w:rsid w:val="3A9B736A"/>
    <w:rsid w:val="3C8A294C"/>
    <w:rsid w:val="3CA408E8"/>
    <w:rsid w:val="3D1F2457"/>
    <w:rsid w:val="3EFF6996"/>
    <w:rsid w:val="4015092F"/>
    <w:rsid w:val="42AA5FDC"/>
    <w:rsid w:val="42E20239"/>
    <w:rsid w:val="43047ECC"/>
    <w:rsid w:val="4396542E"/>
    <w:rsid w:val="44BF2763"/>
    <w:rsid w:val="44D72461"/>
    <w:rsid w:val="45352A25"/>
    <w:rsid w:val="454329BB"/>
    <w:rsid w:val="45607D80"/>
    <w:rsid w:val="45A50EF2"/>
    <w:rsid w:val="45C24067"/>
    <w:rsid w:val="45C86072"/>
    <w:rsid w:val="465459B0"/>
    <w:rsid w:val="46C003B5"/>
    <w:rsid w:val="471C0AE0"/>
    <w:rsid w:val="473A6AC6"/>
    <w:rsid w:val="47FA791D"/>
    <w:rsid w:val="47FC5D8E"/>
    <w:rsid w:val="48DC7D87"/>
    <w:rsid w:val="491F4E54"/>
    <w:rsid w:val="49247038"/>
    <w:rsid w:val="493368AC"/>
    <w:rsid w:val="4A5447FB"/>
    <w:rsid w:val="4AB3308D"/>
    <w:rsid w:val="4B237385"/>
    <w:rsid w:val="4B8B0B87"/>
    <w:rsid w:val="4C076097"/>
    <w:rsid w:val="4CFE5227"/>
    <w:rsid w:val="4D597DF0"/>
    <w:rsid w:val="4E1618F6"/>
    <w:rsid w:val="4FA30F71"/>
    <w:rsid w:val="50832EF6"/>
    <w:rsid w:val="51290C7D"/>
    <w:rsid w:val="51524143"/>
    <w:rsid w:val="52081DC9"/>
    <w:rsid w:val="528B5FFB"/>
    <w:rsid w:val="52D55A4D"/>
    <w:rsid w:val="53434007"/>
    <w:rsid w:val="539725B9"/>
    <w:rsid w:val="543211F5"/>
    <w:rsid w:val="547869ED"/>
    <w:rsid w:val="55595C51"/>
    <w:rsid w:val="556C6989"/>
    <w:rsid w:val="55F30C16"/>
    <w:rsid w:val="563A19A6"/>
    <w:rsid w:val="56477817"/>
    <w:rsid w:val="570F6EB1"/>
    <w:rsid w:val="584A0389"/>
    <w:rsid w:val="58CC55CF"/>
    <w:rsid w:val="590A3F9B"/>
    <w:rsid w:val="59324616"/>
    <w:rsid w:val="595E4A71"/>
    <w:rsid w:val="5BF316E9"/>
    <w:rsid w:val="5C403D31"/>
    <w:rsid w:val="5C7C0521"/>
    <w:rsid w:val="5D911B58"/>
    <w:rsid w:val="5E2B109A"/>
    <w:rsid w:val="5EB153BA"/>
    <w:rsid w:val="5F04499D"/>
    <w:rsid w:val="5F341B4E"/>
    <w:rsid w:val="5F632DDA"/>
    <w:rsid w:val="5FC25219"/>
    <w:rsid w:val="5FC77D19"/>
    <w:rsid w:val="616E520A"/>
    <w:rsid w:val="62305F56"/>
    <w:rsid w:val="626A0335"/>
    <w:rsid w:val="644943E9"/>
    <w:rsid w:val="647629E6"/>
    <w:rsid w:val="64A96E7F"/>
    <w:rsid w:val="658E6D57"/>
    <w:rsid w:val="66641B97"/>
    <w:rsid w:val="66B41BD2"/>
    <w:rsid w:val="67241F43"/>
    <w:rsid w:val="68825B2E"/>
    <w:rsid w:val="691D32B3"/>
    <w:rsid w:val="69B2659C"/>
    <w:rsid w:val="6A287CC8"/>
    <w:rsid w:val="6A8E3CA6"/>
    <w:rsid w:val="6B4C4FC6"/>
    <w:rsid w:val="6B8E45C8"/>
    <w:rsid w:val="6BD2397F"/>
    <w:rsid w:val="6C1A0EEC"/>
    <w:rsid w:val="6C284B09"/>
    <w:rsid w:val="6CA0460C"/>
    <w:rsid w:val="6D611D5A"/>
    <w:rsid w:val="6E4C7D10"/>
    <w:rsid w:val="6E6E472E"/>
    <w:rsid w:val="6E9C74ED"/>
    <w:rsid w:val="6F357FC2"/>
    <w:rsid w:val="701476BD"/>
    <w:rsid w:val="7025512C"/>
    <w:rsid w:val="709B4C09"/>
    <w:rsid w:val="712B6440"/>
    <w:rsid w:val="71A64B47"/>
    <w:rsid w:val="71DB1E9B"/>
    <w:rsid w:val="71EF055A"/>
    <w:rsid w:val="755A4A0A"/>
    <w:rsid w:val="75AD59C6"/>
    <w:rsid w:val="76B15B00"/>
    <w:rsid w:val="79062EE1"/>
    <w:rsid w:val="79205984"/>
    <w:rsid w:val="7BB623EB"/>
    <w:rsid w:val="7BD4339A"/>
    <w:rsid w:val="7C36422C"/>
    <w:rsid w:val="7C3C0847"/>
    <w:rsid w:val="7C5E50D1"/>
    <w:rsid w:val="7D026637"/>
    <w:rsid w:val="7DB528B2"/>
    <w:rsid w:val="7EC47165"/>
    <w:rsid w:val="7F5864A8"/>
    <w:rsid w:val="7FC56E18"/>
    <w:rsid w:val="7FDB599C"/>
    <w:rsid w:val="7FF16F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rFonts w:eastAsia="方正小标宋_GBK"/>
      <w:b/>
      <w:bCs/>
      <w:kern w:val="44"/>
      <w:sz w:val="28"/>
      <w:szCs w:val="44"/>
    </w:rPr>
  </w:style>
  <w:style w:type="paragraph" w:styleId="4">
    <w:name w:val="heading 2"/>
    <w:basedOn w:val="1"/>
    <w:next w:val="1"/>
    <w:qFormat/>
    <w:uiPriority w:val="0"/>
    <w:pPr>
      <w:keepNext/>
      <w:keepLines/>
      <w:spacing w:before="260" w:after="260" w:line="416" w:lineRule="auto"/>
      <w:jc w:val="center"/>
      <w:outlineLvl w:val="1"/>
    </w:pPr>
    <w:rPr>
      <w:rFonts w:ascii="Arial" w:hAnsi="Arial" w:eastAsia="黑体"/>
      <w:bCs/>
      <w:sz w:val="24"/>
      <w:szCs w:val="32"/>
    </w:rPr>
  </w:style>
  <w:style w:type="paragraph" w:styleId="2">
    <w:name w:val="heading 4"/>
    <w:basedOn w:val="1"/>
    <w:next w:val="1"/>
    <w:qFormat/>
    <w:uiPriority w:val="9"/>
    <w:pPr>
      <w:keepNext/>
      <w:keepLines/>
      <w:spacing w:line="376" w:lineRule="auto"/>
      <w:outlineLvl w:val="3"/>
    </w:pPr>
    <w:rPr>
      <w:rFonts w:ascii="Cambria" w:hAnsi="Cambria"/>
      <w:b/>
      <w:bCs/>
      <w:kern w:val="0"/>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annotation text"/>
    <w:basedOn w:val="1"/>
    <w:qFormat/>
    <w:uiPriority w:val="0"/>
    <w:pPr>
      <w:jc w:val="left"/>
    </w:pPr>
  </w:style>
  <w:style w:type="paragraph" w:styleId="7">
    <w:name w:val="Body Text"/>
    <w:basedOn w:val="1"/>
    <w:next w:val="1"/>
    <w:qFormat/>
    <w:uiPriority w:val="0"/>
    <w:pPr>
      <w:jc w:val="center"/>
    </w:pPr>
    <w:rPr>
      <w:kern w:val="0"/>
      <w:sz w:val="44"/>
      <w:szCs w:val="24"/>
    </w:rPr>
  </w:style>
  <w:style w:type="paragraph" w:styleId="8">
    <w:name w:val="Body Text Indent"/>
    <w:basedOn w:val="1"/>
    <w:next w:val="9"/>
    <w:qFormat/>
    <w:uiPriority w:val="0"/>
    <w:pPr>
      <w:ind w:firstLine="645"/>
    </w:pPr>
    <w:rPr>
      <w:rFonts w:ascii="Arial" w:hAnsi="Arial" w:eastAsia="仿宋_GB2312"/>
      <w:sz w:val="28"/>
    </w:rPr>
  </w:style>
  <w:style w:type="paragraph" w:styleId="9">
    <w:name w:val="envelope return"/>
    <w:basedOn w:val="1"/>
    <w:qFormat/>
    <w:uiPriority w:val="0"/>
    <w:rPr>
      <w:rFonts w:ascii="Arial" w:hAnsi="Arial"/>
    </w:rPr>
  </w:style>
  <w:style w:type="paragraph" w:styleId="10">
    <w:name w:val="index 4"/>
    <w:basedOn w:val="1"/>
    <w:next w:val="1"/>
    <w:qFormat/>
    <w:uiPriority w:val="99"/>
    <w:pPr>
      <w:ind w:left="600" w:leftChars="600"/>
    </w:pPr>
    <w:rPr>
      <w:rFonts w:ascii="Verdana" w:hAnsi="Verdana"/>
      <w:szCs w:val="20"/>
    </w:rPr>
  </w:style>
  <w:style w:type="paragraph" w:styleId="11">
    <w:name w:val="Date"/>
    <w:basedOn w:val="1"/>
    <w:next w:val="1"/>
    <w:qFormat/>
    <w:uiPriority w:val="0"/>
    <w:rPr>
      <w:sz w:val="24"/>
      <w:szCs w:val="20"/>
    </w:rPr>
  </w:style>
  <w:style w:type="paragraph" w:styleId="12">
    <w:name w:val="Balloon Text"/>
    <w:basedOn w:val="1"/>
    <w:link w:val="29"/>
    <w:qFormat/>
    <w:uiPriority w:val="0"/>
    <w:rPr>
      <w:sz w:val="18"/>
      <w:szCs w:val="18"/>
    </w:rPr>
  </w:style>
  <w:style w:type="paragraph" w:styleId="13">
    <w:name w:val="footer"/>
    <w:basedOn w:val="1"/>
    <w:unhideWhenUsed/>
    <w:qFormat/>
    <w:uiPriority w:val="99"/>
    <w:pPr>
      <w:tabs>
        <w:tab w:val="center" w:pos="4153"/>
        <w:tab w:val="right" w:pos="8306"/>
      </w:tabs>
      <w:snapToGrid w:val="0"/>
      <w:jc w:val="left"/>
    </w:pPr>
    <w:rPr>
      <w:sz w:val="18"/>
      <w:szCs w:val="18"/>
    </w:rPr>
  </w:style>
  <w:style w:type="paragraph" w:styleId="14">
    <w:name w:val="header"/>
    <w:basedOn w:val="1"/>
    <w:next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5">
    <w:name w:val="toc 1"/>
    <w:basedOn w:val="1"/>
    <w:next w:val="1"/>
    <w:qFormat/>
    <w:uiPriority w:val="39"/>
    <w:pPr>
      <w:tabs>
        <w:tab w:val="right" w:leader="dot" w:pos="8296"/>
      </w:tabs>
      <w:autoSpaceDE w:val="0"/>
      <w:autoSpaceDN w:val="0"/>
      <w:adjustRightInd w:val="0"/>
      <w:spacing w:line="500" w:lineRule="exact"/>
      <w:jc w:val="center"/>
    </w:pPr>
    <w:rPr>
      <w:rFonts w:ascii="宋体"/>
      <w:kern w:val="0"/>
      <w:sz w:val="20"/>
      <w:szCs w:val="20"/>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7">
    <w:name w:val="Body Text First Indent 2"/>
    <w:basedOn w:val="8"/>
    <w:next w:val="1"/>
    <w:qFormat/>
    <w:uiPriority w:val="99"/>
    <w:pPr>
      <w:ind w:firstLine="420" w:firstLineChars="200"/>
    </w:pPr>
    <w:rPr>
      <w:rFonts w:ascii="Calibri" w:hAnsi="Calibri" w:cs="Calibri"/>
      <w:szCs w:val="21"/>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22">
    <w:name w:val="一级目录"/>
    <w:next w:val="1"/>
    <w:qFormat/>
    <w:uiPriority w:val="99"/>
    <w:pPr>
      <w:spacing w:afterLines="100"/>
      <w:jc w:val="center"/>
      <w:outlineLvl w:val="0"/>
    </w:pPr>
    <w:rPr>
      <w:rFonts w:ascii="黑体" w:hAnsi="Times New Roman" w:eastAsia="黑体" w:cs="Times New Roman"/>
      <w:b/>
      <w:bCs/>
      <w:kern w:val="2"/>
      <w:sz w:val="44"/>
      <w:szCs w:val="44"/>
      <w:lang w:val="en-US" w:eastAsia="zh-CN" w:bidi="ar-SA"/>
    </w:rPr>
  </w:style>
  <w:style w:type="paragraph" w:customStyle="1" w:styleId="23">
    <w:name w:val="报告正文"/>
    <w:basedOn w:val="1"/>
    <w:qFormat/>
    <w:uiPriority w:val="0"/>
    <w:pPr>
      <w:adjustRightInd w:val="0"/>
      <w:snapToGrid w:val="0"/>
      <w:ind w:firstLine="560" w:firstLineChars="200"/>
    </w:pPr>
    <w:rPr>
      <w:kern w:val="0"/>
      <w:szCs w:val="20"/>
      <w:lang w:val="zh-CN"/>
    </w:rPr>
  </w:style>
  <w:style w:type="paragraph" w:customStyle="1" w:styleId="24">
    <w:name w:val="二级目录"/>
    <w:next w:val="1"/>
    <w:qFormat/>
    <w:uiPriority w:val="0"/>
    <w:pPr>
      <w:tabs>
        <w:tab w:val="left" w:pos="720"/>
      </w:tabs>
      <w:ind w:left="720" w:hanging="720"/>
      <w:outlineLvl w:val="1"/>
    </w:pPr>
    <w:rPr>
      <w:rFonts w:ascii="Times New Roman" w:hAnsi="Times New Roman" w:eastAsia="宋体" w:cs="Calibri"/>
      <w:b/>
      <w:bCs/>
      <w:kern w:val="2"/>
      <w:sz w:val="30"/>
      <w:szCs w:val="30"/>
      <w:lang w:val="en-US" w:eastAsia="zh-CN" w:bidi="ar-SA"/>
    </w:rPr>
  </w:style>
  <w:style w:type="paragraph" w:customStyle="1" w:styleId="25">
    <w:name w:val="Char1"/>
    <w:basedOn w:val="1"/>
    <w:qFormat/>
    <w:uiPriority w:val="0"/>
    <w:rPr>
      <w:rFonts w:ascii="Tahoma" w:hAnsi="Tahoma"/>
      <w:snapToGrid w:val="0"/>
      <w:sz w:val="24"/>
      <w:szCs w:val="20"/>
    </w:rPr>
  </w:style>
  <w:style w:type="paragraph" w:customStyle="1" w:styleId="26">
    <w:name w:val="DAS正文"/>
    <w:qFormat/>
    <w:uiPriority w:val="0"/>
    <w:pPr>
      <w:widowControl w:val="0"/>
      <w:spacing w:after="200" w:line="360" w:lineRule="auto"/>
      <w:ind w:right="181" w:firstLine="480"/>
      <w:jc w:val="both"/>
    </w:pPr>
    <w:rPr>
      <w:rFonts w:ascii="Verdana" w:hAnsi="Verdana" w:eastAsia="宋体" w:cs="Times New Roman"/>
      <w:kern w:val="2"/>
      <w:sz w:val="21"/>
      <w:szCs w:val="24"/>
      <w:lang w:val="en-US" w:eastAsia="zh-CN" w:bidi="ar-SA"/>
    </w:rPr>
  </w:style>
  <w:style w:type="character" w:customStyle="1" w:styleId="27">
    <w:name w:val="font11"/>
    <w:basedOn w:val="20"/>
    <w:qFormat/>
    <w:uiPriority w:val="0"/>
    <w:rPr>
      <w:rFonts w:hint="eastAsia" w:ascii="宋体" w:hAnsi="宋体" w:eastAsia="宋体" w:cs="宋体"/>
      <w:color w:val="000000"/>
      <w:sz w:val="22"/>
      <w:szCs w:val="22"/>
      <w:u w:val="none"/>
    </w:rPr>
  </w:style>
  <w:style w:type="character" w:customStyle="1" w:styleId="28">
    <w:name w:val="font01"/>
    <w:basedOn w:val="20"/>
    <w:qFormat/>
    <w:uiPriority w:val="0"/>
    <w:rPr>
      <w:rFonts w:hint="eastAsia" w:ascii="宋体" w:hAnsi="宋体" w:eastAsia="宋体" w:cs="宋体"/>
      <w:color w:val="000000"/>
      <w:sz w:val="22"/>
      <w:szCs w:val="22"/>
      <w:u w:val="none"/>
    </w:rPr>
  </w:style>
  <w:style w:type="character" w:customStyle="1" w:styleId="29">
    <w:name w:val="批注框文本 Char"/>
    <w:basedOn w:val="20"/>
    <w:link w:val="12"/>
    <w:qFormat/>
    <w:uiPriority w:val="0"/>
    <w:rPr>
      <w:rFonts w:ascii="Times New Roman" w:hAnsi="Times New Roman" w:eastAsia="宋体" w:cs="Times New Roman"/>
      <w:kern w:val="2"/>
      <w:sz w:val="18"/>
      <w:szCs w:val="18"/>
    </w:rPr>
  </w:style>
  <w:style w:type="paragraph" w:styleId="30">
    <w:name w:val="List Paragraph"/>
    <w:basedOn w:val="1"/>
    <w:qFormat/>
    <w:uiPriority w:val="34"/>
    <w:pPr>
      <w:ind w:firstLine="420" w:firstLineChars="200"/>
    </w:pPr>
    <w:rPr>
      <w:szCs w:val="22"/>
    </w:rPr>
  </w:style>
  <w:style w:type="character" w:customStyle="1" w:styleId="31">
    <w:name w:val="font21"/>
    <w:basedOn w:val="20"/>
    <w:qFormat/>
    <w:uiPriority w:val="0"/>
    <w:rPr>
      <w:rFonts w:hint="eastAsia" w:ascii="宋体" w:hAnsi="宋体" w:eastAsia="宋体" w:cs="宋体"/>
      <w:b/>
      <w:bCs/>
      <w:color w:val="000000"/>
      <w:sz w:val="22"/>
      <w:szCs w:val="22"/>
      <w:u w:val="none"/>
    </w:rPr>
  </w:style>
  <w:style w:type="character" w:customStyle="1" w:styleId="32">
    <w:name w:val="font31"/>
    <w:basedOn w:val="20"/>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41</Pages>
  <Words>18130</Words>
  <Characters>19048</Characters>
  <Lines>139</Lines>
  <Paragraphs>39</Paragraphs>
  <TotalTime>0</TotalTime>
  <ScaleCrop>false</ScaleCrop>
  <LinksUpToDate>false</LinksUpToDate>
  <CharactersWithSpaces>20746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2023-07-19T06:44:00Z</dcterms:created>
  <dc:creator>Haze</dc:creator>
  <cp:lastModifiedBy>粥</cp:lastModifiedBy>
  <cp:lastPrinted>2025-08-29T06:44:00Z</cp:lastPrinted>
  <dcterms:modified xsi:type="dcterms:W3CDTF">2025-12-18T05:37:51Z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1B8A62D91ED94430932E01E3DB87B667_13</vt:lpwstr>
  </property>
  <property fmtid="{D5CDD505-2E9C-101B-9397-08002B2CF9AE}" pid="4" name="KSOTemplateDocerSaveRecord">
    <vt:lpwstr>eyJoZGlkIjoiZjY5NTBmYTkxZWIxMmIwMGNjMWY5NmJkYmQ4OWI1Y2EiLCJ1c2VySWQiOiIyNzEyMzYwNjQifQ==</vt:lpwstr>
  </property>
</Properties>
</file>