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6"/>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6"/>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6"/>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ML202512002</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6"/>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秣陵街道市政雨污水管道维修项目材料检测服务</w:t>
      </w:r>
    </w:p>
    <w:p w14:paraId="62606A4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6"/>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6"/>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6"/>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五</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十二</w:t>
      </w:r>
      <w:r>
        <w:rPr>
          <w:rFonts w:hint="eastAsia" w:ascii="华文仿宋" w:hAnsi="华文仿宋" w:eastAsia="华文仿宋" w:cs="仿宋"/>
          <w:color w:val="000000" w:themeColor="text1"/>
          <w:sz w:val="44"/>
          <w:highlight w:val="none"/>
          <w14:textFill>
            <w14:solidFill>
              <w14:schemeClr w14:val="tx1"/>
            </w14:solidFill>
          </w14:textFill>
        </w:rPr>
        <w:t>月</w:t>
      </w:r>
    </w:p>
    <w:p w14:paraId="0586B7DD">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10062A74">
      <w:pPr>
        <w:pStyle w:val="6"/>
        <w:spacing w:before="4"/>
        <w:rPr>
          <w:rFonts w:hint="eastAsia" w:ascii="华文仿宋" w:hAnsi="华文仿宋" w:eastAsia="华文仿宋" w:cs="仿宋"/>
          <w:color w:val="000000" w:themeColor="text1"/>
          <w:sz w:val="10"/>
          <w:highlight w:val="none"/>
          <w14:textFill>
            <w14:solidFill>
              <w14:schemeClr w14:val="tx1"/>
            </w14:solidFill>
          </w14:textFill>
        </w:rPr>
      </w:pPr>
    </w:p>
    <w:p w14:paraId="1364C297">
      <w:pPr>
        <w:tabs>
          <w:tab w:val="left" w:pos="910"/>
        </w:tabs>
        <w:spacing w:before="58"/>
        <w:ind w:left="308"/>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0" w:name="第一章__竞争性磋商邀请"/>
      <w:bookmarkEnd w:id="0"/>
      <w:r>
        <w:rPr>
          <w:rFonts w:hint="eastAsia" w:ascii="华文仿宋" w:hAnsi="华文仿宋" w:eastAsia="华文仿宋" w:cs="仿宋"/>
          <w:b/>
          <w:color w:val="000000" w:themeColor="text1"/>
          <w:sz w:val="30"/>
          <w:highlight w:val="none"/>
          <w14:textFill>
            <w14:solidFill>
              <w14:schemeClr w14:val="tx1"/>
            </w14:solidFill>
          </w14:textFill>
        </w:rPr>
        <w:t>目</w:t>
      </w:r>
      <w:r>
        <w:rPr>
          <w:rFonts w:hint="eastAsia" w:ascii="华文仿宋" w:hAnsi="华文仿宋" w:eastAsia="华文仿宋" w:cs="仿宋"/>
          <w:b/>
          <w:color w:val="000000" w:themeColor="text1"/>
          <w:sz w:val="30"/>
          <w:highlight w:val="none"/>
          <w14:textFill>
            <w14:solidFill>
              <w14:schemeClr w14:val="tx1"/>
            </w14:solidFill>
          </w14:textFill>
        </w:rPr>
        <w:tab/>
      </w:r>
      <w:r>
        <w:rPr>
          <w:rFonts w:hint="eastAsia" w:ascii="华文仿宋" w:hAnsi="华文仿宋" w:eastAsia="华文仿宋" w:cs="仿宋"/>
          <w:b/>
          <w:color w:val="000000" w:themeColor="text1"/>
          <w:sz w:val="30"/>
          <w:highlight w:val="none"/>
          <w14:textFill>
            <w14:solidFill>
              <w14:schemeClr w14:val="tx1"/>
            </w14:solidFill>
          </w14:textFill>
        </w:rPr>
        <w:t>录</w:t>
      </w:r>
    </w:p>
    <w:sdt>
      <w:sdtPr>
        <w:rPr>
          <w:rFonts w:hint="eastAsia" w:ascii="华文仿宋" w:hAnsi="华文仿宋" w:eastAsia="华文仿宋" w:cs="仿宋"/>
          <w:color w:val="000000" w:themeColor="text1"/>
          <w:highlight w:val="none"/>
          <w14:textFill>
            <w14:solidFill>
              <w14:schemeClr w14:val="tx1"/>
            </w14:solidFill>
          </w14:textFill>
        </w:rPr>
        <w:id w:val="1"/>
        <w:docPartObj>
          <w:docPartGallery w:val="Table of Contents"/>
          <w:docPartUnique/>
        </w:docPartObj>
      </w:sdtPr>
      <w:sdtEndPr>
        <w:rPr>
          <w:rFonts w:hint="eastAsia" w:ascii="华文仿宋" w:hAnsi="华文仿宋" w:eastAsia="华文仿宋" w:cs="仿宋"/>
          <w:color w:val="000000" w:themeColor="text1"/>
          <w:highlight w:val="none"/>
          <w14:textFill>
            <w14:solidFill>
              <w14:schemeClr w14:val="tx1"/>
            </w14:solidFill>
          </w14:textFill>
        </w:rPr>
      </w:sdtEndPr>
      <w:sdtContent>
        <w:p w14:paraId="57460307">
          <w:pPr>
            <w:pStyle w:val="10"/>
            <w:tabs>
              <w:tab w:val="left" w:pos="1163"/>
              <w:tab w:val="right" w:leader="dot" w:pos="9793"/>
            </w:tabs>
            <w:spacing w:before="454"/>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"_bookmark0"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21D9B2A">
          <w:pPr>
            <w:pStyle w:val="10"/>
            <w:tabs>
              <w:tab w:val="left" w:pos="1163"/>
              <w:tab w:val="right" w:leader="dot" w:pos="9793"/>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8FC0552">
          <w:pPr>
            <w:pStyle w:val="11"/>
            <w:tabs>
              <w:tab w:val="right" w:leader="dot" w:pos="9793"/>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一、总则</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7</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E8848F4">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"_bookmark3"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二、响应性文件的编制</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10</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D42D137">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"_bookmark4"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三、响应性文件递交</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11</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E6C36F7">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"_bookmark5"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四、磋商</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12</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E6AED6B">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"_bookmark6"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五、签订合同</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13</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BB9E26">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"_bookmark7"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六、质疑和投诉</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13</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377AA66">
          <w:pPr>
            <w:pStyle w:val="10"/>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"_bookmark8"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第三章</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磋商项目需求</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14</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8CF397F">
          <w:pPr>
            <w:pStyle w:val="10"/>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"_bookmark9"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第四章</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评分标准</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16</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24AA53F">
          <w:pPr>
            <w:pStyle w:val="10"/>
            <w:tabs>
              <w:tab w:val="left" w:pos="1163"/>
              <w:tab w:val="right" w:leader="dot" w:pos="9791"/>
            </w:tabs>
            <w:spacing w:before="42"/>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"_bookmark10"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第五章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采购合同格式</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18</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83F7633">
          <w:pPr>
            <w:pStyle w:val="10"/>
            <w:tabs>
              <w:tab w:val="right" w:leader="dot" w:pos="9791"/>
            </w:tabs>
            <w:spacing w:before="12"/>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"_bookmark11"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第一部分</w:t>
          </w:r>
          <w:r>
            <w:rPr>
              <w:rFonts w:hint="eastAsia" w:ascii="华文仿宋" w:hAnsi="华文仿宋" w:eastAsia="华文仿宋" w:cs="仿宋"/>
              <w:color w:val="000000" w:themeColor="text1"/>
              <w:spacing w:val="40"/>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合同协议书</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18</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6F4823B">
          <w:pPr>
            <w:pStyle w:val="10"/>
            <w:tabs>
              <w:tab w:val="right" w:leader="dot" w:pos="9791"/>
            </w:tabs>
            <w:spacing w:before="10"/>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"_bookmark12"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第六章、竞争性磋商文件格式及附件</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56</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3F4B0B8">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"_bookmark13"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评分索引表</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57</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0C6304D">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"_bookmark14"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一、磋商申请及声明</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58</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4FADC3F">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"_bookmark15"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二、法定代表人授权委托书</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59</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65FB7E">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"_bookmark16"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三、磋商报价汇总表</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59</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C605E4">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"_bookmark17"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四、磋商分项报价表</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60</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30E698B">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"_bookmark19" </w:instrText>
          </w:r>
          <w:r>
            <w:rPr>
              <w:highlight w:val="none"/>
            </w:rPr>
            <w:fldChar w:fldCharType="separate"/>
          </w:r>
          <w:r>
            <w:rPr>
              <w:rFonts w:hint="eastAsia" w:ascii="华文仿宋" w:hAnsi="华文仿宋" w:eastAsia="华文仿宋" w:cs="仿宋"/>
              <w:color w:val="000000" w:themeColor="text1"/>
              <w:highlight w:val="none"/>
              <w:lang w:val="en-US"/>
              <w14:textFill>
                <w14:solidFill>
                  <w14:schemeClr w14:val="tx1"/>
                </w14:solidFill>
              </w14:textFill>
            </w:rPr>
            <w:t>五</w:t>
          </w:r>
          <w:r>
            <w:rPr>
              <w:rFonts w:hint="eastAsia" w:ascii="华文仿宋" w:hAnsi="华文仿宋" w:eastAsia="华文仿宋" w:cs="仿宋"/>
              <w:color w:val="000000" w:themeColor="text1"/>
              <w:highlight w:val="none"/>
              <w14:textFill>
                <w14:solidFill>
                  <w14:schemeClr w14:val="tx1"/>
                </w14:solidFill>
              </w14:textFill>
            </w:rPr>
            <w:t>、资格证明</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60</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CAC9AED">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"_bookmark20" </w:instrText>
          </w:r>
          <w:r>
            <w:rPr>
              <w:highlight w:val="none"/>
            </w:rPr>
            <w:fldChar w:fldCharType="separate"/>
          </w:r>
          <w:r>
            <w:rPr>
              <w:rFonts w:hint="eastAsia" w:ascii="华文仿宋" w:hAnsi="华文仿宋" w:eastAsia="华文仿宋" w:cs="仿宋"/>
              <w:color w:val="000000" w:themeColor="text1"/>
              <w:highlight w:val="none"/>
              <w:lang w:val="en-US"/>
              <w14:textFill>
                <w14:solidFill>
                  <w14:schemeClr w14:val="tx1"/>
                </w14:solidFill>
              </w14:textFill>
            </w:rPr>
            <w:t>六</w:t>
          </w:r>
          <w:r>
            <w:rPr>
              <w:rFonts w:hint="eastAsia" w:ascii="华文仿宋" w:hAnsi="华文仿宋" w:eastAsia="华文仿宋" w:cs="仿宋"/>
              <w:color w:val="000000" w:themeColor="text1"/>
              <w:highlight w:val="none"/>
              <w14:textFill>
                <w14:solidFill>
                  <w14:schemeClr w14:val="tx1"/>
                </w14:solidFill>
              </w14:textFill>
            </w:rPr>
            <w:t>、商务条款响应表</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61</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F5B7A9B">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"_bookmark21" </w:instrText>
          </w:r>
          <w:r>
            <w:rPr>
              <w:highlight w:val="none"/>
            </w:rPr>
            <w:fldChar w:fldCharType="separate"/>
          </w:r>
          <w:r>
            <w:rPr>
              <w:rFonts w:hint="eastAsia" w:ascii="华文仿宋" w:hAnsi="华文仿宋" w:eastAsia="华文仿宋" w:cs="仿宋"/>
              <w:color w:val="000000" w:themeColor="text1"/>
              <w:highlight w:val="none"/>
              <w:lang w:val="en-US"/>
              <w14:textFill>
                <w14:solidFill>
                  <w14:schemeClr w14:val="tx1"/>
                </w14:solidFill>
              </w14:textFill>
            </w:rPr>
            <w:t>七</w:t>
          </w:r>
          <w:r>
            <w:rPr>
              <w:rFonts w:hint="eastAsia" w:ascii="华文仿宋" w:hAnsi="华文仿宋" w:eastAsia="华文仿宋" w:cs="仿宋"/>
              <w:color w:val="000000" w:themeColor="text1"/>
              <w:highlight w:val="none"/>
              <w14:textFill>
                <w14:solidFill>
                  <w14:schemeClr w14:val="tx1"/>
                </w14:solidFill>
              </w14:textFill>
            </w:rPr>
            <w:t>、项目实施方案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61</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79A1B66">
          <w:pPr>
            <w:pStyle w:val="11"/>
            <w:tabs>
              <w:tab w:val="right" w:leader="dot" w:pos="9791"/>
            </w:tabs>
            <w:spacing w:before="42"/>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"_bookmark22" </w:instrText>
          </w:r>
          <w:r>
            <w:rPr>
              <w:highlight w:val="none"/>
            </w:rPr>
            <w:fldChar w:fldCharType="separate"/>
          </w:r>
          <w:r>
            <w:rPr>
              <w:rFonts w:hint="eastAsia" w:ascii="华文仿宋" w:hAnsi="华文仿宋" w:eastAsia="华文仿宋" w:cs="仿宋"/>
              <w:color w:val="000000" w:themeColor="text1"/>
              <w:highlight w:val="none"/>
              <w:lang w:val="en-US"/>
              <w14:textFill>
                <w14:solidFill>
                  <w14:schemeClr w14:val="tx1"/>
                </w14:solidFill>
              </w14:textFill>
            </w:rPr>
            <w:t>八</w:t>
          </w:r>
          <w:r>
            <w:rPr>
              <w:rFonts w:hint="eastAsia" w:ascii="华文仿宋" w:hAnsi="华文仿宋" w:eastAsia="华文仿宋" w:cs="仿宋"/>
              <w:color w:val="000000" w:themeColor="text1"/>
              <w:highlight w:val="none"/>
              <w14:textFill>
                <w14:solidFill>
                  <w14:schemeClr w14:val="tx1"/>
                </w14:solidFill>
              </w14:textFill>
            </w:rPr>
            <w:t>、</w:t>
          </w:r>
          <w:r>
            <w:rPr>
              <w:rFonts w:hint="eastAsia" w:ascii="华文仿宋" w:hAnsi="华文仿宋" w:eastAsia="华文仿宋" w:cs="仿宋"/>
              <w:color w:val="000000" w:themeColor="text1"/>
              <w:highlight w:val="none"/>
              <w:lang w:eastAsia="zh-CN"/>
              <w14:textFill>
                <w14:solidFill>
                  <w14:schemeClr w14:val="tx1"/>
                </w14:solidFill>
              </w14:textFill>
            </w:rPr>
            <w:t>项目组成员一览表</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62</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D31D814">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"_bookmark23" </w:instrText>
          </w:r>
          <w:r>
            <w:rPr>
              <w:highlight w:val="none"/>
            </w:rPr>
            <w:fldChar w:fldCharType="separate"/>
          </w:r>
          <w:r>
            <w:rPr>
              <w:rFonts w:hint="eastAsia" w:ascii="华文仿宋" w:hAnsi="华文仿宋" w:eastAsia="华文仿宋" w:cs="仿宋"/>
              <w:color w:val="000000" w:themeColor="text1"/>
              <w:highlight w:val="none"/>
              <w:lang w:val="en-US"/>
              <w14:textFill>
                <w14:solidFill>
                  <w14:schemeClr w14:val="tx1"/>
                </w14:solidFill>
              </w14:textFill>
            </w:rPr>
            <w:t>九</w:t>
          </w:r>
          <w:r>
            <w:rPr>
              <w:rFonts w:hint="eastAsia" w:ascii="华文仿宋" w:hAnsi="华文仿宋" w:eastAsia="华文仿宋" w:cs="仿宋"/>
              <w:color w:val="000000" w:themeColor="text1"/>
              <w:highlight w:val="none"/>
              <w14:textFill>
                <w14:solidFill>
                  <w14:schemeClr w14:val="tx1"/>
                </w14:solidFill>
              </w14:textFill>
            </w:rPr>
            <w:t>、技术规格偏离表</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63</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9D85CDE">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"_bookmark24"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十、质量保证及服务承诺</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63</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557B59D">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"_bookmark25"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附件一：具备履行合同所必需的设备和专业技术能力的书面声明</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64</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81870DE">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"_bookmark26"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附件二：无重大违法记录声明格式</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64</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DC826C3">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"_bookmark27"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附件三：中小企业声明函格式、残疾人福利性单位声明函（如有）</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65</w:t>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7FB85AA">
          <w:pPr>
            <w:pStyle w:val="11"/>
            <w:tabs>
              <w:tab w:val="right" w:leader="dot" w:pos="9791"/>
            </w:tabs>
            <w:rPr>
              <w:rFonts w:hint="eastAsia" w:ascii="华文仿宋" w:hAnsi="华文仿宋" w:eastAsia="华文仿宋" w:cs="仿宋"/>
              <w:color w:val="000000" w:themeColor="text1"/>
              <w:highlight w:val="none"/>
              <w14:textFill>
                <w14:solidFill>
                  <w14:schemeClr w14:val="tx1"/>
                </w14:solidFill>
              </w14:textFill>
            </w:rPr>
          </w:pPr>
          <w:r>
            <w:rPr>
              <w:highlight w:val="none"/>
            </w:rPr>
            <w:fldChar w:fldCharType="begin"/>
          </w:r>
          <w:r>
            <w:rPr>
              <w:highlight w:val="none"/>
            </w:rPr>
            <w:instrText xml:space="preserve"> HYPERLINK \l "_bookmark28" </w:instrText>
          </w:r>
          <w:r>
            <w:rPr>
              <w:highlight w:val="none"/>
            </w:rPr>
            <w:fldChar w:fldCharType="separate"/>
          </w:r>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66</w:t>
          </w: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5CCA3A1D">
      <w:pPr>
        <w:rPr>
          <w:rFonts w:hint="eastAsia" w:ascii="华文仿宋" w:hAnsi="华文仿宋" w:eastAsia="华文仿宋" w:cs="仿宋"/>
          <w:color w:val="000000" w:themeColor="text1"/>
          <w:highlight w:val="none"/>
          <w14:textFill>
            <w14:solidFill>
              <w14:schemeClr w14:val="tx1"/>
            </w14:solidFill>
          </w14:textFill>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2"/>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bookmark0"/>
      <w:bookmarkEnd w:id="1"/>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p>
    <w:p w14:paraId="5FA9B169">
      <w:pPr>
        <w:pStyle w:val="6"/>
        <w:spacing w:before="1"/>
        <w:rPr>
          <w:rFonts w:hint="eastAsia" w:ascii="华文仿宋" w:hAnsi="华文仿宋" w:eastAsia="华文仿宋" w:cs="仿宋"/>
          <w:color w:val="000000" w:themeColor="text1"/>
          <w:sz w:val="23"/>
          <w:highlight w:val="none"/>
          <w14:textFill>
            <w14:solidFill>
              <w14:schemeClr w14:val="tx1"/>
            </w14:solidFill>
          </w14:textFill>
        </w:rPr>
      </w:pPr>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ML202512002</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tabs>
          <w:tab w:val="left" w:pos="2640"/>
        </w:tabs>
        <w:ind w:firstLine="560" w:firstLineChars="200"/>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秣陵街道市政雨污水管道维修项目材料检测服务</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2025年12月23日14：00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pStyle w:val="3"/>
        <w:spacing w:before="240" w:beforeLines="100" w:line="360" w:lineRule="auto"/>
        <w:rPr>
          <w:rFonts w:hint="eastAsia" w:ascii="华文仿宋" w:hAnsi="华文仿宋" w:eastAsia="华文仿宋"/>
          <w:bCs w:val="0"/>
          <w:sz w:val="28"/>
          <w:szCs w:val="28"/>
          <w:highlight w:val="none"/>
        </w:rPr>
      </w:pPr>
      <w:bookmarkStart w:id="2" w:name="_Toc35393798"/>
      <w:bookmarkStart w:id="3" w:name="_Toc28359089"/>
      <w:bookmarkStart w:id="4" w:name="_Toc28359012"/>
      <w:bookmarkStart w:id="5" w:name="_Toc35393629"/>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ML202512002</w:t>
      </w:r>
      <w:r>
        <w:rPr>
          <w:rFonts w:hint="eastAsia" w:ascii="华文仿宋" w:hAnsi="华文仿宋" w:eastAsia="华文仿宋"/>
          <w:color w:val="0000FF"/>
          <w:sz w:val="28"/>
          <w:szCs w:val="28"/>
          <w:highlight w:val="none"/>
        </w:rPr>
        <w:t xml:space="preserve"> </w:t>
      </w:r>
    </w:p>
    <w:p w14:paraId="69506429">
      <w:pPr>
        <w:ind w:firstLine="560" w:firstLineChars="200"/>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秣陵街道市政雨污水管道维修项目材料检测服务</w:t>
      </w:r>
    </w:p>
    <w:p w14:paraId="11C9ED90">
      <w:pPr>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245E2BC2">
      <w:pPr>
        <w:ind w:firstLine="560" w:firstLineChars="2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预算金额：</w:t>
      </w:r>
      <w:r>
        <w:rPr>
          <w:rFonts w:hint="eastAsia" w:ascii="华文仿宋" w:hAnsi="华文仿宋" w:eastAsia="华文仿宋"/>
          <w:color w:val="0000FF"/>
          <w:sz w:val="28"/>
          <w:szCs w:val="28"/>
          <w:highlight w:val="none"/>
          <w:u w:val="single"/>
          <w:lang w:val="en-US" w:eastAsia="zh-CN"/>
        </w:rPr>
        <w:t>20.82万元</w:t>
      </w:r>
    </w:p>
    <w:p w14:paraId="41994294">
      <w:pPr>
        <w:ind w:firstLine="560" w:firstLineChars="200"/>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最高限价：本项目采用费率形式报价，按《江苏省建设工程质量检测和建筑材料试验收费标准》（苏价服[2001] 113号）收费标准的8</w:t>
      </w:r>
      <w:r>
        <w:rPr>
          <w:rFonts w:hint="eastAsia" w:ascii="华文仿宋" w:hAnsi="华文仿宋" w:eastAsia="华文仿宋"/>
          <w:sz w:val="28"/>
          <w:szCs w:val="28"/>
          <w:highlight w:val="none"/>
          <w:lang w:val="en-US" w:eastAsia="zh-CN"/>
        </w:rPr>
        <w:t>0</w:t>
      </w:r>
      <w:r>
        <w:rPr>
          <w:rFonts w:hint="eastAsia" w:ascii="华文仿宋" w:hAnsi="华文仿宋" w:eastAsia="华文仿宋"/>
          <w:sz w:val="28"/>
          <w:szCs w:val="28"/>
          <w:highlight w:val="none"/>
        </w:rPr>
        <w:t>%为最高费率</w:t>
      </w:r>
      <w:r>
        <w:rPr>
          <w:rFonts w:hint="eastAsia" w:ascii="华文仿宋" w:hAnsi="华文仿宋" w:eastAsia="华文仿宋"/>
          <w:sz w:val="28"/>
          <w:szCs w:val="28"/>
          <w:highlight w:val="none"/>
          <w:lang w:eastAsia="zh-CN"/>
        </w:rPr>
        <w:t>。</w:t>
      </w:r>
    </w:p>
    <w:p w14:paraId="25B7329B">
      <w:pPr>
        <w:ind w:firstLine="560" w:firstLineChars="200"/>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秣陵街道市政雨污水管道维修项目材料检测服务</w:t>
      </w:r>
      <w:r>
        <w:rPr>
          <w:rFonts w:hint="eastAsia" w:ascii="华文仿宋" w:hAnsi="华文仿宋" w:eastAsia="华文仿宋" w:cs="Times New Roman"/>
          <w:color w:val="0000FF"/>
          <w:sz w:val="28"/>
          <w:szCs w:val="28"/>
          <w:highlight w:val="none"/>
          <w:u w:val="single"/>
          <w:lang w:val="en-US"/>
        </w:rPr>
        <w:t>，详见竞争性磋商文件。</w:t>
      </w:r>
    </w:p>
    <w:p w14:paraId="71EA0B61">
      <w:pPr>
        <w:ind w:firstLine="560" w:firstLineChars="200"/>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180天</w:t>
      </w:r>
    </w:p>
    <w:p w14:paraId="1B23ACF2">
      <w:pPr>
        <w:spacing w:line="360" w:lineRule="auto"/>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pStyle w:val="3"/>
        <w:spacing w:line="360" w:lineRule="auto"/>
        <w:rPr>
          <w:rFonts w:hint="eastAsia" w:ascii="华文仿宋" w:hAnsi="华文仿宋" w:eastAsia="华文仿宋"/>
          <w:bCs w:val="0"/>
          <w:sz w:val="28"/>
          <w:szCs w:val="28"/>
          <w:highlight w:val="none"/>
        </w:rPr>
      </w:pPr>
      <w:bookmarkStart w:id="6" w:name="_Toc28359013"/>
      <w:bookmarkStart w:id="7" w:name="_Toc35393630"/>
      <w:bookmarkStart w:id="8" w:name="_Toc28359090"/>
      <w:bookmarkStart w:id="9" w:name="_Toc35393799"/>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2"/>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bookmarkStart w:id="10" w:name="_Toc28359014"/>
      <w:bookmarkStart w:id="11" w:name="_Toc28359091"/>
      <w:r>
        <w:rPr>
          <w:rFonts w:hint="eastAsia" w:ascii="华文仿宋" w:hAnsi="华文仿宋" w:eastAsia="华文仿宋"/>
          <w:b/>
          <w:bCs/>
          <w:kern w:val="2"/>
          <w:sz w:val="28"/>
          <w:szCs w:val="28"/>
          <w:highlight w:val="none"/>
          <w:lang w:val="en-US" w:bidi="ar-SA"/>
        </w:rPr>
        <w:t>2.1 应具备规定的条件:</w:t>
      </w:r>
    </w:p>
    <w:p w14:paraId="4600F7AF">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3"/>
        <w:spacing w:before="0" w:beforeAutospacing="0" w:after="0" w:afterAutospacing="0" w:line="300" w:lineRule="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41FF8E6D">
      <w:pPr>
        <w:pStyle w:val="12"/>
        <w:spacing w:before="75" w:beforeAutospacing="0" w:after="75" w:afterAutospacing="0" w:line="276" w:lineRule="auto"/>
        <w:ind w:firstLine="720"/>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①具备建设主管部门颁发的《建设工程质量检测机构资质证书》（检测范围至少包括：见证取样检测、地基基础工程、主体结构工程现场检测）（提供有效证书复印件加盖公章）；</w:t>
      </w:r>
    </w:p>
    <w:p w14:paraId="2F41243B">
      <w:pPr>
        <w:pStyle w:val="12"/>
        <w:spacing w:before="75" w:beforeAutospacing="0" w:after="75" w:afterAutospacing="0" w:line="276" w:lineRule="auto"/>
        <w:ind w:firstLine="720"/>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②具备省级及以上质量技术监督局颁发的有效的《计量认证证书》。（提供有效证书复印件加盖公章）；</w:t>
      </w:r>
    </w:p>
    <w:p w14:paraId="28ECAF60">
      <w:pPr>
        <w:pStyle w:val="12"/>
        <w:spacing w:before="75" w:beforeAutospacing="0" w:after="75" w:afterAutospacing="0" w:line="276" w:lineRule="auto"/>
        <w:ind w:firstLine="720"/>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③具备建设行政主管部门颁发的《建设工程质量检测机构资质证书》（检测内容：备案类）（提供有效证书复印件加盖公章）；</w:t>
      </w:r>
    </w:p>
    <w:p w14:paraId="2A608E8C">
      <w:pPr>
        <w:pStyle w:val="12"/>
        <w:spacing w:before="75" w:beforeAutospacing="0" w:after="75" w:afterAutospacing="0" w:line="276" w:lineRule="auto"/>
        <w:ind w:firstLine="720"/>
        <w:rPr>
          <w:rFonts w:hint="default"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bidi="ar-SA"/>
        </w:rPr>
        <w:t>④项目负责人具有有效期内的建设行政主管部门颁发的《建设工程质量检测人员岗位合格证书》（提供有效证书复印件加盖公章）</w:t>
      </w:r>
      <w:r>
        <w:rPr>
          <w:rFonts w:hint="eastAsia" w:ascii="华文仿宋" w:hAnsi="华文仿宋" w:eastAsia="华文仿宋"/>
          <w:kern w:val="2"/>
          <w:sz w:val="28"/>
          <w:szCs w:val="28"/>
          <w:highlight w:val="none"/>
          <w:lang w:val="en-US" w:eastAsia="zh-CN" w:bidi="ar-SA"/>
        </w:rPr>
        <w:t xml:space="preserve">; </w:t>
      </w:r>
    </w:p>
    <w:p w14:paraId="6B5B868E">
      <w:pPr>
        <w:pStyle w:val="12"/>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2"/>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3"/>
        <w:spacing w:before="0" w:beforeAutospacing="0" w:after="0" w:afterAutospacing="0" w:line="276" w:lineRule="auto"/>
        <w:ind w:firstLine="560" w:firstLineChars="200"/>
        <w:rPr>
          <w:rFonts w:hint="eastAsia" w:ascii="华文仿宋" w:hAnsi="华文仿宋" w:eastAsia="华文仿宋"/>
          <w:color w:val="000000"/>
          <w:sz w:val="28"/>
          <w:szCs w:val="28"/>
          <w:highlight w:val="none"/>
        </w:rPr>
      </w:pPr>
      <w:bookmarkStart w:id="12" w:name="_Toc35393631"/>
      <w:bookmarkStart w:id="13" w:name="_Toc35393800"/>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3"/>
        <w:spacing w:before="0" w:beforeAutospacing="0" w:after="0" w:afterAutospacing="0" w:line="276" w:lineRule="auto"/>
        <w:rPr>
          <w:rFonts w:hint="eastAsia" w:ascii="华文仿宋" w:hAnsi="华文仿宋" w:eastAsia="华文仿宋" w:cs="Times New Roman"/>
          <w:kern w:val="2"/>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4070B549">
      <w:pPr>
        <w:pStyle w:val="3"/>
        <w:spacing w:before="120" w:beforeLines="50" w:line="360" w:lineRule="auto"/>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spacing w:line="360" w:lineRule="auto"/>
        <w:ind w:firstLine="540"/>
        <w:rPr>
          <w:rFonts w:hint="eastAsia" w:ascii="华文仿宋" w:hAnsi="华文仿宋" w:eastAsia="华文仿宋"/>
          <w:sz w:val="28"/>
          <w:szCs w:val="28"/>
          <w:highlight w:val="none"/>
        </w:rPr>
      </w:pPr>
      <w:bookmarkStart w:id="14" w:name="_Toc28359092"/>
      <w:bookmarkStart w:id="15" w:name="_Toc35393632"/>
      <w:bookmarkStart w:id="16" w:name="_Toc28359015"/>
      <w:bookmarkStart w:id="17" w:name="_Toc35393801"/>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2025年12月12日至2025年12月19日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A350081">
      <w:pPr>
        <w:pStyle w:val="17"/>
        <w:spacing w:line="360" w:lineRule="auto"/>
        <w:ind w:left="0" w:firstLine="560" w:firstLineChars="2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获取文件文件费：100元。</w:t>
      </w:r>
    </w:p>
    <w:p w14:paraId="269BEB7C">
      <w:pPr>
        <w:spacing w:line="360" w:lineRule="auto"/>
        <w:ind w:firstLine="540"/>
        <w:rPr>
          <w:rFonts w:hint="eastAsia" w:ascii="华文仿宋" w:hAnsi="华文仿宋" w:eastAsia="华文仿宋"/>
          <w:sz w:val="28"/>
          <w:szCs w:val="28"/>
          <w:highlight w:val="none"/>
        </w:rPr>
      </w:pPr>
      <w:r>
        <w:rPr>
          <w:rFonts w:hint="eastAsia" w:ascii="华文仿宋" w:hAnsi="华文仿宋" w:eastAsia="华文仿宋"/>
          <w:sz w:val="28"/>
          <w:szCs w:val="28"/>
          <w:highlight w:val="none"/>
          <w:lang w:val="en-US"/>
        </w:rPr>
        <w:t>获取文件需要提供材料</w:t>
      </w:r>
      <w:r>
        <w:rPr>
          <w:rFonts w:hint="eastAsia" w:ascii="华文仿宋" w:hAnsi="华文仿宋" w:eastAsia="华文仿宋"/>
          <w:sz w:val="28"/>
          <w:szCs w:val="28"/>
          <w:highlight w:val="none"/>
        </w:rPr>
        <w:t>：</w:t>
      </w:r>
    </w:p>
    <w:p w14:paraId="7248CDB7">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投标申请人的法定代表人或其授权的委托代理人持个人有效身份证件复印件加盖公章。</w:t>
      </w:r>
    </w:p>
    <w:p w14:paraId="26C08157">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法人资格证明原件或单位授权委托书原件。(须明确写明参与项目的项目名称)</w:t>
      </w:r>
    </w:p>
    <w:p w14:paraId="4F9008A4">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营业执照复印件加盖公章。</w:t>
      </w:r>
    </w:p>
    <w:p w14:paraId="15E8E44E">
      <w:pPr>
        <w:pStyle w:val="3"/>
        <w:spacing w:line="360" w:lineRule="auto"/>
        <w:ind w:left="0" w:firstLine="280" w:firstLineChars="100"/>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spacing w:line="360" w:lineRule="auto"/>
        <w:ind w:firstLine="560" w:firstLineChars="200"/>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2025年12月23日14：00</w:t>
      </w:r>
      <w:r>
        <w:rPr>
          <w:rFonts w:hint="eastAsia" w:ascii="华文仿宋" w:hAnsi="华文仿宋" w:eastAsia="华文仿宋"/>
          <w:bCs/>
          <w:sz w:val="28"/>
          <w:szCs w:val="28"/>
          <w:highlight w:val="none"/>
        </w:rPr>
        <w:t>（北京时间）</w:t>
      </w:r>
    </w:p>
    <w:p w14:paraId="20441DBB">
      <w:pPr>
        <w:spacing w:line="360" w:lineRule="auto"/>
        <w:ind w:firstLine="560" w:firstLineChars="200"/>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pStyle w:val="3"/>
        <w:spacing w:line="360" w:lineRule="auto"/>
        <w:rPr>
          <w:rFonts w:hint="eastAsia" w:ascii="华文仿宋" w:hAnsi="华文仿宋" w:eastAsia="华文仿宋"/>
          <w:bCs w:val="0"/>
          <w:sz w:val="28"/>
          <w:szCs w:val="28"/>
          <w:highlight w:val="none"/>
        </w:rPr>
      </w:pPr>
      <w:bookmarkStart w:id="18" w:name="_Toc28359016"/>
      <w:bookmarkStart w:id="19" w:name="_Toc35393633"/>
      <w:bookmarkStart w:id="20" w:name="_Toc35393802"/>
      <w:bookmarkStart w:id="21" w:name="_Toc28359093"/>
      <w:r>
        <w:rPr>
          <w:rFonts w:hint="eastAsia" w:ascii="华文仿宋" w:hAnsi="华文仿宋" w:eastAsia="华文仿宋"/>
          <w:bCs w:val="0"/>
          <w:sz w:val="28"/>
          <w:szCs w:val="28"/>
          <w:highlight w:val="none"/>
        </w:rPr>
        <w:t>五、开启</w:t>
      </w:r>
      <w:bookmarkEnd w:id="18"/>
      <w:bookmarkEnd w:id="19"/>
      <w:bookmarkEnd w:id="20"/>
      <w:bookmarkEnd w:id="21"/>
    </w:p>
    <w:p w14:paraId="6656FC5D">
      <w:pPr>
        <w:spacing w:line="360" w:lineRule="auto"/>
        <w:ind w:firstLine="560" w:firstLineChars="200"/>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2025年12月23日14：00</w:t>
      </w:r>
      <w:r>
        <w:rPr>
          <w:rFonts w:hint="eastAsia" w:ascii="华文仿宋" w:hAnsi="华文仿宋" w:eastAsia="华文仿宋"/>
          <w:bCs/>
          <w:sz w:val="28"/>
          <w:szCs w:val="28"/>
          <w:highlight w:val="none"/>
        </w:rPr>
        <w:t>（北京时间）</w:t>
      </w:r>
    </w:p>
    <w:p w14:paraId="28A028F4">
      <w:pPr>
        <w:spacing w:line="360" w:lineRule="auto"/>
        <w:ind w:firstLine="560" w:firstLineChars="200"/>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pStyle w:val="3"/>
        <w:spacing w:line="360" w:lineRule="auto"/>
        <w:rPr>
          <w:rFonts w:hint="eastAsia" w:ascii="华文仿宋" w:hAnsi="华文仿宋" w:eastAsia="华文仿宋"/>
          <w:bCs w:val="0"/>
          <w:sz w:val="28"/>
          <w:szCs w:val="28"/>
          <w:highlight w:val="none"/>
        </w:rPr>
      </w:pPr>
      <w:bookmarkStart w:id="22" w:name="_Toc28359094"/>
      <w:bookmarkStart w:id="23" w:name="_Toc35393634"/>
      <w:bookmarkStart w:id="24" w:name="_Toc28359017"/>
      <w:bookmarkStart w:id="25" w:name="_Toc35393803"/>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spacing w:line="360" w:lineRule="auto"/>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pStyle w:val="3"/>
        <w:spacing w:line="360" w:lineRule="auto"/>
        <w:rPr>
          <w:rFonts w:hint="eastAsia" w:ascii="华文仿宋" w:hAnsi="华文仿宋" w:eastAsia="华文仿宋"/>
          <w:bCs w:val="0"/>
          <w:sz w:val="28"/>
          <w:szCs w:val="28"/>
          <w:highlight w:val="none"/>
        </w:rPr>
      </w:pPr>
      <w:bookmarkStart w:id="26" w:name="_Toc35393804"/>
      <w:bookmarkStart w:id="27" w:name="_Toc35393635"/>
      <w:r>
        <w:rPr>
          <w:rFonts w:hint="eastAsia" w:ascii="华文仿宋" w:hAnsi="华文仿宋" w:eastAsia="华文仿宋"/>
          <w:bCs w:val="0"/>
          <w:sz w:val="28"/>
          <w:szCs w:val="28"/>
          <w:highlight w:val="none"/>
        </w:rPr>
        <w:t>七、其他补充事宜</w:t>
      </w:r>
      <w:bookmarkEnd w:id="26"/>
      <w:bookmarkEnd w:id="27"/>
    </w:p>
    <w:p w14:paraId="2C0D30F6">
      <w:pPr>
        <w:pStyle w:val="12"/>
        <w:spacing w:before="75" w:beforeAutospacing="0" w:after="75" w:afterAutospacing="0" w:line="360" w:lineRule="auto"/>
        <w:ind w:firstLine="560" w:firstLineChars="200"/>
        <w:rPr>
          <w:rFonts w:hint="eastAsia" w:ascii="华文仿宋" w:hAnsi="华文仿宋" w:eastAsia="华文仿宋"/>
          <w:kern w:val="2"/>
          <w:sz w:val="28"/>
          <w:szCs w:val="28"/>
          <w:highlight w:val="none"/>
          <w:lang w:val="en-US" w:bidi="ar-SA"/>
        </w:rPr>
      </w:pPr>
      <w:bookmarkStart w:id="28" w:name="_Toc28359095"/>
      <w:bookmarkStart w:id="29" w:name="_Toc35393805"/>
      <w:bookmarkStart w:id="30" w:name="_Toc35393636"/>
      <w:bookmarkStart w:id="31" w:name="_Toc28359018"/>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pStyle w:val="3"/>
        <w:spacing w:line="360" w:lineRule="auto"/>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pStyle w:val="3"/>
        <w:spacing w:line="360" w:lineRule="auto"/>
        <w:ind w:firstLine="840" w:firstLineChars="300"/>
        <w:rPr>
          <w:rFonts w:hint="eastAsia" w:ascii="华文仿宋" w:hAnsi="华文仿宋" w:eastAsia="华文仿宋"/>
          <w:b w:val="0"/>
          <w:sz w:val="28"/>
          <w:szCs w:val="28"/>
          <w:highlight w:val="none"/>
        </w:rPr>
      </w:pPr>
      <w:bookmarkStart w:id="32" w:name="_Toc35393637"/>
      <w:bookmarkStart w:id="33" w:name="_Toc28359096"/>
      <w:bookmarkStart w:id="34" w:name="_Toc28359019"/>
      <w:bookmarkStart w:id="35" w:name="_Toc35393806"/>
      <w:r>
        <w:rPr>
          <w:rFonts w:hint="eastAsia" w:ascii="华文仿宋" w:hAnsi="华文仿宋" w:eastAsia="华文仿宋"/>
          <w:b w:val="0"/>
          <w:sz w:val="28"/>
          <w:szCs w:val="28"/>
          <w:highlight w:val="none"/>
        </w:rPr>
        <w:t>1.采购人信息</w:t>
      </w:r>
      <w:bookmarkEnd w:id="32"/>
      <w:bookmarkEnd w:id="33"/>
      <w:bookmarkEnd w:id="34"/>
      <w:bookmarkEnd w:id="35"/>
    </w:p>
    <w:p w14:paraId="0C716E11">
      <w:pPr>
        <w:spacing w:line="360" w:lineRule="auto"/>
        <w:ind w:left="1166" w:leftChars="371" w:hanging="350" w:hangingChars="125"/>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南京市江宁区人民政府秣陵街道办事处</w:t>
      </w:r>
    </w:p>
    <w:p w14:paraId="3E1A1BB6">
      <w:pPr>
        <w:spacing w:line="360" w:lineRule="auto"/>
        <w:ind w:left="1166" w:leftChars="371" w:hanging="350" w:hangingChars="125"/>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南京市江宁区秣陵街道凤仪街2号</w:t>
      </w:r>
    </w:p>
    <w:p w14:paraId="183D5E3E">
      <w:pPr>
        <w:spacing w:line="360" w:lineRule="auto"/>
        <w:ind w:left="1166" w:leftChars="371" w:hanging="350" w:hangingChars="125"/>
        <w:rPr>
          <w:rFonts w:hint="eastAsia" w:ascii="华文仿宋" w:hAnsi="华文仿宋" w:eastAsia="华文仿宋"/>
          <w:sz w:val="28"/>
          <w:szCs w:val="28"/>
          <w:highlight w:val="none"/>
          <w:u w:val="single"/>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rPr>
        <w:t>025-52752987</w:t>
      </w:r>
    </w:p>
    <w:p w14:paraId="19D3CF34">
      <w:pPr>
        <w:spacing w:line="360" w:lineRule="auto"/>
        <w:ind w:left="1166" w:leftChars="371" w:hanging="350" w:hangingChars="125"/>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陆工</w:t>
      </w:r>
    </w:p>
    <w:p w14:paraId="3765437C">
      <w:pPr>
        <w:pStyle w:val="3"/>
        <w:spacing w:line="360" w:lineRule="auto"/>
        <w:ind w:firstLine="840" w:firstLineChars="300"/>
        <w:rPr>
          <w:rFonts w:hint="eastAsia" w:ascii="华文仿宋" w:hAnsi="华文仿宋" w:eastAsia="华文仿宋"/>
          <w:b w:val="0"/>
          <w:sz w:val="28"/>
          <w:szCs w:val="28"/>
          <w:highlight w:val="none"/>
        </w:rPr>
      </w:pPr>
      <w:bookmarkStart w:id="36" w:name="_Toc35393638"/>
      <w:bookmarkStart w:id="37" w:name="_Toc28359020"/>
      <w:bookmarkStart w:id="38" w:name="_Toc35393807"/>
      <w:bookmarkStart w:id="39" w:name="_Toc28359097"/>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spacing w:line="360" w:lineRule="auto"/>
        <w:ind w:firstLine="840" w:firstLineChars="3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spacing w:line="360" w:lineRule="auto"/>
        <w:ind w:firstLine="840" w:firstLineChars="3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spacing w:line="360" w:lineRule="auto"/>
        <w:ind w:firstLine="840" w:firstLineChars="300"/>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pStyle w:val="3"/>
        <w:spacing w:line="360" w:lineRule="auto"/>
        <w:ind w:firstLine="840" w:firstLineChars="300"/>
        <w:rPr>
          <w:rFonts w:hint="eastAsia" w:ascii="华文仿宋" w:hAnsi="华文仿宋" w:eastAsia="华文仿宋"/>
          <w:b w:val="0"/>
          <w:sz w:val="28"/>
          <w:szCs w:val="28"/>
          <w:highlight w:val="none"/>
        </w:rPr>
      </w:pPr>
      <w:bookmarkStart w:id="40" w:name="_Toc35393639"/>
      <w:bookmarkStart w:id="41" w:name="_Toc28359021"/>
      <w:bookmarkStart w:id="42" w:name="_Toc35393808"/>
      <w:bookmarkStart w:id="43" w:name="_Toc28359098"/>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7"/>
        <w:spacing w:line="360" w:lineRule="auto"/>
        <w:ind w:firstLine="840" w:firstLineChars="3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spacing w:line="360" w:lineRule="auto"/>
        <w:ind w:firstLine="840" w:firstLineChars="300"/>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3EE26A9E">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bookmark1"/>
      <w:bookmarkEnd w:id="44"/>
    </w:p>
    <w:p w14:paraId="6812C5D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0DEEFFF1">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FFDE5AB">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090083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55E15A5">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732ECC9">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6C74E72">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F8C234B">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D227AB2">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1964C5A">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89A5F21">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7320E02">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60B6101">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1772A7B">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D1B482E">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0080D2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49E8F46">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591BDD1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CB26A0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4BB794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p>
    <w:p w14:paraId="2A5744AF">
      <w:pPr>
        <w:pStyle w:val="6"/>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南京市江宁区人民政府秣陵街道办事处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秣陵街道市政雨污水管道维修项目材料检测服务</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3"/>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0"/>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0"/>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0"/>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ML202512002</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秣陵街道市政雨污水管道维修项目材料检测服务</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0"/>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0"/>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0"/>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0"/>
              <w:spacing w:before="177"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项目预算</w:t>
            </w:r>
          </w:p>
        </w:tc>
        <w:tc>
          <w:tcPr>
            <w:tcW w:w="7058" w:type="dxa"/>
            <w:gridSpan w:val="2"/>
            <w:vAlign w:val="center"/>
          </w:tcPr>
          <w:p w14:paraId="2D35DACE">
            <w:pPr>
              <w:pStyle w:val="20"/>
              <w:spacing w:before="21" w:line="360" w:lineRule="auto"/>
              <w:ind w:left="107"/>
              <w:jc w:val="both"/>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项目预算</w:t>
            </w:r>
            <w:r>
              <w:rPr>
                <w:rFonts w:hint="eastAsia" w:ascii="华文仿宋" w:hAnsi="华文仿宋" w:eastAsia="华文仿宋" w:cs="仿宋"/>
                <w:sz w:val="21"/>
                <w:highlight w:val="none"/>
                <w:lang w:eastAsia="zh-CN"/>
              </w:rPr>
              <w:t>：</w:t>
            </w:r>
            <w:r>
              <w:rPr>
                <w:rFonts w:hint="eastAsia" w:ascii="华文仿宋" w:hAnsi="华文仿宋" w:eastAsia="华文仿宋" w:cs="仿宋"/>
                <w:sz w:val="21"/>
                <w:highlight w:val="none"/>
                <w:lang w:val="en-US" w:eastAsia="zh-CN"/>
              </w:rPr>
              <w:t>20.82万元</w:t>
            </w:r>
          </w:p>
          <w:p w14:paraId="61028016">
            <w:pPr>
              <w:pStyle w:val="20"/>
              <w:spacing w:before="21"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控制价为</w:t>
            </w:r>
            <w:r>
              <w:rPr>
                <w:rFonts w:hint="eastAsia" w:ascii="华文仿宋" w:hAnsi="华文仿宋" w:eastAsia="华文仿宋" w:cs="仿宋"/>
                <w:sz w:val="21"/>
                <w:highlight w:val="none"/>
                <w:lang w:eastAsia="zh-CN"/>
              </w:rPr>
              <w:t>：</w:t>
            </w:r>
            <w:r>
              <w:rPr>
                <w:rFonts w:hint="eastAsia" w:ascii="华文仿宋" w:hAnsi="华文仿宋" w:eastAsia="华文仿宋" w:cs="仿宋"/>
                <w:sz w:val="21"/>
                <w:highlight w:val="none"/>
              </w:rPr>
              <w:t>本项目采用费率形式报价，按《江苏省建设工程质量检测和建筑材料试验收费标准》（苏价服[2001] 113号）收费标准的8</w:t>
            </w:r>
            <w:r>
              <w:rPr>
                <w:rFonts w:hint="eastAsia" w:ascii="华文仿宋" w:hAnsi="华文仿宋" w:eastAsia="华文仿宋" w:cs="仿宋"/>
                <w:sz w:val="21"/>
                <w:highlight w:val="none"/>
                <w:lang w:val="en-US" w:eastAsia="zh-CN"/>
              </w:rPr>
              <w:t>0</w:t>
            </w:r>
            <w:r>
              <w:rPr>
                <w:rFonts w:hint="eastAsia" w:ascii="华文仿宋" w:hAnsi="华文仿宋" w:eastAsia="华文仿宋" w:cs="仿宋"/>
                <w:sz w:val="21"/>
                <w:highlight w:val="none"/>
              </w:rPr>
              <w:t>%为最高费率</w:t>
            </w:r>
            <w:r>
              <w:rPr>
                <w:rFonts w:hint="eastAsia" w:ascii="华文仿宋" w:hAnsi="华文仿宋" w:eastAsia="华文仿宋" w:cs="仿宋"/>
                <w:sz w:val="21"/>
                <w:highlight w:val="none"/>
                <w:lang w:eastAsia="zh-CN"/>
              </w:rPr>
              <w:t>。</w:t>
            </w:r>
          </w:p>
          <w:p w14:paraId="74464849">
            <w:pPr>
              <w:pStyle w:val="20"/>
              <w:spacing w:before="21"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pacing w:val="-8"/>
                <w:sz w:val="21"/>
                <w:highlight w:val="none"/>
              </w:rPr>
              <w:t>投标人报价超过</w:t>
            </w:r>
            <w:r>
              <w:rPr>
                <w:rFonts w:hint="eastAsia" w:ascii="华文仿宋" w:hAnsi="华文仿宋" w:eastAsia="华文仿宋" w:cs="仿宋"/>
                <w:spacing w:val="-8"/>
                <w:sz w:val="21"/>
                <w:highlight w:val="none"/>
                <w:lang w:val="en-US" w:eastAsia="zh-CN"/>
              </w:rPr>
              <w:t>预算或</w:t>
            </w:r>
            <w:r>
              <w:rPr>
                <w:rFonts w:hint="eastAsia" w:ascii="华文仿宋" w:hAnsi="华文仿宋" w:eastAsia="华文仿宋" w:cs="仿宋"/>
                <w:spacing w:val="-8"/>
                <w:sz w:val="21"/>
                <w:highlight w:val="none"/>
              </w:rPr>
              <w:t>控制价作无效</w:t>
            </w:r>
            <w:r>
              <w:rPr>
                <w:rFonts w:hint="eastAsia" w:ascii="华文仿宋" w:hAnsi="华文仿宋" w:eastAsia="华文仿宋" w:cs="仿宋"/>
                <w:sz w:val="21"/>
                <w:highlight w:val="none"/>
              </w:rPr>
              <w:t>标处理。</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0"/>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0"/>
              <w:spacing w:line="360" w:lineRule="auto"/>
              <w:ind w:left="114" w:right="103"/>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lang w:val="en-US"/>
              </w:rPr>
              <w:t>7</w:t>
            </w:r>
          </w:p>
        </w:tc>
        <w:tc>
          <w:tcPr>
            <w:tcW w:w="1042" w:type="dxa"/>
            <w:vMerge w:val="restart"/>
            <w:vAlign w:val="center"/>
          </w:tcPr>
          <w:p w14:paraId="5813B4C7">
            <w:pPr>
              <w:pStyle w:val="20"/>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0"/>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0"/>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2025年12月23日13</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14</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0"/>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0"/>
              <w:spacing w:before="2" w:line="360" w:lineRule="auto"/>
              <w:rPr>
                <w:rFonts w:hint="eastAsia" w:ascii="华文仿宋" w:hAnsi="华文仿宋" w:eastAsia="华文仿宋" w:cs="仿宋"/>
                <w:sz w:val="17"/>
                <w:highlight w:val="none"/>
              </w:rPr>
            </w:pPr>
          </w:p>
          <w:p w14:paraId="199012BB">
            <w:pPr>
              <w:pStyle w:val="20"/>
              <w:spacing w:line="360" w:lineRule="auto"/>
              <w:ind w:left="114" w:right="103"/>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lang w:val="en-US"/>
              </w:rPr>
              <w:t>8</w:t>
            </w:r>
          </w:p>
        </w:tc>
        <w:tc>
          <w:tcPr>
            <w:tcW w:w="1042" w:type="dxa"/>
            <w:vMerge w:val="restart"/>
            <w:vAlign w:val="center"/>
          </w:tcPr>
          <w:p w14:paraId="5479E7D7">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0"/>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0"/>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2025年12月23日14：00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0"/>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0"/>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0"/>
              <w:spacing w:line="360" w:lineRule="auto"/>
              <w:ind w:left="114" w:right="103"/>
              <w:jc w:val="center"/>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9</w:t>
            </w:r>
          </w:p>
        </w:tc>
        <w:tc>
          <w:tcPr>
            <w:tcW w:w="1042" w:type="dxa"/>
            <w:vMerge w:val="restart"/>
            <w:vAlign w:val="center"/>
          </w:tcPr>
          <w:p w14:paraId="00C17FCF">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0"/>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0"/>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0"/>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陆工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025-52752987</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0"/>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6F8B2839">
      <w:pPr>
        <w:pStyle w:val="17"/>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3"/>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_bookmark2"/>
      <w:bookmarkEnd w:id="45"/>
      <w:bookmarkStart w:id="46" w:name="一、总则"/>
      <w:bookmarkEnd w:id="46"/>
      <w:r>
        <w:rPr>
          <w:rFonts w:hint="eastAsia" w:ascii="华文仿宋" w:hAnsi="华文仿宋" w:eastAsia="华文仿宋" w:cs="仿宋"/>
          <w:color w:val="000000" w:themeColor="text1"/>
          <w:highlight w:val="none"/>
          <w14:textFill>
            <w14:solidFill>
              <w14:schemeClr w14:val="tx1"/>
            </w14:solidFill>
          </w14:textFill>
        </w:rPr>
        <w:t>一、总则</w:t>
      </w:r>
    </w:p>
    <w:p w14:paraId="36CA3AEE">
      <w:pPr>
        <w:pStyle w:val="17"/>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17"/>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17"/>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6"/>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17"/>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17"/>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17"/>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6"/>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17"/>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17"/>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17"/>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5C4EF184">
      <w:pPr>
        <w:pStyle w:val="17"/>
        <w:numPr>
          <w:ilvl w:val="1"/>
          <w:numId w:val="4"/>
        </w:numPr>
        <w:tabs>
          <w:tab w:val="left" w:pos="1008"/>
        </w:tabs>
        <w:spacing w:before="43" w:line="360" w:lineRule="auto"/>
        <w:ind w:right="281" w:firstLine="42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应具备规定的条件并</w:t>
      </w:r>
      <w:r>
        <w:rPr>
          <w:rFonts w:hint="eastAsia" w:ascii="华文仿宋" w:hAnsi="华文仿宋" w:eastAsia="华文仿宋" w:cs="仿宋"/>
          <w:bCs/>
          <w:color w:val="000000" w:themeColor="text1"/>
          <w:spacing w:val="-7"/>
          <w:sz w:val="21"/>
          <w:highlight w:val="none"/>
          <w14:textFill>
            <w14:solidFill>
              <w14:schemeClr w14:val="tx1"/>
            </w14:solidFill>
          </w14:textFill>
        </w:rPr>
        <w:t>提供材料：</w:t>
      </w:r>
    </w:p>
    <w:p w14:paraId="25E82B2A">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（1）具有独立承担民事责任的能力（提供法人或者其他组织的营业执照，自然人的身份证明，等证明性材料）</w:t>
      </w:r>
    </w:p>
    <w:p w14:paraId="1FEE8C66">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（2）具有良好的商业信誉和健全的财务会计制度（提供上一年度的财务审计报告或采购公告前近半年内（至少一个月）财务报表）</w:t>
      </w:r>
    </w:p>
    <w:p w14:paraId="7311B621">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（3）具有履行合同所必需的设备和专业技术能力（根据项目需求提供履行合同所必需的设备和专业技术能力的证明材料或书面声明）；</w:t>
      </w:r>
    </w:p>
    <w:p w14:paraId="271F58D1">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382A3A25">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（5）参加政府采购活动前三年内，在经营活动中没有重大违法记录（提供参加本次政府采购活动前 3 年内在经营活动中没有重大违法记录的书面声明）；</w:t>
      </w:r>
    </w:p>
    <w:p w14:paraId="6B3B2EC4">
      <w:pPr>
        <w:pStyle w:val="17"/>
        <w:tabs>
          <w:tab w:val="left" w:pos="1008"/>
        </w:tabs>
        <w:spacing w:before="43" w:line="360" w:lineRule="auto"/>
        <w:ind w:left="743" w:right="281" w:firstLine="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华文仿宋"/>
          <w:bCs/>
          <w:kern w:val="2"/>
          <w:sz w:val="21"/>
          <w:szCs w:val="21"/>
          <w:highlight w:val="none"/>
          <w:lang w:val="en-US" w:bidi="ar-SA"/>
        </w:rPr>
        <w:t>（6）法律、行政法规规定的其他条件。</w:t>
      </w:r>
    </w:p>
    <w:p w14:paraId="774B7878">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采购人根据采购项目的特殊要求规定的特定条件：</w:t>
      </w:r>
    </w:p>
    <w:p w14:paraId="28C2AE38">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①具备建设主管部门颁发的《建设工程质量检测机构资质证书》（检测范围至少包括：见证取样检测、地基基础工程、主体结构工程现场检测）（提供有效证书复印件加盖公章）；</w:t>
      </w:r>
    </w:p>
    <w:p w14:paraId="5B17C6E3">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②具备省级及以上质量技术监督局颁发的有效的《计量认证证书》。（提供有效证书复印件加盖公章）；</w:t>
      </w:r>
    </w:p>
    <w:p w14:paraId="2270B11B">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③具备建设行政主管部门颁发的《建设工程质量检测机构资质证书》（检测内容：备案类）（提供有效证书复印件加盖公章）；</w:t>
      </w:r>
    </w:p>
    <w:p w14:paraId="2D4F0E0B">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④项目负责人具有有效期内的建设行政主管部门颁发的《建设工程质量检测人员岗位合格证书》（提供有效证书复印件加盖公章）</w:t>
      </w:r>
    </w:p>
    <w:p w14:paraId="0AA73465">
      <w:pPr>
        <w:pStyle w:val="17"/>
        <w:numPr>
          <w:ilvl w:val="1"/>
          <w:numId w:val="4"/>
        </w:numPr>
        <w:tabs>
          <w:tab w:val="left" w:pos="1166"/>
        </w:tabs>
        <w:spacing w:line="360" w:lineRule="auto"/>
        <w:ind w:left="1165" w:hanging="423"/>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拒绝下述供应商参加本次采购活</w:t>
      </w:r>
      <w:r>
        <w:rPr>
          <w:rFonts w:hint="eastAsia" w:ascii="华文仿宋" w:hAnsi="华文仿宋" w:eastAsia="华文仿宋" w:cs="仿宋"/>
          <w:bCs/>
          <w:color w:val="000000" w:themeColor="text1"/>
          <w:sz w:val="21"/>
          <w:highlight w:val="none"/>
          <w:lang w:val="en-US"/>
          <w14:textFill>
            <w14:solidFill>
              <w14:schemeClr w14:val="tx1"/>
            </w14:solidFill>
          </w14:textFill>
        </w:rPr>
        <w:t>动</w:t>
      </w:r>
    </w:p>
    <w:p w14:paraId="4564A175">
      <w:pPr>
        <w:pStyle w:val="17"/>
        <w:numPr>
          <w:ilvl w:val="0"/>
          <w:numId w:val="7"/>
        </w:numPr>
        <w:tabs>
          <w:tab w:val="left" w:pos="1270"/>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是否接受联合体投标：不接受。</w:t>
      </w:r>
    </w:p>
    <w:p w14:paraId="0644A4AC">
      <w:pPr>
        <w:pStyle w:val="17"/>
        <w:numPr>
          <w:ilvl w:val="0"/>
          <w:numId w:val="7"/>
        </w:numPr>
        <w:tabs>
          <w:tab w:val="left" w:pos="1270"/>
        </w:tabs>
        <w:spacing w:before="43" w:line="360" w:lineRule="auto"/>
        <w:ind w:left="323" w:right="312"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供应商单位负责人为同一人或者存在直接控股、管理关系的不同供应商，不得参加同一合同项下的采购活动。（提供承诺书，格式自拟）</w:t>
      </w:r>
    </w:p>
    <w:p w14:paraId="6557C395">
      <w:pPr>
        <w:pStyle w:val="17"/>
        <w:numPr>
          <w:ilvl w:val="0"/>
          <w:numId w:val="7"/>
        </w:numPr>
        <w:tabs>
          <w:tab w:val="left" w:pos="1270"/>
        </w:tabs>
        <w:spacing w:line="360" w:lineRule="auto"/>
        <w:ind w:left="323" w:right="315"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5"/>
          <w:w w:val="95"/>
          <w:sz w:val="21"/>
          <w:highlight w:val="none"/>
          <w14:textFill>
            <w14:solidFill>
              <w14:schemeClr w14:val="tx1"/>
            </w14:solidFill>
          </w14:textFill>
        </w:rPr>
        <w:t>凡为采购项目提供整体设计、规范编制或者项目管理、监理、检测等服务的供应商，不得再参</w:t>
      </w:r>
      <w:r>
        <w:rPr>
          <w:rFonts w:hint="eastAsia" w:ascii="华文仿宋" w:hAnsi="华文仿宋" w:eastAsia="华文仿宋" w:cs="仿宋"/>
          <w:bCs/>
          <w:color w:val="000000" w:themeColor="text1"/>
          <w:spacing w:val="-5"/>
          <w:sz w:val="21"/>
          <w:highlight w:val="none"/>
          <w14:textFill>
            <w14:solidFill>
              <w14:schemeClr w14:val="tx1"/>
            </w14:solidFill>
          </w14:textFill>
        </w:rPr>
        <w:t>加本项目的采购活动。</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E5086A1">
      <w:pPr>
        <w:pStyle w:val="17"/>
        <w:numPr>
          <w:ilvl w:val="0"/>
          <w:numId w:val="7"/>
        </w:numPr>
        <w:tabs>
          <w:tab w:val="left" w:pos="1270"/>
        </w:tabs>
        <w:spacing w:line="360" w:lineRule="auto"/>
        <w:ind w:left="323" w:right="311"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0"/>
          <w:sz w:val="21"/>
          <w:highlight w:val="none"/>
          <w14:textFill>
            <w14:solidFill>
              <w14:schemeClr w14:val="tx1"/>
            </w14:solidFill>
          </w14:textFill>
        </w:rPr>
        <w:t>供应商被“信用中国”网站</w:t>
      </w:r>
      <w:r>
        <w:rPr>
          <w:rFonts w:hint="eastAsia" w:ascii="华文仿宋" w:hAnsi="华文仿宋" w:eastAsia="华文仿宋" w:cs="仿宋"/>
          <w:bCs/>
          <w:color w:val="000000" w:themeColor="text1"/>
          <w:spacing w:val="-18"/>
          <w:sz w:val="21"/>
          <w:highlight w:val="none"/>
          <w14:textFill>
            <w14:solidFill>
              <w14:schemeClr w14:val="tx1"/>
            </w14:solidFill>
          </w14:textFill>
        </w:rPr>
        <w:t>、“中国政府采购网"列入失信被执行人、重大税收违法案件当事人名单、政府采购严重违法失信行为记录名单。</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10D0679">
      <w:pPr>
        <w:pStyle w:val="17"/>
        <w:numPr>
          <w:ilvl w:val="1"/>
          <w:numId w:val="4"/>
        </w:numPr>
        <w:tabs>
          <w:tab w:val="left" w:pos="1063"/>
        </w:tabs>
        <w:spacing w:line="360" w:lineRule="auto"/>
        <w:ind w:left="1062" w:hanging="320"/>
        <w:rPr>
          <w:rFonts w:hint="eastAsia" w:ascii="华文仿宋" w:hAnsi="华文仿宋" w:eastAsia="华文仿宋" w:cs="仿宋"/>
          <w:bCs/>
          <w:color w:val="000000" w:themeColor="text1"/>
          <w:sz w:val="21"/>
          <w:szCs w:val="21"/>
          <w:highlight w:val="none"/>
          <w14:textFill>
            <w14:solidFill>
              <w14:schemeClr w14:val="tx1"/>
            </w14:solidFill>
          </w14:textFill>
        </w:rPr>
      </w:pPr>
      <w:r>
        <w:rPr>
          <w:rFonts w:hint="eastAsia" w:ascii="华文仿宋" w:hAnsi="华文仿宋" w:eastAsia="华文仿宋" w:cs="仿宋"/>
          <w:bCs/>
          <w:color w:val="000000" w:themeColor="text1"/>
          <w:sz w:val="21"/>
          <w:szCs w:val="21"/>
          <w:highlight w:val="none"/>
          <w14:textFill>
            <w14:solidFill>
              <w14:schemeClr w14:val="tx1"/>
            </w14:solidFill>
          </w14:textFill>
        </w:rPr>
        <w:t>南京市政府采购供应商信用记录表暨信用承诺书</w:t>
      </w:r>
    </w:p>
    <w:p w14:paraId="752C5A92">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w:t>
      </w:r>
      <w:r>
        <w:rPr>
          <w:rFonts w:hint="eastAsia" w:ascii="华文仿宋" w:hAnsi="华文仿宋" w:eastAsia="华文仿宋" w:cs="仿宋"/>
          <w:bCs/>
          <w:color w:val="000000" w:themeColor="text1"/>
          <w:spacing w:val="-2"/>
          <w:sz w:val="18"/>
          <w:szCs w:val="18"/>
          <w:highlight w:val="none"/>
          <w14:textFill>
            <w14:solidFill>
              <w14:schemeClr w14:val="tx1"/>
            </w14:solidFill>
          </w14:textFill>
        </w:rPr>
        <w:t>（http://180.101.238.212:8280/hodeframe2018_cxda/index.action;jsessionid=769BA9C8E1729422E7173B991C8EC1E5）</w:t>
      </w:r>
      <w:r>
        <w:rPr>
          <w:rFonts w:hint="eastAsia" w:ascii="华文仿宋" w:hAnsi="华文仿宋" w:eastAsia="华文仿宋" w:cs="仿宋"/>
          <w:bCs/>
          <w:color w:val="000000" w:themeColor="text1"/>
          <w:spacing w:val="-2"/>
          <w:szCs w:val="22"/>
          <w:highlight w:val="none"/>
          <w14:textFill>
            <w14:solidFill>
              <w14:schemeClr w14:val="tx1"/>
            </w14:solidFill>
          </w14:textFill>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3ACC4AD">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在资格审查环节，供应商只需提供书面《南京市政府采购供应商信用记录表暨信用承诺书》，即可替代以下证明材料： </w:t>
      </w:r>
    </w:p>
    <w:p w14:paraId="7BC44264">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（1）符合国家相关规定的财务状况报告； </w:t>
      </w:r>
    </w:p>
    <w:p w14:paraId="7384ED24">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（2）依法缴纳税收的证明材料； </w:t>
      </w:r>
    </w:p>
    <w:p w14:paraId="4A65CCE0">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（3）依法缴纳社会保障资金的证明材料； </w:t>
      </w:r>
    </w:p>
    <w:p w14:paraId="29409BD6">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（4）具备履行合同所必需的设备和专业技术能力的证明材料； </w:t>
      </w:r>
    </w:p>
    <w:p w14:paraId="599A85B1">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（5）参加采购活动前三年内在经营活动中没有重大违法记录的证明材料； </w:t>
      </w:r>
    </w:p>
    <w:p w14:paraId="0B32D767">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（6）未被列入失信被执行人、重大税收违法失信主体、政府采购严重违法失信行为记录名单的证明材料。 </w:t>
      </w:r>
    </w:p>
    <w:p w14:paraId="2BC1286F">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供应商在中标（成交）后，应按采购文件要求，将上述由信用承诺书替代的证明材料提交采购人或采购代理机构核验。经核验无误后，由采购人或采购代理机构发出中标（成交）通知书。 </w:t>
      </w:r>
    </w:p>
    <w:p w14:paraId="70C7A5D1">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供应商涉及以下情形的，不适用信用承诺： </w:t>
      </w:r>
    </w:p>
    <w:p w14:paraId="0BE81AE9">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（1）供应商被列入严重失信主体名单； </w:t>
      </w:r>
    </w:p>
    <w:p w14:paraId="291BB6F2">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（2）被相关监管部门作出行政处罚且尚在处罚有效期内； </w:t>
      </w:r>
    </w:p>
    <w:p w14:paraId="24B02E35">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（3）其他法律、行政法规规定的不适用信用承诺的情形。 </w:t>
      </w:r>
    </w:p>
    <w:p w14:paraId="268B0EDA">
      <w:pPr>
        <w:pStyle w:val="6"/>
        <w:spacing w:before="43" w:line="360" w:lineRule="auto"/>
        <w:ind w:firstLine="618" w:firstLineChars="300"/>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供应商对信用承诺内容的真实性、合法性、有效性负责。如作出虚假信用承诺，视同为“提供虚假材料谋取中标、成交”的违法行为。</w:t>
      </w:r>
    </w:p>
    <w:p w14:paraId="6FE3C56F">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17"/>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17"/>
        <w:tabs>
          <w:tab w:val="left" w:pos="1060"/>
        </w:tabs>
        <w:spacing w:before="43" w:line="360" w:lineRule="auto"/>
        <w:ind w:left="1060" w:firstLine="0"/>
        <w:rPr>
          <w:rFonts w:hint="eastAsia" w:ascii="华文仿宋" w:hAnsi="华文仿宋" w:eastAsia="华文仿宋"/>
          <w:bCs/>
          <w:highlight w:val="none"/>
          <w:lang w:val="en-US"/>
        </w:rPr>
      </w:pPr>
      <w:r>
        <w:rPr>
          <w:rFonts w:hint="eastAsia" w:ascii="华文仿宋" w:hAnsi="华文仿宋" w:eastAsia="华文仿宋" w:cs="仿宋"/>
          <w:bCs/>
          <w:color w:val="000000" w:themeColor="text1"/>
          <w:sz w:val="21"/>
          <w:highlight w:val="none"/>
          <w14:textFill>
            <w14:solidFill>
              <w14:schemeClr w14:val="tx1"/>
            </w14:solidFill>
          </w14:textFill>
        </w:rPr>
        <w:t>无</w:t>
      </w:r>
    </w:p>
    <w:p w14:paraId="3177B9CA">
      <w:pPr>
        <w:pStyle w:val="17"/>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17"/>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17"/>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17"/>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17"/>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17"/>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17"/>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17"/>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17"/>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17"/>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17"/>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17"/>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17"/>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17"/>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17"/>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17"/>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17"/>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17"/>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 xml:space="preserve">供应商应承担所有与准备和参加磋商有关的费用，代理机构和采购人在任何情况下均无义务和责   </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17"/>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招标代理费：按照国家计委《招标代理服务收费管理暂行办法》的通知【计价格（2002）1980号】文件标准的80%执行，工程量清单及招标控制价按苏价服（2014）383号的80%执行（如有），专家评审费按实际支付发生费用计取。无论是否将以上费用在报价中列明，均视为已含在投标价格中。这部分费用由中标单位在领取中标通知书时一次性支付</w:t>
      </w:r>
      <w:r>
        <w:rPr>
          <w:rFonts w:hint="eastAsia" w:ascii="华文仿宋" w:hAnsi="华文仿宋" w:eastAsia="华文仿宋" w:cs="华文仿宋"/>
          <w:bCs/>
          <w:sz w:val="21"/>
          <w:highlight w:val="none"/>
        </w:rPr>
        <w:t>。</w:t>
      </w:r>
    </w:p>
    <w:p w14:paraId="3D8D6841">
      <w:pPr>
        <w:pStyle w:val="3"/>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bookmark3"/>
      <w:bookmarkEnd w:id="48"/>
      <w:r>
        <w:rPr>
          <w:rFonts w:hint="eastAsia" w:ascii="华文仿宋" w:hAnsi="华文仿宋" w:eastAsia="华文仿宋" w:cs="仿宋"/>
          <w:color w:val="000000" w:themeColor="text1"/>
          <w:highlight w:val="none"/>
          <w14:textFill>
            <w14:solidFill>
              <w14:schemeClr w14:val="tx1"/>
            </w14:solidFill>
          </w14:textFill>
        </w:rPr>
        <w:t>二、响应性文件的编制</w:t>
      </w:r>
    </w:p>
    <w:p w14:paraId="2399E59E">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17"/>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17"/>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17"/>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17"/>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17"/>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17"/>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17"/>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17"/>
        <w:numPr>
          <w:ilvl w:val="0"/>
          <w:numId w:val="8"/>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17"/>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17"/>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17"/>
        <w:numPr>
          <w:ilvl w:val="0"/>
          <w:numId w:val="8"/>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17"/>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17"/>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6"/>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17"/>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17"/>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17"/>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17"/>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17"/>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17"/>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_bookmark4"/>
      <w:bookmarkEnd w:id="49"/>
      <w:bookmarkStart w:id="50" w:name="三、响应性文件递交"/>
      <w:bookmarkEnd w:id="50"/>
    </w:p>
    <w:p w14:paraId="5CB4935E">
      <w:pPr>
        <w:pStyle w:val="17"/>
        <w:tabs>
          <w:tab w:val="left" w:pos="1270"/>
        </w:tabs>
        <w:spacing w:before="43" w:line="360" w:lineRule="auto"/>
        <w:ind w:left="743" w:right="4426"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p>
    <w:p w14:paraId="0DA0E3FE">
      <w:pPr>
        <w:pStyle w:val="17"/>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17"/>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17"/>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17"/>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17"/>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17"/>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17"/>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17"/>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17"/>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bookmarkStart w:id="52" w:name="_bookmark5"/>
      <w:bookmarkEnd w:id="52"/>
    </w:p>
    <w:p w14:paraId="065CF993">
      <w:pPr>
        <w:pStyle w:val="17"/>
        <w:numPr>
          <w:ilvl w:val="0"/>
          <w:numId w:val="0"/>
        </w:numPr>
        <w:tabs>
          <w:tab w:val="left" w:pos="1216"/>
        </w:tabs>
        <w:spacing w:line="360" w:lineRule="auto"/>
        <w:ind w:left="743" w:leftChars="0" w:right="490" w:rightChars="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四、磋商</w:t>
      </w:r>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17"/>
        <w:numPr>
          <w:ilvl w:val="1"/>
          <w:numId w:val="10"/>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17"/>
        <w:numPr>
          <w:ilvl w:val="1"/>
          <w:numId w:val="10"/>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17"/>
        <w:numPr>
          <w:ilvl w:val="1"/>
          <w:numId w:val="11"/>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17"/>
        <w:numPr>
          <w:ilvl w:val="1"/>
          <w:numId w:val="11"/>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17"/>
        <w:numPr>
          <w:ilvl w:val="1"/>
          <w:numId w:val="11"/>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17"/>
        <w:numPr>
          <w:ilvl w:val="1"/>
          <w:numId w:val="11"/>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17"/>
        <w:numPr>
          <w:ilvl w:val="1"/>
          <w:numId w:val="11"/>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17"/>
        <w:numPr>
          <w:ilvl w:val="1"/>
          <w:numId w:val="11"/>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17"/>
        <w:numPr>
          <w:ilvl w:val="0"/>
          <w:numId w:val="12"/>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17"/>
        <w:numPr>
          <w:ilvl w:val="1"/>
          <w:numId w:val="13"/>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17"/>
        <w:numPr>
          <w:ilvl w:val="1"/>
          <w:numId w:val="13"/>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17"/>
        <w:numPr>
          <w:ilvl w:val="1"/>
          <w:numId w:val="13"/>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17"/>
        <w:numPr>
          <w:ilvl w:val="1"/>
          <w:numId w:val="14"/>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17"/>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17"/>
        <w:numPr>
          <w:ilvl w:val="1"/>
          <w:numId w:val="14"/>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17"/>
        <w:numPr>
          <w:ilvl w:val="1"/>
          <w:numId w:val="14"/>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17"/>
        <w:numPr>
          <w:ilvl w:val="1"/>
          <w:numId w:val="14"/>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17"/>
        <w:numPr>
          <w:ilvl w:val="1"/>
          <w:numId w:val="14"/>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17"/>
        <w:numPr>
          <w:ilvl w:val="1"/>
          <w:numId w:val="14"/>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6"/>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bookmarkStart w:id="54" w:name="_bookmark6"/>
      <w:bookmarkEnd w:id="54"/>
    </w:p>
    <w:p w14:paraId="2BB20CA6">
      <w:pPr>
        <w:pStyle w:val="6"/>
        <w:spacing w:before="43" w:line="360" w:lineRule="auto"/>
        <w:ind w:left="743" w:right="4323"/>
        <w:rPr>
          <w:rFonts w:hint="eastAsia" w:ascii="华文仿宋" w:hAnsi="华文仿宋" w:eastAsia="华文仿宋" w:cs="仿宋"/>
          <w:b/>
          <w:color w:val="000000" w:themeColor="text1"/>
          <w:highlight w:val="none"/>
          <w14:textFill>
            <w14:solidFill>
              <w14:schemeClr w14:val="tx1"/>
            </w14:solidFill>
          </w14:textFill>
        </w:rPr>
      </w:pPr>
      <w:r>
        <w:rPr>
          <w:rFonts w:hint="eastAsia" w:ascii="华文仿宋" w:hAnsi="华文仿宋" w:eastAsia="华文仿宋" w:cs="仿宋"/>
          <w:b/>
          <w:color w:val="000000" w:themeColor="text1"/>
          <w:highlight w:val="none"/>
          <w14:textFill>
            <w14:solidFill>
              <w14:schemeClr w14:val="tx1"/>
            </w14:solidFill>
          </w14:textFill>
        </w:rPr>
        <w:t>五、签订合同</w:t>
      </w:r>
    </w:p>
    <w:p w14:paraId="3AD86DBB">
      <w:pPr>
        <w:pStyle w:val="17"/>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17"/>
        <w:numPr>
          <w:ilvl w:val="1"/>
          <w:numId w:val="15"/>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17"/>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17"/>
        <w:numPr>
          <w:ilvl w:val="1"/>
          <w:numId w:val="15"/>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3"/>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bookmark7"/>
      <w:bookmarkEnd w:id="56"/>
      <w:r>
        <w:rPr>
          <w:rFonts w:hint="eastAsia" w:ascii="华文仿宋" w:hAnsi="华文仿宋" w:eastAsia="华文仿宋" w:cs="仿宋"/>
          <w:color w:val="000000" w:themeColor="text1"/>
          <w:highlight w:val="none"/>
          <w14:textFill>
            <w14:solidFill>
              <w14:schemeClr w14:val="tx1"/>
            </w14:solidFill>
          </w14:textFill>
        </w:rPr>
        <w:t>六、质疑和投诉</w:t>
      </w:r>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17"/>
        <w:numPr>
          <w:ilvl w:val="1"/>
          <w:numId w:val="16"/>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17"/>
        <w:numPr>
          <w:ilvl w:val="1"/>
          <w:numId w:val="16"/>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17"/>
        <w:numPr>
          <w:ilvl w:val="1"/>
          <w:numId w:val="16"/>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17"/>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17"/>
        <w:numPr>
          <w:ilvl w:val="0"/>
          <w:numId w:val="1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17"/>
        <w:numPr>
          <w:ilvl w:val="0"/>
          <w:numId w:val="17"/>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17"/>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17"/>
        <w:numPr>
          <w:ilvl w:val="0"/>
          <w:numId w:val="17"/>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17"/>
        <w:numPr>
          <w:ilvl w:val="1"/>
          <w:numId w:val="16"/>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17"/>
        <w:numPr>
          <w:ilvl w:val="1"/>
          <w:numId w:val="16"/>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6"/>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6"/>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bookmarkStart w:id="58" w:name="_bookmark8"/>
      <w:bookmarkEnd w:id="58"/>
    </w:p>
    <w:p w14:paraId="2603E721">
      <w:pPr>
        <w:pStyle w:val="17"/>
        <w:rPr>
          <w:rFonts w:hint="eastAsia" w:ascii="华文仿宋" w:hAnsi="华文仿宋" w:eastAsia="华文仿宋"/>
          <w:highlight w:val="none"/>
        </w:rPr>
      </w:pPr>
    </w:p>
    <w:p w14:paraId="472CA127">
      <w:pPr>
        <w:rPr>
          <w:rFonts w:hint="eastAsia" w:ascii="华文仿宋" w:hAnsi="华文仿宋" w:eastAsia="华文仿宋"/>
          <w:highlight w:val="none"/>
        </w:rPr>
      </w:pPr>
    </w:p>
    <w:p w14:paraId="59C0A6EA">
      <w:pPr>
        <w:pStyle w:val="17"/>
        <w:rPr>
          <w:rFonts w:hint="eastAsia" w:ascii="华文仿宋" w:hAnsi="华文仿宋" w:eastAsia="华文仿宋"/>
          <w:highlight w:val="none"/>
        </w:rPr>
      </w:pPr>
    </w:p>
    <w:p w14:paraId="5F4283E7">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FAB403C">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E35F1DA">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254D7A22">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E7A1DA5">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E8D75B3">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73AE7906">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6FC48A8">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5C514C39">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67671642">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F2FCF12">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2AC282E8">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C6899FF">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53BD3EAE">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2E79DE7C">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1A453601">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64F376F">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p>
    <w:p w14:paraId="33C50225">
      <w:pPr>
        <w:pStyle w:val="17"/>
        <w:rPr>
          <w:rFonts w:hint="eastAsia" w:ascii="华文仿宋" w:hAnsi="华文仿宋" w:eastAsia="华文仿宋"/>
          <w:highlight w:val="none"/>
        </w:rPr>
      </w:pPr>
    </w:p>
    <w:p w14:paraId="3874CFFE">
      <w:pPr>
        <w:spacing w:before="82" w:line="360" w:lineRule="auto"/>
        <w:ind w:right="3668"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秣陵街道市政雨污水管道维修项目材料检测服务</w:t>
      </w:r>
    </w:p>
    <w:p w14:paraId="3AA6B992">
      <w:pPr>
        <w:spacing w:before="82" w:line="360" w:lineRule="auto"/>
        <w:ind w:right="3668" w:firstLine="210" w:firstLineChars="100"/>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180天</w:t>
      </w:r>
    </w:p>
    <w:p w14:paraId="1FDD68F1">
      <w:pPr>
        <w:spacing w:before="82" w:line="276" w:lineRule="auto"/>
        <w:ind w:right="3668" w:firstLine="210" w:firstLineChars="100"/>
        <w:rPr>
          <w:rFonts w:hint="eastAsia" w:ascii="仿宋" w:hAnsi="仿宋" w:eastAsia="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三、</w:t>
      </w:r>
      <w:r>
        <w:rPr>
          <w:rFonts w:hint="eastAsia" w:ascii="仿宋" w:hAnsi="仿宋" w:eastAsia="仿宋" w:cs="仿宋"/>
          <w:b/>
          <w:color w:val="000000" w:themeColor="text1"/>
          <w:sz w:val="21"/>
          <w:highlight w:val="none"/>
          <w14:textFill>
            <w14:solidFill>
              <w14:schemeClr w14:val="tx1"/>
            </w14:solidFill>
          </w14:textFill>
        </w:rPr>
        <w:t>（A</w:t>
      </w:r>
      <w:r>
        <w:rPr>
          <w:rFonts w:ascii="仿宋" w:hAnsi="仿宋" w:eastAsia="仿宋" w:cs="仿宋"/>
          <w:b/>
          <w:color w:val="000000" w:themeColor="text1"/>
          <w:sz w:val="21"/>
          <w:highlight w:val="none"/>
          <w14:textFill>
            <w14:solidFill>
              <w14:schemeClr w14:val="tx1"/>
            </w14:solidFill>
          </w14:textFill>
        </w:rPr>
        <w:t>）</w:t>
      </w:r>
      <w:r>
        <w:rPr>
          <w:rFonts w:hint="eastAsia" w:ascii="仿宋" w:hAnsi="仿宋" w:eastAsia="仿宋" w:cs="仿宋"/>
          <w:b/>
          <w:color w:val="000000" w:themeColor="text1"/>
          <w:sz w:val="21"/>
          <w:highlight w:val="none"/>
          <w14:textFill>
            <w14:solidFill>
              <w14:schemeClr w14:val="tx1"/>
            </w14:solidFill>
          </w14:textFill>
        </w:rPr>
        <w:t>项目概况：</w:t>
      </w:r>
    </w:p>
    <w:p w14:paraId="4EC8CDFA">
      <w:pPr>
        <w:spacing w:before="20" w:line="276" w:lineRule="auto"/>
        <w:ind w:firstLine="561" w:firstLineChars="300"/>
        <w:rPr>
          <w:rFonts w:hint="eastAsia" w:ascii="仿宋" w:hAnsi="仿宋" w:eastAsia="仿宋" w:cs="仿宋"/>
          <w:color w:val="000000" w:themeColor="text1"/>
          <w:spacing w:val="-6"/>
          <w:w w:val="95"/>
          <w:sz w:val="21"/>
          <w:highlight w:val="none"/>
          <w:lang w:val="en-US" w:eastAsia="zh-CN"/>
          <w14:textFill>
            <w14:solidFill>
              <w14:schemeClr w14:val="tx1"/>
            </w14:solidFill>
          </w14:textFill>
        </w:rPr>
      </w:pPr>
      <w:r>
        <w:rPr>
          <w:rFonts w:hint="eastAsia" w:ascii="仿宋" w:hAnsi="仿宋" w:eastAsia="仿宋" w:cs="仿宋"/>
          <w:color w:val="000000" w:themeColor="text1"/>
          <w:spacing w:val="-6"/>
          <w:w w:val="95"/>
          <w:sz w:val="21"/>
          <w:highlight w:val="none"/>
          <w:lang w:val="en-US" w:eastAsia="zh-CN"/>
          <w14:textFill>
            <w14:solidFill>
              <w14:schemeClr w14:val="tx1"/>
            </w14:solidFill>
          </w14:textFill>
        </w:rPr>
        <w:t>对秣陵街道市政排水管道新建、整改修复，解决秣陵街道内部分外水入渗问题（污水管渗漏及污水检查井渗漏）、市政雨污混接问题、发现的污水漫溢、道路积淹水问题。 提高管道质量、提高污水厂进水水质，保障排水安全。</w:t>
      </w:r>
    </w:p>
    <w:p w14:paraId="27265E36">
      <w:pPr>
        <w:spacing w:before="20" w:line="276" w:lineRule="auto"/>
        <w:ind w:firstLine="561" w:firstLineChars="300"/>
        <w:rPr>
          <w:rFonts w:hint="eastAsia" w:ascii="仿宋" w:hAnsi="仿宋" w:eastAsia="仿宋" w:cs="仿宋"/>
          <w:color w:val="000000" w:themeColor="text1"/>
          <w:spacing w:val="-6"/>
          <w:w w:val="95"/>
          <w:sz w:val="21"/>
          <w:highlight w:val="none"/>
          <w:lang w:val="en-US" w:eastAsia="zh-CN"/>
          <w14:textFill>
            <w14:solidFill>
              <w14:schemeClr w14:val="tx1"/>
            </w14:solidFill>
          </w14:textFill>
        </w:rPr>
      </w:pPr>
      <w:r>
        <w:rPr>
          <w:rFonts w:hint="eastAsia" w:ascii="仿宋" w:hAnsi="仿宋" w:eastAsia="仿宋" w:cs="仿宋"/>
          <w:color w:val="000000" w:themeColor="text1"/>
          <w:spacing w:val="-6"/>
          <w:w w:val="95"/>
          <w:sz w:val="21"/>
          <w:highlight w:val="none"/>
          <w:lang w:val="en-US" w:eastAsia="zh-CN"/>
          <w14:textFill>
            <w14:solidFill>
              <w14:schemeClr w14:val="tx1"/>
            </w14:solidFill>
          </w14:textFill>
        </w:rPr>
        <w:t>（1）对江宁区秣陵街道 38 条道路的缺陷雨污水管道、混接点、漫溢点、现状污水井等进行改造修复。</w:t>
      </w:r>
    </w:p>
    <w:p w14:paraId="5BF746E8">
      <w:pPr>
        <w:spacing w:before="20" w:line="276" w:lineRule="auto"/>
        <w:ind w:firstLine="561" w:firstLineChars="300"/>
        <w:rPr>
          <w:rFonts w:hint="eastAsia" w:ascii="仿宋" w:hAnsi="仿宋" w:eastAsia="仿宋" w:cs="仿宋"/>
          <w:color w:val="000000" w:themeColor="text1"/>
          <w:spacing w:val="-6"/>
          <w:w w:val="95"/>
          <w:sz w:val="21"/>
          <w:highlight w:val="none"/>
          <w:lang w:val="en-US" w:eastAsia="zh-CN"/>
          <w14:textFill>
            <w14:solidFill>
              <w14:schemeClr w14:val="tx1"/>
            </w14:solidFill>
          </w14:textFill>
        </w:rPr>
      </w:pPr>
      <w:r>
        <w:rPr>
          <w:rFonts w:hint="eastAsia" w:ascii="仿宋" w:hAnsi="仿宋" w:eastAsia="仿宋" w:cs="仿宋"/>
          <w:color w:val="000000" w:themeColor="text1"/>
          <w:spacing w:val="-6"/>
          <w:w w:val="95"/>
          <w:sz w:val="21"/>
          <w:highlight w:val="none"/>
          <w:lang w:val="en-US" w:eastAsia="zh-CN"/>
          <w14:textFill>
            <w14:solidFill>
              <w14:schemeClr w14:val="tx1"/>
            </w14:solidFill>
          </w14:textFill>
        </w:rPr>
        <w:t>（2）污水管道：对立业路等 37 条道路污水管网进行维修改造。其中，开挖修复约 1115m，新建污水检查井 93 座；非开挖内衬修复约 1072m，不锈钢快速锁点修约 232 处；工程性清疏约 20272 米等。</w:t>
      </w:r>
    </w:p>
    <w:p w14:paraId="6B1C520E">
      <w:pPr>
        <w:spacing w:before="20" w:line="276" w:lineRule="auto"/>
        <w:ind w:firstLine="561" w:firstLineChars="300"/>
        <w:rPr>
          <w:rFonts w:hint="eastAsia" w:ascii="仿宋" w:hAnsi="仿宋" w:eastAsia="仿宋" w:cs="仿宋"/>
          <w:color w:val="000000" w:themeColor="text1"/>
          <w:spacing w:val="-6"/>
          <w:w w:val="95"/>
          <w:sz w:val="21"/>
          <w:highlight w:val="none"/>
          <w:lang w:val="en-US" w:eastAsia="zh-CN"/>
          <w14:textFill>
            <w14:solidFill>
              <w14:schemeClr w14:val="tx1"/>
            </w14:solidFill>
          </w14:textFill>
        </w:rPr>
      </w:pPr>
      <w:r>
        <w:rPr>
          <w:rFonts w:hint="eastAsia" w:ascii="仿宋" w:hAnsi="仿宋" w:eastAsia="仿宋" w:cs="仿宋"/>
          <w:color w:val="000000" w:themeColor="text1"/>
          <w:spacing w:val="-6"/>
          <w:w w:val="95"/>
          <w:sz w:val="21"/>
          <w:highlight w:val="none"/>
          <w:lang w:val="en-US" w:eastAsia="zh-CN"/>
          <w14:textFill>
            <w14:solidFill>
              <w14:schemeClr w14:val="tx1"/>
            </w14:solidFill>
          </w14:textFill>
        </w:rPr>
        <w:t>（3）雨水部分：对立业路等 38 条道路雨水管网进行维修改造。其中，开挖修复约 1684m，新建雨水检查井 85 座；非开挖内衬修复约 235m，不锈钢快速锁点修约 117 处；工程性清疏约 28540 米等。</w:t>
      </w:r>
    </w:p>
    <w:p w14:paraId="0FA42F38">
      <w:pPr>
        <w:spacing w:before="20" w:line="276" w:lineRule="auto"/>
        <w:ind w:firstLine="561" w:firstLineChars="300"/>
        <w:rPr>
          <w:rFonts w:hint="eastAsia" w:ascii="仿宋" w:hAnsi="仿宋" w:eastAsia="仿宋" w:cs="仿宋"/>
          <w:color w:val="000000" w:themeColor="text1"/>
          <w:spacing w:val="-6"/>
          <w:w w:val="95"/>
          <w:sz w:val="21"/>
          <w:highlight w:val="none"/>
          <w:lang w:val="en-US" w:eastAsia="zh-CN"/>
          <w14:textFill>
            <w14:solidFill>
              <w14:schemeClr w14:val="tx1"/>
            </w14:solidFill>
          </w14:textFill>
        </w:rPr>
      </w:pPr>
      <w:r>
        <w:rPr>
          <w:rFonts w:hint="eastAsia" w:ascii="仿宋" w:hAnsi="仿宋" w:eastAsia="仿宋" w:cs="仿宋"/>
          <w:color w:val="000000" w:themeColor="text1"/>
          <w:spacing w:val="-6"/>
          <w:w w:val="95"/>
          <w:sz w:val="21"/>
          <w:highlight w:val="none"/>
          <w:lang w:val="en-US" w:eastAsia="zh-CN"/>
          <w14:textFill>
            <w14:solidFill>
              <w14:schemeClr w14:val="tx1"/>
            </w14:solidFill>
          </w14:textFill>
        </w:rPr>
        <w:t>（4）增加流量/水位在线监测设施各 2 套。</w:t>
      </w:r>
    </w:p>
    <w:p w14:paraId="3F298052">
      <w:pPr>
        <w:spacing w:before="82" w:line="276" w:lineRule="auto"/>
        <w:ind w:right="1179" w:firstLine="576" w:firstLineChars="273"/>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（B</w:t>
      </w:r>
      <w:r>
        <w:rPr>
          <w:rFonts w:ascii="仿宋" w:hAnsi="仿宋" w:eastAsia="仿宋" w:cs="仿宋"/>
          <w:b/>
          <w:color w:val="000000" w:themeColor="text1"/>
          <w:sz w:val="21"/>
          <w:highlight w:val="none"/>
          <w14:textFill>
            <w14:solidFill>
              <w14:schemeClr w14:val="tx1"/>
            </w14:solidFill>
          </w14:textFill>
        </w:rPr>
        <w:t>）</w:t>
      </w:r>
      <w:r>
        <w:rPr>
          <w:rFonts w:hint="eastAsia" w:ascii="仿宋" w:hAnsi="仿宋" w:eastAsia="仿宋" w:cs="仿宋"/>
          <w:b/>
          <w:color w:val="000000" w:themeColor="text1"/>
          <w:sz w:val="21"/>
          <w:highlight w:val="none"/>
          <w14:textFill>
            <w14:solidFill>
              <w14:schemeClr w14:val="tx1"/>
            </w14:solidFill>
          </w14:textFill>
        </w:rPr>
        <w:t>服务</w:t>
      </w:r>
      <w:r>
        <w:rPr>
          <w:rFonts w:hint="eastAsia" w:ascii="仿宋" w:hAnsi="仿宋" w:eastAsia="仿宋" w:cs="仿宋"/>
          <w:b/>
          <w:color w:val="000000" w:themeColor="text1"/>
          <w:sz w:val="21"/>
          <w:highlight w:val="none"/>
          <w:lang w:val="en-US" w:eastAsia="zh-CN"/>
          <w14:textFill>
            <w14:solidFill>
              <w14:schemeClr w14:val="tx1"/>
            </w14:solidFill>
          </w14:textFill>
        </w:rPr>
        <w:t>要求</w:t>
      </w:r>
      <w:r>
        <w:rPr>
          <w:rFonts w:hint="eastAsia" w:ascii="仿宋" w:hAnsi="仿宋" w:eastAsia="仿宋" w:cs="仿宋"/>
          <w:b/>
          <w:color w:val="000000" w:themeColor="text1"/>
          <w:sz w:val="21"/>
          <w:highlight w:val="none"/>
          <w14:textFill>
            <w14:solidFill>
              <w14:schemeClr w14:val="tx1"/>
            </w14:solidFill>
          </w14:textFill>
        </w:rPr>
        <w:t>:</w:t>
      </w:r>
    </w:p>
    <w:p w14:paraId="26FA9A72">
      <w:pPr>
        <w:spacing w:before="20" w:line="276" w:lineRule="auto"/>
        <w:ind w:firstLine="561" w:firstLineChars="300"/>
        <w:rPr>
          <w:rFonts w:hint="eastAsia" w:ascii="仿宋" w:hAnsi="仿宋" w:eastAsia="仿宋" w:cs="仿宋"/>
          <w:color w:val="000000" w:themeColor="text1"/>
          <w:spacing w:val="-6"/>
          <w:w w:val="95"/>
          <w:sz w:val="21"/>
          <w:highlight w:val="none"/>
          <w14:textFill>
            <w14:solidFill>
              <w14:schemeClr w14:val="tx1"/>
            </w14:solidFill>
          </w14:textFill>
        </w:rPr>
      </w:pPr>
      <w:r>
        <w:rPr>
          <w:rFonts w:hint="eastAsia" w:ascii="仿宋" w:hAnsi="仿宋" w:eastAsia="仿宋" w:cs="仿宋"/>
          <w:color w:val="000000" w:themeColor="text1"/>
          <w:spacing w:val="-6"/>
          <w:w w:val="95"/>
          <w:sz w:val="21"/>
          <w:highlight w:val="none"/>
          <w14:textFill>
            <w14:solidFill>
              <w14:schemeClr w14:val="tx1"/>
            </w14:solidFill>
          </w14:textFill>
        </w:rPr>
        <w:t>施工过程中所有建筑材料和工程质量的检测，包括但不限于如下相关内容进行各项检测： 模块抗压强度排水工程混凝土模块砌体结构技术规程 CJJ/T 230-2015；混凝土管：混凝土和钢筋混凝土排水管GB/T 11836-2023；塑料管：埋地用聚乙烯（PE）结构壁管道系统 第1部分：聚乙烯双壁波纹管材 GB/T 19472.1-2019；中粗砂：公路土工试验规程 JTG 3430-2020、公路路基路面现场测试规程JTG 3450-2019；级配碎石加水泥浆：公路工程无机结合料稳定材料试验规程 JTG E51-2009、公路路基路面现场测试规程JTG 3450-2019、公路工程集料试验规程 JTG E42-2005</w:t>
      </w:r>
    </w:p>
    <w:p w14:paraId="0360963D">
      <w:pPr>
        <w:spacing w:before="20" w:line="276" w:lineRule="auto"/>
        <w:ind w:firstLine="561" w:firstLineChars="300"/>
        <w:rPr>
          <w:rFonts w:hint="eastAsia" w:ascii="仿宋" w:hAnsi="仿宋" w:eastAsia="仿宋" w:cs="仿宋"/>
          <w:color w:val="000000" w:themeColor="text1"/>
          <w:spacing w:val="-6"/>
          <w:w w:val="95"/>
          <w:sz w:val="21"/>
          <w:highlight w:val="none"/>
          <w14:textFill>
            <w14:solidFill>
              <w14:schemeClr w14:val="tx1"/>
            </w14:solidFill>
          </w14:textFill>
        </w:rPr>
      </w:pPr>
      <w:r>
        <w:rPr>
          <w:rFonts w:hint="eastAsia" w:ascii="仿宋" w:hAnsi="仿宋" w:eastAsia="仿宋" w:cs="仿宋"/>
          <w:color w:val="000000" w:themeColor="text1"/>
          <w:spacing w:val="-6"/>
          <w:w w:val="95"/>
          <w:sz w:val="21"/>
          <w:highlight w:val="none"/>
          <w14:textFill>
            <w14:solidFill>
              <w14:schemeClr w14:val="tx1"/>
            </w14:solidFill>
          </w14:textFill>
        </w:rPr>
        <w:t>注：本工程实际检测项目应根据质量监督部门、设计要求确定。</w:t>
      </w:r>
    </w:p>
    <w:p w14:paraId="2DB63487">
      <w:pPr>
        <w:spacing w:before="82" w:line="276" w:lineRule="auto"/>
        <w:ind w:right="1179" w:firstLine="576" w:firstLineChars="273"/>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（C</w:t>
      </w:r>
      <w:r>
        <w:rPr>
          <w:rFonts w:ascii="仿宋" w:hAnsi="仿宋" w:eastAsia="仿宋" w:cs="仿宋"/>
          <w:b/>
          <w:color w:val="000000" w:themeColor="text1"/>
          <w:sz w:val="21"/>
          <w:highlight w:val="none"/>
          <w14:textFill>
            <w14:solidFill>
              <w14:schemeClr w14:val="tx1"/>
            </w14:solidFill>
          </w14:textFill>
        </w:rPr>
        <w:t>）</w:t>
      </w:r>
      <w:r>
        <w:rPr>
          <w:rFonts w:hint="eastAsia" w:ascii="仿宋" w:hAnsi="仿宋" w:eastAsia="仿宋" w:cs="仿宋"/>
          <w:b/>
          <w:color w:val="000000" w:themeColor="text1"/>
          <w:sz w:val="21"/>
          <w:highlight w:val="none"/>
          <w:lang w:val="en-US" w:eastAsia="zh-CN"/>
          <w14:textFill>
            <w14:solidFill>
              <w14:schemeClr w14:val="tx1"/>
            </w14:solidFill>
          </w14:textFill>
        </w:rPr>
        <w:t>其他要求</w:t>
      </w:r>
      <w:r>
        <w:rPr>
          <w:rFonts w:hint="eastAsia" w:ascii="仿宋" w:hAnsi="仿宋" w:eastAsia="仿宋" w:cs="仿宋"/>
          <w:b/>
          <w:color w:val="000000" w:themeColor="text1"/>
          <w:sz w:val="21"/>
          <w:highlight w:val="none"/>
          <w14:textFill>
            <w14:solidFill>
              <w14:schemeClr w14:val="tx1"/>
            </w14:solidFill>
          </w14:textFill>
        </w:rPr>
        <w:t>:</w:t>
      </w:r>
    </w:p>
    <w:p w14:paraId="573B9F4D">
      <w:pPr>
        <w:spacing w:before="20" w:line="276" w:lineRule="auto"/>
        <w:ind w:firstLine="561" w:firstLineChars="300"/>
        <w:rPr>
          <w:rFonts w:hint="eastAsia" w:ascii="仿宋" w:hAnsi="仿宋" w:eastAsia="仿宋" w:cs="仿宋"/>
          <w:color w:val="000000" w:themeColor="text1"/>
          <w:spacing w:val="-6"/>
          <w:w w:val="95"/>
          <w:sz w:val="21"/>
          <w:highlight w:val="none"/>
          <w14:textFill>
            <w14:solidFill>
              <w14:schemeClr w14:val="tx1"/>
            </w14:solidFill>
          </w14:textFill>
        </w:rPr>
      </w:pPr>
      <w:r>
        <w:rPr>
          <w:rFonts w:hint="eastAsia" w:ascii="仿宋" w:hAnsi="仿宋" w:eastAsia="仿宋" w:cs="仿宋"/>
          <w:color w:val="000000" w:themeColor="text1"/>
          <w:spacing w:val="-6"/>
          <w:w w:val="95"/>
          <w:sz w:val="21"/>
          <w:highlight w:val="none"/>
          <w14:textFill>
            <w14:solidFill>
              <w14:schemeClr w14:val="tx1"/>
            </w14:solidFill>
          </w14:textFill>
        </w:rPr>
        <w:t>1、本项目材料检测依据规范、规程和标准，按国家及江苏省、南京市现行的相应规范、规程和标准执行。</w:t>
      </w:r>
    </w:p>
    <w:p w14:paraId="0B030887">
      <w:pPr>
        <w:spacing w:before="20" w:line="276" w:lineRule="auto"/>
        <w:ind w:firstLine="561" w:firstLineChars="300"/>
        <w:rPr>
          <w:rFonts w:hint="eastAsia" w:ascii="仿宋" w:hAnsi="仿宋" w:eastAsia="仿宋" w:cs="仿宋"/>
          <w:color w:val="000000" w:themeColor="text1"/>
          <w:spacing w:val="-6"/>
          <w:w w:val="95"/>
          <w:sz w:val="21"/>
          <w:highlight w:val="none"/>
          <w14:textFill>
            <w14:solidFill>
              <w14:schemeClr w14:val="tx1"/>
            </w14:solidFill>
          </w14:textFill>
        </w:rPr>
      </w:pPr>
      <w:r>
        <w:rPr>
          <w:rFonts w:hint="eastAsia" w:ascii="仿宋" w:hAnsi="仿宋" w:eastAsia="仿宋" w:cs="仿宋"/>
          <w:color w:val="000000" w:themeColor="text1"/>
          <w:spacing w:val="-6"/>
          <w:w w:val="95"/>
          <w:sz w:val="21"/>
          <w:highlight w:val="none"/>
          <w14:textFill>
            <w14:solidFill>
              <w14:schemeClr w14:val="tx1"/>
            </w14:solidFill>
          </w14:textFill>
        </w:rPr>
        <w:t>2、本项目由采购人委托有关部门进行全权质量监督和检验，投标人必须随时配合技术支持与服务单位进行质量监督管理；</w:t>
      </w:r>
    </w:p>
    <w:p w14:paraId="502EFE8B">
      <w:pPr>
        <w:spacing w:before="20" w:line="276" w:lineRule="auto"/>
        <w:ind w:firstLine="561" w:firstLineChars="300"/>
        <w:rPr>
          <w:rFonts w:hint="eastAsia" w:ascii="仿宋" w:hAnsi="仿宋" w:eastAsia="仿宋" w:cs="仿宋"/>
          <w:color w:val="000000" w:themeColor="text1"/>
          <w:spacing w:val="-6"/>
          <w:w w:val="95"/>
          <w:sz w:val="21"/>
          <w:highlight w:val="none"/>
          <w14:textFill>
            <w14:solidFill>
              <w14:schemeClr w14:val="tx1"/>
            </w14:solidFill>
          </w14:textFill>
        </w:rPr>
      </w:pPr>
      <w:r>
        <w:rPr>
          <w:rFonts w:hint="eastAsia" w:ascii="仿宋" w:hAnsi="仿宋" w:eastAsia="仿宋" w:cs="仿宋"/>
          <w:color w:val="000000" w:themeColor="text1"/>
          <w:spacing w:val="-6"/>
          <w:w w:val="95"/>
          <w:sz w:val="21"/>
          <w:highlight w:val="none"/>
          <w14:textFill>
            <w14:solidFill>
              <w14:schemeClr w14:val="tx1"/>
            </w14:solidFill>
          </w14:textFill>
        </w:rPr>
        <w:t>3、本招标文件中所有对项目的描述仅供反贼在投标中参考，其目的是使供应商对项目概况有一个相对充分的了解，实际的工程情况可能发生出入。因此，供应商须自行踏勘现场，本招标文件中有关项目描述不能成为今后投标人在提供工程和服务过程中索赔的依据。</w:t>
      </w:r>
    </w:p>
    <w:p w14:paraId="59E8A263">
      <w:pPr>
        <w:pStyle w:val="17"/>
        <w:spacing w:line="360" w:lineRule="auto"/>
        <w:rPr>
          <w:rFonts w:hint="default" w:ascii="华文仿宋" w:hAnsi="华文仿宋" w:eastAsia="华文仿宋" w:cs="宋体"/>
          <w:sz w:val="21"/>
          <w:szCs w:val="21"/>
          <w:highlight w:val="none"/>
          <w:lang w:val="en-US" w:eastAsia="zh-CN"/>
        </w:rPr>
      </w:pPr>
    </w:p>
    <w:p w14:paraId="457865F1">
      <w:pPr>
        <w:spacing w:before="82" w:line="360" w:lineRule="auto"/>
        <w:ind w:right="3668" w:firstLine="210" w:firstLineChars="10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w:t>
      </w:r>
      <w:r>
        <w:rPr>
          <w:rFonts w:hint="eastAsia" w:ascii="华文仿宋" w:hAnsi="华文仿宋" w:eastAsia="华文仿宋" w:cs="仿宋"/>
          <w:b/>
          <w:color w:val="000000" w:themeColor="text1"/>
          <w:sz w:val="21"/>
          <w:highlight w:val="none"/>
          <w14:textFill>
            <w14:solidFill>
              <w14:schemeClr w14:val="tx1"/>
            </w14:solidFill>
          </w14:textFill>
        </w:rPr>
        <w:t>、付款方式：</w:t>
      </w:r>
    </w:p>
    <w:p w14:paraId="593371CA">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服务结束并达到要求后支付已完成工作量价款95%，余款一年后付清。</w:t>
      </w:r>
    </w:p>
    <w:p w14:paraId="3DAEFED6">
      <w:pPr>
        <w:spacing w:before="82" w:line="360" w:lineRule="auto"/>
        <w:ind w:right="3668" w:firstLine="210" w:firstLineChars="100"/>
        <w:rPr>
          <w:rFonts w:hint="eastAsia" w:ascii="华文仿宋" w:hAnsi="华文仿宋" w:eastAsia="华文仿宋" w:cs="仿宋"/>
          <w:b/>
          <w:color w:val="000000" w:themeColor="text1"/>
          <w:sz w:val="21"/>
          <w:highlight w:val="none"/>
          <w14:textFill>
            <w14:solidFill>
              <w14:schemeClr w14:val="tx1"/>
            </w14:solidFill>
          </w14:textFill>
        </w:rPr>
      </w:pPr>
    </w:p>
    <w:p w14:paraId="606BB9DB">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42B16922">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66CA55DC">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116BBF55">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50937469">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1D96ACEA">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第四章 评分标准</w:t>
      </w:r>
    </w:p>
    <w:p w14:paraId="4E6B729E">
      <w:pPr>
        <w:pStyle w:val="6"/>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3"/>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6B65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2C0D396">
            <w:pPr>
              <w:spacing w:line="360" w:lineRule="auto"/>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序号</w:t>
            </w:r>
          </w:p>
        </w:tc>
        <w:tc>
          <w:tcPr>
            <w:tcW w:w="1855" w:type="dxa"/>
            <w:vAlign w:val="center"/>
          </w:tcPr>
          <w:p w14:paraId="0871ED58">
            <w:pPr>
              <w:spacing w:line="360" w:lineRule="auto"/>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评分因素</w:t>
            </w:r>
          </w:p>
        </w:tc>
        <w:tc>
          <w:tcPr>
            <w:tcW w:w="5328" w:type="dxa"/>
            <w:vAlign w:val="center"/>
          </w:tcPr>
          <w:p w14:paraId="2E608A51">
            <w:pPr>
              <w:spacing w:line="360" w:lineRule="auto"/>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评审标准</w:t>
            </w:r>
          </w:p>
        </w:tc>
        <w:tc>
          <w:tcPr>
            <w:tcW w:w="888" w:type="dxa"/>
            <w:vAlign w:val="center"/>
          </w:tcPr>
          <w:p w14:paraId="4139C615">
            <w:pPr>
              <w:spacing w:line="360" w:lineRule="auto"/>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分值</w:t>
            </w:r>
          </w:p>
        </w:tc>
      </w:tr>
      <w:tr w14:paraId="34D5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4FE187A">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855" w:type="dxa"/>
            <w:vAlign w:val="center"/>
          </w:tcPr>
          <w:p w14:paraId="2F046055">
            <w:pPr>
              <w:spacing w:line="360" w:lineRule="auto"/>
              <w:jc w:val="center"/>
              <w:rPr>
                <w:rFonts w:hint="eastAsia" w:ascii="仿宋" w:hAnsi="仿宋" w:eastAsia="仿宋" w:cs="仿宋"/>
                <w:bCs/>
                <w:color w:val="000000" w:themeColor="text1"/>
                <w:szCs w:val="21"/>
                <w:highlight w:val="none"/>
                <w:lang w:val="en-US"/>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价格</w:t>
            </w:r>
          </w:p>
        </w:tc>
        <w:tc>
          <w:tcPr>
            <w:tcW w:w="5328" w:type="dxa"/>
            <w:vAlign w:val="center"/>
          </w:tcPr>
          <w:p w14:paraId="1C9ED15C">
            <w:pPr>
              <w:pStyle w:val="7"/>
              <w:adjustRightInd w:val="0"/>
              <w:snapToGrid w:val="0"/>
              <w:spacing w:line="360"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1、</w:t>
            </w:r>
            <w:r>
              <w:rPr>
                <w:rFonts w:hint="eastAsia" w:ascii="仿宋" w:hAnsi="仿宋" w:eastAsia="仿宋" w:cs="仿宋"/>
                <w:color w:val="000000" w:themeColor="text1"/>
                <w:sz w:val="21"/>
                <w:highlight w:val="none"/>
                <w14:textFill>
                  <w14:solidFill>
                    <w14:schemeClr w14:val="tx1"/>
                  </w14:solidFill>
                </w14:textFill>
              </w:rPr>
              <w:t>评标基准分：</w:t>
            </w:r>
            <w:r>
              <w:rPr>
                <w:rFonts w:hint="eastAsia" w:ascii="仿宋" w:hAnsi="仿宋" w:eastAsia="仿宋" w:cs="仿宋"/>
                <w:color w:val="000000" w:themeColor="text1"/>
                <w:sz w:val="21"/>
                <w:highlight w:val="none"/>
                <w:lang w:val="en-US"/>
                <w14:textFill>
                  <w14:solidFill>
                    <w14:schemeClr w14:val="tx1"/>
                  </w14:solidFill>
                </w14:textFill>
              </w:rPr>
              <w:t>10</w:t>
            </w:r>
            <w:r>
              <w:rPr>
                <w:rFonts w:hint="eastAsia" w:ascii="仿宋" w:hAnsi="仿宋" w:eastAsia="仿宋" w:cs="仿宋"/>
                <w:color w:val="000000" w:themeColor="text1"/>
                <w:sz w:val="21"/>
                <w:highlight w:val="none"/>
                <w14:textFill>
                  <w14:solidFill>
                    <w14:schemeClr w14:val="tx1"/>
                  </w14:solidFill>
                </w14:textFill>
              </w:rPr>
              <w:t>分</w:t>
            </w:r>
          </w:p>
          <w:p w14:paraId="3F8B3B2E">
            <w:pPr>
              <w:pStyle w:val="7"/>
              <w:adjustRightInd w:val="0"/>
              <w:snapToGrid w:val="0"/>
              <w:spacing w:line="360"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评标基准价：满足招标文件要求且投标价格最低的投标报价为评标基准价，其价格分为满分（</w:t>
            </w:r>
            <w:r>
              <w:rPr>
                <w:rFonts w:hint="eastAsia" w:ascii="仿宋" w:hAnsi="仿宋" w:eastAsia="仿宋" w:cs="仿宋"/>
                <w:color w:val="000000" w:themeColor="text1"/>
                <w:sz w:val="21"/>
                <w:highlight w:val="none"/>
                <w:lang w:val="en-US"/>
                <w14:textFill>
                  <w14:solidFill>
                    <w14:schemeClr w14:val="tx1"/>
                  </w14:solidFill>
                </w14:textFill>
              </w:rPr>
              <w:t>10</w:t>
            </w:r>
            <w:r>
              <w:rPr>
                <w:rFonts w:hint="eastAsia" w:ascii="仿宋" w:hAnsi="仿宋" w:eastAsia="仿宋" w:cs="仿宋"/>
                <w:color w:val="000000" w:themeColor="text1"/>
                <w:sz w:val="21"/>
                <w:highlight w:val="none"/>
                <w14:textFill>
                  <w14:solidFill>
                    <w14:schemeClr w14:val="tx1"/>
                  </w14:solidFill>
                </w14:textFill>
              </w:rPr>
              <w:t>分）。</w:t>
            </w:r>
          </w:p>
          <w:p w14:paraId="6AD260A2">
            <w:pPr>
              <w:pStyle w:val="7"/>
              <w:adjustRightInd w:val="0"/>
              <w:snapToGrid w:val="0"/>
              <w:spacing w:line="360"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其他投标人报价得分：（评标基准价/投标报价）×评标基准分。</w:t>
            </w:r>
          </w:p>
        </w:tc>
        <w:tc>
          <w:tcPr>
            <w:tcW w:w="888" w:type="dxa"/>
            <w:vAlign w:val="center"/>
          </w:tcPr>
          <w:p w14:paraId="6B815D43">
            <w:pPr>
              <w:pStyle w:val="7"/>
              <w:adjustRightInd w:val="0"/>
              <w:snapToGrid w:val="0"/>
              <w:spacing w:line="360" w:lineRule="auto"/>
              <w:jc w:val="center"/>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10分</w:t>
            </w:r>
          </w:p>
        </w:tc>
      </w:tr>
      <w:tr w14:paraId="40E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640" w:type="dxa"/>
            <w:vMerge w:val="restart"/>
            <w:vAlign w:val="center"/>
          </w:tcPr>
          <w:p w14:paraId="68355553">
            <w:pPr>
              <w:spacing w:line="360" w:lineRule="auto"/>
              <w:jc w:val="center"/>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2</w:t>
            </w:r>
          </w:p>
          <w:p w14:paraId="6E43C799">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855" w:type="dxa"/>
            <w:vMerge w:val="restart"/>
            <w:vAlign w:val="center"/>
          </w:tcPr>
          <w:p w14:paraId="28F447BF">
            <w:pPr>
              <w:spacing w:line="360" w:lineRule="auto"/>
              <w:jc w:val="center"/>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服务方案</w:t>
            </w:r>
          </w:p>
        </w:tc>
        <w:tc>
          <w:tcPr>
            <w:tcW w:w="5328" w:type="dxa"/>
            <w:vAlign w:val="center"/>
          </w:tcPr>
          <w:p w14:paraId="441B87C3">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检测总体方案科学、合理</w:t>
            </w:r>
            <w:r>
              <w:rPr>
                <w:rFonts w:hint="eastAsia" w:ascii="仿宋" w:hAnsi="仿宋" w:eastAsia="仿宋" w:cs="仿宋"/>
                <w:sz w:val="21"/>
                <w:szCs w:val="21"/>
                <w:highlight w:val="none"/>
                <w:lang w:eastAsia="zh-CN"/>
              </w:rPr>
              <w:t>：</w:t>
            </w:r>
          </w:p>
          <w:p w14:paraId="43AE0408">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阐述合理详细有针对性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10BF45EE">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阐述较合理较详细较有针对性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4913B67C">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合理详细针对性等方面一般</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5DC67CE2">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合理详细针对性等方面较差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30B1A687">
            <w:pPr>
              <w:spacing w:line="360" w:lineRule="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未提供不得分。</w:t>
            </w:r>
          </w:p>
        </w:tc>
        <w:tc>
          <w:tcPr>
            <w:tcW w:w="888" w:type="dxa"/>
            <w:vAlign w:val="center"/>
          </w:tcPr>
          <w:p w14:paraId="24993928">
            <w:pPr>
              <w:pStyle w:val="7"/>
              <w:adjustRightInd w:val="0"/>
              <w:snapToGrid w:val="0"/>
              <w:spacing w:line="360" w:lineRule="auto"/>
              <w:jc w:val="center"/>
              <w:rPr>
                <w:rFonts w:hint="eastAsia" w:ascii="仿宋" w:hAnsi="仿宋" w:eastAsia="仿宋" w:cs="仿宋"/>
                <w:color w:val="000000" w:themeColor="text1"/>
                <w:szCs w:val="22"/>
                <w:highlight w:val="none"/>
                <w:lang w:val="en-US" w:bidi="ar-SA"/>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分</w:t>
            </w:r>
          </w:p>
        </w:tc>
      </w:tr>
      <w:tr w14:paraId="42BF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21D4AE4C">
            <w:pPr>
              <w:spacing w:line="360" w:lineRule="auto"/>
              <w:jc w:val="center"/>
              <w:rPr>
                <w:rFonts w:hint="eastAsia" w:ascii="仿宋" w:hAnsi="仿宋" w:eastAsia="仿宋" w:cs="仿宋"/>
                <w:color w:val="000000" w:themeColor="text1"/>
                <w:szCs w:val="21"/>
                <w:highlight w:val="none"/>
                <w:lang w:val="en-US"/>
                <w14:textFill>
                  <w14:solidFill>
                    <w14:schemeClr w14:val="tx1"/>
                  </w14:solidFill>
                </w14:textFill>
              </w:rPr>
            </w:pPr>
          </w:p>
        </w:tc>
        <w:tc>
          <w:tcPr>
            <w:tcW w:w="1855" w:type="dxa"/>
            <w:vMerge w:val="continue"/>
            <w:vAlign w:val="center"/>
          </w:tcPr>
          <w:p w14:paraId="215ADE78">
            <w:pPr>
              <w:spacing w:line="360" w:lineRule="auto"/>
              <w:jc w:val="center"/>
              <w:rPr>
                <w:rFonts w:hint="eastAsia" w:ascii="仿宋" w:hAnsi="仿宋" w:eastAsia="仿宋" w:cs="仿宋"/>
                <w:bCs/>
                <w:color w:val="000000" w:themeColor="text1"/>
                <w:szCs w:val="21"/>
                <w:highlight w:val="none"/>
                <w14:textFill>
                  <w14:solidFill>
                    <w14:schemeClr w14:val="tx1"/>
                  </w14:solidFill>
                </w14:textFill>
              </w:rPr>
            </w:pPr>
          </w:p>
        </w:tc>
        <w:tc>
          <w:tcPr>
            <w:tcW w:w="5328" w:type="dxa"/>
            <w:vAlign w:val="center"/>
          </w:tcPr>
          <w:p w14:paraId="1B21F437">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检测工作程序、检测内容和方法科学、合理：</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阐述合理详细有针对性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73F29354">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阐述较合理较详细较有针对性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68CA6BA1">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合理详细针对性等方面一般</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7E8280AA">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合理详细针对性等方面较差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w:t>
            </w:r>
          </w:p>
          <w:p w14:paraId="159B4AB0">
            <w:pPr>
              <w:spacing w:line="360" w:lineRule="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未提供不得分。</w:t>
            </w:r>
          </w:p>
        </w:tc>
        <w:tc>
          <w:tcPr>
            <w:tcW w:w="888" w:type="dxa"/>
            <w:vAlign w:val="center"/>
          </w:tcPr>
          <w:p w14:paraId="3BE5DB4F">
            <w:pPr>
              <w:pStyle w:val="7"/>
              <w:adjustRightInd w:val="0"/>
              <w:snapToGrid w:val="0"/>
              <w:spacing w:line="360" w:lineRule="auto"/>
              <w:jc w:val="center"/>
              <w:rPr>
                <w:rFonts w:hint="eastAsia" w:ascii="仿宋" w:hAnsi="仿宋" w:eastAsia="仿宋" w:cs="仿宋"/>
                <w:color w:val="000000" w:themeColor="text1"/>
                <w:szCs w:val="22"/>
                <w:highlight w:val="none"/>
                <w:lang w:val="en-US" w:bidi="ar-SA"/>
                <w14:textFill>
                  <w14:solidFill>
                    <w14:schemeClr w14:val="tx1"/>
                  </w14:solidFill>
                </w14:textFill>
              </w:rPr>
            </w:pPr>
            <w:r>
              <w:rPr>
                <w:rFonts w:hint="eastAsia" w:ascii="仿宋" w:hAnsi="仿宋" w:eastAsia="仿宋" w:cs="仿宋"/>
                <w:color w:val="000000" w:themeColor="text1"/>
                <w:szCs w:val="22"/>
                <w:highlight w:val="none"/>
                <w:lang w:val="en-US" w:bidi="ar-SA"/>
                <w14:textFill>
                  <w14:solidFill>
                    <w14:schemeClr w14:val="tx1"/>
                  </w14:solidFill>
                </w14:textFill>
              </w:rPr>
              <w:t>1</w:t>
            </w:r>
            <w:r>
              <w:rPr>
                <w:rFonts w:hint="eastAsia" w:ascii="仿宋" w:hAnsi="仿宋" w:eastAsia="仿宋" w:cs="仿宋"/>
                <w:color w:val="000000" w:themeColor="text1"/>
                <w:szCs w:val="22"/>
                <w:highlight w:val="none"/>
                <w:lang w:val="en-US" w:eastAsia="zh-CN" w:bidi="ar-SA"/>
                <w14:textFill>
                  <w14:solidFill>
                    <w14:schemeClr w14:val="tx1"/>
                  </w14:solidFill>
                </w14:textFill>
              </w:rPr>
              <w:t>3</w:t>
            </w:r>
            <w:r>
              <w:rPr>
                <w:rFonts w:hint="eastAsia" w:ascii="仿宋" w:hAnsi="仿宋" w:eastAsia="仿宋" w:cs="仿宋"/>
                <w:color w:val="000000" w:themeColor="text1"/>
                <w:szCs w:val="22"/>
                <w:highlight w:val="none"/>
                <w:lang w:val="en-US" w:bidi="ar-SA"/>
                <w14:textFill>
                  <w14:solidFill>
                    <w14:schemeClr w14:val="tx1"/>
                  </w14:solidFill>
                </w14:textFill>
              </w:rPr>
              <w:t>分</w:t>
            </w:r>
          </w:p>
        </w:tc>
      </w:tr>
      <w:tr w14:paraId="494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26E23061">
            <w:pPr>
              <w:spacing w:line="360" w:lineRule="auto"/>
              <w:jc w:val="center"/>
              <w:rPr>
                <w:rFonts w:hint="eastAsia" w:ascii="仿宋" w:hAnsi="仿宋" w:eastAsia="仿宋" w:cs="仿宋"/>
                <w:color w:val="000000" w:themeColor="text1"/>
                <w:szCs w:val="21"/>
                <w:highlight w:val="none"/>
                <w:lang w:val="en-US"/>
                <w14:textFill>
                  <w14:solidFill>
                    <w14:schemeClr w14:val="tx1"/>
                  </w14:solidFill>
                </w14:textFill>
              </w:rPr>
            </w:pPr>
          </w:p>
        </w:tc>
        <w:tc>
          <w:tcPr>
            <w:tcW w:w="1855" w:type="dxa"/>
            <w:vMerge w:val="continue"/>
            <w:vAlign w:val="center"/>
          </w:tcPr>
          <w:p w14:paraId="7A29EFF9">
            <w:pPr>
              <w:spacing w:line="360" w:lineRule="auto"/>
              <w:jc w:val="center"/>
              <w:rPr>
                <w:rFonts w:hint="eastAsia" w:ascii="仿宋" w:hAnsi="仿宋" w:eastAsia="仿宋" w:cs="仿宋"/>
                <w:bCs/>
                <w:color w:val="000000" w:themeColor="text1"/>
                <w:szCs w:val="21"/>
                <w:highlight w:val="none"/>
                <w14:textFill>
                  <w14:solidFill>
                    <w14:schemeClr w14:val="tx1"/>
                  </w14:solidFill>
                </w14:textFill>
              </w:rPr>
            </w:pPr>
          </w:p>
        </w:tc>
        <w:tc>
          <w:tcPr>
            <w:tcW w:w="5328" w:type="dxa"/>
            <w:vAlign w:val="center"/>
          </w:tcPr>
          <w:p w14:paraId="19D94413">
            <w:pPr>
              <w:widowControl/>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2.3、</w:t>
            </w:r>
            <w:r>
              <w:rPr>
                <w:rFonts w:hint="eastAsia" w:ascii="仿宋" w:hAnsi="仿宋" w:eastAsia="仿宋" w:cs="仿宋"/>
                <w:sz w:val="21"/>
                <w:szCs w:val="21"/>
                <w:highlight w:val="none"/>
              </w:rPr>
              <w:t>检测工作质量与服务保证措施全面、合理：</w:t>
            </w:r>
          </w:p>
          <w:p w14:paraId="0332DBE2">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阐述合理详细有针对性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得13分</w:t>
            </w:r>
            <w:r>
              <w:rPr>
                <w:rFonts w:hint="eastAsia" w:ascii="仿宋" w:hAnsi="仿宋" w:eastAsia="仿宋" w:cs="仿宋"/>
                <w:sz w:val="21"/>
                <w:szCs w:val="21"/>
                <w:highlight w:val="none"/>
                <w:lang w:val="en-US" w:eastAsia="zh-CN"/>
              </w:rPr>
              <w:t>；</w:t>
            </w:r>
          </w:p>
          <w:p w14:paraId="028734CE">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阐述较合理较详细较有针对性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得10分</w:t>
            </w:r>
            <w:r>
              <w:rPr>
                <w:rFonts w:hint="eastAsia" w:ascii="仿宋" w:hAnsi="仿宋" w:eastAsia="仿宋" w:cs="仿宋"/>
                <w:sz w:val="21"/>
                <w:szCs w:val="21"/>
                <w:highlight w:val="none"/>
                <w:lang w:val="en-US" w:eastAsia="zh-CN"/>
              </w:rPr>
              <w:t>；</w:t>
            </w:r>
          </w:p>
          <w:p w14:paraId="16409552">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合理详细针对性等方面一般</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得7分</w:t>
            </w:r>
            <w:r>
              <w:rPr>
                <w:rFonts w:hint="eastAsia" w:ascii="仿宋" w:hAnsi="仿宋" w:eastAsia="仿宋" w:cs="仿宋"/>
                <w:sz w:val="21"/>
                <w:szCs w:val="21"/>
                <w:highlight w:val="none"/>
                <w:lang w:val="en-US" w:eastAsia="zh-CN"/>
              </w:rPr>
              <w:t>；</w:t>
            </w:r>
          </w:p>
          <w:p w14:paraId="3CE84AE1">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合理详细针对性等方面较差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得4分</w:t>
            </w:r>
            <w:r>
              <w:rPr>
                <w:rFonts w:hint="eastAsia" w:ascii="仿宋" w:hAnsi="仿宋" w:eastAsia="仿宋" w:cs="仿宋"/>
                <w:sz w:val="21"/>
                <w:szCs w:val="21"/>
                <w:highlight w:val="none"/>
                <w:lang w:val="en-US" w:eastAsia="zh-CN"/>
              </w:rPr>
              <w:t>；</w:t>
            </w:r>
          </w:p>
          <w:p w14:paraId="776A74D4">
            <w:pPr>
              <w:widowControl/>
              <w:spacing w:line="360" w:lineRule="auto"/>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未提供不得分。</w:t>
            </w:r>
          </w:p>
        </w:tc>
        <w:tc>
          <w:tcPr>
            <w:tcW w:w="888" w:type="dxa"/>
            <w:vAlign w:val="center"/>
          </w:tcPr>
          <w:p w14:paraId="26F0D38F">
            <w:pPr>
              <w:pStyle w:val="7"/>
              <w:adjustRightInd w:val="0"/>
              <w:snapToGrid w:val="0"/>
              <w:spacing w:line="360" w:lineRule="auto"/>
              <w:jc w:val="center"/>
              <w:rPr>
                <w:rFonts w:hint="eastAsia" w:ascii="仿宋" w:hAnsi="仿宋" w:eastAsia="仿宋" w:cs="仿宋"/>
                <w:color w:val="000000" w:themeColor="text1"/>
                <w:szCs w:val="22"/>
                <w:highlight w:val="none"/>
                <w:lang w:val="en-US" w:bidi="ar-SA"/>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分</w:t>
            </w:r>
          </w:p>
        </w:tc>
      </w:tr>
      <w:tr w14:paraId="4A57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40" w:type="dxa"/>
            <w:vMerge w:val="continue"/>
            <w:vAlign w:val="center"/>
          </w:tcPr>
          <w:p w14:paraId="75E37C76">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855" w:type="dxa"/>
            <w:vMerge w:val="continue"/>
            <w:vAlign w:val="center"/>
          </w:tcPr>
          <w:p w14:paraId="1A5BACCC">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5328" w:type="dxa"/>
            <w:vAlign w:val="center"/>
          </w:tcPr>
          <w:p w14:paraId="1572138F">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rPr>
              <w:t>项目重点难点分析及对策处理科学、合理：</w:t>
            </w:r>
          </w:p>
          <w:p w14:paraId="348C22DE">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阐述合理详细有针对性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得13分</w:t>
            </w:r>
            <w:r>
              <w:rPr>
                <w:rFonts w:hint="eastAsia" w:ascii="仿宋" w:hAnsi="仿宋" w:eastAsia="仿宋" w:cs="仿宋"/>
                <w:sz w:val="21"/>
                <w:szCs w:val="21"/>
                <w:highlight w:val="none"/>
                <w:lang w:val="en-US" w:eastAsia="zh-CN"/>
              </w:rPr>
              <w:t>；</w:t>
            </w:r>
          </w:p>
          <w:p w14:paraId="35D685F9">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阐述较合理较详细较有针对性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得10分</w:t>
            </w:r>
            <w:r>
              <w:rPr>
                <w:rFonts w:hint="eastAsia" w:ascii="仿宋" w:hAnsi="仿宋" w:eastAsia="仿宋" w:cs="仿宋"/>
                <w:sz w:val="21"/>
                <w:szCs w:val="21"/>
                <w:highlight w:val="none"/>
                <w:lang w:val="en-US" w:eastAsia="zh-CN"/>
              </w:rPr>
              <w:t>；</w:t>
            </w:r>
          </w:p>
          <w:p w14:paraId="4E72F11A">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合理详细针对性等方面一般</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得7分</w:t>
            </w:r>
            <w:r>
              <w:rPr>
                <w:rFonts w:hint="eastAsia" w:ascii="仿宋" w:hAnsi="仿宋" w:eastAsia="仿宋" w:cs="仿宋"/>
                <w:sz w:val="21"/>
                <w:szCs w:val="21"/>
                <w:highlight w:val="none"/>
                <w:lang w:val="en-US" w:eastAsia="zh-CN"/>
              </w:rPr>
              <w:t>；</w:t>
            </w:r>
          </w:p>
          <w:p w14:paraId="219A7165">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合理详细针对性等方面较差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得4分</w:t>
            </w:r>
            <w:r>
              <w:rPr>
                <w:rFonts w:hint="eastAsia" w:ascii="仿宋" w:hAnsi="仿宋" w:eastAsia="仿宋" w:cs="仿宋"/>
                <w:sz w:val="21"/>
                <w:szCs w:val="21"/>
                <w:highlight w:val="none"/>
                <w:lang w:val="en-US" w:eastAsia="zh-CN"/>
              </w:rPr>
              <w:t>；</w:t>
            </w:r>
          </w:p>
          <w:p w14:paraId="2DCD0AF0">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未提供不得分。</w:t>
            </w:r>
          </w:p>
        </w:tc>
        <w:tc>
          <w:tcPr>
            <w:tcW w:w="888" w:type="dxa"/>
            <w:vAlign w:val="center"/>
          </w:tcPr>
          <w:p w14:paraId="05A51E5C">
            <w:pPr>
              <w:pStyle w:val="7"/>
              <w:adjustRightInd w:val="0"/>
              <w:snapToGrid w:val="0"/>
              <w:spacing w:line="360" w:lineRule="auto"/>
              <w:jc w:val="center"/>
              <w:rPr>
                <w:rFonts w:hint="eastAsia" w:ascii="仿宋" w:hAnsi="仿宋" w:eastAsia="仿宋" w:cs="仿宋"/>
                <w:color w:val="000000" w:themeColor="text1"/>
                <w:sz w:val="21"/>
                <w:highlight w:val="none"/>
                <w:lang w:val="en-US" w:bidi="ar-SA"/>
                <w14:textFill>
                  <w14:solidFill>
                    <w14:schemeClr w14:val="tx1"/>
                  </w14:solidFill>
                </w14:textFill>
              </w:rPr>
            </w:pPr>
            <w:r>
              <w:rPr>
                <w:rFonts w:hint="eastAsia" w:ascii="仿宋" w:hAnsi="仿宋" w:eastAsia="仿宋" w:cs="仿宋"/>
                <w:color w:val="000000" w:themeColor="text1"/>
                <w:sz w:val="21"/>
                <w:highlight w:val="none"/>
                <w:lang w:val="en-US" w:bidi="ar-SA"/>
                <w14:textFill>
                  <w14:solidFill>
                    <w14:schemeClr w14:val="tx1"/>
                  </w14:solidFill>
                </w14:textFill>
              </w:rPr>
              <w:t>1</w:t>
            </w:r>
            <w:r>
              <w:rPr>
                <w:rFonts w:hint="eastAsia" w:ascii="仿宋" w:hAnsi="仿宋" w:eastAsia="仿宋" w:cs="仿宋"/>
                <w:color w:val="000000" w:themeColor="text1"/>
                <w:sz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highlight w:val="none"/>
                <w:lang w:val="en-US" w:bidi="ar-SA"/>
                <w14:textFill>
                  <w14:solidFill>
                    <w14:schemeClr w14:val="tx1"/>
                  </w14:solidFill>
                </w14:textFill>
              </w:rPr>
              <w:t>分</w:t>
            </w:r>
          </w:p>
        </w:tc>
      </w:tr>
      <w:tr w14:paraId="6701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Merge w:val="continue"/>
            <w:vAlign w:val="center"/>
          </w:tcPr>
          <w:p w14:paraId="580AD21A">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855" w:type="dxa"/>
            <w:vMerge w:val="continue"/>
            <w:vAlign w:val="center"/>
          </w:tcPr>
          <w:p w14:paraId="135E1418">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5328" w:type="dxa"/>
            <w:vAlign w:val="center"/>
          </w:tcPr>
          <w:p w14:paraId="6C0492E7">
            <w:pPr>
              <w:widowControl/>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2.5、</w:t>
            </w:r>
            <w:r>
              <w:rPr>
                <w:rFonts w:hint="eastAsia" w:ascii="仿宋" w:hAnsi="仿宋" w:eastAsia="仿宋" w:cs="仿宋"/>
                <w:sz w:val="21"/>
                <w:szCs w:val="21"/>
                <w:highlight w:val="none"/>
              </w:rPr>
              <w:t>服务承诺丰富，实质性高：</w:t>
            </w:r>
          </w:p>
          <w:p w14:paraId="4314A1CE">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阐述合理详细有针对性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得12分</w:t>
            </w:r>
            <w:r>
              <w:rPr>
                <w:rFonts w:hint="eastAsia" w:ascii="仿宋" w:hAnsi="仿宋" w:eastAsia="仿宋" w:cs="仿宋"/>
                <w:sz w:val="21"/>
                <w:szCs w:val="21"/>
                <w:highlight w:val="none"/>
                <w:lang w:val="en-US" w:eastAsia="zh-CN"/>
              </w:rPr>
              <w:t>；</w:t>
            </w:r>
          </w:p>
          <w:p w14:paraId="00C456D1">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阐述较合理较详细较有针对性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得9分</w:t>
            </w:r>
            <w:r>
              <w:rPr>
                <w:rFonts w:hint="eastAsia" w:ascii="仿宋" w:hAnsi="仿宋" w:eastAsia="仿宋" w:cs="仿宋"/>
                <w:sz w:val="21"/>
                <w:szCs w:val="21"/>
                <w:highlight w:val="none"/>
                <w:lang w:val="en-US" w:eastAsia="zh-CN"/>
              </w:rPr>
              <w:t>；</w:t>
            </w:r>
          </w:p>
          <w:p w14:paraId="2A860598">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理详细针对性等方面一般</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得6分</w:t>
            </w:r>
            <w:r>
              <w:rPr>
                <w:rFonts w:hint="eastAsia" w:ascii="仿宋" w:hAnsi="仿宋" w:eastAsia="仿宋" w:cs="仿宋"/>
                <w:sz w:val="21"/>
                <w:szCs w:val="21"/>
                <w:highlight w:val="none"/>
                <w:lang w:val="en-US" w:eastAsia="zh-CN"/>
              </w:rPr>
              <w:t>；</w:t>
            </w:r>
          </w:p>
          <w:p w14:paraId="45BD45FE">
            <w:pPr>
              <w:widowControl/>
              <w:spacing w:line="360" w:lineRule="auto"/>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合理详细针对性等方面较差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得3分</w:t>
            </w:r>
            <w:r>
              <w:rPr>
                <w:rFonts w:hint="eastAsia" w:ascii="仿宋" w:hAnsi="仿宋" w:eastAsia="仿宋" w:cs="仿宋"/>
                <w:sz w:val="21"/>
                <w:szCs w:val="21"/>
                <w:highlight w:val="none"/>
                <w:lang w:val="en-US" w:eastAsia="zh-CN"/>
              </w:rPr>
              <w:t>；</w:t>
            </w:r>
          </w:p>
          <w:p w14:paraId="5B361E68">
            <w:pPr>
              <w:widowControl/>
              <w:spacing w:line="360" w:lineRule="auto"/>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未提供不得分。</w:t>
            </w:r>
          </w:p>
        </w:tc>
        <w:tc>
          <w:tcPr>
            <w:tcW w:w="888" w:type="dxa"/>
            <w:vAlign w:val="center"/>
          </w:tcPr>
          <w:p w14:paraId="69003592">
            <w:pPr>
              <w:pStyle w:val="7"/>
              <w:adjustRightInd w:val="0"/>
              <w:snapToGrid w:val="0"/>
              <w:spacing w:line="360" w:lineRule="auto"/>
              <w:jc w:val="center"/>
              <w:rPr>
                <w:rFonts w:hint="eastAsia" w:ascii="仿宋" w:hAnsi="仿宋" w:eastAsia="仿宋" w:cs="仿宋"/>
                <w:color w:val="000000" w:themeColor="text1"/>
                <w:sz w:val="21"/>
                <w:highlight w:val="none"/>
                <w:lang w:val="en-US" w:bidi="ar-SA"/>
                <w14:textFill>
                  <w14:solidFill>
                    <w14:schemeClr w14:val="tx1"/>
                  </w14:solidFill>
                </w14:textFill>
              </w:rPr>
            </w:pPr>
            <w:r>
              <w:rPr>
                <w:rFonts w:hint="eastAsia" w:ascii="仿宋" w:hAnsi="仿宋" w:eastAsia="仿宋" w:cs="仿宋"/>
                <w:color w:val="000000" w:themeColor="text1"/>
                <w:sz w:val="21"/>
                <w:highlight w:val="none"/>
                <w:lang w:val="en-US" w:eastAsia="zh-CN" w:bidi="ar-SA"/>
                <w14:textFill>
                  <w14:solidFill>
                    <w14:schemeClr w14:val="tx1"/>
                  </w14:solidFill>
                </w14:textFill>
              </w:rPr>
              <w:t>12</w:t>
            </w:r>
            <w:r>
              <w:rPr>
                <w:rFonts w:hint="eastAsia" w:ascii="仿宋" w:hAnsi="仿宋" w:eastAsia="仿宋" w:cs="仿宋"/>
                <w:color w:val="000000" w:themeColor="text1"/>
                <w:sz w:val="21"/>
                <w:highlight w:val="none"/>
                <w:lang w:val="en-US" w:bidi="ar-SA"/>
                <w14:textFill>
                  <w14:solidFill>
                    <w14:schemeClr w14:val="tx1"/>
                  </w14:solidFill>
                </w14:textFill>
              </w:rPr>
              <w:t>分</w:t>
            </w:r>
          </w:p>
        </w:tc>
      </w:tr>
      <w:tr w14:paraId="3B0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40" w:type="dxa"/>
            <w:vMerge w:val="continue"/>
            <w:vAlign w:val="center"/>
          </w:tcPr>
          <w:p w14:paraId="24A3F012">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855" w:type="dxa"/>
            <w:vMerge w:val="continue"/>
            <w:vAlign w:val="center"/>
          </w:tcPr>
          <w:p w14:paraId="77BCE32A">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5328" w:type="dxa"/>
            <w:vAlign w:val="center"/>
          </w:tcPr>
          <w:p w14:paraId="0FB7B3F3">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2.6、</w:t>
            </w:r>
            <w:r>
              <w:rPr>
                <w:rFonts w:hint="eastAsia" w:ascii="仿宋" w:hAnsi="仿宋" w:eastAsia="仿宋" w:cs="仿宋"/>
                <w:sz w:val="21"/>
                <w:szCs w:val="21"/>
                <w:highlight w:val="none"/>
              </w:rPr>
              <w:t>本项目检测的合理化建议：</w:t>
            </w:r>
          </w:p>
          <w:p w14:paraId="1F4E3ED7">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阐述合理详细有针对性得</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12分</w:t>
            </w:r>
            <w:r>
              <w:rPr>
                <w:rFonts w:hint="eastAsia" w:ascii="仿宋" w:hAnsi="仿宋" w:eastAsia="仿宋" w:cs="仿宋"/>
                <w:sz w:val="21"/>
                <w:szCs w:val="21"/>
                <w:highlight w:val="none"/>
                <w:lang w:val="en-US" w:eastAsia="zh-CN"/>
              </w:rPr>
              <w:t>；</w:t>
            </w:r>
          </w:p>
          <w:p w14:paraId="4EF39AF7">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阐述较合理较详细较有针对性</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得9分</w:t>
            </w:r>
            <w:r>
              <w:rPr>
                <w:rFonts w:hint="eastAsia" w:ascii="仿宋" w:hAnsi="仿宋" w:eastAsia="仿宋" w:cs="仿宋"/>
                <w:sz w:val="21"/>
                <w:szCs w:val="21"/>
                <w:highlight w:val="none"/>
                <w:lang w:val="en-US" w:eastAsia="zh-CN"/>
              </w:rPr>
              <w:t>；</w:t>
            </w:r>
          </w:p>
          <w:p w14:paraId="4780EACC">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合理详细针对性等方面一般</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得6分</w:t>
            </w:r>
            <w:r>
              <w:rPr>
                <w:rFonts w:hint="eastAsia" w:ascii="仿宋" w:hAnsi="仿宋" w:eastAsia="仿宋" w:cs="仿宋"/>
                <w:sz w:val="21"/>
                <w:szCs w:val="21"/>
                <w:highlight w:val="none"/>
                <w:lang w:val="en-US" w:eastAsia="zh-CN"/>
              </w:rPr>
              <w:t>；</w:t>
            </w:r>
          </w:p>
          <w:p w14:paraId="3A4D963E">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合理详细针对性等方面较差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得3分</w:t>
            </w:r>
            <w:r>
              <w:rPr>
                <w:rFonts w:hint="eastAsia" w:ascii="仿宋" w:hAnsi="仿宋" w:eastAsia="仿宋" w:cs="仿宋"/>
                <w:sz w:val="21"/>
                <w:szCs w:val="21"/>
                <w:highlight w:val="none"/>
                <w:lang w:val="en-US" w:eastAsia="zh-CN"/>
              </w:rPr>
              <w:t>；</w:t>
            </w:r>
          </w:p>
          <w:p w14:paraId="127C7B3E">
            <w:pPr>
              <w:spacing w:line="360" w:lineRule="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未提供不得分。</w:t>
            </w:r>
          </w:p>
        </w:tc>
        <w:tc>
          <w:tcPr>
            <w:tcW w:w="888" w:type="dxa"/>
            <w:vAlign w:val="center"/>
          </w:tcPr>
          <w:p w14:paraId="0FFCB690">
            <w:pPr>
              <w:pStyle w:val="7"/>
              <w:adjustRightInd w:val="0"/>
              <w:snapToGrid w:val="0"/>
              <w:spacing w:line="360" w:lineRule="auto"/>
              <w:jc w:val="center"/>
              <w:rPr>
                <w:rFonts w:hint="eastAsia" w:ascii="仿宋" w:hAnsi="仿宋" w:eastAsia="仿宋" w:cs="仿宋"/>
                <w:color w:val="000000" w:themeColor="text1"/>
                <w:sz w:val="21"/>
                <w:highlight w:val="none"/>
                <w:lang w:val="en-US" w:bidi="ar-SA"/>
                <w14:textFill>
                  <w14:solidFill>
                    <w14:schemeClr w14:val="tx1"/>
                  </w14:solidFill>
                </w14:textFill>
              </w:rPr>
            </w:pPr>
            <w:r>
              <w:rPr>
                <w:rFonts w:hint="eastAsia" w:ascii="仿宋" w:hAnsi="仿宋" w:eastAsia="仿宋" w:cs="仿宋"/>
                <w:color w:val="000000" w:themeColor="text1"/>
                <w:sz w:val="21"/>
                <w:highlight w:val="none"/>
                <w:lang w:val="en-US" w:bidi="ar-SA"/>
                <w14:textFill>
                  <w14:solidFill>
                    <w14:schemeClr w14:val="tx1"/>
                  </w14:solidFill>
                </w14:textFill>
              </w:rPr>
              <w:t>12分</w:t>
            </w:r>
          </w:p>
        </w:tc>
      </w:tr>
      <w:tr w14:paraId="2E96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5671DE92">
            <w:pPr>
              <w:spacing w:line="360" w:lineRule="auto"/>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3</w:t>
            </w:r>
          </w:p>
        </w:tc>
        <w:tc>
          <w:tcPr>
            <w:tcW w:w="1855" w:type="dxa"/>
            <w:tcBorders>
              <w:left w:val="single" w:color="auto" w:sz="4" w:space="0"/>
              <w:right w:val="single" w:color="auto" w:sz="4" w:space="0"/>
            </w:tcBorders>
            <w:vAlign w:val="center"/>
          </w:tcPr>
          <w:p w14:paraId="30D1DF96">
            <w:pPr>
              <w:spacing w:line="360" w:lineRule="auto"/>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类似业绩</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021E5F82">
            <w:pPr>
              <w:spacing w:line="360" w:lineRule="auto"/>
              <w:rPr>
                <w:rFonts w:hint="eastAsia" w:ascii="仿宋" w:hAnsi="仿宋" w:eastAsia="仿宋" w:cs="仿宋"/>
                <w:szCs w:val="21"/>
                <w:highlight w:val="none"/>
                <w:u w:val="single"/>
                <w:lang w:val="en-US"/>
              </w:rPr>
            </w:pPr>
            <w:r>
              <w:rPr>
                <w:rFonts w:hint="eastAsia" w:ascii="仿宋" w:hAnsi="仿宋" w:eastAsia="仿宋" w:cs="仿宋"/>
                <w:color w:val="000000" w:themeColor="text1"/>
                <w:szCs w:val="21"/>
                <w:highlight w:val="none"/>
                <w14:textFill>
                  <w14:solidFill>
                    <w14:schemeClr w14:val="tx1"/>
                  </w14:solidFill>
                </w14:textFill>
              </w:rPr>
              <w:t>投标供应商自20</w:t>
            </w:r>
            <w:r>
              <w:rPr>
                <w:rFonts w:hint="eastAsia" w:ascii="仿宋" w:hAnsi="仿宋" w:eastAsia="仿宋" w:cs="仿宋"/>
                <w:color w:val="000000" w:themeColor="text1"/>
                <w:szCs w:val="21"/>
                <w:highlight w:val="none"/>
                <w:lang w:val="en-US" w:eastAsia="zh-CN"/>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年1</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月1日以来，</w:t>
            </w:r>
            <w:r>
              <w:rPr>
                <w:rFonts w:hint="eastAsia" w:ascii="仿宋" w:hAnsi="仿宋" w:eastAsia="仿宋" w:cs="仿宋"/>
                <w:color w:val="000000" w:themeColor="text1"/>
                <w:szCs w:val="21"/>
                <w:highlight w:val="none"/>
                <w:lang w:val="en-US"/>
                <w14:textFill>
                  <w14:solidFill>
                    <w14:schemeClr w14:val="tx1"/>
                  </w14:solidFill>
                </w14:textFill>
              </w:rPr>
              <w:t>具有类似</w:t>
            </w:r>
            <w:r>
              <w:rPr>
                <w:rFonts w:hint="eastAsia" w:ascii="仿宋" w:hAnsi="仿宋" w:eastAsia="仿宋" w:cs="仿宋"/>
                <w:color w:val="000000" w:themeColor="text1"/>
                <w:szCs w:val="21"/>
                <w:highlight w:val="none"/>
                <w:lang w:val="en-US" w:eastAsia="zh-CN"/>
                <w14:textFill>
                  <w14:solidFill>
                    <w14:schemeClr w14:val="tx1"/>
                  </w14:solidFill>
                </w14:textFill>
              </w:rPr>
              <w:t>材料检测服务的</w:t>
            </w:r>
            <w:r>
              <w:rPr>
                <w:rFonts w:hint="eastAsia" w:ascii="仿宋" w:hAnsi="仿宋" w:eastAsia="仿宋" w:cs="仿宋"/>
                <w:color w:val="000000" w:themeColor="text1"/>
                <w:szCs w:val="21"/>
                <w:highlight w:val="none"/>
                <w:lang w:val="en-US"/>
                <w14:textFill>
                  <w14:solidFill>
                    <w14:schemeClr w14:val="tx1"/>
                  </w14:solidFill>
                </w14:textFill>
              </w:rPr>
              <w:t>业绩</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本项满分6分</w:t>
            </w:r>
            <w:r>
              <w:rPr>
                <w:rFonts w:hint="eastAsia" w:ascii="仿宋" w:hAnsi="仿宋" w:eastAsia="仿宋" w:cs="仿宋"/>
                <w:color w:val="000000" w:themeColor="text1"/>
                <w:szCs w:val="21"/>
                <w:highlight w:val="none"/>
                <w14:textFill>
                  <w14:solidFill>
                    <w14:schemeClr w14:val="tx1"/>
                  </w14:solidFill>
                </w14:textFill>
              </w:rPr>
              <w:t>（提供业绩合同，</w:t>
            </w:r>
            <w:r>
              <w:rPr>
                <w:rFonts w:hint="eastAsia" w:ascii="仿宋" w:hAnsi="仿宋" w:eastAsia="仿宋" w:cs="仿宋"/>
                <w:color w:val="000000" w:themeColor="text1"/>
                <w:szCs w:val="21"/>
                <w:highlight w:val="none"/>
                <w:lang w:val="en-US" w:eastAsia="zh-CN"/>
                <w14:textFill>
                  <w14:solidFill>
                    <w14:schemeClr w14:val="tx1"/>
                  </w14:solidFill>
                </w14:textFill>
              </w:rPr>
              <w:t>时间</w:t>
            </w:r>
            <w:r>
              <w:rPr>
                <w:rFonts w:hint="eastAsia" w:ascii="仿宋" w:hAnsi="仿宋" w:eastAsia="仿宋" w:cs="仿宋"/>
                <w:color w:val="000000" w:themeColor="text1"/>
                <w:szCs w:val="21"/>
                <w:highlight w:val="none"/>
                <w14:textFill>
                  <w14:solidFill>
                    <w14:schemeClr w14:val="tx1"/>
                  </w14:solidFill>
                </w14:textFill>
              </w:rPr>
              <w:t>以合同签订日期为准，以上材料均需提供复印件加盖公章，提供的证明材料必须能充分反映相关数据和内容，否则视为未提供。）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08FDBA43">
            <w:pPr>
              <w:spacing w:line="360" w:lineRule="auto"/>
              <w:jc w:val="center"/>
              <w:rPr>
                <w:rFonts w:hint="eastAsia" w:ascii="仿宋" w:hAnsi="仿宋" w:eastAsia="仿宋" w:cs="仿宋"/>
                <w:szCs w:val="21"/>
                <w:highlight w:val="none"/>
                <w:u w:val="single"/>
                <w:lang w:val="en-US"/>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val="en-US"/>
              </w:rPr>
              <w:t>分</w:t>
            </w:r>
          </w:p>
        </w:tc>
      </w:tr>
      <w:tr w14:paraId="5BEF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1922EF8D">
            <w:pPr>
              <w:spacing w:line="360" w:lineRule="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855" w:type="dxa"/>
            <w:tcBorders>
              <w:left w:val="single" w:color="auto" w:sz="4" w:space="0"/>
              <w:right w:val="single" w:color="auto" w:sz="4" w:space="0"/>
            </w:tcBorders>
            <w:vAlign w:val="center"/>
          </w:tcPr>
          <w:p w14:paraId="33C3B971">
            <w:pPr>
              <w:spacing w:line="360" w:lineRule="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项目组成员</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16C1429F">
            <w:pPr>
              <w:spacing w:line="360" w:lineRule="auto"/>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拟派检测人员中（除项目负责人外）具有工程建设类高级技术职称的，有一人得2分，满分8分；具有工程建设类中级技术职称的，有一人得1分，满分4分（限评4人）；本项最高得8分。（须提供证书复印件加盖公章）</w:t>
            </w:r>
          </w:p>
          <w:p w14:paraId="77F1FAB6">
            <w:pPr>
              <w:spacing w:line="360" w:lineRule="auto"/>
              <w:rPr>
                <w:rFonts w:hint="eastAsia" w:ascii="仿宋" w:hAnsi="仿宋" w:eastAsia="仿宋" w:cs="仿宋"/>
                <w:color w:val="000000" w:themeColor="text1"/>
                <w:szCs w:val="21"/>
                <w:highlight w:val="none"/>
                <w:lang w:val="zh-CN" w:eastAsia="zh-CN"/>
                <w14:textFill>
                  <w14:solidFill>
                    <w14:schemeClr w14:val="tx1"/>
                  </w14:solidFill>
                </w14:textFill>
              </w:rPr>
            </w:pPr>
            <w:r>
              <w:rPr>
                <w:rFonts w:hint="eastAsia" w:ascii="仿宋" w:hAnsi="仿宋" w:eastAsia="仿宋" w:cs="仿宋"/>
                <w:color w:val="000000" w:themeColor="text1"/>
                <w:szCs w:val="21"/>
                <w:highlight w:val="none"/>
                <w:lang w:val="en-US"/>
                <w14:textFill>
                  <w14:solidFill>
                    <w14:schemeClr w14:val="tx1"/>
                  </w14:solidFill>
                </w14:textFill>
              </w:rPr>
              <w:t>以上人员，需提供社保机构出具投标人为其缴纳的养老保险缴费证明材料并加盖社保中心章或社保中心参保缴费证明电子专用章（采购公告前近半年内（至少一个月））。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062FF1D2">
            <w:pPr>
              <w:spacing w:line="360" w:lineRule="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8分</w:t>
            </w:r>
          </w:p>
        </w:tc>
      </w:tr>
    </w:tbl>
    <w:p w14:paraId="0675207E">
      <w:pPr>
        <w:pStyle w:val="6"/>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1、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6DAE316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2、政策功能：</w:t>
      </w:r>
    </w:p>
    <w:p w14:paraId="3888B5F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（1）对国家认定的节能产品和环保产品分别给予投标价的5%价格扣除，用扣除后的价格参与评审。</w:t>
      </w:r>
    </w:p>
    <w:p w14:paraId="6CC53A01">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（2）小微企业的价格扣除</w:t>
      </w:r>
    </w:p>
    <w:p w14:paraId="22C2D410">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2.1对小微企业生产的产品给予投标价的</w:t>
      </w:r>
      <w:r>
        <w:rPr>
          <w:rFonts w:hint="eastAsia" w:ascii="华文仿宋" w:hAnsi="华文仿宋" w:eastAsia="华文仿宋" w:cs="仿宋"/>
          <w:highlight w:val="none"/>
          <w:lang w:val="en-US" w:eastAsia="zh-CN"/>
        </w:rPr>
        <w:t>10</w:t>
      </w:r>
      <w:r>
        <w:rPr>
          <w:rFonts w:hint="eastAsia" w:ascii="华文仿宋" w:hAnsi="华文仿宋" w:eastAsia="华文仿宋" w:cs="仿宋"/>
          <w:highlight w:val="none"/>
        </w:rPr>
        <w:t>%价格扣除，用扣除后的价格参与评审。</w:t>
      </w:r>
    </w:p>
    <w:p w14:paraId="0D70887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30%以上的，给予联合体2%的价格扣除。联合体各方均为中小型、微型企业（监狱企业、残疾人福利单位）的，联合体视同为小型、微型企业享受</w:t>
      </w:r>
      <w:r>
        <w:rPr>
          <w:rFonts w:hint="eastAsia" w:ascii="华文仿宋" w:hAnsi="华文仿宋" w:eastAsia="华文仿宋" w:cs="仿宋"/>
          <w:highlight w:val="none"/>
          <w:lang w:val="en-US"/>
        </w:rPr>
        <w:t>5</w:t>
      </w:r>
      <w:r>
        <w:rPr>
          <w:rFonts w:hint="eastAsia" w:ascii="华文仿宋" w:hAnsi="华文仿宋" w:eastAsia="华文仿宋" w:cs="仿宋"/>
          <w:highlight w:val="none"/>
        </w:rPr>
        <w:t>%价格扣除，用扣除后的价格参与评审。</w:t>
      </w:r>
    </w:p>
    <w:p w14:paraId="1D4D9A4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2.3小企业（含小型、微型企业）应当同时符合以下条件：</w:t>
      </w:r>
    </w:p>
    <w:p w14:paraId="6EAD68E0">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2.3.1供应商为小企业，且符合中小企业划分标准；</w:t>
      </w:r>
    </w:p>
    <w:p w14:paraId="57DA9718">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2.3.2提供本企业制造的货物、承担的工程或者服务，或者提供其他小企业制造的货物。如果提供的货物为大中型企业注册商标的货物，视同大中型企业。</w:t>
      </w:r>
    </w:p>
    <w:p w14:paraId="62B25AB7">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3、监狱和戒毒企业的价格扣除  </w:t>
      </w:r>
    </w:p>
    <w:p w14:paraId="447BDC88">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3.1本项目对监狱和戒毒企业（简称监狱企业）视同小型、微型企业，给予</w:t>
      </w:r>
      <w:r>
        <w:rPr>
          <w:rFonts w:hint="eastAsia" w:ascii="华文仿宋" w:hAnsi="华文仿宋" w:eastAsia="华文仿宋" w:cs="仿宋"/>
          <w:highlight w:val="none"/>
          <w:lang w:val="en-US"/>
        </w:rPr>
        <w:t>5</w:t>
      </w:r>
      <w:r>
        <w:rPr>
          <w:rFonts w:hint="eastAsia" w:ascii="华文仿宋" w:hAnsi="华文仿宋" w:eastAsia="华文仿宋" w:cs="仿宋"/>
          <w:highlight w:val="none"/>
        </w:rPr>
        <w:t xml:space="preserve">%的价格扣除，用扣除后的价格参与评审。 </w:t>
      </w:r>
    </w:p>
    <w:p w14:paraId="51EB1A7A">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3.2 监狱企业需提供由省级以上监狱管理局、戒毒管理局（含新疆生产建设兵团）出具的属于监狱企业的证明文件。 </w:t>
      </w:r>
    </w:p>
    <w:p w14:paraId="789858B6">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3.3 监狱企业标准请参照《关于政府采购支持监狱企业发展有关问题的通知》（财库[2014]68 号）。</w:t>
      </w:r>
    </w:p>
    <w:p w14:paraId="74A3E048">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4、残疾人福利性单位的价格扣除 </w:t>
      </w:r>
    </w:p>
    <w:p w14:paraId="45060BA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4.1本项目对残疾人福利性单位视同小型、微型企业，给予</w:t>
      </w:r>
      <w:r>
        <w:rPr>
          <w:rFonts w:hint="eastAsia" w:ascii="华文仿宋" w:hAnsi="华文仿宋" w:eastAsia="华文仿宋" w:cs="仿宋"/>
          <w:highlight w:val="none"/>
          <w:lang w:val="en-US"/>
        </w:rPr>
        <w:t>5</w:t>
      </w:r>
      <w:r>
        <w:rPr>
          <w:rFonts w:hint="eastAsia" w:ascii="华文仿宋" w:hAnsi="华文仿宋" w:eastAsia="华文仿宋" w:cs="仿宋"/>
          <w:highlight w:val="none"/>
        </w:rPr>
        <w:t xml:space="preserve">%的价格扣除，用扣除后的价格参与评审。 </w:t>
      </w:r>
    </w:p>
    <w:p w14:paraId="1AF320AC">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4.2残疾人福利单位需按照采购文件的要求提供《残疾人福利性单位声明函》。 </w:t>
      </w:r>
    </w:p>
    <w:p w14:paraId="5DC4ACFE">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4.3残疾人福利单位标准请参照《关于促进残疾人就业政府采购政策的通知》（财库〔2017〕141 号）。</w:t>
      </w:r>
    </w:p>
    <w:p w14:paraId="101EF409">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5、监狱企业、残疾人福利单位属于小型、微型企业的，不重复享受政策。</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bookmarkStart w:id="59" w:name="_bookmark10"/>
      <w:bookmarkEnd w:id="59"/>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68CC3283">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04F1019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2E56210E">
      <w:pPr>
        <w:pStyle w:val="17"/>
        <w:rPr>
          <w:rFonts w:hint="eastAsia" w:ascii="华文仿宋" w:hAnsi="华文仿宋" w:eastAsia="华文仿宋"/>
          <w:highlight w:val="none"/>
        </w:rPr>
      </w:pPr>
    </w:p>
    <w:p w14:paraId="301671AA">
      <w:pPr>
        <w:rPr>
          <w:rFonts w:hint="eastAsia" w:ascii="华文仿宋" w:hAnsi="华文仿宋" w:eastAsia="华文仿宋"/>
          <w:highlight w:val="none"/>
        </w:rPr>
      </w:pPr>
    </w:p>
    <w:p w14:paraId="0CDBA7F2">
      <w:pPr>
        <w:pStyle w:val="17"/>
        <w:rPr>
          <w:rFonts w:hint="eastAsia" w:ascii="华文仿宋" w:hAnsi="华文仿宋" w:eastAsia="华文仿宋"/>
          <w:highlight w:val="none"/>
        </w:rPr>
      </w:pPr>
    </w:p>
    <w:p w14:paraId="09EC0BAE">
      <w:pPr>
        <w:rPr>
          <w:rFonts w:hint="eastAsia" w:ascii="华文仿宋" w:hAnsi="华文仿宋" w:eastAsia="华文仿宋"/>
          <w:highlight w:val="none"/>
        </w:rPr>
      </w:pPr>
    </w:p>
    <w:p w14:paraId="44542DF4">
      <w:pPr>
        <w:pStyle w:val="17"/>
        <w:rPr>
          <w:rFonts w:hint="eastAsia" w:ascii="华文仿宋" w:hAnsi="华文仿宋" w:eastAsia="华文仿宋"/>
          <w:highlight w:val="none"/>
        </w:rPr>
      </w:pPr>
    </w:p>
    <w:p w14:paraId="555DB111">
      <w:pPr>
        <w:rPr>
          <w:rFonts w:hint="eastAsia" w:ascii="华文仿宋" w:hAnsi="华文仿宋" w:eastAsia="华文仿宋"/>
          <w:highlight w:val="none"/>
        </w:rPr>
      </w:pPr>
    </w:p>
    <w:p w14:paraId="48B99B63">
      <w:pPr>
        <w:pStyle w:val="17"/>
        <w:rPr>
          <w:rFonts w:hint="eastAsia" w:ascii="华文仿宋" w:hAnsi="华文仿宋" w:eastAsia="华文仿宋"/>
          <w:highlight w:val="none"/>
        </w:rPr>
      </w:pPr>
    </w:p>
    <w:p w14:paraId="625E3F9A">
      <w:pPr>
        <w:rPr>
          <w:rFonts w:hint="eastAsia" w:ascii="华文仿宋" w:hAnsi="华文仿宋" w:eastAsia="华文仿宋"/>
          <w:highlight w:val="none"/>
        </w:rPr>
      </w:pPr>
    </w:p>
    <w:p w14:paraId="022C9A9A">
      <w:pPr>
        <w:spacing w:line="60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6283FDDE">
      <w:pPr>
        <w:pStyle w:val="17"/>
        <w:rPr>
          <w:rFonts w:hint="eastAsia" w:ascii="华文仿宋" w:hAnsi="华文仿宋" w:eastAsia="华文仿宋"/>
          <w:highlight w:val="none"/>
        </w:rPr>
      </w:pPr>
    </w:p>
    <w:p w14:paraId="659E2EAC">
      <w:pPr>
        <w:rPr>
          <w:rFonts w:hint="eastAsia" w:ascii="华文仿宋" w:hAnsi="华文仿宋" w:eastAsia="华文仿宋"/>
          <w:highlight w:val="none"/>
        </w:rPr>
      </w:pPr>
    </w:p>
    <w:p w14:paraId="63507A05">
      <w:pPr>
        <w:pStyle w:val="17"/>
        <w:rPr>
          <w:rFonts w:hint="eastAsia" w:ascii="华文仿宋" w:hAnsi="华文仿宋" w:eastAsia="华文仿宋"/>
          <w:highlight w:val="none"/>
        </w:rPr>
      </w:pPr>
    </w:p>
    <w:p w14:paraId="626845DB">
      <w:pPr>
        <w:rPr>
          <w:rFonts w:hint="eastAsia"/>
          <w:highlight w:val="none"/>
        </w:rPr>
      </w:pPr>
    </w:p>
    <w:p w14:paraId="5BA86D03">
      <w:pPr>
        <w:spacing w:before="28"/>
        <w:ind w:left="268" w:right="295"/>
        <w:jc w:val="center"/>
        <w:rPr>
          <w:rFonts w:ascii="华文仿宋" w:hAnsi="华文仿宋" w:eastAsia="华文仿宋" w:cs="仿宋"/>
          <w:sz w:val="32"/>
          <w:highlight w:val="none"/>
        </w:rPr>
      </w:pPr>
      <w:r>
        <w:rPr>
          <w:rFonts w:hint="eastAsia" w:ascii="华文仿宋" w:hAnsi="华文仿宋" w:eastAsia="华文仿宋" w:cs="仿宋"/>
          <w:sz w:val="32"/>
          <w:highlight w:val="none"/>
        </w:rPr>
        <w:t>采购合同</w:t>
      </w:r>
    </w:p>
    <w:p w14:paraId="15F5C96D">
      <w:pPr>
        <w:jc w:val="center"/>
        <w:rPr>
          <w:rFonts w:hint="eastAsia" w:ascii="华文仿宋" w:hAnsi="华文仿宋" w:eastAsia="华文仿宋" w:cs="仿宋"/>
          <w:highlight w:val="none"/>
        </w:rPr>
      </w:pPr>
      <w:r>
        <w:rPr>
          <w:rFonts w:hint="eastAsia" w:ascii="华文仿宋" w:hAnsi="华文仿宋" w:eastAsia="华文仿宋" w:cs="仿宋"/>
          <w:highlight w:val="none"/>
        </w:rPr>
        <w:t>（具体合同条款由采购人和供应商依据</w:t>
      </w:r>
      <w:r>
        <w:rPr>
          <w:rFonts w:hint="eastAsia" w:ascii="华文仿宋" w:hAnsi="华文仿宋" w:eastAsia="华文仿宋" w:cs="仿宋"/>
          <w:highlight w:val="none"/>
          <w:lang w:val="en-US"/>
        </w:rPr>
        <w:t>项目开展</w:t>
      </w:r>
      <w:r>
        <w:rPr>
          <w:rFonts w:hint="eastAsia" w:ascii="华文仿宋" w:hAnsi="华文仿宋" w:eastAsia="华文仿宋" w:cs="仿宋"/>
          <w:highlight w:val="none"/>
        </w:rPr>
        <w:t>拟定，</w:t>
      </w:r>
      <w:r>
        <w:rPr>
          <w:rFonts w:hint="eastAsia" w:ascii="华文仿宋" w:hAnsi="华文仿宋" w:eastAsia="华文仿宋" w:cs="仿宋"/>
          <w:highlight w:val="none"/>
          <w:lang w:val="en-US"/>
        </w:rPr>
        <w:t>本文</w:t>
      </w:r>
      <w:r>
        <w:rPr>
          <w:rFonts w:hint="eastAsia" w:ascii="华文仿宋" w:hAnsi="华文仿宋" w:eastAsia="华文仿宋" w:cs="仿宋"/>
          <w:highlight w:val="none"/>
        </w:rPr>
        <w:t>件仅供格式参考）</w:t>
      </w:r>
    </w:p>
    <w:p w14:paraId="49E5D5D3">
      <w:pPr>
        <w:spacing w:line="360" w:lineRule="auto"/>
        <w:ind w:left="-10" w:leftChars="0" w:right="0" w:rightChars="0" w:firstLine="484" w:firstLineChars="202"/>
        <w:rPr>
          <w:rFonts w:hint="eastAsia" w:ascii="仿宋" w:hAnsi="仿宋" w:eastAsia="仿宋" w:cs="仿宋"/>
          <w:sz w:val="24"/>
          <w:highlight w:val="none"/>
        </w:rPr>
      </w:pPr>
      <w:r>
        <w:rPr>
          <w:rFonts w:hint="eastAsia" w:ascii="仿宋" w:hAnsi="仿宋" w:eastAsia="仿宋" w:cs="仿宋"/>
          <w:sz w:val="24"/>
          <w:highlight w:val="none"/>
        </w:rPr>
        <w:t>为加强建筑工程检测业务的管理，依据</w:t>
      </w:r>
      <w:r>
        <w:rPr>
          <w:rFonts w:hint="eastAsia" w:ascii="仿宋" w:hAnsi="仿宋" w:eastAsia="仿宋" w:cs="仿宋"/>
          <w:color w:val="191919"/>
          <w:sz w:val="24"/>
          <w:highlight w:val="none"/>
          <w:shd w:val="clear" w:color="auto" w:fill="FFFFFF"/>
        </w:rPr>
        <w:t>《建设工程质量检测管理办法》</w:t>
      </w:r>
      <w:r>
        <w:rPr>
          <w:rFonts w:hint="eastAsia" w:ascii="仿宋" w:hAnsi="仿宋" w:eastAsia="仿宋" w:cs="仿宋"/>
          <w:sz w:val="24"/>
          <w:highlight w:val="none"/>
        </w:rPr>
        <w:t>和见证取样及建设行政主管部门的有关规定，对建筑工程检测项目进行委托检测，以确保工程检测符合规范要求，为委托方及工程质量管理部门提供真实科学的检测数据。经双方充分协商，特订立本合同，以便双方共同遵守。</w:t>
      </w:r>
    </w:p>
    <w:p w14:paraId="6A0AD2EC">
      <w:pPr>
        <w:numPr>
          <w:ilvl w:val="0"/>
          <w:numId w:val="18"/>
        </w:numPr>
        <w:spacing w:line="360" w:lineRule="auto"/>
        <w:ind w:left="-10" w:leftChars="0" w:right="0" w:rightChars="0" w:firstLine="8" w:firstLineChars="0"/>
        <w:outlineLvl w:val="0"/>
        <w:rPr>
          <w:rFonts w:hint="eastAsia" w:ascii="仿宋" w:hAnsi="仿宋" w:eastAsia="仿宋" w:cs="仿宋"/>
          <w:b/>
          <w:sz w:val="24"/>
          <w:highlight w:val="none"/>
        </w:rPr>
      </w:pPr>
      <w:r>
        <w:rPr>
          <w:rFonts w:hint="eastAsia" w:ascii="仿宋" w:hAnsi="仿宋" w:eastAsia="仿宋" w:cs="仿宋"/>
          <w:b/>
          <w:sz w:val="24"/>
          <w:highlight w:val="none"/>
        </w:rPr>
        <w:t xml:space="preserve"> 检测范围及内容</w:t>
      </w:r>
    </w:p>
    <w:p w14:paraId="586F3BBD">
      <w:pPr>
        <w:numPr>
          <w:ilvl w:val="0"/>
          <w:numId w:val="19"/>
        </w:numPr>
        <w:tabs>
          <w:tab w:val="left" w:pos="2520"/>
        </w:tabs>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根据</w:t>
      </w:r>
      <w:r>
        <w:rPr>
          <w:rFonts w:hint="eastAsia" w:ascii="仿宋" w:hAnsi="仿宋" w:eastAsia="仿宋" w:cs="仿宋"/>
          <w:color w:val="191919"/>
          <w:sz w:val="24"/>
          <w:highlight w:val="none"/>
          <w:shd w:val="clear" w:color="auto" w:fill="FFFFFF"/>
        </w:rPr>
        <w:t>《建设工程质量检测管理办法》（住建部第57号令）</w:t>
      </w:r>
      <w:r>
        <w:rPr>
          <w:rFonts w:hint="eastAsia" w:ascii="仿宋" w:hAnsi="仿宋" w:eastAsia="仿宋" w:cs="仿宋"/>
          <w:sz w:val="24"/>
          <w:highlight w:val="none"/>
        </w:rPr>
        <w:t>甲方委托乙方对其开发建设的：项目名称:(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)；项目规模:(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)所有单项工程及附属配套工程的建筑材料和工程质量的检测，包括但不限于如下相关内容进行各项检测： </w:t>
      </w:r>
    </w:p>
    <w:p w14:paraId="70F0840E">
      <w:pPr>
        <w:tabs>
          <w:tab w:val="left" w:pos="2520"/>
        </w:tabs>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模块抗压强度排水工程混凝土模块砌体结构技术规程 CJJ/T 230-2015；</w:t>
      </w:r>
    </w:p>
    <w:p w14:paraId="4390FFFA">
      <w:pPr>
        <w:tabs>
          <w:tab w:val="left" w:pos="2520"/>
        </w:tabs>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混凝土管：混凝土和钢筋混凝土排水管GB/T 11836-2023；</w:t>
      </w:r>
    </w:p>
    <w:p w14:paraId="2F4C140A">
      <w:pPr>
        <w:tabs>
          <w:tab w:val="left" w:pos="2520"/>
        </w:tabs>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塑料管：埋地用聚乙烯（PE）结构壁管道系统 第1部分：聚乙烯双壁波纹管材 GB/T 19472.1-2019；</w:t>
      </w:r>
    </w:p>
    <w:p w14:paraId="7120F945">
      <w:pPr>
        <w:tabs>
          <w:tab w:val="left" w:pos="2520"/>
        </w:tabs>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中粗砂：公路土工试验规程 JTG 3430-2020、公路路基路面现场测试规程JTG 3450-2019；级配碎石加水泥浆：公路工程无机结合料稳定材料试验规程 JTG E51-2009、公路路基路面现场测试规程JTG 3450-2019、公路工程集料试验规程 JTG E42-2005</w:t>
      </w:r>
    </w:p>
    <w:p w14:paraId="46E67D16">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 xml:space="preserve">注：本工程实际检测项目应根据质量监督部门、设计要求确定。                                    </w:t>
      </w:r>
    </w:p>
    <w:p w14:paraId="557942E4">
      <w:pPr>
        <w:numPr>
          <w:ilvl w:val="0"/>
          <w:numId w:val="18"/>
        </w:numPr>
        <w:spacing w:line="360" w:lineRule="auto"/>
        <w:ind w:left="-10" w:leftChars="0" w:right="0" w:rightChars="0" w:firstLine="8" w:firstLineChars="0"/>
        <w:outlineLvl w:val="0"/>
        <w:rPr>
          <w:rFonts w:hint="eastAsia" w:ascii="仿宋" w:hAnsi="仿宋" w:eastAsia="仿宋" w:cs="仿宋"/>
          <w:b/>
          <w:sz w:val="24"/>
          <w:highlight w:val="none"/>
        </w:rPr>
      </w:pPr>
      <w:r>
        <w:rPr>
          <w:rFonts w:hint="eastAsia" w:ascii="仿宋" w:hAnsi="仿宋" w:eastAsia="仿宋" w:cs="仿宋"/>
          <w:b/>
          <w:bCs/>
          <w:sz w:val="24"/>
          <w:highlight w:val="none"/>
        </w:rPr>
        <w:t xml:space="preserve"> 检测服务期限、项目联系人</w:t>
      </w:r>
    </w:p>
    <w:p w14:paraId="6ACBFAAF">
      <w:pPr>
        <w:numPr>
          <w:ilvl w:val="0"/>
          <w:numId w:val="20"/>
        </w:numPr>
        <w:spacing w:line="360" w:lineRule="auto"/>
        <w:ind w:left="-10" w:leftChars="0" w:right="0" w:rightChars="0" w:firstLine="8" w:firstLineChars="0"/>
        <w:jc w:val="left"/>
        <w:rPr>
          <w:rFonts w:hint="eastAsia" w:ascii="仿宋" w:hAnsi="仿宋" w:eastAsia="仿宋" w:cs="仿宋"/>
          <w:b/>
          <w:sz w:val="24"/>
          <w:highlight w:val="none"/>
        </w:rPr>
      </w:pPr>
      <w:r>
        <w:rPr>
          <w:rFonts w:hint="eastAsia" w:ascii="仿宋" w:hAnsi="仿宋" w:eastAsia="仿宋" w:cs="仿宋"/>
          <w:sz w:val="24"/>
          <w:highlight w:val="none"/>
        </w:rPr>
        <w:t>合同期限自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日开始至工程竣工，乙方根据甲方委托完成最后一批检测项目并提供相应检测报告时止，如遇特殊情况双方签订补充协议。   </w:t>
      </w:r>
    </w:p>
    <w:p w14:paraId="25C2CD8D">
      <w:pPr>
        <w:numPr>
          <w:ilvl w:val="0"/>
          <w:numId w:val="20"/>
        </w:numPr>
        <w:spacing w:line="360" w:lineRule="auto"/>
        <w:ind w:left="-10" w:leftChars="0" w:right="0" w:rightChars="0" w:firstLine="8" w:firstLineChars="0"/>
        <w:jc w:val="left"/>
        <w:rPr>
          <w:rFonts w:hint="eastAsia" w:ascii="仿宋" w:hAnsi="仿宋" w:eastAsia="仿宋" w:cs="仿宋"/>
          <w:sz w:val="24"/>
          <w:highlight w:val="none"/>
        </w:rPr>
      </w:pPr>
      <w:r>
        <w:rPr>
          <w:rFonts w:hint="eastAsia" w:ascii="仿宋" w:hAnsi="仿宋" w:eastAsia="仿宋" w:cs="仿宋"/>
          <w:sz w:val="24"/>
          <w:highlight w:val="none"/>
        </w:rPr>
        <w:t>双方确认本条项下载明的项目联系人，将有权代表各方负责处理本合同约定的检测事宜。如发生变更，变更方需提前告知对方。</w:t>
      </w:r>
    </w:p>
    <w:p w14:paraId="2F9657B6">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委托方（甲方）授权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为项目联系人，联系电话</w:t>
      </w:r>
      <w:r>
        <w:rPr>
          <w:rFonts w:hint="eastAsia" w:ascii="仿宋" w:hAnsi="仿宋" w:eastAsia="仿宋" w:cs="仿宋"/>
          <w:sz w:val="24"/>
          <w:highlight w:val="none"/>
          <w:u w:val="single"/>
        </w:rPr>
        <w:t xml:space="preserve">          </w:t>
      </w:r>
    </w:p>
    <w:p w14:paraId="2EC5CAF5">
      <w:pPr>
        <w:tabs>
          <w:tab w:val="left" w:pos="7360"/>
        </w:tabs>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sz w:val="24"/>
          <w:highlight w:val="none"/>
        </w:rPr>
        <w:t>检测方（乙方）授权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为项目联系人，联系电话</w:t>
      </w:r>
      <w:r>
        <w:rPr>
          <w:rFonts w:hint="eastAsia" w:ascii="仿宋" w:hAnsi="仿宋" w:eastAsia="仿宋" w:cs="仿宋"/>
          <w:sz w:val="24"/>
          <w:highlight w:val="none"/>
          <w:u w:val="single"/>
        </w:rPr>
        <w:t xml:space="preserve">          </w:t>
      </w:r>
    </w:p>
    <w:p w14:paraId="5CC19C84">
      <w:pPr>
        <w:numPr>
          <w:ilvl w:val="0"/>
          <w:numId w:val="18"/>
        </w:numPr>
        <w:spacing w:line="360" w:lineRule="auto"/>
        <w:ind w:left="-10" w:leftChars="0" w:right="0" w:rightChars="0" w:firstLine="8" w:firstLineChars="0"/>
        <w:outlineLvl w:val="0"/>
        <w:rPr>
          <w:rFonts w:hint="eastAsia" w:ascii="仿宋" w:hAnsi="仿宋" w:eastAsia="仿宋" w:cs="仿宋"/>
          <w:b/>
          <w:sz w:val="24"/>
          <w:highlight w:val="none"/>
        </w:rPr>
      </w:pPr>
      <w:r>
        <w:rPr>
          <w:rFonts w:hint="eastAsia" w:ascii="仿宋" w:hAnsi="仿宋" w:eastAsia="仿宋" w:cs="仿宋"/>
          <w:b/>
          <w:sz w:val="24"/>
          <w:highlight w:val="none"/>
        </w:rPr>
        <w:t xml:space="preserve"> 检测收费</w:t>
      </w:r>
    </w:p>
    <w:p w14:paraId="6686C0BB">
      <w:pPr>
        <w:numPr>
          <w:ilvl w:val="0"/>
          <w:numId w:val="21"/>
        </w:numPr>
        <w:spacing w:line="360" w:lineRule="auto"/>
        <w:ind w:left="-10" w:leftChars="0" w:right="0" w:rightChars="0" w:firstLine="8"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检测</w:t>
      </w:r>
      <w:r>
        <w:rPr>
          <w:rFonts w:hint="eastAsia" w:ascii="仿宋" w:hAnsi="仿宋" w:eastAsia="仿宋" w:cs="仿宋"/>
          <w:sz w:val="24"/>
          <w:highlight w:val="none"/>
        </w:rPr>
        <w:t>费用参照苏价服[2001]113 号&lt;关于核定《江苏省建设工程质量检测和建筑材料试验收费标准》&gt;文件执行，标准未明确检测项目的费用，按乙方对外公布的收费标准执行。</w:t>
      </w:r>
    </w:p>
    <w:p w14:paraId="6F09C892">
      <w:pPr>
        <w:numPr>
          <w:ilvl w:val="0"/>
          <w:numId w:val="21"/>
        </w:numPr>
        <w:spacing w:line="360" w:lineRule="auto"/>
        <w:ind w:left="-10" w:leftChars="0" w:right="0" w:rightChars="0" w:firstLine="8" w:firstLineChars="0"/>
        <w:jc w:val="left"/>
        <w:rPr>
          <w:rFonts w:hint="eastAsia" w:ascii="仿宋" w:hAnsi="仿宋" w:eastAsia="仿宋" w:cs="仿宋"/>
          <w:color w:val="000000"/>
          <w:sz w:val="24"/>
          <w:highlight w:val="none"/>
        </w:rPr>
      </w:pPr>
      <w:r>
        <w:rPr>
          <w:rFonts w:hint="eastAsia" w:ascii="仿宋" w:hAnsi="仿宋" w:eastAsia="仿宋" w:cs="仿宋"/>
          <w:sz w:val="24"/>
          <w:highlight w:val="none"/>
        </w:rPr>
        <w:t>甲方委托乙方在本合同范围内的检测项目，乙方同意在收费标准基础上下浮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%，涉及监督抽检部分（监督抽检单）的检测费用同比例下浮。</w:t>
      </w:r>
    </w:p>
    <w:p w14:paraId="27F6B1F9">
      <w:pPr>
        <w:numPr>
          <w:ilvl w:val="0"/>
          <w:numId w:val="21"/>
        </w:numPr>
        <w:spacing w:line="360" w:lineRule="auto"/>
        <w:ind w:left="-10" w:leftChars="0" w:right="0" w:rightChars="0" w:firstLine="8" w:firstLineChars="0"/>
        <w:rPr>
          <w:rFonts w:hint="eastAsia" w:ascii="仿宋" w:hAnsi="仿宋" w:eastAsia="仿宋" w:cs="仿宋"/>
          <w:color w:val="000000"/>
          <w:sz w:val="24"/>
          <w:highlight w:val="none"/>
        </w:rPr>
      </w:pPr>
      <w:r>
        <w:rPr>
          <w:rFonts w:hint="eastAsia" w:ascii="仿宋" w:hAnsi="仿宋" w:eastAsia="仿宋" w:cs="仿宋"/>
          <w:sz w:val="24"/>
          <w:highlight w:val="none"/>
        </w:rPr>
        <w:t>针对甲方委托但不在乙方资质范围内的检测项目，经甲方同意后，由乙方转委托有资质机构进行检测，该部分的检测费用乙方同意在收费标准基础上下浮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BA10F01">
      <w:pPr>
        <w:numPr>
          <w:ilvl w:val="0"/>
          <w:numId w:val="21"/>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检测费用结算价款为，各检测项目的上述收费标准价乘以相对应的检测数量的总和，优惠部分在每次支付检测费用时双方结清。</w:t>
      </w:r>
    </w:p>
    <w:p w14:paraId="3077BA8D">
      <w:pPr>
        <w:numPr>
          <w:ilvl w:val="0"/>
          <w:numId w:val="18"/>
        </w:numPr>
        <w:spacing w:line="360" w:lineRule="auto"/>
        <w:ind w:left="-10" w:leftChars="0" w:right="0" w:rightChars="0" w:firstLine="8" w:firstLineChars="0"/>
        <w:outlineLvl w:val="0"/>
        <w:rPr>
          <w:rFonts w:hint="eastAsia" w:ascii="仿宋" w:hAnsi="仿宋" w:eastAsia="仿宋" w:cs="仿宋"/>
          <w:b/>
          <w:sz w:val="24"/>
          <w:highlight w:val="none"/>
        </w:rPr>
      </w:pPr>
      <w:r>
        <w:rPr>
          <w:rFonts w:hint="eastAsia" w:ascii="仿宋" w:hAnsi="仿宋" w:eastAsia="仿宋" w:cs="仿宋"/>
          <w:b/>
          <w:sz w:val="24"/>
          <w:highlight w:val="none"/>
        </w:rPr>
        <w:t xml:space="preserve"> 付款方式</w:t>
      </w:r>
    </w:p>
    <w:p w14:paraId="0F51756E">
      <w:pPr>
        <w:numPr>
          <w:ilvl w:val="0"/>
          <w:numId w:val="0"/>
        </w:numPr>
        <w:spacing w:line="360" w:lineRule="auto"/>
        <w:ind w:left="-2" w:leftChars="0" w:right="0" w:rightChars="0"/>
        <w:rPr>
          <w:rFonts w:hint="eastAsia" w:ascii="仿宋" w:hAnsi="仿宋" w:eastAsia="仿宋" w:cs="仿宋"/>
          <w:sz w:val="24"/>
          <w:highlight w:val="none"/>
          <w:u w:val="single"/>
        </w:rPr>
      </w:pPr>
      <w:r>
        <w:rPr>
          <w:rFonts w:hint="eastAsia" w:ascii="仿宋" w:hAnsi="仿宋" w:eastAsia="仿宋" w:cs="仿宋"/>
          <w:sz w:val="24"/>
          <w:highlight w:val="none"/>
          <w:lang w:eastAsia="zh-CN"/>
        </w:rPr>
        <w:t>服务结束并达到要求后支付已完成工作量价款95%，余款一年后付清</w:t>
      </w:r>
      <w:r>
        <w:rPr>
          <w:rFonts w:hint="eastAsia" w:ascii="仿宋" w:hAnsi="仿宋" w:eastAsia="仿宋" w:cs="仿宋"/>
          <w:sz w:val="24"/>
          <w:highlight w:val="none"/>
        </w:rPr>
        <w:t>。</w:t>
      </w:r>
    </w:p>
    <w:p w14:paraId="529CCE56">
      <w:pPr>
        <w:numPr>
          <w:ilvl w:val="0"/>
          <w:numId w:val="18"/>
        </w:numPr>
        <w:spacing w:line="360" w:lineRule="auto"/>
        <w:ind w:left="-10" w:leftChars="0" w:right="0" w:rightChars="0" w:firstLine="8" w:firstLineChars="0"/>
        <w:outlineLvl w:val="0"/>
        <w:rPr>
          <w:rFonts w:hint="eastAsia" w:ascii="仿宋" w:hAnsi="仿宋" w:eastAsia="仿宋" w:cs="仿宋"/>
          <w:b/>
          <w:sz w:val="24"/>
          <w:highlight w:val="none"/>
        </w:rPr>
      </w:pPr>
      <w:r>
        <w:rPr>
          <w:rFonts w:hint="eastAsia" w:ascii="仿宋" w:hAnsi="仿宋" w:eastAsia="仿宋" w:cs="仿宋"/>
          <w:b/>
          <w:sz w:val="24"/>
          <w:highlight w:val="none"/>
        </w:rPr>
        <w:t xml:space="preserve"> 双方权利和义务</w:t>
      </w:r>
    </w:p>
    <w:p w14:paraId="49CECD6D">
      <w:pPr>
        <w:numPr>
          <w:ilvl w:val="0"/>
          <w:numId w:val="22"/>
        </w:numPr>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b/>
          <w:sz w:val="24"/>
          <w:highlight w:val="none"/>
        </w:rPr>
        <w:t>甲方的权利和义务</w:t>
      </w:r>
    </w:p>
    <w:p w14:paraId="2C185888">
      <w:pPr>
        <w:numPr>
          <w:ilvl w:val="0"/>
          <w:numId w:val="23"/>
        </w:numPr>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sz w:val="24"/>
          <w:highlight w:val="none"/>
        </w:rPr>
        <w:t>甲方应当按照</w:t>
      </w:r>
      <w:r>
        <w:rPr>
          <w:rFonts w:hint="eastAsia" w:ascii="仿宋" w:hAnsi="仿宋" w:eastAsia="仿宋" w:cs="仿宋"/>
          <w:color w:val="191919"/>
          <w:sz w:val="24"/>
          <w:highlight w:val="none"/>
          <w:shd w:val="clear" w:color="auto" w:fill="FFFFFF"/>
        </w:rPr>
        <w:t>《建设工程质量检测管理办法》</w:t>
      </w:r>
      <w:r>
        <w:rPr>
          <w:rFonts w:hint="eastAsia" w:ascii="仿宋" w:hAnsi="仿宋" w:eastAsia="仿宋" w:cs="仿宋"/>
          <w:sz w:val="24"/>
          <w:highlight w:val="none"/>
        </w:rPr>
        <w:t>，在建设工程项目专户中单独列支检测费用，并按照合同要求及时支付乙方检测费用。</w:t>
      </w:r>
    </w:p>
    <w:p w14:paraId="0437136B">
      <w:pPr>
        <w:numPr>
          <w:ilvl w:val="0"/>
          <w:numId w:val="23"/>
        </w:numPr>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sz w:val="24"/>
          <w:highlight w:val="none"/>
        </w:rPr>
        <w:t>委托检测前，甲方如实提供有工程现场专业监理工程师确认的、真实有效的送检样品或实体，并安排专人送至乙方指定地点，并执行见证取样制度。</w:t>
      </w:r>
    </w:p>
    <w:p w14:paraId="628E762E">
      <w:pPr>
        <w:numPr>
          <w:ilvl w:val="0"/>
          <w:numId w:val="23"/>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甲方按照乙方提供的委托单如实填写相关信息，严格按照施工验收规范和建筑材料规范要求的取样方法和数量进行取样。</w:t>
      </w:r>
    </w:p>
    <w:p w14:paraId="259B2A79">
      <w:pPr>
        <w:numPr>
          <w:ilvl w:val="0"/>
          <w:numId w:val="23"/>
        </w:numPr>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sz w:val="24"/>
          <w:highlight w:val="none"/>
        </w:rPr>
        <w:t>对于需现场检测的项目，甲方需提前一天办理委托，并负责保证乙方检测人员顺利进场检测，确保检测环境安全，对检测工作中出现的问题进行配合、协调。</w:t>
      </w:r>
    </w:p>
    <w:p w14:paraId="1A214AE7">
      <w:pPr>
        <w:numPr>
          <w:ilvl w:val="0"/>
          <w:numId w:val="23"/>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甲方因按照合同要求及时支付乙方检测费用。</w:t>
      </w:r>
    </w:p>
    <w:p w14:paraId="406F6E52">
      <w:pPr>
        <w:numPr>
          <w:ilvl w:val="0"/>
          <w:numId w:val="23"/>
        </w:numPr>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sz w:val="24"/>
          <w:highlight w:val="none"/>
        </w:rPr>
        <w:t>甲方不得以任何方式要求乙方出具虚假检测报告。</w:t>
      </w:r>
    </w:p>
    <w:p w14:paraId="72BDE045">
      <w:pPr>
        <w:numPr>
          <w:ilvl w:val="0"/>
          <w:numId w:val="22"/>
        </w:numPr>
        <w:spacing w:line="360" w:lineRule="auto"/>
        <w:ind w:left="-10" w:leftChars="0" w:right="0" w:rightChars="0" w:firstLine="8"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 乙方的权利和义务</w:t>
      </w:r>
    </w:p>
    <w:p w14:paraId="46A2E5F3">
      <w:pPr>
        <w:numPr>
          <w:ilvl w:val="0"/>
          <w:numId w:val="24"/>
        </w:numPr>
        <w:spacing w:line="360" w:lineRule="auto"/>
        <w:ind w:left="-10" w:leftChars="0" w:right="0" w:rightChars="0" w:firstLine="8" w:firstLineChars="0"/>
        <w:jc w:val="left"/>
        <w:rPr>
          <w:rFonts w:hint="eastAsia" w:ascii="仿宋" w:hAnsi="仿宋" w:eastAsia="仿宋" w:cs="仿宋"/>
          <w:sz w:val="24"/>
          <w:highlight w:val="none"/>
        </w:rPr>
      </w:pPr>
      <w:r>
        <w:rPr>
          <w:rFonts w:hint="eastAsia" w:ascii="仿宋" w:hAnsi="仿宋" w:eastAsia="仿宋" w:cs="仿宋"/>
          <w:sz w:val="24"/>
          <w:highlight w:val="none"/>
        </w:rPr>
        <w:t>依据检测规范要求，对甲方委托需检项目进行客观公正检测，做到检测数据完整、准确、真实、清楚，符合现行国家及行业标准。</w:t>
      </w:r>
    </w:p>
    <w:p w14:paraId="0FC6D876">
      <w:pPr>
        <w:numPr>
          <w:ilvl w:val="0"/>
          <w:numId w:val="24"/>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乙方根据检测规范要求和检测公开承诺日期，在规定时间内出具检测报告（如因甲方原因或停电、停水等不可抗拒的外力和自然因素的影响，报告期自然顺延）。对工程急需的检测任务，可根据甲方要求优先安排检测。</w:t>
      </w:r>
    </w:p>
    <w:p w14:paraId="7242A50C">
      <w:pPr>
        <w:numPr>
          <w:ilvl w:val="0"/>
          <w:numId w:val="24"/>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乙方配合甲方实施项目综合管理制度、检测计划的管理和落实，包括但不限于如检测流程、检测频率等工作的监督和控制。</w:t>
      </w:r>
    </w:p>
    <w:p w14:paraId="4D674865">
      <w:pPr>
        <w:numPr>
          <w:ilvl w:val="0"/>
          <w:numId w:val="24"/>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乙方提供带有防伪标记的正式检测报告一式贰份，桩基检测报告为一式肆份。</w:t>
      </w:r>
    </w:p>
    <w:p w14:paraId="67A4DF28">
      <w:pPr>
        <w:numPr>
          <w:ilvl w:val="0"/>
          <w:numId w:val="24"/>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乙方现场检测时应遵守工程安全管理，服从甲方工程现场安全管理制度。</w:t>
      </w:r>
    </w:p>
    <w:p w14:paraId="0BA68439">
      <w:pPr>
        <w:numPr>
          <w:ilvl w:val="0"/>
          <w:numId w:val="24"/>
        </w:numPr>
        <w:spacing w:line="360" w:lineRule="auto"/>
        <w:ind w:left="-10" w:leftChars="0" w:right="0" w:rightChars="0" w:firstLine="8" w:firstLineChars="0"/>
        <w:rPr>
          <w:rFonts w:hint="eastAsia" w:ascii="仿宋" w:hAnsi="仿宋" w:eastAsia="仿宋" w:cs="仿宋"/>
          <w:sz w:val="24"/>
          <w:highlight w:val="none"/>
          <w:u w:val="single"/>
        </w:rPr>
      </w:pPr>
      <w:r>
        <w:rPr>
          <w:rFonts w:hint="eastAsia" w:ascii="仿宋" w:hAnsi="仿宋" w:eastAsia="仿宋" w:cs="仿宋"/>
          <w:sz w:val="24"/>
          <w:highlight w:val="none"/>
        </w:rPr>
        <w:t>对甲方为一般纳税人公司乙方开具税率为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的增值税专用发票给甲方。本合同履行期间若国家公布新适用增值税率，按新适用增值税率执行。</w:t>
      </w:r>
    </w:p>
    <w:p w14:paraId="56338884">
      <w:pPr>
        <w:numPr>
          <w:ilvl w:val="0"/>
          <w:numId w:val="18"/>
        </w:numPr>
        <w:spacing w:line="360" w:lineRule="auto"/>
        <w:ind w:left="-10" w:leftChars="0" w:right="0" w:rightChars="0" w:firstLine="8" w:firstLineChars="0"/>
        <w:outlineLvl w:val="0"/>
        <w:rPr>
          <w:rFonts w:hint="eastAsia" w:ascii="仿宋" w:hAnsi="仿宋" w:eastAsia="仿宋" w:cs="仿宋"/>
          <w:b/>
          <w:bCs/>
          <w:sz w:val="24"/>
          <w:highlight w:val="none"/>
        </w:rPr>
      </w:pPr>
      <w:r>
        <w:rPr>
          <w:rFonts w:hint="eastAsia" w:ascii="仿宋" w:hAnsi="仿宋" w:eastAsia="仿宋" w:cs="仿宋"/>
          <w:b/>
          <w:bCs/>
          <w:sz w:val="24"/>
          <w:highlight w:val="none"/>
        </w:rPr>
        <w:t>争议的解决</w:t>
      </w:r>
    </w:p>
    <w:p w14:paraId="4B818898">
      <w:pPr>
        <w:numPr>
          <w:ilvl w:val="0"/>
          <w:numId w:val="0"/>
        </w:numPr>
        <w:spacing w:line="360" w:lineRule="auto"/>
        <w:ind w:left="-2" w:leftChars="0" w:right="0" w:rightChars="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甲方对检测结论有异议的，在条件具备的情况下可由双方共同认可的检测机构复检。复检结论与原检测结论相同，由甲方支付复检费用；反之，则由乙方承担复检费用。乙方不得将检测业务再委托或分包第三方检测，否则视为根本违约，违约方应支付违约金贰万元人民币，退回甲方已支付全部款项且甲方有权解除合同。</w:t>
      </w:r>
    </w:p>
    <w:p w14:paraId="187A0388">
      <w:pPr>
        <w:numPr>
          <w:ilvl w:val="0"/>
          <w:numId w:val="0"/>
        </w:numPr>
        <w:spacing w:line="360" w:lineRule="auto"/>
        <w:ind w:left="-2" w:leftChars="0" w:right="0" w:rightChars="0"/>
        <w:rPr>
          <w:rFonts w:hint="eastAsia" w:ascii="仿宋" w:hAnsi="仿宋" w:eastAsia="仿宋" w:cs="仿宋"/>
          <w:sz w:val="24"/>
          <w:highlight w:val="none"/>
        </w:rPr>
      </w:pPr>
      <w:r>
        <w:rPr>
          <w:rFonts w:hint="eastAsia" w:ascii="仿宋" w:hAnsi="仿宋" w:eastAsia="仿宋" w:cs="仿宋"/>
          <w:b w:val="0"/>
          <w:bCs w:val="0"/>
          <w:sz w:val="24"/>
          <w:highlight w:val="none"/>
          <w:lang w:val="en-US" w:eastAsia="zh-CN"/>
        </w:rPr>
        <w:t>2.</w:t>
      </w:r>
      <w:r>
        <w:rPr>
          <w:rFonts w:hint="eastAsia" w:ascii="仿宋" w:hAnsi="仿宋" w:eastAsia="仿宋" w:cs="仿宋"/>
          <w:sz w:val="24"/>
          <w:highlight w:val="none"/>
        </w:rPr>
        <w:t>若发生争议，双方应协商解决。若双方不愿意协商解决或协商不成的，双方一致同意向甲方所在地人民法院提请诉讼，由败诉方承担胜诉方因诉讼产生的诉讼费、律师费、鉴定费、调查费等合理费用损失。</w:t>
      </w:r>
    </w:p>
    <w:p w14:paraId="4CB96DC2">
      <w:pPr>
        <w:numPr>
          <w:ilvl w:val="0"/>
          <w:numId w:val="18"/>
        </w:numPr>
        <w:spacing w:line="360" w:lineRule="auto"/>
        <w:ind w:left="-10" w:leftChars="0" w:right="0" w:rightChars="0" w:firstLine="8" w:firstLineChars="0"/>
        <w:outlineLvl w:val="0"/>
        <w:rPr>
          <w:rFonts w:hint="eastAsia" w:ascii="仿宋" w:hAnsi="仿宋" w:eastAsia="仿宋" w:cs="仿宋"/>
          <w:sz w:val="24"/>
          <w:highlight w:val="none"/>
          <w:u w:val="single"/>
        </w:rPr>
      </w:pPr>
      <w:r>
        <w:rPr>
          <w:rFonts w:hint="eastAsia" w:ascii="仿宋" w:hAnsi="仿宋" w:eastAsia="仿宋" w:cs="仿宋"/>
          <w:b/>
          <w:sz w:val="24"/>
          <w:highlight w:val="none"/>
        </w:rPr>
        <w:t xml:space="preserve"> 附则</w:t>
      </w:r>
    </w:p>
    <w:p w14:paraId="51D956A6">
      <w:pPr>
        <w:numPr>
          <w:ilvl w:val="0"/>
          <w:numId w:val="25"/>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本合同未尽事宜的，经双方协商一致可签订补充协议，补充协议与本协议具有同等法律效力。</w:t>
      </w:r>
    </w:p>
    <w:p w14:paraId="2968BF1A">
      <w:pPr>
        <w:numPr>
          <w:ilvl w:val="0"/>
          <w:numId w:val="25"/>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甲方应按照合同约定如约支付检测费用，逾期支付的，甲方自愿按照未支付价款的万分之五/天支付违约金。若乙方逾期未出具检测报告的，乙方承担甲方误工的相关费用。</w:t>
      </w:r>
    </w:p>
    <w:p w14:paraId="597594F9">
      <w:pPr>
        <w:numPr>
          <w:ilvl w:val="0"/>
          <w:numId w:val="25"/>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合同文本及附件、经双方确认的甲方送样委托书为合同实施过程中的重要组成部分。</w:t>
      </w:r>
    </w:p>
    <w:p w14:paraId="2C3CB821">
      <w:pPr>
        <w:numPr>
          <w:ilvl w:val="0"/>
          <w:numId w:val="25"/>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合同正文中任何非打印的内容，除非经双方确认，否则均不产生约束力。</w:t>
      </w:r>
    </w:p>
    <w:p w14:paraId="04A93C78">
      <w:pPr>
        <w:numPr>
          <w:ilvl w:val="0"/>
          <w:numId w:val="25"/>
        </w:num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本合同一式陆份，甲方执叁份，乙方执叁份。自双方签字或盖章后生效。</w:t>
      </w:r>
    </w:p>
    <w:p w14:paraId="377274A5">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甲方：（公章或合同章）               乙方：（公章或合同章）</w:t>
      </w:r>
    </w:p>
    <w:p w14:paraId="62962172">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法定代表人（签字或盖章）            法定代表人（签字或盖章）</w:t>
      </w:r>
    </w:p>
    <w:p w14:paraId="3007AF4B">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或授权代理人：                      或授权代理人：</w:t>
      </w:r>
    </w:p>
    <w:p w14:paraId="4D88985B">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 xml:space="preserve">地址：                              地址： </w:t>
      </w:r>
    </w:p>
    <w:p w14:paraId="2A25C742">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 xml:space="preserve">电话：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电话</w:t>
      </w:r>
      <w:r>
        <w:rPr>
          <w:rFonts w:hint="eastAsia" w:ascii="仿宋" w:hAnsi="仿宋" w:eastAsia="仿宋" w:cs="仿宋"/>
          <w:sz w:val="24"/>
          <w:highlight w:val="none"/>
        </w:rPr>
        <w:t>：</w:t>
      </w:r>
    </w:p>
    <w:p w14:paraId="40D7BF2B">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242B4E48">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帐号：                              帐号：</w:t>
      </w:r>
    </w:p>
    <w:p w14:paraId="7E794C33">
      <w:pPr>
        <w:spacing w:line="360" w:lineRule="auto"/>
        <w:ind w:left="-10" w:leftChars="0" w:right="0" w:rightChars="0" w:firstLine="8" w:firstLineChars="0"/>
        <w:rPr>
          <w:rFonts w:hint="eastAsia" w:ascii="仿宋" w:hAnsi="仿宋" w:eastAsia="仿宋" w:cs="仿宋"/>
          <w:sz w:val="24"/>
          <w:highlight w:val="none"/>
        </w:rPr>
      </w:pPr>
      <w:r>
        <w:rPr>
          <w:rFonts w:hint="eastAsia" w:ascii="仿宋" w:hAnsi="仿宋" w:eastAsia="仿宋" w:cs="仿宋"/>
          <w:sz w:val="24"/>
          <w:highlight w:val="none"/>
        </w:rPr>
        <w:t xml:space="preserve">合同签订地： </w:t>
      </w:r>
    </w:p>
    <w:p w14:paraId="781D4B4E">
      <w:pPr>
        <w:spacing w:line="360" w:lineRule="auto"/>
        <w:ind w:left="-10" w:leftChars="0" w:right="0" w:rightChars="0" w:firstLine="8" w:firstLineChars="0"/>
        <w:rPr>
          <w:rFonts w:hint="eastAsia" w:ascii="仿宋" w:hAnsi="仿宋" w:eastAsia="仿宋" w:cs="仿宋"/>
          <w:highlight w:val="none"/>
        </w:rPr>
      </w:pPr>
      <w:r>
        <w:rPr>
          <w:rFonts w:hint="eastAsia" w:ascii="仿宋" w:hAnsi="仿宋" w:eastAsia="仿宋" w:cs="仿宋"/>
          <w:sz w:val="24"/>
          <w:highlight w:val="none"/>
        </w:rPr>
        <w:t>年   月    日                        年   月   日</w:t>
      </w:r>
    </w:p>
    <w:p w14:paraId="7BE3C5DC">
      <w:pPr>
        <w:ind w:left="-10" w:leftChars="0" w:right="0" w:rightChars="0" w:firstLine="8" w:firstLineChars="0"/>
        <w:rPr>
          <w:highlight w:val="none"/>
        </w:rPr>
      </w:pPr>
    </w:p>
    <w:p w14:paraId="42E9B534">
      <w:pPr>
        <w:spacing w:before="58"/>
        <w:ind w:right="9"/>
        <w:jc w:val="center"/>
        <w:rPr>
          <w:rFonts w:hint="eastAsia" w:ascii="华文仿宋" w:hAnsi="华文仿宋" w:eastAsia="华文仿宋" w:cs="仿宋"/>
          <w:b/>
          <w:color w:val="000000" w:themeColor="text1"/>
          <w:sz w:val="30"/>
          <w:highlight w:val="none"/>
          <w:lang w:eastAsia="zh-CN"/>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44422146">
      <w:pPr>
        <w:spacing w:before="58"/>
        <w:ind w:right="9"/>
        <w:jc w:val="center"/>
        <w:rPr>
          <w:rFonts w:hint="eastAsia" w:ascii="华文仿宋" w:hAnsi="华文仿宋" w:eastAsia="华文仿宋" w:cs="仿宋"/>
          <w:b/>
          <w:color w:val="000000" w:themeColor="text1"/>
          <w:sz w:val="30"/>
          <w:highlight w:val="none"/>
          <w14:textFill>
            <w14:solidFill>
              <w14:schemeClr w14:val="tx1"/>
            </w14:solidFill>
          </w14:textFill>
        </w:rPr>
      </w:pPr>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p>
    <w:p w14:paraId="44623534">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6"/>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0" w:name="_bookmark13"/>
      <w:bookmarkEnd w:id="60"/>
      <w:bookmarkStart w:id="61" w:name="一、磋商申请及声明"/>
      <w:bookmarkEnd w:id="61"/>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3"/>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0"/>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0"/>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0"/>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6"/>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3"/>
        <w:numPr>
          <w:ilvl w:val="0"/>
          <w:numId w:val="26"/>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2" w:name="二、法定代表人授权委托书"/>
      <w:bookmarkEnd w:id="62"/>
      <w:bookmarkStart w:id="63" w:name="_bookmark14"/>
      <w:bookmarkEnd w:id="63"/>
      <w:r>
        <w:rPr>
          <w:rFonts w:hint="eastAsia" w:ascii="华文仿宋" w:hAnsi="华文仿宋" w:eastAsia="华文仿宋" w:cs="仿宋"/>
          <w:color w:val="000000" w:themeColor="text1"/>
          <w:highlight w:val="none"/>
          <w14:textFill>
            <w14:solidFill>
              <w14:schemeClr w14:val="tx1"/>
            </w14:solidFill>
          </w14:textFill>
        </w:rPr>
        <w:t>磋商申请及声明</w:t>
      </w:r>
    </w:p>
    <w:p w14:paraId="6865C426">
      <w:pPr>
        <w:pStyle w:val="3"/>
        <w:spacing w:before="62"/>
        <w:ind w:left="1199"/>
        <w:jc w:val="center"/>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772BFA69">
      <w:pPr>
        <w:pStyle w:val="6"/>
        <w:spacing w:before="5"/>
        <w:ind w:left="743"/>
        <w:rPr>
          <w:rFonts w:hint="default" w:ascii="华文仿宋" w:hAnsi="华文仿宋" w:eastAsia="华文仿宋" w:cs="华文仿宋"/>
          <w:color w:val="000000" w:themeColor="text1"/>
          <w:highlight w:val="none"/>
          <w:lang w:val="en-US" w:eastAsia="zh-CN"/>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致：</w:t>
      </w: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p>
    <w:p w14:paraId="086291F3">
      <w:pPr>
        <w:pStyle w:val="6"/>
        <w:tabs>
          <w:tab w:val="left" w:pos="4314"/>
          <w:tab w:val="left" w:pos="9027"/>
        </w:tabs>
        <w:spacing w:before="5" w:line="242" w:lineRule="auto"/>
        <w:ind w:left="743" w:right="74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根据贵</w:t>
      </w:r>
      <w:r>
        <w:rPr>
          <w:rFonts w:hint="eastAsia" w:ascii="华文仿宋" w:hAnsi="华文仿宋" w:eastAsia="华文仿宋" w:cs="华文仿宋"/>
          <w:color w:val="000000" w:themeColor="text1"/>
          <w:spacing w:val="28"/>
          <w:highlight w:val="none"/>
          <w14:textFill>
            <w14:solidFill>
              <w14:schemeClr w14:val="tx1"/>
            </w14:solidFill>
          </w14:textFill>
        </w:rPr>
        <w:t>方</w:t>
      </w:r>
      <w:r>
        <w:rPr>
          <w:rFonts w:hint="eastAsia" w:ascii="华文仿宋" w:hAnsi="华文仿宋" w:eastAsia="华文仿宋" w:cs="华文仿宋"/>
          <w:color w:val="000000" w:themeColor="text1"/>
          <w:spacing w:val="28"/>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lang w:val="en-US"/>
          <w14:textFill>
            <w14:solidFill>
              <w14:schemeClr w14:val="tx1"/>
            </w14:solidFill>
          </w14:textFill>
        </w:rPr>
        <w:t>（项目名称）</w:t>
      </w:r>
      <w:r>
        <w:rPr>
          <w:rFonts w:hint="eastAsia" w:ascii="华文仿宋" w:hAnsi="华文仿宋" w:eastAsia="华文仿宋" w:cs="华文仿宋"/>
          <w:color w:val="000000" w:themeColor="text1"/>
          <w:highlight w:val="none"/>
          <w14:textFill>
            <w14:solidFill>
              <w14:schemeClr w14:val="tx1"/>
            </w14:solidFill>
          </w14:textFill>
        </w:rPr>
        <w:t>采购文件</w:t>
      </w:r>
      <w:r>
        <w:rPr>
          <w:rFonts w:hint="eastAsia" w:ascii="华文仿宋" w:hAnsi="华文仿宋" w:eastAsia="华文仿宋" w:cs="华文仿宋"/>
          <w:color w:val="000000" w:themeColor="text1"/>
          <w:spacing w:val="-104"/>
          <w:highlight w:val="none"/>
          <w14:textFill>
            <w14:solidFill>
              <w14:schemeClr w14:val="tx1"/>
            </w14:solidFill>
          </w14:textFill>
        </w:rPr>
        <w:t>，</w:t>
      </w:r>
      <w:r>
        <w:rPr>
          <w:rFonts w:hint="eastAsia" w:ascii="华文仿宋" w:hAnsi="华文仿宋" w:eastAsia="华文仿宋" w:cs="华文仿宋"/>
          <w:color w:val="000000" w:themeColor="text1"/>
          <w:highlight w:val="none"/>
          <w14:textFill>
            <w14:solidFill>
              <w14:schemeClr w14:val="tx1"/>
            </w14:solidFill>
          </w14:textFill>
        </w:rPr>
        <w:t>正式授权下述签字人</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(姓名和职务</w:t>
      </w:r>
      <w:r>
        <w:rPr>
          <w:rFonts w:hint="eastAsia" w:ascii="华文仿宋" w:hAnsi="华文仿宋" w:eastAsia="华文仿宋" w:cs="华文仿宋"/>
          <w:color w:val="000000" w:themeColor="text1"/>
          <w:spacing w:val="-15"/>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代表</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（供应商名称），提交响应文件并参加磋商。</w:t>
      </w:r>
    </w:p>
    <w:p w14:paraId="797E55EA">
      <w:pPr>
        <w:pStyle w:val="6"/>
        <w:spacing w:before="1"/>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据此函，签字人兹宣布同意如下：</w:t>
      </w:r>
    </w:p>
    <w:p w14:paraId="432243B0">
      <w:pPr>
        <w:pStyle w:val="17"/>
        <w:numPr>
          <w:ilvl w:val="0"/>
          <w:numId w:val="27"/>
        </w:numPr>
        <w:tabs>
          <w:tab w:val="left" w:pos="1323"/>
          <w:tab w:val="left" w:pos="2948"/>
        </w:tabs>
        <w:spacing w:before="2" w:line="244" w:lineRule="auto"/>
        <w:ind w:right="648" w:firstLine="420"/>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5"/>
          <w:sz w:val="21"/>
          <w:highlight w:val="none"/>
          <w14:textFill>
            <w14:solidFill>
              <w14:schemeClr w14:val="tx1"/>
            </w14:solidFill>
          </w14:textFill>
        </w:rPr>
        <w:t>根据已收到的磋商文件</w:t>
      </w:r>
      <w:r>
        <w:rPr>
          <w:rFonts w:hint="eastAsia" w:ascii="华文仿宋" w:hAnsi="华文仿宋" w:eastAsia="华文仿宋" w:cs="华文仿宋"/>
          <w:color w:val="000000" w:themeColor="text1"/>
          <w:spacing w:val="-8"/>
          <w:w w:val="95"/>
          <w:sz w:val="21"/>
          <w:highlight w:val="none"/>
          <w14:textFill>
            <w14:solidFill>
              <w14:schemeClr w14:val="tx1"/>
            </w14:solidFill>
          </w14:textFill>
        </w:rPr>
        <w:t>，</w:t>
      </w:r>
      <w:r>
        <w:rPr>
          <w:rFonts w:hint="eastAsia" w:ascii="华文仿宋" w:hAnsi="华文仿宋" w:eastAsia="华文仿宋" w:cs="华文仿宋"/>
          <w:color w:val="000000" w:themeColor="text1"/>
          <w:w w:val="95"/>
          <w:sz w:val="21"/>
          <w:highlight w:val="none"/>
          <w14:textFill>
            <w14:solidFill>
              <w14:schemeClr w14:val="tx1"/>
            </w14:solidFill>
          </w14:textFill>
        </w:rPr>
        <w:t>遵照规定</w:t>
      </w:r>
      <w:r>
        <w:rPr>
          <w:rFonts w:hint="eastAsia" w:ascii="华文仿宋" w:hAnsi="华文仿宋" w:eastAsia="华文仿宋" w:cs="华文仿宋"/>
          <w:color w:val="000000" w:themeColor="text1"/>
          <w:spacing w:val="-8"/>
          <w:w w:val="95"/>
          <w:sz w:val="21"/>
          <w:highlight w:val="none"/>
          <w14:textFill>
            <w14:solidFill>
              <w14:schemeClr w14:val="tx1"/>
            </w14:solidFill>
          </w14:textFill>
        </w:rPr>
        <w:t>，</w:t>
      </w:r>
      <w:r>
        <w:rPr>
          <w:rFonts w:hint="eastAsia" w:ascii="华文仿宋" w:hAnsi="华文仿宋" w:eastAsia="华文仿宋" w:cs="华文仿宋"/>
          <w:color w:val="000000" w:themeColor="text1"/>
          <w:w w:val="95"/>
          <w:sz w:val="21"/>
          <w:highlight w:val="none"/>
          <w14:textFill>
            <w14:solidFill>
              <w14:schemeClr w14:val="tx1"/>
            </w14:solidFill>
          </w14:textFill>
        </w:rPr>
        <w:t>我单位经现场考察和认真研究上述磋商文件后</w:t>
      </w:r>
      <w:r>
        <w:rPr>
          <w:rFonts w:hint="eastAsia" w:ascii="华文仿宋" w:hAnsi="华文仿宋" w:eastAsia="华文仿宋" w:cs="华文仿宋"/>
          <w:color w:val="000000" w:themeColor="text1"/>
          <w:spacing w:val="-8"/>
          <w:w w:val="95"/>
          <w:sz w:val="21"/>
          <w:highlight w:val="none"/>
          <w14:textFill>
            <w14:solidFill>
              <w14:schemeClr w14:val="tx1"/>
            </w14:solidFill>
          </w14:textFill>
        </w:rPr>
        <w:t>，</w:t>
      </w:r>
      <w:r>
        <w:rPr>
          <w:rFonts w:hint="eastAsia" w:ascii="华文仿宋" w:hAnsi="华文仿宋" w:eastAsia="华文仿宋" w:cs="华文仿宋"/>
          <w:color w:val="000000" w:themeColor="text1"/>
          <w:w w:val="95"/>
          <w:sz w:val="21"/>
          <w:highlight w:val="none"/>
          <w14:textFill>
            <w14:solidFill>
              <w14:schemeClr w14:val="tx1"/>
            </w14:solidFill>
          </w14:textFill>
        </w:rPr>
        <w:t>愿</w:t>
      </w:r>
      <w:r>
        <w:rPr>
          <w:rFonts w:hint="eastAsia" w:ascii="华文仿宋" w:hAnsi="华文仿宋" w:eastAsia="华文仿宋" w:cs="华文仿宋"/>
          <w:color w:val="000000" w:themeColor="text1"/>
          <w:spacing w:val="-8"/>
          <w:w w:val="95"/>
          <w:sz w:val="21"/>
          <w:highlight w:val="none"/>
          <w14:textFill>
            <w14:solidFill>
              <w14:schemeClr w14:val="tx1"/>
            </w14:solidFill>
          </w14:textFill>
        </w:rPr>
        <w:t>以《江苏省建设工程质量检测和建筑材料试验收费标准》（苏价服[2001] 113号）收费标准的</w:t>
      </w:r>
      <w:r>
        <w:rPr>
          <w:rFonts w:hint="eastAsia" w:ascii="华文仿宋" w:hAnsi="华文仿宋" w:eastAsia="华文仿宋" w:cs="华文仿宋"/>
          <w:color w:val="000000" w:themeColor="text1"/>
          <w:spacing w:val="-8"/>
          <w:w w:val="95"/>
          <w:sz w:val="21"/>
          <w:highlight w:val="none"/>
          <w:u w:val="single"/>
          <w:lang w:val="en-US" w:eastAsia="zh-CN"/>
          <w14:textFill>
            <w14:solidFill>
              <w14:schemeClr w14:val="tx1"/>
            </w14:solidFill>
          </w14:textFill>
        </w:rPr>
        <w:t xml:space="preserve">      </w:t>
      </w:r>
      <w:r>
        <w:rPr>
          <w:rFonts w:hint="eastAsia" w:ascii="华文仿宋" w:hAnsi="华文仿宋" w:eastAsia="华文仿宋" w:cs="华文仿宋"/>
          <w:color w:val="000000" w:themeColor="text1"/>
          <w:spacing w:val="-8"/>
          <w:w w:val="95"/>
          <w:sz w:val="21"/>
          <w:highlight w:val="none"/>
          <w:lang w:val="en-US" w:eastAsia="zh-CN"/>
          <w14:textFill>
            <w14:solidFill>
              <w14:schemeClr w14:val="tx1"/>
            </w14:solidFill>
          </w14:textFill>
        </w:rPr>
        <w:t xml:space="preserve"> </w:t>
      </w:r>
      <w:r>
        <w:rPr>
          <w:rFonts w:hint="eastAsia" w:ascii="华文仿宋" w:hAnsi="华文仿宋" w:eastAsia="华文仿宋" w:cs="华文仿宋"/>
          <w:color w:val="000000" w:themeColor="text1"/>
          <w:spacing w:val="-8"/>
          <w:w w:val="95"/>
          <w:sz w:val="21"/>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作为磋商报价。我方保证在</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lang w:val="en-US"/>
          <w14:textFill>
            <w14:solidFill>
              <w14:schemeClr w14:val="tx1"/>
            </w14:solidFill>
          </w14:textFill>
        </w:rPr>
        <w:t>填写服务时间）</w:t>
      </w:r>
      <w:r>
        <w:rPr>
          <w:rFonts w:hint="eastAsia" w:ascii="华文仿宋" w:hAnsi="华文仿宋" w:eastAsia="华文仿宋" w:cs="华文仿宋"/>
          <w:color w:val="000000" w:themeColor="text1"/>
          <w:sz w:val="21"/>
          <w:highlight w:val="none"/>
          <w14:textFill>
            <w14:solidFill>
              <w14:schemeClr w14:val="tx1"/>
            </w14:solidFill>
          </w14:textFill>
        </w:rPr>
        <w:t>内</w:t>
      </w:r>
      <w:r>
        <w:rPr>
          <w:rFonts w:hint="eastAsia" w:ascii="华文仿宋" w:hAnsi="华文仿宋" w:eastAsia="华文仿宋" w:cs="华文仿宋"/>
          <w:color w:val="000000" w:themeColor="text1"/>
          <w:sz w:val="21"/>
          <w:highlight w:val="none"/>
          <w:lang w:val="en-US"/>
          <w14:textFill>
            <w14:solidFill>
              <w14:schemeClr w14:val="tx1"/>
            </w14:solidFill>
          </w14:textFill>
        </w:rPr>
        <w:t>服务并完成整个项目</w:t>
      </w:r>
      <w:r>
        <w:rPr>
          <w:rFonts w:hint="eastAsia" w:ascii="华文仿宋" w:hAnsi="华文仿宋" w:eastAsia="华文仿宋" w:cs="华文仿宋"/>
          <w:color w:val="000000" w:themeColor="text1"/>
          <w:sz w:val="21"/>
          <w:highlight w:val="none"/>
          <w14:textFill>
            <w14:solidFill>
              <w14:schemeClr w14:val="tx1"/>
            </w14:solidFill>
          </w14:textFill>
        </w:rPr>
        <w:t>。</w:t>
      </w:r>
    </w:p>
    <w:p w14:paraId="491F1F7E">
      <w:pPr>
        <w:pStyle w:val="17"/>
        <w:numPr>
          <w:ilvl w:val="0"/>
          <w:numId w:val="27"/>
        </w:numPr>
        <w:tabs>
          <w:tab w:val="left" w:pos="1323"/>
        </w:tabs>
        <w:spacing w:line="265" w:lineRule="exact"/>
        <w:ind w:left="1322" w:hanging="160"/>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我们完全理解贵方不一定要接受最低报价的磋商或收到的任何磋商。</w:t>
      </w:r>
    </w:p>
    <w:p w14:paraId="31B22F49">
      <w:pPr>
        <w:pStyle w:val="17"/>
        <w:numPr>
          <w:ilvl w:val="0"/>
          <w:numId w:val="27"/>
        </w:numPr>
        <w:tabs>
          <w:tab w:val="left" w:pos="1324"/>
        </w:tabs>
        <w:spacing w:before="5" w:line="242" w:lineRule="auto"/>
        <w:ind w:right="752" w:firstLine="420"/>
        <w:jc w:val="both"/>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7D045F05">
      <w:pPr>
        <w:pStyle w:val="17"/>
        <w:numPr>
          <w:ilvl w:val="0"/>
          <w:numId w:val="27"/>
        </w:numPr>
        <w:tabs>
          <w:tab w:val="left" w:pos="1323"/>
        </w:tabs>
        <w:ind w:left="1322" w:hanging="160"/>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我们同意从规定的磋商日期起遵循本磋商文件，并在规定的磋商有效期期满之前均具有约束力。</w:t>
      </w:r>
    </w:p>
    <w:p w14:paraId="338CBBBE">
      <w:pPr>
        <w:pStyle w:val="17"/>
        <w:numPr>
          <w:ilvl w:val="0"/>
          <w:numId w:val="27"/>
        </w:numPr>
        <w:tabs>
          <w:tab w:val="left" w:pos="1323"/>
        </w:tabs>
        <w:spacing w:before="2"/>
        <w:ind w:left="1322" w:hanging="160"/>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如果在磋商后规定的磋商有效期内撤回响应性文件，我们的磋商保证金贵方不予退还。</w:t>
      </w:r>
    </w:p>
    <w:p w14:paraId="6AA05445">
      <w:pPr>
        <w:pStyle w:val="17"/>
        <w:numPr>
          <w:ilvl w:val="0"/>
          <w:numId w:val="27"/>
        </w:numPr>
        <w:tabs>
          <w:tab w:val="left" w:pos="1323"/>
        </w:tabs>
        <w:spacing w:before="5"/>
        <w:ind w:left="1322" w:hanging="160"/>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同意向贵方提供贵方可能要求的与磋商有关的任何证据或资料。</w:t>
      </w:r>
    </w:p>
    <w:p w14:paraId="28A7DABB">
      <w:pPr>
        <w:pStyle w:val="17"/>
        <w:numPr>
          <w:ilvl w:val="0"/>
          <w:numId w:val="27"/>
        </w:numPr>
        <w:tabs>
          <w:tab w:val="left" w:pos="1324"/>
        </w:tabs>
        <w:spacing w:before="4" w:line="242" w:lineRule="auto"/>
        <w:ind w:right="753" w:firstLine="420"/>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一旦我方成交，我方将根据磋商文件的规定，严格履行合同，并保证于承诺的时间完成货物的启动、调试等服务，交付采购人验收、使用。</w:t>
      </w:r>
      <w:r>
        <w:rPr>
          <w:rFonts w:hint="eastAsia" w:ascii="华文仿宋" w:hAnsi="华文仿宋" w:eastAsia="华文仿宋" w:cs="华文仿宋"/>
          <w:color w:val="000000" w:themeColor="text1"/>
          <w:sz w:val="21"/>
          <w:highlight w:val="none"/>
          <w:lang w:val="en-US"/>
          <w14:textFill>
            <w14:solidFill>
              <w14:schemeClr w14:val="tx1"/>
            </w14:solidFill>
          </w14:textFill>
        </w:rPr>
        <w:t>我方将派出</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（姓名）   </w:t>
      </w:r>
      <w:r>
        <w:rPr>
          <w:rFonts w:hint="eastAsia" w:ascii="华文仿宋" w:hAnsi="华文仿宋" w:eastAsia="华文仿宋" w:cs="华文仿宋"/>
          <w:color w:val="000000" w:themeColor="text1"/>
          <w:sz w:val="21"/>
          <w:highlight w:val="none"/>
          <w:lang w:val="en-US"/>
          <w14:textFill>
            <w14:solidFill>
              <w14:schemeClr w14:val="tx1"/>
            </w14:solidFill>
          </w14:textFill>
        </w:rPr>
        <w:t>作为本项目的项目负责人。</w:t>
      </w:r>
    </w:p>
    <w:p w14:paraId="188C4506">
      <w:pPr>
        <w:pStyle w:val="17"/>
        <w:numPr>
          <w:ilvl w:val="0"/>
          <w:numId w:val="27"/>
        </w:numPr>
        <w:tabs>
          <w:tab w:val="left" w:pos="1324"/>
        </w:tabs>
        <w:spacing w:before="2" w:line="242" w:lineRule="auto"/>
        <w:ind w:right="752" w:firstLine="420"/>
        <w:jc w:val="both"/>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我方将严格遵守《中华人民共和国政府采购法》第七十七条规定，若有下列情形之一的，将被处</w:t>
      </w:r>
      <w:r>
        <w:rPr>
          <w:rFonts w:hint="eastAsia" w:ascii="华文仿宋" w:hAnsi="华文仿宋" w:eastAsia="华文仿宋" w:cs="华文仿宋"/>
          <w:color w:val="000000" w:themeColor="text1"/>
          <w:spacing w:val="-9"/>
          <w:sz w:val="21"/>
          <w:highlight w:val="none"/>
          <w14:textFill>
            <w14:solidFill>
              <w14:schemeClr w14:val="tx1"/>
            </w14:solidFill>
          </w14:textFill>
        </w:rPr>
        <w:t xml:space="preserve">以采购金额 </w:t>
      </w:r>
      <w:r>
        <w:rPr>
          <w:rFonts w:hint="eastAsia" w:ascii="华文仿宋" w:hAnsi="华文仿宋" w:eastAsia="华文仿宋" w:cs="华文仿宋"/>
          <w:color w:val="000000" w:themeColor="text1"/>
          <w:sz w:val="21"/>
          <w:highlight w:val="none"/>
          <w14:textFill>
            <w14:solidFill>
              <w14:schemeClr w14:val="tx1"/>
            </w14:solidFill>
          </w14:textFill>
        </w:rPr>
        <w:t>5‰</w:t>
      </w:r>
      <w:r>
        <w:rPr>
          <w:rFonts w:hint="eastAsia" w:ascii="华文仿宋" w:hAnsi="华文仿宋" w:eastAsia="华文仿宋" w:cs="华文仿宋"/>
          <w:color w:val="000000" w:themeColor="text1"/>
          <w:spacing w:val="-18"/>
          <w:sz w:val="21"/>
          <w:highlight w:val="none"/>
          <w14:textFill>
            <w14:solidFill>
              <w14:schemeClr w14:val="tx1"/>
            </w14:solidFill>
          </w14:textFill>
        </w:rPr>
        <w:t xml:space="preserve">以上 </w:t>
      </w:r>
      <w:r>
        <w:rPr>
          <w:rFonts w:hint="eastAsia" w:ascii="华文仿宋" w:hAnsi="华文仿宋" w:eastAsia="华文仿宋" w:cs="华文仿宋"/>
          <w:color w:val="000000" w:themeColor="text1"/>
          <w:sz w:val="21"/>
          <w:highlight w:val="none"/>
          <w14:textFill>
            <w14:solidFill>
              <w14:schemeClr w14:val="tx1"/>
            </w14:solidFill>
          </w14:textFill>
        </w:rPr>
        <w:t>10‰以下的罚款，列入不良行为记录名单，在一至三年内禁止参加政府采购活动； 有违法所得的，并处没收违法所得；情节严重的，由工商行政管理机关吊销营业执照；构成犯罪的，依法追究刑事责任：</w:t>
      </w:r>
    </w:p>
    <w:p w14:paraId="56BDB7CC">
      <w:pPr>
        <w:pStyle w:val="17"/>
        <w:numPr>
          <w:ilvl w:val="0"/>
          <w:numId w:val="28"/>
        </w:numPr>
        <w:tabs>
          <w:tab w:val="left" w:pos="1690"/>
        </w:tabs>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提供虚假材料谋取中标、成交的；</w:t>
      </w:r>
    </w:p>
    <w:p w14:paraId="7A40D85E">
      <w:pPr>
        <w:pStyle w:val="17"/>
        <w:numPr>
          <w:ilvl w:val="0"/>
          <w:numId w:val="28"/>
        </w:numPr>
        <w:tabs>
          <w:tab w:val="left" w:pos="1690"/>
        </w:tabs>
        <w:spacing w:before="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采取不正当手段诋毁、排挤其他供应商的；</w:t>
      </w:r>
    </w:p>
    <w:p w14:paraId="5B39C0C6">
      <w:pPr>
        <w:pStyle w:val="17"/>
        <w:numPr>
          <w:ilvl w:val="0"/>
          <w:numId w:val="28"/>
        </w:numPr>
        <w:tabs>
          <w:tab w:val="left" w:pos="1690"/>
        </w:tabs>
        <w:spacing w:before="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与采购人、其它供应商或者采购代理机构恶意串通的；</w:t>
      </w:r>
    </w:p>
    <w:p w14:paraId="1A17B9A6">
      <w:pPr>
        <w:pStyle w:val="17"/>
        <w:numPr>
          <w:ilvl w:val="0"/>
          <w:numId w:val="28"/>
        </w:numPr>
        <w:tabs>
          <w:tab w:val="left" w:pos="1690"/>
        </w:tabs>
        <w:spacing w:before="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向采购人、采购代理机构行贿或者提供其他不正当利益的；</w:t>
      </w:r>
    </w:p>
    <w:p w14:paraId="60EC4AD1">
      <w:pPr>
        <w:pStyle w:val="17"/>
        <w:numPr>
          <w:ilvl w:val="0"/>
          <w:numId w:val="28"/>
        </w:numPr>
        <w:tabs>
          <w:tab w:val="left" w:pos="1690"/>
        </w:tabs>
        <w:spacing w:before="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在采购过程中与采购人进行协商磋商的；</w:t>
      </w:r>
    </w:p>
    <w:p w14:paraId="1E1DE404">
      <w:pPr>
        <w:pStyle w:val="17"/>
        <w:numPr>
          <w:ilvl w:val="0"/>
          <w:numId w:val="28"/>
        </w:numPr>
        <w:tabs>
          <w:tab w:val="left" w:pos="1690"/>
        </w:tabs>
        <w:spacing w:before="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拒绝有关部门监督检查或提供虚假情况的。</w:t>
      </w:r>
    </w:p>
    <w:p w14:paraId="304E2C50">
      <w:pPr>
        <w:pStyle w:val="17"/>
        <w:numPr>
          <w:ilvl w:val="0"/>
          <w:numId w:val="27"/>
        </w:numPr>
        <w:tabs>
          <w:tab w:val="left" w:pos="1323"/>
        </w:tabs>
        <w:spacing w:before="2" w:line="244" w:lineRule="auto"/>
        <w:ind w:left="1268" w:right="6493" w:hanging="10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与本磋商有关的正式通讯地址为： 供应商名称（盖章）：</w:t>
      </w:r>
    </w:p>
    <w:p w14:paraId="1A7B8307">
      <w:pPr>
        <w:pStyle w:val="6"/>
        <w:tabs>
          <w:tab w:val="left" w:pos="1794"/>
          <w:tab w:val="left" w:pos="1899"/>
        </w:tabs>
        <w:spacing w:line="242" w:lineRule="auto"/>
        <w:ind w:left="1268" w:right="8646"/>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地</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址 ： 联系电话</w:t>
      </w:r>
      <w:r>
        <w:rPr>
          <w:rFonts w:hint="eastAsia" w:ascii="华文仿宋" w:hAnsi="华文仿宋" w:eastAsia="华文仿宋" w:cs="华文仿宋"/>
          <w:color w:val="000000" w:themeColor="text1"/>
          <w:spacing w:val="-15"/>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传</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真 ： 开户银行</w:t>
      </w:r>
      <w:r>
        <w:rPr>
          <w:rFonts w:hint="eastAsia" w:ascii="华文仿宋" w:hAnsi="华文仿宋" w:eastAsia="华文仿宋" w:cs="华文仿宋"/>
          <w:color w:val="000000" w:themeColor="text1"/>
          <w:spacing w:val="-15"/>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帐</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spacing w:val="-1"/>
          <w:w w:val="95"/>
          <w:highlight w:val="none"/>
          <w14:textFill>
            <w14:solidFill>
              <w14:schemeClr w14:val="tx1"/>
            </w14:solidFill>
          </w14:textFill>
        </w:rPr>
        <w:t>号</w:t>
      </w:r>
      <w:r>
        <w:rPr>
          <w:rFonts w:hint="eastAsia" w:ascii="华文仿宋" w:hAnsi="华文仿宋" w:eastAsia="华文仿宋" w:cs="华文仿宋"/>
          <w:color w:val="000000" w:themeColor="text1"/>
          <w:spacing w:val="-16"/>
          <w:w w:val="95"/>
          <w:highlight w:val="none"/>
          <w14:textFill>
            <w14:solidFill>
              <w14:schemeClr w14:val="tx1"/>
            </w14:solidFill>
          </w14:textFill>
        </w:rPr>
        <w:t>：</w:t>
      </w:r>
    </w:p>
    <w:p w14:paraId="10E24660">
      <w:pPr>
        <w:pStyle w:val="6"/>
        <w:spacing w:line="244" w:lineRule="auto"/>
        <w:ind w:left="1268" w:right="6757"/>
        <w:rPr>
          <w:rFonts w:hint="eastAsia" w:ascii="华文仿宋" w:hAnsi="华文仿宋" w:eastAsia="华文仿宋" w:cs="华文仿宋"/>
          <w:color w:val="000000" w:themeColor="text1"/>
          <w:spacing w:val="-6"/>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供应商授权代表签字</w:t>
      </w:r>
      <w:r>
        <w:rPr>
          <w:rFonts w:hint="eastAsia" w:ascii="华文仿宋" w:hAnsi="华文仿宋" w:eastAsia="华文仿宋" w:cs="华文仿宋"/>
          <w:color w:val="000000" w:themeColor="text1"/>
          <w:spacing w:val="-6"/>
          <w:highlight w:val="none"/>
          <w14:textFill>
            <w14:solidFill>
              <w14:schemeClr w14:val="tx1"/>
            </w14:solidFill>
          </w14:textFill>
        </w:rPr>
        <w:t xml:space="preserve">： </w:t>
      </w:r>
    </w:p>
    <w:p w14:paraId="7D6905A8">
      <w:pPr>
        <w:pStyle w:val="6"/>
        <w:spacing w:line="244" w:lineRule="auto"/>
        <w:ind w:left="1268" w:right="675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联系电话:</w:t>
      </w:r>
    </w:p>
    <w:p w14:paraId="0A6990AA">
      <w:pPr>
        <w:pStyle w:val="6"/>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日</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期：</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322E2ACB">
      <w:pPr>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5"/>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2D943CDD">
      <w:pPr>
        <w:spacing w:line="265" w:lineRule="exact"/>
        <w:rPr>
          <w:rFonts w:hint="eastAsia" w:ascii="华文仿宋" w:hAnsi="华文仿宋" w:eastAsia="华文仿宋" w:cs="仿宋"/>
          <w:color w:val="000000" w:themeColor="text1"/>
          <w:highlight w:val="none"/>
          <w:lang w:val="en-US"/>
          <w14:textFill>
            <w14:solidFill>
              <w14:schemeClr w14:val="tx1"/>
            </w14:solidFill>
          </w14:textFill>
        </w:rPr>
        <w:sectPr>
          <w:type w:val="continuous"/>
          <w:pgSz w:w="11910" w:h="16840"/>
          <w:pgMar w:top="1340" w:right="380" w:bottom="1180" w:left="560" w:header="720" w:footer="720" w:gutter="0"/>
          <w:cols w:space="720" w:num="1"/>
        </w:sectPr>
      </w:pPr>
    </w:p>
    <w:p w14:paraId="0F329B39">
      <w:pPr>
        <w:pStyle w:val="3"/>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4" w:name="四、磋商分项报价表"/>
      <w:bookmarkEnd w:id="64"/>
      <w:bookmarkStart w:id="65" w:name="_bookmark15"/>
      <w:bookmarkEnd w:id="65"/>
      <w:r>
        <w:rPr>
          <w:rFonts w:hint="eastAsia" w:ascii="华文仿宋" w:hAnsi="华文仿宋" w:eastAsia="华文仿宋" w:cs="仿宋"/>
          <w:color w:val="000000" w:themeColor="text1"/>
          <w:highlight w:val="none"/>
          <w14:textFill>
            <w14:solidFill>
              <w14:schemeClr w14:val="tx1"/>
            </w14:solidFill>
          </w14:textFill>
        </w:rPr>
        <w:t>二、法定代表人授权委托书</w:t>
      </w:r>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6"/>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6"/>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6"/>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6"/>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6"/>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7"/>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7"/>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7"/>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7"/>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7"/>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7"/>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6"/>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6"/>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3"/>
        <w:ind w:left="743"/>
        <w:rPr>
          <w:rFonts w:hint="eastAsia" w:ascii="华文仿宋" w:hAnsi="华文仿宋" w:eastAsia="华文仿宋" w:cs="仿宋"/>
          <w:color w:val="000000" w:themeColor="text1"/>
          <w:highlight w:val="none"/>
          <w14:textFill>
            <w14:solidFill>
              <w14:schemeClr w14:val="tx1"/>
            </w14:solidFill>
          </w14:textFill>
        </w:rPr>
      </w:pPr>
      <w:bookmarkStart w:id="66" w:name="_bookmark16"/>
      <w:bookmarkEnd w:id="66"/>
      <w:bookmarkStart w:id="67" w:name="三、磋商报价汇总表"/>
      <w:bookmarkEnd w:id="67"/>
    </w:p>
    <w:p w14:paraId="75B34DC2">
      <w:pPr>
        <w:pStyle w:val="3"/>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3"/>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3"/>
        <w:rPr>
          <w:rFonts w:hint="eastAsia" w:ascii="华文仿宋" w:hAnsi="华文仿宋" w:eastAsia="华文仿宋" w:cs="仿宋"/>
          <w:b w:val="0"/>
          <w:color w:val="000000" w:themeColor="text1"/>
          <w:sz w:val="39"/>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三、磋商报价汇总表</w:t>
      </w:r>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6"/>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6"/>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6"/>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3"/>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0"/>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0"/>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43C6D490">
            <w:pPr>
              <w:pStyle w:val="20"/>
              <w:tabs>
                <w:tab w:val="left" w:pos="273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bookmarkStart w:id="91" w:name="_GoBack"/>
            <w:bookmarkEnd w:id="91"/>
            <w:r>
              <w:rPr>
                <w:rFonts w:hint="eastAsia" w:ascii="华文仿宋" w:hAnsi="华文仿宋" w:eastAsia="华文仿宋" w:cs="仿宋"/>
                <w:color w:val="000000" w:themeColor="text1"/>
                <w:sz w:val="21"/>
                <w:highlight w:val="none"/>
                <w14:textFill>
                  <w14:solidFill>
                    <w14:schemeClr w14:val="tx1"/>
                  </w14:solidFill>
                </w14:textFill>
              </w:rPr>
              <w:t>按《江苏省建设工程质量检测和建筑材料试验收费标准》（苏价服[2001] 113号）收费标准的</w:t>
            </w: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w:t>
            </w:r>
          </w:p>
        </w:tc>
        <w:tc>
          <w:tcPr>
            <w:tcW w:w="1680" w:type="dxa"/>
          </w:tcPr>
          <w:p w14:paraId="049174E4">
            <w:pPr>
              <w:pStyle w:val="20"/>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0"/>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0"/>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0"/>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0"/>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0"/>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0"/>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0"/>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0"/>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6"/>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6"/>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6"/>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6"/>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289CFFD4">
      <w:pPr>
        <w:pStyle w:val="3"/>
        <w:spacing w:before="62"/>
        <w:ind w:left="743"/>
        <w:rPr>
          <w:rFonts w:hint="eastAsia" w:ascii="华文仿宋" w:hAnsi="华文仿宋" w:eastAsia="华文仿宋" w:cs="仿宋"/>
          <w:color w:val="000000" w:themeColor="text1"/>
          <w:highlight w:val="none"/>
          <w14:textFill>
            <w14:solidFill>
              <w14:schemeClr w14:val="tx1"/>
            </w14:solidFill>
          </w14:textFill>
        </w:rPr>
      </w:pPr>
      <w:bookmarkStart w:id="68" w:name="_bookmark17"/>
      <w:bookmarkEnd w:id="68"/>
      <w:bookmarkStart w:id="69" w:name="七、商务条款响应表"/>
      <w:bookmarkEnd w:id="69"/>
    </w:p>
    <w:p w14:paraId="5F5592B7">
      <w:pPr>
        <w:pStyle w:val="3"/>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四、磋商分项报价表</w:t>
      </w: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无）</w:t>
      </w:r>
    </w:p>
    <w:p w14:paraId="79154C74">
      <w:pPr>
        <w:pStyle w:val="6"/>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rPr>
          <w:rFonts w:hint="eastAsia" w:ascii="华文仿宋" w:hAnsi="华文仿宋" w:eastAsia="华文仿宋" w:cs="仿宋"/>
          <w:b/>
          <w:color w:val="000000" w:themeColor="text1"/>
          <w:sz w:val="24"/>
          <w:highlight w:val="none"/>
          <w14:textFill>
            <w14:solidFill>
              <w14:schemeClr w14:val="tx1"/>
            </w14:solidFill>
          </w14:textFill>
        </w:rPr>
      </w:pPr>
      <w:bookmarkStart w:id="70" w:name="六、资格证明"/>
      <w:bookmarkEnd w:id="70"/>
      <w:bookmarkStart w:id="71" w:name="_bookmark19"/>
      <w:bookmarkEnd w:id="71"/>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6"/>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rPr>
          <w:rFonts w:hint="eastAsia" w:ascii="华文仿宋" w:hAnsi="华文仿宋" w:eastAsia="华文仿宋" w:cs="仿宋"/>
          <w:b/>
          <w:color w:val="000000" w:themeColor="text1"/>
          <w:sz w:val="24"/>
          <w:highlight w:val="none"/>
          <w14:textFill>
            <w14:solidFill>
              <w14:schemeClr w14:val="tx1"/>
            </w14:solidFill>
          </w14:textFill>
        </w:rPr>
      </w:pPr>
      <w:bookmarkStart w:id="72" w:name="_bookmark20"/>
      <w:bookmarkEnd w:id="72"/>
      <w:bookmarkStart w:id="73" w:name="九、项目参与人员基本情况表"/>
      <w:bookmarkEnd w:id="73"/>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43F015C0">
      <w:pPr>
        <w:pStyle w:val="6"/>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6"/>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6"/>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3"/>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0"/>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0"/>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0"/>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0"/>
              <w:spacing w:before="65"/>
              <w:ind w:left="42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0"/>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0"/>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0"/>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0"/>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0"/>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0"/>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0"/>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0"/>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6"/>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6"/>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rPr>
          <w:rFonts w:hint="eastAsia" w:ascii="华文仿宋" w:hAnsi="华文仿宋" w:eastAsia="华文仿宋" w:cs="仿宋"/>
          <w:b/>
          <w:color w:val="000000" w:themeColor="text1"/>
          <w:sz w:val="24"/>
          <w:highlight w:val="none"/>
          <w14:textFill>
            <w14:solidFill>
              <w14:schemeClr w14:val="tx1"/>
            </w14:solidFill>
          </w14:textFill>
        </w:rPr>
      </w:pPr>
      <w:bookmarkStart w:id="74" w:name="_bookmark21"/>
      <w:bookmarkEnd w:id="74"/>
      <w:bookmarkStart w:id="75" w:name="八、项目实施方案"/>
      <w:bookmarkEnd w:id="75"/>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6"/>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6" w:name="十、技术规格偏离表"/>
      <w:bookmarkEnd w:id="76"/>
      <w:bookmarkStart w:id="77" w:name="_bookmark22"/>
      <w:bookmarkEnd w:id="77"/>
    </w:p>
    <w:p w14:paraId="307D73D2">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0DE8DC2E">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266368C1">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36CACEEC">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20B9D99F">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3"/>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3"/>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B96E103">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0"/>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0"/>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0"/>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0"/>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0"/>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0"/>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0"/>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6"/>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0"/>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2EE16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14E301F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D0579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6B3145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A7B592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9B8DBB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030FE24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76FA60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705C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F28D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574CEB0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9482C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5249F67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0109197D">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A339F2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47FD43E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1263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0153339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4FF5BEB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D1F582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FFA188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77F90A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6066B166">
            <w:pPr>
              <w:pStyle w:val="20"/>
              <w:jc w:val="center"/>
              <w:rPr>
                <w:rFonts w:hint="default" w:ascii="华文仿宋" w:hAnsi="华文仿宋" w:eastAsia="华文仿宋" w:cs="华文仿宋"/>
                <w:color w:val="000000" w:themeColor="text1"/>
                <w:sz w:val="20"/>
                <w:highlight w:val="none"/>
                <w:lang w:val="en-US" w:eastAsia="zh-CN"/>
                <w14:textFill>
                  <w14:solidFill>
                    <w14:schemeClr w14:val="tx1"/>
                  </w14:solidFill>
                </w14:textFill>
              </w:rPr>
            </w:pPr>
          </w:p>
        </w:tc>
        <w:tc>
          <w:tcPr>
            <w:tcW w:w="1208" w:type="dxa"/>
            <w:vAlign w:val="center"/>
          </w:tcPr>
          <w:p w14:paraId="4AEFD0ED">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783C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E725B1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E2E102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4BB0C37">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E1321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23D8648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A2EAD75">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72B44A2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6"/>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6"/>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6"/>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2D6CCDBA">
      <w:pPr>
        <w:rPr>
          <w:rFonts w:hint="eastAsia" w:ascii="华文仿宋" w:hAnsi="华文仿宋" w:eastAsia="华文仿宋" w:cs="仿宋"/>
          <w:color w:val="000000" w:themeColor="text1"/>
          <w:sz w:val="9"/>
          <w:highlight w:val="none"/>
          <w14:textFill>
            <w14:solidFill>
              <w14:schemeClr w14:val="tx1"/>
            </w14:solidFill>
          </w14:textFill>
        </w:rPr>
        <w:sectPr>
          <w:pgSz w:w="11910" w:h="16840"/>
          <w:pgMar w:top="1340" w:right="380" w:bottom="1380" w:left="560" w:header="878" w:footer="1196" w:gutter="0"/>
          <w:cols w:space="720" w:num="1"/>
        </w:sectPr>
      </w:pPr>
    </w:p>
    <w:p w14:paraId="6AEE51D5">
      <w:pPr>
        <w:spacing w:before="66"/>
        <w:ind w:left="743"/>
        <w:rPr>
          <w:rFonts w:hint="eastAsia" w:ascii="华文仿宋" w:hAnsi="华文仿宋" w:eastAsia="华文仿宋" w:cs="仿宋"/>
          <w:b/>
          <w:color w:val="000000" w:themeColor="text1"/>
          <w:sz w:val="24"/>
          <w:highlight w:val="none"/>
          <w14:textFill>
            <w14:solidFill>
              <w14:schemeClr w14:val="tx1"/>
            </w14:solidFill>
          </w14:textFill>
        </w:rPr>
      </w:pPr>
      <w:bookmarkStart w:id="78" w:name="_bookmark23"/>
      <w:bookmarkEnd w:id="78"/>
      <w:bookmarkStart w:id="79" w:name="附件一：具备履行合同所必需的设备和专业技术能力的书面声明"/>
      <w:bookmarkEnd w:id="79"/>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p>
    <w:p w14:paraId="2436C44D">
      <w:pPr>
        <w:pStyle w:val="6"/>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6"/>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6"/>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6"/>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3"/>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0"/>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0"/>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0"/>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0"/>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0"/>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0"/>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0"/>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6"/>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6"/>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6"/>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3"/>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0" w:name="十一、质量保证及服务承诺"/>
      <w:bookmarkEnd w:id="80"/>
      <w:bookmarkStart w:id="81" w:name="_bookmark24"/>
      <w:bookmarkEnd w:id="81"/>
      <w:r>
        <w:rPr>
          <w:rFonts w:hint="eastAsia" w:ascii="华文仿宋" w:hAnsi="华文仿宋" w:eastAsia="华文仿宋" w:cs="仿宋"/>
          <w:color w:val="000000" w:themeColor="text1"/>
          <w:highlight w:val="none"/>
          <w14:textFill>
            <w14:solidFill>
              <w14:schemeClr w14:val="tx1"/>
            </w14:solidFill>
          </w14:textFill>
        </w:rPr>
        <w:t>十、质量保证及服务承诺</w:t>
      </w:r>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6"/>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ML202512002</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秣陵街道市政雨污水管道维修项目材料检测服务</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6"/>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6"/>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6"/>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6"/>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rPr>
          <w:rFonts w:hint="eastAsia" w:ascii="华文仿宋" w:hAnsi="华文仿宋" w:eastAsia="华文仿宋" w:cs="仿宋"/>
          <w:b/>
          <w:color w:val="000000" w:themeColor="text1"/>
          <w:sz w:val="24"/>
          <w:highlight w:val="none"/>
          <w14:textFill>
            <w14:solidFill>
              <w14:schemeClr w14:val="tx1"/>
            </w14:solidFill>
          </w14:textFill>
        </w:rPr>
      </w:pPr>
      <w:bookmarkStart w:id="82" w:name="附件三：中小企业声明函格式、残疾人福利性单位声明函（如有）"/>
      <w:bookmarkEnd w:id="82"/>
      <w:bookmarkStart w:id="83" w:name="_bookmark25"/>
      <w:bookmarkEnd w:id="83"/>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p>
    <w:p w14:paraId="44DC1C7B">
      <w:pPr>
        <w:pStyle w:val="6"/>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6"/>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6"/>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6"/>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6"/>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6"/>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6"/>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6"/>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6"/>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6"/>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rPr>
          <w:rFonts w:hint="eastAsia" w:ascii="华文仿宋" w:hAnsi="华文仿宋" w:eastAsia="华文仿宋" w:cs="仿宋"/>
          <w:b/>
          <w:color w:val="000000" w:themeColor="text1"/>
          <w:sz w:val="24"/>
          <w:highlight w:val="none"/>
          <w14:textFill>
            <w14:solidFill>
              <w14:schemeClr w14:val="tx1"/>
            </w14:solidFill>
          </w14:textFill>
        </w:rPr>
      </w:pPr>
      <w:bookmarkStart w:id="84" w:name="_bookmark26"/>
      <w:bookmarkEnd w:id="84"/>
      <w:bookmarkStart w:id="85" w:name="附件二：无重大违法记录声明格式"/>
      <w:bookmarkEnd w:id="85"/>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6"/>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6"/>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6"/>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6"/>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6"/>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rPr>
          <w:rFonts w:hint="eastAsia" w:ascii="华文仿宋" w:hAnsi="华文仿宋" w:eastAsia="华文仿宋" w:cs="仿宋"/>
          <w:b/>
          <w:color w:val="000000" w:themeColor="text1"/>
          <w:sz w:val="24"/>
          <w:highlight w:val="none"/>
          <w14:textFill>
            <w14:solidFill>
              <w14:schemeClr w14:val="tx1"/>
            </w14:solidFill>
          </w14:textFill>
        </w:rPr>
      </w:pPr>
      <w:bookmarkStart w:id="86" w:name="附件四：南京市政府采购供应商信用记录表"/>
      <w:bookmarkEnd w:id="86"/>
      <w:bookmarkStart w:id="87" w:name="_bookmark27"/>
      <w:bookmarkEnd w:id="87"/>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2"/>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2"/>
        <w:spacing w:line="530" w:lineRule="exact"/>
        <w:jc w:val="both"/>
        <w:rPr>
          <w:rFonts w:hint="eastAsia" w:ascii="华文仿宋" w:hAnsi="华文仿宋" w:eastAsia="华文仿宋"/>
          <w:color w:val="000000"/>
          <w:highlight w:val="none"/>
          <w:lang w:eastAsia="zh-CN"/>
        </w:rPr>
      </w:pPr>
      <w:bookmarkStart w:id="88" w:name="bookmark47"/>
      <w:bookmarkEnd w:id="88"/>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2"/>
        <w:spacing w:line="530" w:lineRule="exact"/>
        <w:jc w:val="both"/>
        <w:rPr>
          <w:rFonts w:hint="eastAsia" w:ascii="华文仿宋" w:hAnsi="华文仿宋" w:eastAsia="华文仿宋"/>
          <w:color w:val="000000"/>
          <w:highlight w:val="none"/>
        </w:rPr>
      </w:pPr>
      <w:bookmarkStart w:id="89" w:name="bookmark48"/>
      <w:bookmarkEnd w:id="89"/>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2"/>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2"/>
        <w:spacing w:line="562" w:lineRule="exact"/>
        <w:ind w:left="3860" w:firstLine="100"/>
        <w:jc w:val="center"/>
        <w:rPr>
          <w:rFonts w:hint="eastAsia" w:ascii="华文仿宋" w:hAnsi="华文仿宋" w:eastAsia="华文仿宋"/>
          <w:color w:val="000000"/>
          <w:highlight w:val="none"/>
        </w:rPr>
      </w:pPr>
    </w:p>
    <w:p w14:paraId="7FBC7FCD">
      <w:pPr>
        <w:pStyle w:val="22"/>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2"/>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6"/>
        <w:rPr>
          <w:rFonts w:hint="eastAsia" w:ascii="华文仿宋" w:hAnsi="华文仿宋" w:eastAsia="华文仿宋"/>
          <w:color w:val="000000"/>
          <w:sz w:val="18"/>
          <w:szCs w:val="18"/>
          <w:highlight w:val="none"/>
          <w:lang w:val="en-US"/>
        </w:rPr>
      </w:pPr>
    </w:p>
    <w:p w14:paraId="0448D0BE">
      <w:pPr>
        <w:pStyle w:val="6"/>
        <w:rPr>
          <w:rFonts w:hint="eastAsia" w:ascii="华文仿宋" w:hAnsi="华文仿宋" w:eastAsia="华文仿宋"/>
          <w:color w:val="000000"/>
          <w:sz w:val="18"/>
          <w:szCs w:val="18"/>
          <w:highlight w:val="none"/>
          <w:lang w:val="en-US"/>
        </w:rPr>
      </w:pPr>
    </w:p>
    <w:p w14:paraId="5AF78CC5">
      <w:pPr>
        <w:pStyle w:val="6"/>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6"/>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6"/>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6"/>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6"/>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6"/>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6"/>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5"/>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3"/>
        <w:spacing w:before="62"/>
        <w:ind w:left="743"/>
        <w:rPr>
          <w:rFonts w:hint="eastAsia" w:ascii="华文仿宋" w:hAnsi="华文仿宋" w:eastAsia="华文仿宋" w:cs="仿宋"/>
          <w:color w:val="000000" w:themeColor="text1"/>
          <w:highlight w:val="none"/>
          <w14:textFill>
            <w14:solidFill>
              <w14:schemeClr w14:val="tx1"/>
            </w14:solidFill>
          </w14:textFill>
        </w:rPr>
      </w:pPr>
      <w:bookmarkStart w:id="90" w:name="_bookmark28"/>
      <w:bookmarkEnd w:id="90"/>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040C07E9">
      <w:pPr>
        <w:pStyle w:val="6"/>
        <w:rPr>
          <w:rFonts w:hint="eastAsia" w:ascii="华文仿宋" w:hAnsi="华文仿宋" w:eastAsia="华文仿宋" w:cs="华文仿宋"/>
          <w:b/>
          <w:color w:val="000000" w:themeColor="text1"/>
          <w:sz w:val="18"/>
          <w:highlight w:val="none"/>
          <w14:textFill>
            <w14:solidFill>
              <w14:schemeClr w14:val="tx1"/>
            </w14:solidFill>
          </w14:textFill>
        </w:rPr>
      </w:pPr>
    </w:p>
    <w:p w14:paraId="4154FF58">
      <w:pPr>
        <w:pStyle w:val="6"/>
        <w:rPr>
          <w:rFonts w:hint="eastAsia" w:ascii="华文仿宋" w:hAnsi="华文仿宋" w:eastAsia="华文仿宋" w:cs="华文仿宋"/>
          <w:b/>
          <w:color w:val="000000" w:themeColor="text1"/>
          <w:sz w:val="18"/>
          <w:highlight w:val="none"/>
          <w14:textFill>
            <w14:solidFill>
              <w14:schemeClr w14:val="tx1"/>
            </w14:solidFill>
          </w14:textFill>
        </w:rPr>
      </w:pPr>
    </w:p>
    <w:p w14:paraId="384EFDE0">
      <w:pPr>
        <w:pStyle w:val="17"/>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华文仿宋" w:hAnsi="华文仿宋" w:eastAsia="华文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6"/>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6"/>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6"/>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9"/>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6"/>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2">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3">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E8A0F27"/>
    <w:multiLevelType w:val="singleLevel"/>
    <w:tmpl w:val="9E8A0F27"/>
    <w:lvl w:ilvl="0" w:tentative="0">
      <w:start w:val="1"/>
      <w:numFmt w:val="decimal"/>
      <w:suff w:val="nothing"/>
      <w:lvlText w:val="%1、"/>
      <w:lvlJc w:val="left"/>
      <w:pPr>
        <w:ind w:left="1023" w:firstLine="0"/>
      </w:pPr>
    </w:lvl>
  </w:abstractNum>
  <w:abstractNum w:abstractNumId="5">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6">
    <w:nsid w:val="B21A52EA"/>
    <w:multiLevelType w:val="singleLevel"/>
    <w:tmpl w:val="B21A52EA"/>
    <w:lvl w:ilvl="0" w:tentative="0">
      <w:start w:val="1"/>
      <w:numFmt w:val="decimal"/>
      <w:suff w:val="nothing"/>
      <w:lvlText w:val="%1．"/>
      <w:lvlJc w:val="left"/>
      <w:pPr>
        <w:ind w:left="-400" w:firstLine="400"/>
      </w:pPr>
      <w:rPr>
        <w:rFonts w:hint="default"/>
        <w:b/>
        <w:bCs/>
      </w:rPr>
    </w:lvl>
  </w:abstractNum>
  <w:abstractNum w:abstractNumId="7">
    <w:nsid w:val="B5CF74F5"/>
    <w:multiLevelType w:val="multilevel"/>
    <w:tmpl w:val="B5CF74F5"/>
    <w:lvl w:ilvl="0" w:tentative="0">
      <w:start w:val="1"/>
      <w:numFmt w:val="decimal"/>
      <w:lvlText w:val="%1."/>
      <w:lvlJc w:val="left"/>
      <w:pPr>
        <w:ind w:left="743" w:hanging="159"/>
      </w:pPr>
      <w:rPr>
        <w:rFonts w:hint="default" w:ascii="Times New Roman" w:hAnsi="Times New Roman" w:eastAsia="Times New Roman" w:cs="Times New Roman"/>
        <w:spacing w:val="0"/>
        <w:w w:val="99"/>
        <w:sz w:val="19"/>
        <w:szCs w:val="19"/>
        <w:lang w:val="zh-CN" w:eastAsia="zh-CN" w:bidi="zh-CN"/>
      </w:rPr>
    </w:lvl>
    <w:lvl w:ilvl="1" w:tentative="0">
      <w:start w:val="1"/>
      <w:numFmt w:val="decimal"/>
      <w:lvlText w:val="%2."/>
      <w:lvlJc w:val="left"/>
      <w:pPr>
        <w:ind w:left="1446" w:hanging="181"/>
        <w:jc w:val="right"/>
      </w:pPr>
      <w:rPr>
        <w:rFonts w:hint="default"/>
        <w:w w:val="100"/>
        <w:lang w:val="zh-CN" w:eastAsia="zh-CN" w:bidi="zh-CN"/>
      </w:rPr>
    </w:lvl>
    <w:lvl w:ilvl="2" w:tentative="0">
      <w:start w:val="0"/>
      <w:numFmt w:val="bullet"/>
      <w:lvlText w:val="•"/>
      <w:lvlJc w:val="left"/>
      <w:pPr>
        <w:ind w:left="2107" w:hanging="181"/>
      </w:pPr>
      <w:rPr>
        <w:rFonts w:hint="default"/>
        <w:lang w:val="zh-CN" w:eastAsia="zh-CN" w:bidi="zh-CN"/>
      </w:rPr>
    </w:lvl>
    <w:lvl w:ilvl="3" w:tentative="0">
      <w:start w:val="0"/>
      <w:numFmt w:val="bullet"/>
      <w:lvlText w:val="•"/>
      <w:lvlJc w:val="left"/>
      <w:pPr>
        <w:ind w:left="2774" w:hanging="181"/>
      </w:pPr>
      <w:rPr>
        <w:rFonts w:hint="default"/>
        <w:lang w:val="zh-CN" w:eastAsia="zh-CN" w:bidi="zh-CN"/>
      </w:rPr>
    </w:lvl>
    <w:lvl w:ilvl="4" w:tentative="0">
      <w:start w:val="0"/>
      <w:numFmt w:val="bullet"/>
      <w:lvlText w:val="•"/>
      <w:lvlJc w:val="left"/>
      <w:pPr>
        <w:ind w:left="3441" w:hanging="181"/>
      </w:pPr>
      <w:rPr>
        <w:rFonts w:hint="default"/>
        <w:lang w:val="zh-CN" w:eastAsia="zh-CN" w:bidi="zh-CN"/>
      </w:rPr>
    </w:lvl>
    <w:lvl w:ilvl="5" w:tentative="0">
      <w:start w:val="0"/>
      <w:numFmt w:val="bullet"/>
      <w:lvlText w:val="•"/>
      <w:lvlJc w:val="left"/>
      <w:pPr>
        <w:ind w:left="4108" w:hanging="181"/>
      </w:pPr>
      <w:rPr>
        <w:rFonts w:hint="default"/>
        <w:lang w:val="zh-CN" w:eastAsia="zh-CN" w:bidi="zh-CN"/>
      </w:rPr>
    </w:lvl>
    <w:lvl w:ilvl="6" w:tentative="0">
      <w:start w:val="0"/>
      <w:numFmt w:val="bullet"/>
      <w:lvlText w:val="•"/>
      <w:lvlJc w:val="left"/>
      <w:pPr>
        <w:ind w:left="4775" w:hanging="181"/>
      </w:pPr>
      <w:rPr>
        <w:rFonts w:hint="default"/>
        <w:lang w:val="zh-CN" w:eastAsia="zh-CN" w:bidi="zh-CN"/>
      </w:rPr>
    </w:lvl>
    <w:lvl w:ilvl="7" w:tentative="0">
      <w:start w:val="0"/>
      <w:numFmt w:val="bullet"/>
      <w:lvlText w:val="•"/>
      <w:lvlJc w:val="left"/>
      <w:pPr>
        <w:ind w:left="5442" w:hanging="181"/>
      </w:pPr>
      <w:rPr>
        <w:rFonts w:hint="default"/>
        <w:lang w:val="zh-CN" w:eastAsia="zh-CN" w:bidi="zh-CN"/>
      </w:rPr>
    </w:lvl>
    <w:lvl w:ilvl="8" w:tentative="0">
      <w:start w:val="0"/>
      <w:numFmt w:val="bullet"/>
      <w:lvlText w:val="•"/>
      <w:lvlJc w:val="left"/>
      <w:pPr>
        <w:ind w:left="6110" w:hanging="181"/>
      </w:pPr>
      <w:rPr>
        <w:rFonts w:hint="default"/>
        <w:lang w:val="zh-CN" w:eastAsia="zh-CN" w:bidi="zh-CN"/>
      </w:rPr>
    </w:lvl>
  </w:abstractNum>
  <w:abstractNum w:abstractNumId="8">
    <w:nsid w:val="BCA8CB0A"/>
    <w:multiLevelType w:val="singleLevel"/>
    <w:tmpl w:val="BCA8CB0A"/>
    <w:lvl w:ilvl="0" w:tentative="0">
      <w:start w:val="1"/>
      <w:numFmt w:val="decimal"/>
      <w:suff w:val="nothing"/>
      <w:lvlText w:val="%1．"/>
      <w:lvlJc w:val="left"/>
      <w:pPr>
        <w:ind w:left="-403" w:firstLine="403"/>
      </w:pPr>
      <w:rPr>
        <w:rFonts w:hint="default"/>
        <w:b/>
        <w:bCs/>
      </w:rPr>
    </w:lvl>
  </w:abstractNum>
  <w:abstractNum w:abstractNumId="9">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0">
    <w:nsid w:val="F309EDA0"/>
    <w:multiLevelType w:val="singleLevel"/>
    <w:tmpl w:val="F309EDA0"/>
    <w:lvl w:ilvl="0" w:tentative="0">
      <w:start w:val="1"/>
      <w:numFmt w:val="decimal"/>
      <w:suff w:val="nothing"/>
      <w:lvlText w:val="%1．"/>
      <w:lvlJc w:val="left"/>
      <w:pPr>
        <w:ind w:left="-400" w:firstLine="400"/>
      </w:pPr>
      <w:rPr>
        <w:rFonts w:hint="default"/>
        <w:b/>
        <w:bCs/>
      </w:rPr>
    </w:lvl>
  </w:abstractNum>
  <w:abstractNum w:abstractNumId="11">
    <w:nsid w:val="F4A942FE"/>
    <w:multiLevelType w:val="multilevel"/>
    <w:tmpl w:val="F4A942FE"/>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2">
    <w:nsid w:val="0242F67B"/>
    <w:multiLevelType w:val="singleLevel"/>
    <w:tmpl w:val="0242F67B"/>
    <w:lvl w:ilvl="0" w:tentative="0">
      <w:start w:val="1"/>
      <w:numFmt w:val="decimal"/>
      <w:suff w:val="nothing"/>
      <w:lvlText w:val="%1．"/>
      <w:lvlJc w:val="left"/>
      <w:pPr>
        <w:ind w:left="-400" w:firstLine="400"/>
      </w:pPr>
      <w:rPr>
        <w:rFonts w:hint="default"/>
        <w:b/>
        <w:bCs/>
      </w:rPr>
    </w:lvl>
  </w:abstractNum>
  <w:abstractNum w:abstractNumId="13">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4">
    <w:nsid w:val="192BEC2A"/>
    <w:multiLevelType w:val="singleLevel"/>
    <w:tmpl w:val="192BEC2A"/>
    <w:lvl w:ilvl="0" w:tentative="0">
      <w:start w:val="1"/>
      <w:numFmt w:val="decimal"/>
      <w:suff w:val="nothing"/>
      <w:lvlText w:val="%1．"/>
      <w:lvlJc w:val="left"/>
      <w:pPr>
        <w:ind w:left="-116" w:firstLine="400"/>
      </w:pPr>
      <w:rPr>
        <w:rFonts w:hint="default"/>
        <w:b/>
        <w:bCs/>
      </w:rPr>
    </w:lvl>
  </w:abstractNum>
  <w:abstractNum w:abstractNumId="15">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16">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7">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8">
    <w:nsid w:val="37C605AC"/>
    <w:multiLevelType w:val="singleLevel"/>
    <w:tmpl w:val="37C605AC"/>
    <w:lvl w:ilvl="0" w:tentative="0">
      <w:start w:val="1"/>
      <w:numFmt w:val="chineseCounting"/>
      <w:suff w:val="nothing"/>
      <w:lvlText w:val="（%1）"/>
      <w:lvlJc w:val="left"/>
      <w:pPr>
        <w:ind w:left="-420" w:firstLine="420"/>
      </w:pPr>
      <w:rPr>
        <w:rFonts w:hint="eastAsia"/>
      </w:rPr>
    </w:lvl>
  </w:abstractNum>
  <w:abstractNum w:abstractNumId="19">
    <w:nsid w:val="3F94BD87"/>
    <w:multiLevelType w:val="singleLevel"/>
    <w:tmpl w:val="3F94BD87"/>
    <w:lvl w:ilvl="0" w:tentative="0">
      <w:start w:val="1"/>
      <w:numFmt w:val="decimal"/>
      <w:suff w:val="nothing"/>
      <w:lvlText w:val="%1．"/>
      <w:lvlJc w:val="left"/>
      <w:pPr>
        <w:ind w:left="26" w:firstLine="400"/>
      </w:pPr>
      <w:rPr>
        <w:rFonts w:hint="default"/>
        <w:b/>
        <w:bCs/>
      </w:rPr>
    </w:lvl>
  </w:abstractNum>
  <w:abstractNum w:abstractNumId="20">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21">
    <w:nsid w:val="463A2AAC"/>
    <w:multiLevelType w:val="singleLevel"/>
    <w:tmpl w:val="463A2AAC"/>
    <w:lvl w:ilvl="0" w:tentative="0">
      <w:start w:val="1"/>
      <w:numFmt w:val="decimal"/>
      <w:suff w:val="nothing"/>
      <w:lvlText w:val="%1、"/>
      <w:lvlJc w:val="left"/>
      <w:pPr>
        <w:ind w:left="340"/>
      </w:pPr>
    </w:lvl>
  </w:abstractNum>
  <w:abstractNum w:abstractNumId="22">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23">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24">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25">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abstractNum w:abstractNumId="26">
    <w:nsid w:val="64C0CB79"/>
    <w:multiLevelType w:val="multilevel"/>
    <w:tmpl w:val="64C0CB79"/>
    <w:lvl w:ilvl="0" w:tentative="0">
      <w:start w:val="1"/>
      <w:numFmt w:val="decimal"/>
      <w:lvlText w:val="（%1）"/>
      <w:lvlJc w:val="left"/>
      <w:pPr>
        <w:ind w:left="169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626" w:hanging="527"/>
      </w:pPr>
      <w:rPr>
        <w:rFonts w:hint="default"/>
        <w:lang w:val="zh-CN" w:eastAsia="zh-CN" w:bidi="zh-CN"/>
      </w:rPr>
    </w:lvl>
    <w:lvl w:ilvl="2" w:tentative="0">
      <w:start w:val="0"/>
      <w:numFmt w:val="bullet"/>
      <w:lvlText w:val="•"/>
      <w:lvlJc w:val="left"/>
      <w:pPr>
        <w:ind w:left="3553" w:hanging="527"/>
      </w:pPr>
      <w:rPr>
        <w:rFonts w:hint="default"/>
        <w:lang w:val="zh-CN" w:eastAsia="zh-CN" w:bidi="zh-CN"/>
      </w:rPr>
    </w:lvl>
    <w:lvl w:ilvl="3" w:tentative="0">
      <w:start w:val="0"/>
      <w:numFmt w:val="bullet"/>
      <w:lvlText w:val="•"/>
      <w:lvlJc w:val="left"/>
      <w:pPr>
        <w:ind w:left="4479" w:hanging="527"/>
      </w:pPr>
      <w:rPr>
        <w:rFonts w:hint="default"/>
        <w:lang w:val="zh-CN" w:eastAsia="zh-CN" w:bidi="zh-CN"/>
      </w:rPr>
    </w:lvl>
    <w:lvl w:ilvl="4" w:tentative="0">
      <w:start w:val="0"/>
      <w:numFmt w:val="bullet"/>
      <w:lvlText w:val="•"/>
      <w:lvlJc w:val="left"/>
      <w:pPr>
        <w:ind w:left="5406" w:hanging="527"/>
      </w:pPr>
      <w:rPr>
        <w:rFonts w:hint="default"/>
        <w:lang w:val="zh-CN" w:eastAsia="zh-CN" w:bidi="zh-CN"/>
      </w:rPr>
    </w:lvl>
    <w:lvl w:ilvl="5" w:tentative="0">
      <w:start w:val="0"/>
      <w:numFmt w:val="bullet"/>
      <w:lvlText w:val="•"/>
      <w:lvlJc w:val="left"/>
      <w:pPr>
        <w:ind w:left="6333" w:hanging="527"/>
      </w:pPr>
      <w:rPr>
        <w:rFonts w:hint="default"/>
        <w:lang w:val="zh-CN" w:eastAsia="zh-CN" w:bidi="zh-CN"/>
      </w:rPr>
    </w:lvl>
    <w:lvl w:ilvl="6" w:tentative="0">
      <w:start w:val="0"/>
      <w:numFmt w:val="bullet"/>
      <w:lvlText w:val="•"/>
      <w:lvlJc w:val="left"/>
      <w:pPr>
        <w:ind w:left="7259" w:hanging="527"/>
      </w:pPr>
      <w:rPr>
        <w:rFonts w:hint="default"/>
        <w:lang w:val="zh-CN" w:eastAsia="zh-CN" w:bidi="zh-CN"/>
      </w:rPr>
    </w:lvl>
    <w:lvl w:ilvl="7" w:tentative="0">
      <w:start w:val="0"/>
      <w:numFmt w:val="bullet"/>
      <w:lvlText w:val="•"/>
      <w:lvlJc w:val="left"/>
      <w:pPr>
        <w:ind w:left="8186" w:hanging="527"/>
      </w:pPr>
      <w:rPr>
        <w:rFonts w:hint="default"/>
        <w:lang w:val="zh-CN" w:eastAsia="zh-CN" w:bidi="zh-CN"/>
      </w:rPr>
    </w:lvl>
    <w:lvl w:ilvl="8" w:tentative="0">
      <w:start w:val="0"/>
      <w:numFmt w:val="bullet"/>
      <w:lvlText w:val="•"/>
      <w:lvlJc w:val="left"/>
      <w:pPr>
        <w:ind w:left="9112" w:hanging="527"/>
      </w:pPr>
      <w:rPr>
        <w:rFonts w:hint="default"/>
        <w:lang w:val="zh-CN" w:eastAsia="zh-CN" w:bidi="zh-CN"/>
      </w:rPr>
    </w:lvl>
  </w:abstractNum>
  <w:abstractNum w:abstractNumId="27">
    <w:nsid w:val="7AE5A316"/>
    <w:multiLevelType w:val="singleLevel"/>
    <w:tmpl w:val="7AE5A316"/>
    <w:lvl w:ilvl="0" w:tentative="0">
      <w:start w:val="1"/>
      <w:numFmt w:val="chineseCounting"/>
      <w:suff w:val="space"/>
      <w:lvlText w:val="第%1条"/>
      <w:lvlJc w:val="left"/>
      <w:rPr>
        <w:rFonts w:hint="eastAsia"/>
        <w:b/>
        <w:bCs/>
      </w:rPr>
    </w:lvl>
  </w:abstractNum>
  <w:num w:numId="1">
    <w:abstractNumId w:val="21"/>
  </w:num>
  <w:num w:numId="2">
    <w:abstractNumId w:val="25"/>
  </w:num>
  <w:num w:numId="3">
    <w:abstractNumId w:val="0"/>
  </w:num>
  <w:num w:numId="4">
    <w:abstractNumId w:val="1"/>
  </w:num>
  <w:num w:numId="5">
    <w:abstractNumId w:val="22"/>
  </w:num>
  <w:num w:numId="6">
    <w:abstractNumId w:val="5"/>
  </w:num>
  <w:num w:numId="7">
    <w:abstractNumId w:val="11"/>
  </w:num>
  <w:num w:numId="8">
    <w:abstractNumId w:val="24"/>
  </w:num>
  <w:num w:numId="9">
    <w:abstractNumId w:val="4"/>
  </w:num>
  <w:num w:numId="10">
    <w:abstractNumId w:val="3"/>
  </w:num>
  <w:num w:numId="11">
    <w:abstractNumId w:val="16"/>
  </w:num>
  <w:num w:numId="12">
    <w:abstractNumId w:val="9"/>
  </w:num>
  <w:num w:numId="13">
    <w:abstractNumId w:val="2"/>
  </w:num>
  <w:num w:numId="14">
    <w:abstractNumId w:val="15"/>
  </w:num>
  <w:num w:numId="15">
    <w:abstractNumId w:val="20"/>
  </w:num>
  <w:num w:numId="16">
    <w:abstractNumId w:val="13"/>
  </w:num>
  <w:num w:numId="17">
    <w:abstractNumId w:val="23"/>
  </w:num>
  <w:num w:numId="18">
    <w:abstractNumId w:val="27"/>
  </w:num>
  <w:num w:numId="19">
    <w:abstractNumId w:val="8"/>
  </w:num>
  <w:num w:numId="20">
    <w:abstractNumId w:val="10"/>
  </w:num>
  <w:num w:numId="21">
    <w:abstractNumId w:val="12"/>
  </w:num>
  <w:num w:numId="22">
    <w:abstractNumId w:val="18"/>
  </w:num>
  <w:num w:numId="23">
    <w:abstractNumId w:val="19"/>
  </w:num>
  <w:num w:numId="24">
    <w:abstractNumId w:val="6"/>
  </w:num>
  <w:num w:numId="25">
    <w:abstractNumId w:val="14"/>
  </w:num>
  <w:num w:numId="26">
    <w:abstractNumId w:val="17"/>
  </w:num>
  <w:num w:numId="27">
    <w:abstractNumId w:val="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ED458D"/>
    <w:rsid w:val="022C1359"/>
    <w:rsid w:val="039147B9"/>
    <w:rsid w:val="04293EB0"/>
    <w:rsid w:val="05A27FB2"/>
    <w:rsid w:val="05EE1D70"/>
    <w:rsid w:val="063A6F44"/>
    <w:rsid w:val="0670499F"/>
    <w:rsid w:val="06D96EDB"/>
    <w:rsid w:val="070E4C9A"/>
    <w:rsid w:val="0742791B"/>
    <w:rsid w:val="076042F7"/>
    <w:rsid w:val="077D3F31"/>
    <w:rsid w:val="087B2E44"/>
    <w:rsid w:val="09532A47"/>
    <w:rsid w:val="095E5E38"/>
    <w:rsid w:val="09602E22"/>
    <w:rsid w:val="09C7254B"/>
    <w:rsid w:val="09DC42DC"/>
    <w:rsid w:val="0B305850"/>
    <w:rsid w:val="0B53731D"/>
    <w:rsid w:val="0B5444D9"/>
    <w:rsid w:val="0B642E35"/>
    <w:rsid w:val="0B644A93"/>
    <w:rsid w:val="0B86206A"/>
    <w:rsid w:val="0B987986"/>
    <w:rsid w:val="0BB92EE4"/>
    <w:rsid w:val="0BE37AEB"/>
    <w:rsid w:val="0BE80777"/>
    <w:rsid w:val="0C0F5E88"/>
    <w:rsid w:val="0C923718"/>
    <w:rsid w:val="0C974D4F"/>
    <w:rsid w:val="0E0C7F93"/>
    <w:rsid w:val="0E5A28DD"/>
    <w:rsid w:val="0F3218B2"/>
    <w:rsid w:val="0F3A0931"/>
    <w:rsid w:val="0F554635"/>
    <w:rsid w:val="0F620051"/>
    <w:rsid w:val="0F703E25"/>
    <w:rsid w:val="0FC226D4"/>
    <w:rsid w:val="0FFC570C"/>
    <w:rsid w:val="10873CF6"/>
    <w:rsid w:val="10A65B52"/>
    <w:rsid w:val="111967C2"/>
    <w:rsid w:val="114B426F"/>
    <w:rsid w:val="11980F59"/>
    <w:rsid w:val="11CE0435"/>
    <w:rsid w:val="123D098C"/>
    <w:rsid w:val="12580A95"/>
    <w:rsid w:val="126A2663"/>
    <w:rsid w:val="12A97AF7"/>
    <w:rsid w:val="12C5296B"/>
    <w:rsid w:val="12F108FF"/>
    <w:rsid w:val="12FF7805"/>
    <w:rsid w:val="135D7F2F"/>
    <w:rsid w:val="1437543F"/>
    <w:rsid w:val="14D92F95"/>
    <w:rsid w:val="14E1350B"/>
    <w:rsid w:val="14EA7D79"/>
    <w:rsid w:val="14EF7E3A"/>
    <w:rsid w:val="156A01EB"/>
    <w:rsid w:val="164637E0"/>
    <w:rsid w:val="165878EE"/>
    <w:rsid w:val="16894D2E"/>
    <w:rsid w:val="16917DF7"/>
    <w:rsid w:val="175B72AF"/>
    <w:rsid w:val="17D96556"/>
    <w:rsid w:val="17FD65D0"/>
    <w:rsid w:val="18F20E01"/>
    <w:rsid w:val="198349AA"/>
    <w:rsid w:val="198C0D25"/>
    <w:rsid w:val="1AA44FA5"/>
    <w:rsid w:val="1B0F0EC3"/>
    <w:rsid w:val="1B222279"/>
    <w:rsid w:val="1B2F50C2"/>
    <w:rsid w:val="1B9019AB"/>
    <w:rsid w:val="1B904839"/>
    <w:rsid w:val="1BF97EFD"/>
    <w:rsid w:val="1C330F98"/>
    <w:rsid w:val="1C8A354A"/>
    <w:rsid w:val="1CF738C0"/>
    <w:rsid w:val="1D264D8E"/>
    <w:rsid w:val="1D3369BF"/>
    <w:rsid w:val="1DB05824"/>
    <w:rsid w:val="1E5D02C5"/>
    <w:rsid w:val="1EF36235"/>
    <w:rsid w:val="1F554436"/>
    <w:rsid w:val="1F683D02"/>
    <w:rsid w:val="205D622D"/>
    <w:rsid w:val="20B20F2A"/>
    <w:rsid w:val="21751354"/>
    <w:rsid w:val="22B950A1"/>
    <w:rsid w:val="22F9729B"/>
    <w:rsid w:val="23177F0A"/>
    <w:rsid w:val="237D0ABE"/>
    <w:rsid w:val="23A17F1B"/>
    <w:rsid w:val="23EF168A"/>
    <w:rsid w:val="24643238"/>
    <w:rsid w:val="2465335D"/>
    <w:rsid w:val="249652C5"/>
    <w:rsid w:val="24F079C0"/>
    <w:rsid w:val="250443AC"/>
    <w:rsid w:val="2507093D"/>
    <w:rsid w:val="250C1FD0"/>
    <w:rsid w:val="25143B12"/>
    <w:rsid w:val="25186BC6"/>
    <w:rsid w:val="254C2E10"/>
    <w:rsid w:val="25F077C1"/>
    <w:rsid w:val="26216F03"/>
    <w:rsid w:val="26876E95"/>
    <w:rsid w:val="26AA7235"/>
    <w:rsid w:val="26FE1C15"/>
    <w:rsid w:val="271D3DC8"/>
    <w:rsid w:val="27595274"/>
    <w:rsid w:val="283727E1"/>
    <w:rsid w:val="286B5C54"/>
    <w:rsid w:val="28CB3E86"/>
    <w:rsid w:val="291F01F3"/>
    <w:rsid w:val="2977172B"/>
    <w:rsid w:val="2A0227DD"/>
    <w:rsid w:val="2A3B7CEA"/>
    <w:rsid w:val="2A57354E"/>
    <w:rsid w:val="2C351579"/>
    <w:rsid w:val="2CD849B0"/>
    <w:rsid w:val="2D105BE6"/>
    <w:rsid w:val="2D4F514F"/>
    <w:rsid w:val="2EF56CE0"/>
    <w:rsid w:val="2F3E191F"/>
    <w:rsid w:val="2F4B08F2"/>
    <w:rsid w:val="2F93741A"/>
    <w:rsid w:val="30130901"/>
    <w:rsid w:val="30742D96"/>
    <w:rsid w:val="30B773CC"/>
    <w:rsid w:val="3103392C"/>
    <w:rsid w:val="31076A06"/>
    <w:rsid w:val="31AA4BFA"/>
    <w:rsid w:val="31AC5C63"/>
    <w:rsid w:val="324F79A0"/>
    <w:rsid w:val="325B00F2"/>
    <w:rsid w:val="326E6078"/>
    <w:rsid w:val="32DF5298"/>
    <w:rsid w:val="333B2067"/>
    <w:rsid w:val="33886230"/>
    <w:rsid w:val="348C6C89"/>
    <w:rsid w:val="34FD7A6B"/>
    <w:rsid w:val="35C075BF"/>
    <w:rsid w:val="362870FA"/>
    <w:rsid w:val="366538A6"/>
    <w:rsid w:val="367C6565"/>
    <w:rsid w:val="374D42AF"/>
    <w:rsid w:val="380509AA"/>
    <w:rsid w:val="385E21BC"/>
    <w:rsid w:val="38782C04"/>
    <w:rsid w:val="38A7743D"/>
    <w:rsid w:val="38DC04DB"/>
    <w:rsid w:val="38DF7CCF"/>
    <w:rsid w:val="39F727BE"/>
    <w:rsid w:val="3AE3337B"/>
    <w:rsid w:val="3AF57C58"/>
    <w:rsid w:val="3B8B0AF6"/>
    <w:rsid w:val="3B93481F"/>
    <w:rsid w:val="3B9D7603"/>
    <w:rsid w:val="3BD3479F"/>
    <w:rsid w:val="3C201B02"/>
    <w:rsid w:val="3C3F7A3C"/>
    <w:rsid w:val="3C5C248D"/>
    <w:rsid w:val="3CBD773B"/>
    <w:rsid w:val="3D536B4A"/>
    <w:rsid w:val="3D55540A"/>
    <w:rsid w:val="3D6C13D5"/>
    <w:rsid w:val="3E0E68AD"/>
    <w:rsid w:val="3F193E2E"/>
    <w:rsid w:val="3F4D5267"/>
    <w:rsid w:val="3F9200B9"/>
    <w:rsid w:val="3FF41403"/>
    <w:rsid w:val="400B51A6"/>
    <w:rsid w:val="40BF1A9A"/>
    <w:rsid w:val="41AC581E"/>
    <w:rsid w:val="42302661"/>
    <w:rsid w:val="423A41C8"/>
    <w:rsid w:val="42D53B65"/>
    <w:rsid w:val="433A1E82"/>
    <w:rsid w:val="436B7F8D"/>
    <w:rsid w:val="44543077"/>
    <w:rsid w:val="445A3A94"/>
    <w:rsid w:val="446E7DEB"/>
    <w:rsid w:val="44DC7733"/>
    <w:rsid w:val="45E95270"/>
    <w:rsid w:val="46053C70"/>
    <w:rsid w:val="463A3EB9"/>
    <w:rsid w:val="46BA6F22"/>
    <w:rsid w:val="4703102D"/>
    <w:rsid w:val="48254FD3"/>
    <w:rsid w:val="488B1DD6"/>
    <w:rsid w:val="488B6532"/>
    <w:rsid w:val="48AA2464"/>
    <w:rsid w:val="48CD4344"/>
    <w:rsid w:val="49050A1B"/>
    <w:rsid w:val="490C4958"/>
    <w:rsid w:val="4A7B7A15"/>
    <w:rsid w:val="4AA06B93"/>
    <w:rsid w:val="4B3748C5"/>
    <w:rsid w:val="4B5E4FF7"/>
    <w:rsid w:val="4BA02254"/>
    <w:rsid w:val="4BCD4365"/>
    <w:rsid w:val="4BDB1D65"/>
    <w:rsid w:val="4CA50490"/>
    <w:rsid w:val="4CF052CF"/>
    <w:rsid w:val="4DCA696D"/>
    <w:rsid w:val="4DDE1EAC"/>
    <w:rsid w:val="4E01203E"/>
    <w:rsid w:val="4E16502C"/>
    <w:rsid w:val="4E2306DA"/>
    <w:rsid w:val="4E8477F5"/>
    <w:rsid w:val="4F0C5B74"/>
    <w:rsid w:val="4FC34247"/>
    <w:rsid w:val="50C2704A"/>
    <w:rsid w:val="51B33A0C"/>
    <w:rsid w:val="52236C8C"/>
    <w:rsid w:val="52817600"/>
    <w:rsid w:val="52E4174F"/>
    <w:rsid w:val="535D3DF7"/>
    <w:rsid w:val="536125FC"/>
    <w:rsid w:val="53850738"/>
    <w:rsid w:val="53B04032"/>
    <w:rsid w:val="553C7BCB"/>
    <w:rsid w:val="55FC63EC"/>
    <w:rsid w:val="56147E28"/>
    <w:rsid w:val="56DF417F"/>
    <w:rsid w:val="56F52014"/>
    <w:rsid w:val="57B476CF"/>
    <w:rsid w:val="58075E05"/>
    <w:rsid w:val="5860579F"/>
    <w:rsid w:val="589079BC"/>
    <w:rsid w:val="590A1874"/>
    <w:rsid w:val="5A135113"/>
    <w:rsid w:val="5A335284"/>
    <w:rsid w:val="5A6661D0"/>
    <w:rsid w:val="5A67147B"/>
    <w:rsid w:val="5A722AEF"/>
    <w:rsid w:val="5ACB7C5C"/>
    <w:rsid w:val="5AD016BE"/>
    <w:rsid w:val="5C1D7992"/>
    <w:rsid w:val="5D437F7D"/>
    <w:rsid w:val="5DD30179"/>
    <w:rsid w:val="5DF14EBD"/>
    <w:rsid w:val="5E1503D6"/>
    <w:rsid w:val="5E804305"/>
    <w:rsid w:val="5E8727F8"/>
    <w:rsid w:val="5ED23841"/>
    <w:rsid w:val="5F8C53BF"/>
    <w:rsid w:val="60827675"/>
    <w:rsid w:val="608B09D2"/>
    <w:rsid w:val="608D1C38"/>
    <w:rsid w:val="609C52DB"/>
    <w:rsid w:val="616A1D28"/>
    <w:rsid w:val="619248A7"/>
    <w:rsid w:val="61F0772C"/>
    <w:rsid w:val="62A763D4"/>
    <w:rsid w:val="62BC7E32"/>
    <w:rsid w:val="62C16DEA"/>
    <w:rsid w:val="62E9458C"/>
    <w:rsid w:val="63247F09"/>
    <w:rsid w:val="632F4AEB"/>
    <w:rsid w:val="63381C06"/>
    <w:rsid w:val="63951711"/>
    <w:rsid w:val="656767D3"/>
    <w:rsid w:val="66355663"/>
    <w:rsid w:val="663B24CE"/>
    <w:rsid w:val="671A4F61"/>
    <w:rsid w:val="67FD00C7"/>
    <w:rsid w:val="686B482C"/>
    <w:rsid w:val="686C237F"/>
    <w:rsid w:val="68700178"/>
    <w:rsid w:val="68803354"/>
    <w:rsid w:val="68D3743D"/>
    <w:rsid w:val="69144EB0"/>
    <w:rsid w:val="694842F5"/>
    <w:rsid w:val="694A1784"/>
    <w:rsid w:val="695F613F"/>
    <w:rsid w:val="696142FC"/>
    <w:rsid w:val="697E2F2B"/>
    <w:rsid w:val="69EC54F9"/>
    <w:rsid w:val="69F70D87"/>
    <w:rsid w:val="6AA84B94"/>
    <w:rsid w:val="6B150E28"/>
    <w:rsid w:val="6B460314"/>
    <w:rsid w:val="6B6566ED"/>
    <w:rsid w:val="6D513FF0"/>
    <w:rsid w:val="6E2D1719"/>
    <w:rsid w:val="6E707590"/>
    <w:rsid w:val="6E8300C9"/>
    <w:rsid w:val="6E942723"/>
    <w:rsid w:val="6F210DAB"/>
    <w:rsid w:val="6FE50F85"/>
    <w:rsid w:val="70071A4D"/>
    <w:rsid w:val="702F68CE"/>
    <w:rsid w:val="70355B98"/>
    <w:rsid w:val="70F60F5C"/>
    <w:rsid w:val="71097329"/>
    <w:rsid w:val="71412853"/>
    <w:rsid w:val="71565AB6"/>
    <w:rsid w:val="71A71A2C"/>
    <w:rsid w:val="71D52B42"/>
    <w:rsid w:val="71F13D46"/>
    <w:rsid w:val="72856D9A"/>
    <w:rsid w:val="72B1796F"/>
    <w:rsid w:val="72C3479D"/>
    <w:rsid w:val="72D740DE"/>
    <w:rsid w:val="72FD42D3"/>
    <w:rsid w:val="74371495"/>
    <w:rsid w:val="7439488A"/>
    <w:rsid w:val="743F507D"/>
    <w:rsid w:val="74753096"/>
    <w:rsid w:val="74C06179"/>
    <w:rsid w:val="74CD787B"/>
    <w:rsid w:val="753300A9"/>
    <w:rsid w:val="75B94E29"/>
    <w:rsid w:val="7612404B"/>
    <w:rsid w:val="761E07C6"/>
    <w:rsid w:val="765E0FEC"/>
    <w:rsid w:val="770025E3"/>
    <w:rsid w:val="77A25449"/>
    <w:rsid w:val="78011004"/>
    <w:rsid w:val="780770F9"/>
    <w:rsid w:val="781C68DB"/>
    <w:rsid w:val="78AB15B9"/>
    <w:rsid w:val="78AF7473"/>
    <w:rsid w:val="78E154B8"/>
    <w:rsid w:val="78F61296"/>
    <w:rsid w:val="79106CC7"/>
    <w:rsid w:val="797A05F4"/>
    <w:rsid w:val="79D23612"/>
    <w:rsid w:val="7A2A38C7"/>
    <w:rsid w:val="7A5E4818"/>
    <w:rsid w:val="7ABE79C2"/>
    <w:rsid w:val="7ADD72A3"/>
    <w:rsid w:val="7B047DB8"/>
    <w:rsid w:val="7BE215B8"/>
    <w:rsid w:val="7BF73BBE"/>
    <w:rsid w:val="7C122B9D"/>
    <w:rsid w:val="7C22076D"/>
    <w:rsid w:val="7CAA05CB"/>
    <w:rsid w:val="7CF245B2"/>
    <w:rsid w:val="7D4B5E96"/>
    <w:rsid w:val="7DFF1847"/>
    <w:rsid w:val="7EF24F07"/>
    <w:rsid w:val="7F4A6AAE"/>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8"/>
      <w:jc w:val="center"/>
      <w:outlineLvl w:val="0"/>
    </w:pPr>
    <w:rPr>
      <w:rFonts w:ascii="黑体" w:hAnsi="黑体" w:eastAsia="黑体" w:cs="黑体"/>
      <w:sz w:val="30"/>
      <w:szCs w:val="30"/>
    </w:rPr>
  </w:style>
  <w:style w:type="paragraph" w:styleId="3">
    <w:name w:val="heading 2"/>
    <w:basedOn w:val="1"/>
    <w:next w:val="1"/>
    <w:qFormat/>
    <w:uiPriority w:val="1"/>
    <w:pPr>
      <w:ind w:left="323"/>
      <w:outlineLvl w:val="1"/>
    </w:pPr>
    <w:rPr>
      <w:b/>
      <w:bCs/>
      <w:sz w:val="21"/>
      <w:szCs w:val="21"/>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1"/>
    <w:rPr>
      <w:sz w:val="21"/>
      <w:szCs w:val="21"/>
    </w:rPr>
  </w:style>
  <w:style w:type="paragraph" w:styleId="7">
    <w:name w:val="Plain Text"/>
    <w:basedOn w:val="1"/>
    <w:qFormat/>
    <w:uiPriority w:val="0"/>
    <w:rPr>
      <w:rFonts w:hAnsi="Courier New" w:cs="楷体_GB2312"/>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1"/>
    <w:pPr>
      <w:spacing w:before="43"/>
      <w:ind w:left="323"/>
    </w:pPr>
    <w:rPr>
      <w:rFonts w:ascii="黑体" w:hAnsi="黑体" w:eastAsia="黑体" w:cs="黑体"/>
      <w:sz w:val="21"/>
      <w:szCs w:val="21"/>
    </w:rPr>
  </w:style>
  <w:style w:type="paragraph" w:styleId="11">
    <w:name w:val="toc 2"/>
    <w:basedOn w:val="1"/>
    <w:next w:val="1"/>
    <w:qFormat/>
    <w:uiPriority w:val="1"/>
    <w:pPr>
      <w:spacing w:before="43"/>
      <w:ind w:left="743"/>
    </w:pPr>
    <w:rPr>
      <w:sz w:val="21"/>
      <w:szCs w:val="21"/>
    </w:rPr>
  </w:style>
  <w:style w:type="paragraph" w:styleId="12">
    <w:name w:val="Normal (Web)"/>
    <w:basedOn w:val="1"/>
    <w:qFormat/>
    <w:uiPriority w:val="0"/>
    <w:pPr>
      <w:widowControl/>
      <w:spacing w:before="100" w:beforeAutospacing="1" w:after="100"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paragraph" w:styleId="17">
    <w:name w:val="List Paragraph"/>
    <w:basedOn w:val="1"/>
    <w:next w:val="1"/>
    <w:qFormat/>
    <w:uiPriority w:val="1"/>
    <w:pPr>
      <w:ind w:left="323" w:firstLine="420"/>
    </w:pPr>
  </w:style>
  <w:style w:type="paragraph" w:customStyle="1" w:styleId="18">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TOC 标题1"/>
    <w:basedOn w:val="2"/>
    <w:next w:val="1"/>
    <w:qFormat/>
    <w:uiPriority w:val="0"/>
    <w:pPr>
      <w:outlineLvl w:val="9"/>
    </w:pPr>
  </w:style>
  <w:style w:type="paragraph" w:customStyle="1" w:styleId="22">
    <w:name w:val="Body text|1"/>
    <w:basedOn w:val="1"/>
    <w:qFormat/>
    <w:uiPriority w:val="0"/>
    <w:pPr>
      <w:spacing w:line="377" w:lineRule="auto"/>
      <w:ind w:firstLine="400"/>
    </w:pPr>
    <w:rPr>
      <w:lang w:val="zh-TW" w:eastAsia="zh-TW" w:bidi="zh-TW"/>
    </w:rPr>
  </w:style>
  <w:style w:type="paragraph" w:customStyle="1" w:styleId="23">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首行缩进"/>
    <w:basedOn w:val="1"/>
    <w:qFormat/>
    <w:uiPriority w:val="99"/>
    <w:pPr>
      <w:ind w:firstLine="480" w:firstLineChars="200"/>
    </w:pPr>
    <w:rPr>
      <w:rFonts w:ascii="Calibri" w:hAnsi="Calibri" w:cs="Times New Roman"/>
      <w:szCs w:val="20"/>
    </w:rPr>
  </w:style>
  <w:style w:type="character" w:customStyle="1" w:styleId="25">
    <w:name w:val="页眉 字符"/>
    <w:basedOn w:val="15"/>
    <w:link w:val="9"/>
    <w:qFormat/>
    <w:uiPriority w:val="0"/>
    <w:rPr>
      <w:rFonts w:ascii="宋体" w:hAnsi="宋体" w:eastAsia="宋体" w:cs="宋体"/>
      <w:sz w:val="18"/>
      <w:szCs w:val="18"/>
      <w:lang w:val="zh-CN" w:bidi="zh-CN"/>
    </w:rPr>
  </w:style>
  <w:style w:type="character" w:customStyle="1" w:styleId="26">
    <w:name w:val="正文文本 字符"/>
    <w:basedOn w:val="15"/>
    <w:link w:val="6"/>
    <w:qFormat/>
    <w:uiPriority w:val="1"/>
    <w:rPr>
      <w:rFonts w:ascii="宋体" w:hAnsi="宋体" w:eastAsia="宋体" w:cs="宋体"/>
      <w:sz w:val="21"/>
      <w:szCs w:val="21"/>
      <w:lang w:val="zh-CN" w:bidi="zh-CN"/>
    </w:rPr>
  </w:style>
  <w:style w:type="paragraph" w:customStyle="1" w:styleId="27">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列出段落11"/>
    <w:basedOn w:val="1"/>
    <w:qFormat/>
    <w:uiPriority w:val="0"/>
    <w:pPr>
      <w:ind w:firstLine="420" w:firstLineChars="200"/>
    </w:pPr>
    <w:rPr>
      <w:rFonts w:ascii="Calibri" w:hAnsi="Calibri"/>
    </w:rPr>
  </w:style>
  <w:style w:type="character" w:customStyle="1" w:styleId="29">
    <w:name w:val="font01"/>
    <w:basedOn w:val="15"/>
    <w:qFormat/>
    <w:uiPriority w:val="0"/>
    <w:rPr>
      <w:rFonts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2"/>
      <w:szCs w:val="22"/>
      <w:u w:val="none"/>
    </w:rPr>
  </w:style>
  <w:style w:type="character" w:customStyle="1" w:styleId="31">
    <w:name w:val="font21"/>
    <w:basedOn w:val="15"/>
    <w:qFormat/>
    <w:uiPriority w:val="0"/>
    <w:rPr>
      <w:rFonts w:hint="eastAsia" w:ascii="宋体" w:hAnsi="宋体" w:eastAsia="宋体" w:cs="宋体"/>
      <w:color w:val="000000"/>
      <w:sz w:val="23"/>
      <w:szCs w:val="23"/>
      <w:u w:val="none"/>
    </w:rPr>
  </w:style>
  <w:style w:type="character" w:customStyle="1" w:styleId="32">
    <w:name w:val="font31"/>
    <w:basedOn w:val="15"/>
    <w:qFormat/>
    <w:uiPriority w:val="0"/>
    <w:rPr>
      <w:rFonts w:hint="eastAsia" w:ascii="宋体" w:hAnsi="宋体" w:eastAsia="宋体" w:cs="宋体"/>
      <w:b/>
      <w:bCs/>
      <w:color w:val="000000"/>
      <w:sz w:val="40"/>
      <w:szCs w:val="40"/>
      <w:u w:val="none"/>
    </w:rPr>
  </w:style>
  <w:style w:type="character" w:customStyle="1" w:styleId="33">
    <w:name w:val="font112"/>
    <w:basedOn w:val="15"/>
    <w:qFormat/>
    <w:uiPriority w:val="0"/>
    <w:rPr>
      <w:rFonts w:hint="eastAsia" w:ascii="宋体" w:hAnsi="宋体" w:eastAsia="宋体" w:cs="宋体"/>
      <w:b/>
      <w:bCs/>
      <w:color w:val="000000"/>
      <w:sz w:val="40"/>
      <w:szCs w:val="40"/>
      <w:u w:val="single"/>
    </w:rPr>
  </w:style>
  <w:style w:type="character" w:customStyle="1" w:styleId="34">
    <w:name w:val="font51"/>
    <w:basedOn w:val="15"/>
    <w:qFormat/>
    <w:uiPriority w:val="0"/>
    <w:rPr>
      <w:rFonts w:hint="eastAsia" w:ascii="宋体" w:hAnsi="宋体" w:eastAsia="宋体" w:cs="宋体"/>
      <w:color w:val="000000"/>
      <w:sz w:val="21"/>
      <w:szCs w:val="21"/>
      <w:u w:val="none"/>
    </w:rPr>
  </w:style>
  <w:style w:type="character" w:customStyle="1" w:styleId="35">
    <w:name w:val="font81"/>
    <w:basedOn w:val="15"/>
    <w:qFormat/>
    <w:uiPriority w:val="0"/>
    <w:rPr>
      <w:rFonts w:hint="default" w:ascii="Calibri" w:hAnsi="Calibri" w:cs="Calibri"/>
      <w:color w:val="000000"/>
      <w:sz w:val="21"/>
      <w:szCs w:val="21"/>
      <w:u w:val="none"/>
    </w:rPr>
  </w:style>
  <w:style w:type="character" w:customStyle="1" w:styleId="36">
    <w:name w:val="font111"/>
    <w:basedOn w:val="15"/>
    <w:qFormat/>
    <w:uiPriority w:val="0"/>
    <w:rPr>
      <w:rFonts w:hint="eastAsia" w:ascii="宋体" w:hAnsi="宋体" w:eastAsia="宋体" w:cs="宋体"/>
      <w:b/>
      <w:bCs/>
      <w:color w:val="000000"/>
      <w:sz w:val="40"/>
      <w:szCs w:val="40"/>
      <w:u w:val="single"/>
    </w:rPr>
  </w:style>
  <w:style w:type="character" w:customStyle="1" w:styleId="37">
    <w:name w:val="font41"/>
    <w:basedOn w:val="15"/>
    <w:qFormat/>
    <w:uiPriority w:val="0"/>
    <w:rPr>
      <w:rFonts w:hint="default" w:ascii="方正小标宋简体" w:hAnsi="方正小标宋简体" w:eastAsia="方正小标宋简体" w:cs="方正小标宋简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13256</Words>
  <Characters>13940</Characters>
  <Lines>29</Lines>
  <Paragraphs>49</Paragraphs>
  <TotalTime>5</TotalTime>
  <ScaleCrop>false</ScaleCrop>
  <LinksUpToDate>false</LinksUpToDate>
  <CharactersWithSpaces>14182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2025-04-09T06:09:00Z</cp:lastPrinted>
  <dcterms:modified xsi:type="dcterms:W3CDTF">2025-12-18T02:48:03Z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2052-12.1.0.24034</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