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0FED3">
      <w:pPr>
        <w:spacing w:line="360" w:lineRule="auto"/>
        <w:ind w:left="0" w:leftChars="0" w:firstLine="0" w:firstLineChars="0"/>
        <w:jc w:val="center"/>
        <w:rPr>
          <w:rFonts w:hint="eastAsia"/>
          <w:b/>
          <w:bCs/>
          <w:color w:val="auto"/>
          <w:sz w:val="48"/>
          <w:szCs w:val="36"/>
          <w:highlight w:val="none"/>
          <w:lang w:eastAsia="zh-CN"/>
        </w:rPr>
      </w:pPr>
      <w:r>
        <w:rPr>
          <w:rFonts w:hint="eastAsia"/>
          <w:b/>
          <w:bCs/>
          <w:color w:val="auto"/>
          <w:sz w:val="48"/>
          <w:szCs w:val="36"/>
          <w:highlight w:val="none"/>
          <w:lang w:val="en-US" w:eastAsia="zh-CN"/>
        </w:rPr>
        <w:t xml:space="preserve">  </w:t>
      </w:r>
      <w:r>
        <w:rPr>
          <w:rFonts w:hint="eastAsia"/>
          <w:b/>
          <w:bCs/>
          <w:color w:val="auto"/>
          <w:sz w:val="48"/>
          <w:szCs w:val="36"/>
          <w:highlight w:val="none"/>
          <w:lang w:eastAsia="zh-CN"/>
        </w:rPr>
        <w:t>南京市规划和自然资源局</w:t>
      </w:r>
    </w:p>
    <w:p w14:paraId="10BDFC7C">
      <w:pPr>
        <w:spacing w:line="360" w:lineRule="auto"/>
        <w:ind w:left="0" w:leftChars="0" w:firstLine="0" w:firstLineChars="0"/>
        <w:jc w:val="center"/>
        <w:rPr>
          <w:rFonts w:hint="default" w:ascii="宋体" w:hAnsi="宋体" w:eastAsia="宋体" w:cs="宋体"/>
          <w:sz w:val="44"/>
          <w:szCs w:val="44"/>
          <w:highlight w:val="none"/>
          <w:lang w:val="en-US" w:eastAsia="zh-CN"/>
        </w:rPr>
      </w:pPr>
      <w:r>
        <w:rPr>
          <w:rFonts w:hint="eastAsia"/>
          <w:b/>
          <w:bCs/>
          <w:color w:val="auto"/>
          <w:sz w:val="48"/>
          <w:szCs w:val="36"/>
          <w:highlight w:val="none"/>
          <w:lang w:eastAsia="zh-CN"/>
        </w:rPr>
        <w:t>信访及12345用房改造项目</w:t>
      </w:r>
    </w:p>
    <w:p w14:paraId="3CC04526">
      <w:pPr>
        <w:widowControl/>
        <w:kinsoku w:val="0"/>
        <w:autoSpaceDE w:val="0"/>
        <w:autoSpaceDN w:val="0"/>
        <w:adjustRightInd w:val="0"/>
        <w:snapToGrid w:val="0"/>
        <w:spacing w:line="360" w:lineRule="auto"/>
        <w:ind w:left="0" w:leftChars="0" w:firstLine="0" w:firstLineChars="0"/>
        <w:jc w:val="center"/>
        <w:textAlignment w:val="baseline"/>
        <w:rPr>
          <w:rFonts w:hint="eastAsia" w:ascii="宋体" w:hAnsi="宋体" w:cs="宋体"/>
          <w:b/>
          <w:bCs/>
          <w:snapToGrid w:val="0"/>
          <w:color w:val="auto"/>
          <w:kern w:val="0"/>
          <w:sz w:val="56"/>
          <w:szCs w:val="56"/>
          <w:highlight w:val="none"/>
        </w:rPr>
      </w:pPr>
    </w:p>
    <w:p w14:paraId="183EA849">
      <w:pPr>
        <w:widowControl/>
        <w:kinsoku w:val="0"/>
        <w:autoSpaceDE w:val="0"/>
        <w:autoSpaceDN w:val="0"/>
        <w:adjustRightInd w:val="0"/>
        <w:snapToGrid w:val="0"/>
        <w:spacing w:line="360" w:lineRule="auto"/>
        <w:ind w:left="0" w:leftChars="0" w:firstLine="0" w:firstLineChars="0"/>
        <w:jc w:val="center"/>
        <w:textAlignment w:val="baseline"/>
        <w:rPr>
          <w:rFonts w:hint="eastAsia" w:ascii="宋体" w:hAnsi="宋体" w:cs="宋体"/>
          <w:b/>
          <w:bCs/>
          <w:snapToGrid w:val="0"/>
          <w:color w:val="auto"/>
          <w:kern w:val="0"/>
          <w:sz w:val="56"/>
          <w:szCs w:val="56"/>
        </w:rPr>
      </w:pPr>
    </w:p>
    <w:p w14:paraId="6EE402F0">
      <w:pPr>
        <w:widowControl/>
        <w:kinsoku w:val="0"/>
        <w:autoSpaceDE w:val="0"/>
        <w:autoSpaceDN w:val="0"/>
        <w:adjustRightInd w:val="0"/>
        <w:snapToGrid w:val="0"/>
        <w:spacing w:line="360" w:lineRule="auto"/>
        <w:ind w:left="0" w:leftChars="0" w:firstLine="0" w:firstLineChars="0"/>
        <w:jc w:val="center"/>
        <w:textAlignment w:val="baseline"/>
        <w:rPr>
          <w:rFonts w:hint="eastAsia" w:ascii="宋体" w:hAnsi="宋体" w:eastAsia="宋体" w:cs="宋体"/>
          <w:b/>
          <w:bCs/>
          <w:sz w:val="144"/>
          <w:szCs w:val="44"/>
        </w:rPr>
      </w:pPr>
      <w:r>
        <w:rPr>
          <w:rFonts w:hint="eastAsia" w:ascii="宋体" w:hAnsi="宋体" w:cs="宋体"/>
          <w:b/>
          <w:bCs/>
          <w:snapToGrid w:val="0"/>
          <w:color w:val="auto"/>
          <w:kern w:val="0"/>
          <w:sz w:val="56"/>
          <w:szCs w:val="56"/>
        </w:rPr>
        <w:t>竞争性磋商文件</w:t>
      </w:r>
    </w:p>
    <w:p w14:paraId="68D86097">
      <w:pPr>
        <w:widowControl/>
        <w:kinsoku w:val="0"/>
        <w:autoSpaceDE w:val="0"/>
        <w:autoSpaceDN w:val="0"/>
        <w:adjustRightInd w:val="0"/>
        <w:snapToGrid w:val="0"/>
        <w:spacing w:line="360" w:lineRule="auto"/>
        <w:ind w:left="0" w:leftChars="0" w:firstLine="0" w:firstLineChars="0"/>
        <w:jc w:val="center"/>
        <w:textAlignment w:val="baseline"/>
        <w:rPr>
          <w:rFonts w:hint="eastAsia" w:ascii="宋体" w:hAnsi="宋体" w:cs="宋体"/>
          <w:b/>
          <w:bCs/>
          <w:snapToGrid w:val="0"/>
          <w:color w:val="auto"/>
          <w:kern w:val="0"/>
          <w:sz w:val="32"/>
          <w:szCs w:val="32"/>
        </w:rPr>
      </w:pPr>
      <w:r>
        <w:rPr>
          <w:rFonts w:hint="eastAsia" w:ascii="宋体" w:hAnsi="宋体" w:cs="宋体"/>
          <w:b/>
          <w:bCs/>
          <w:snapToGrid w:val="0"/>
          <w:color w:val="auto"/>
          <w:kern w:val="0"/>
          <w:sz w:val="32"/>
          <w:szCs w:val="32"/>
        </w:rPr>
        <w:t>项目编号：</w:t>
      </w:r>
      <w:r>
        <w:rPr>
          <w:rFonts w:hint="eastAsia" w:cs="宋体"/>
          <w:b/>
          <w:bCs/>
          <w:snapToGrid w:val="0"/>
          <w:color w:val="auto"/>
          <w:kern w:val="0"/>
          <w:sz w:val="32"/>
          <w:szCs w:val="32"/>
          <w:lang w:eastAsia="zh-CN"/>
        </w:rPr>
        <w:t>ZZGJ—2025136</w:t>
      </w:r>
    </w:p>
    <w:p w14:paraId="30078368">
      <w:pPr>
        <w:rPr>
          <w:rFonts w:hint="eastAsia" w:ascii="宋体" w:hAnsi="宋体" w:eastAsia="宋体" w:cs="宋体"/>
        </w:rPr>
      </w:pPr>
    </w:p>
    <w:p w14:paraId="4EDFE92F">
      <w:pPr>
        <w:pStyle w:val="10"/>
        <w:rPr>
          <w:rFonts w:hint="eastAsia" w:ascii="宋体" w:hAnsi="宋体" w:eastAsia="宋体" w:cs="宋体"/>
        </w:rPr>
      </w:pPr>
      <w:r>
        <w:rPr>
          <w:rFonts w:hint="eastAsia" w:ascii="宋体" w:hAnsi="宋体" w:cs="宋体"/>
          <w:b/>
          <w:bCs/>
          <w:snapToGrid w:val="0"/>
          <w:color w:val="auto"/>
          <w:kern w:val="0"/>
          <w:sz w:val="32"/>
          <w:szCs w:val="32"/>
        </w:rPr>
        <w:drawing>
          <wp:anchor distT="0" distB="0" distL="114300" distR="114300" simplePos="0" relativeHeight="251660288" behindDoc="1" locked="0" layoutInCell="1" allowOverlap="1">
            <wp:simplePos x="0" y="0"/>
            <wp:positionH relativeFrom="column">
              <wp:posOffset>1495425</wp:posOffset>
            </wp:positionH>
            <wp:positionV relativeFrom="paragraph">
              <wp:posOffset>173990</wp:posOffset>
            </wp:positionV>
            <wp:extent cx="2210435" cy="1892300"/>
            <wp:effectExtent l="0" t="0" r="0" b="0"/>
            <wp:wrapNone/>
            <wp:docPr id="3" name="图片 3" descr="C:\Users\ADMINI~1\AppData\Local\Temp\WeChat Files\a150758a8af74e9dd24c37fee1d59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a150758a8af74e9dd24c37fee1d59b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10435" cy="1892300"/>
                    </a:xfrm>
                    <a:prstGeom prst="rect">
                      <a:avLst/>
                    </a:prstGeom>
                    <a:noFill/>
                    <a:ln>
                      <a:noFill/>
                    </a:ln>
                  </pic:spPr>
                </pic:pic>
              </a:graphicData>
            </a:graphic>
          </wp:anchor>
        </w:drawing>
      </w:r>
    </w:p>
    <w:p w14:paraId="39B81294">
      <w:pPr>
        <w:rPr>
          <w:rFonts w:hint="eastAsia"/>
        </w:rPr>
      </w:pPr>
    </w:p>
    <w:p w14:paraId="3DF92EF4">
      <w:pPr>
        <w:spacing w:line="360" w:lineRule="auto"/>
        <w:ind w:firstLine="361" w:firstLineChars="100"/>
        <w:rPr>
          <w:rFonts w:hint="eastAsia" w:ascii="宋体" w:hAnsi="宋体" w:eastAsia="宋体" w:cs="宋体"/>
          <w:b/>
          <w:color w:val="000000"/>
          <w:sz w:val="36"/>
          <w:szCs w:val="36"/>
        </w:rPr>
      </w:pPr>
    </w:p>
    <w:p w14:paraId="1C048CB5">
      <w:pPr>
        <w:spacing w:line="360" w:lineRule="auto"/>
        <w:ind w:firstLine="361" w:firstLineChars="100"/>
        <w:rPr>
          <w:rFonts w:hint="eastAsia" w:ascii="宋体" w:hAnsi="宋体" w:eastAsia="宋体" w:cs="宋体"/>
          <w:b/>
          <w:color w:val="000000"/>
          <w:sz w:val="36"/>
          <w:szCs w:val="36"/>
        </w:rPr>
      </w:pPr>
    </w:p>
    <w:p w14:paraId="6DEF7FCA">
      <w:pPr>
        <w:spacing w:line="360" w:lineRule="auto"/>
        <w:ind w:firstLine="361" w:firstLineChars="100"/>
        <w:rPr>
          <w:rFonts w:hint="eastAsia" w:ascii="宋体" w:hAnsi="宋体" w:eastAsia="宋体" w:cs="宋体"/>
          <w:b/>
          <w:color w:val="000000"/>
          <w:sz w:val="36"/>
          <w:szCs w:val="36"/>
        </w:rPr>
      </w:pPr>
    </w:p>
    <w:p w14:paraId="03CF5EBB">
      <w:pPr>
        <w:spacing w:line="360" w:lineRule="auto"/>
        <w:ind w:firstLine="361" w:firstLineChars="100"/>
        <w:rPr>
          <w:rFonts w:hint="eastAsia" w:ascii="宋体" w:hAnsi="宋体" w:eastAsia="宋体" w:cs="宋体"/>
          <w:b/>
          <w:color w:val="000000"/>
          <w:sz w:val="36"/>
          <w:szCs w:val="36"/>
        </w:rPr>
      </w:pPr>
    </w:p>
    <w:p w14:paraId="0B7B357A">
      <w:pPr>
        <w:spacing w:line="360" w:lineRule="auto"/>
        <w:ind w:firstLine="723" w:firstLineChars="200"/>
        <w:rPr>
          <w:rFonts w:hint="eastAsia" w:ascii="宋体" w:hAnsi="宋体"/>
          <w:b/>
          <w:bCs/>
          <w:color w:val="auto"/>
          <w:sz w:val="36"/>
          <w:szCs w:val="36"/>
        </w:rPr>
      </w:pPr>
    </w:p>
    <w:p w14:paraId="08442EB7">
      <w:pPr>
        <w:spacing w:line="360" w:lineRule="auto"/>
        <w:ind w:firstLine="723" w:firstLineChars="200"/>
        <w:rPr>
          <w:rFonts w:hint="eastAsia" w:ascii="宋体" w:hAnsi="宋体"/>
          <w:b/>
          <w:bCs/>
          <w:color w:val="auto"/>
          <w:sz w:val="36"/>
          <w:szCs w:val="36"/>
        </w:rPr>
      </w:pPr>
    </w:p>
    <w:p w14:paraId="1420CBFD">
      <w:pPr>
        <w:spacing w:line="360" w:lineRule="auto"/>
        <w:ind w:firstLine="723" w:firstLineChars="200"/>
        <w:rPr>
          <w:rFonts w:hint="eastAsia" w:ascii="宋体" w:hAnsi="宋体"/>
          <w:b/>
          <w:bCs/>
          <w:color w:val="auto"/>
          <w:sz w:val="36"/>
          <w:szCs w:val="36"/>
        </w:rPr>
      </w:pPr>
    </w:p>
    <w:p w14:paraId="004B6229">
      <w:pPr>
        <w:spacing w:line="360" w:lineRule="auto"/>
        <w:ind w:firstLine="723" w:firstLineChars="200"/>
        <w:rPr>
          <w:rFonts w:hint="eastAsia" w:ascii="宋体" w:hAnsi="宋体"/>
          <w:b/>
          <w:bCs/>
          <w:color w:val="auto"/>
          <w:sz w:val="36"/>
          <w:szCs w:val="36"/>
        </w:rPr>
      </w:pPr>
    </w:p>
    <w:p w14:paraId="5EE74FFB">
      <w:pPr>
        <w:spacing w:line="360" w:lineRule="auto"/>
        <w:ind w:firstLine="723" w:firstLineChars="200"/>
        <w:rPr>
          <w:rFonts w:hint="eastAsia" w:ascii="宋体" w:hAnsi="宋体" w:eastAsia="宋体"/>
          <w:b/>
          <w:bCs/>
          <w:color w:val="auto"/>
          <w:sz w:val="36"/>
          <w:szCs w:val="36"/>
          <w:lang w:eastAsia="zh-CN"/>
        </w:rPr>
      </w:pPr>
      <w:r>
        <w:rPr>
          <w:rFonts w:hint="eastAsia" w:ascii="宋体" w:hAnsi="宋体"/>
          <w:b/>
          <w:bCs/>
          <w:color w:val="auto"/>
          <w:sz w:val="36"/>
          <w:szCs w:val="36"/>
        </w:rPr>
        <w:t>采购人：</w:t>
      </w:r>
      <w:r>
        <w:rPr>
          <w:rFonts w:hint="eastAsia" w:cs="宋体"/>
          <w:b/>
          <w:bCs/>
          <w:sz w:val="36"/>
          <w:szCs w:val="36"/>
          <w:highlight w:val="none"/>
          <w:lang w:eastAsia="zh-CN"/>
        </w:rPr>
        <w:t>南京市规划和自然资源局</w:t>
      </w:r>
    </w:p>
    <w:p w14:paraId="5266D24D">
      <w:pPr>
        <w:spacing w:line="360" w:lineRule="auto"/>
        <w:ind w:firstLine="723" w:firstLineChars="200"/>
        <w:rPr>
          <w:rFonts w:ascii="宋体" w:hAnsi="宋体"/>
          <w:b/>
          <w:bCs/>
          <w:color w:val="auto"/>
          <w:sz w:val="36"/>
          <w:szCs w:val="36"/>
        </w:rPr>
      </w:pPr>
      <w:r>
        <w:rPr>
          <w:rFonts w:hint="eastAsia" w:ascii="宋体" w:hAnsi="宋体"/>
          <w:b/>
          <w:bCs/>
          <w:color w:val="auto"/>
          <w:sz w:val="36"/>
          <w:szCs w:val="36"/>
        </w:rPr>
        <w:t>招标代理机构：正中国际项目管理集团有限公司</w:t>
      </w:r>
    </w:p>
    <w:p w14:paraId="27774DE4">
      <w:pPr>
        <w:spacing w:line="360" w:lineRule="auto"/>
        <w:ind w:firstLine="723" w:firstLineChars="200"/>
        <w:rPr>
          <w:rFonts w:hint="eastAsia" w:ascii="宋体" w:hAnsi="宋体" w:eastAsia="宋体" w:cs="宋体"/>
          <w:b/>
          <w:color w:val="000000"/>
          <w:sz w:val="36"/>
          <w:szCs w:val="36"/>
        </w:rPr>
      </w:pPr>
      <w:r>
        <w:rPr>
          <w:rFonts w:hint="eastAsia" w:ascii="宋体" w:hAnsi="宋体" w:cs="宋体"/>
          <w:b/>
          <w:bCs/>
          <w:color w:val="auto"/>
          <w:sz w:val="36"/>
          <w:szCs w:val="36"/>
        </w:rPr>
        <w:t>发放日期：</w:t>
      </w:r>
      <w:r>
        <w:rPr>
          <w:rFonts w:ascii="宋体" w:hAnsi="宋体" w:cs="宋体"/>
          <w:b/>
          <w:bCs/>
          <w:color w:val="auto"/>
          <w:sz w:val="36"/>
          <w:szCs w:val="36"/>
        </w:rPr>
        <w:t>20</w:t>
      </w:r>
      <w:r>
        <w:rPr>
          <w:rFonts w:hint="eastAsia" w:ascii="宋体" w:hAnsi="宋体" w:cs="宋体"/>
          <w:b/>
          <w:bCs/>
          <w:color w:val="auto"/>
          <w:sz w:val="36"/>
          <w:szCs w:val="36"/>
        </w:rPr>
        <w:t>2</w:t>
      </w:r>
      <w:r>
        <w:rPr>
          <w:rFonts w:hint="eastAsia" w:ascii="宋体" w:hAnsi="宋体" w:cs="宋体"/>
          <w:b/>
          <w:bCs/>
          <w:color w:val="auto"/>
          <w:sz w:val="36"/>
          <w:szCs w:val="36"/>
          <w:lang w:val="en-US" w:eastAsia="zh-CN"/>
        </w:rPr>
        <w:t>5</w:t>
      </w:r>
      <w:r>
        <w:rPr>
          <w:rFonts w:hint="eastAsia" w:ascii="宋体" w:hAnsi="宋体" w:cs="宋体"/>
          <w:b/>
          <w:bCs/>
          <w:color w:val="auto"/>
          <w:sz w:val="36"/>
          <w:szCs w:val="36"/>
        </w:rPr>
        <w:t>年</w:t>
      </w:r>
      <w:r>
        <w:rPr>
          <w:rFonts w:hint="eastAsia" w:cs="宋体"/>
          <w:b/>
          <w:bCs/>
          <w:color w:val="auto"/>
          <w:sz w:val="36"/>
          <w:szCs w:val="36"/>
          <w:lang w:val="en-US" w:eastAsia="zh-CN"/>
        </w:rPr>
        <w:t>12</w:t>
      </w:r>
      <w:r>
        <w:rPr>
          <w:rFonts w:hint="eastAsia" w:ascii="宋体" w:hAnsi="宋体" w:cs="宋体"/>
          <w:b/>
          <w:bCs/>
          <w:color w:val="auto"/>
          <w:sz w:val="36"/>
          <w:szCs w:val="36"/>
        </w:rPr>
        <w:t>月</w:t>
      </w:r>
      <w:r>
        <w:rPr>
          <w:rFonts w:hint="eastAsia" w:ascii="宋体" w:hAnsi="宋体" w:eastAsia="宋体" w:cs="宋体"/>
          <w:b/>
          <w:color w:val="000000"/>
          <w:sz w:val="36"/>
          <w:szCs w:val="36"/>
        </w:rPr>
        <w:t xml:space="preserve"> </w:t>
      </w:r>
    </w:p>
    <w:p w14:paraId="5E47F5BB">
      <w:pPr>
        <w:spacing w:line="360" w:lineRule="auto"/>
        <w:jc w:val="center"/>
        <w:rPr>
          <w:rFonts w:hint="eastAsia" w:ascii="宋体" w:hAnsi="宋体" w:eastAsia="宋体" w:cs="宋体"/>
          <w:sz w:val="48"/>
          <w:szCs w:val="48"/>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67623F88">
      <w:pPr>
        <w:pStyle w:val="18"/>
        <w:rPr>
          <w:rFonts w:hint="eastAsia" w:ascii="宋体" w:hAnsi="宋体" w:eastAsia="宋体" w:cs="宋体"/>
        </w:rPr>
      </w:pPr>
      <w:bookmarkStart w:id="0" w:name="_Toc534273792"/>
      <w:bookmarkEnd w:id="0"/>
      <w:r>
        <w:rPr>
          <w:rFonts w:hint="eastAsia" w:ascii="宋体" w:hAnsi="宋体" w:eastAsia="宋体" w:cs="宋体"/>
        </w:rPr>
        <w:t>第一章竞争性磋商公告</w:t>
      </w:r>
    </w:p>
    <w:p w14:paraId="56829F04">
      <w:pPr>
        <w:pBdr>
          <w:top w:val="single" w:color="auto" w:sz="4" w:space="1"/>
          <w:left w:val="single" w:color="auto" w:sz="4" w:space="4"/>
          <w:bottom w:val="single" w:color="auto" w:sz="4" w:space="1"/>
          <w:right w:val="single" w:color="auto" w:sz="4" w:space="4"/>
        </w:pBdr>
        <w:spacing w:line="360" w:lineRule="auto"/>
        <w:ind w:firstLine="452" w:firstLineChars="200"/>
        <w:jc w:val="left"/>
        <w:rPr>
          <w:rFonts w:hint="eastAsia" w:ascii="宋体" w:hAnsi="宋体" w:eastAsia="宋体" w:cs="宋体"/>
          <w:spacing w:val="8"/>
          <w:kern w:val="0"/>
        </w:rPr>
      </w:pPr>
      <w:r>
        <w:rPr>
          <w:rFonts w:hint="eastAsia" w:ascii="宋体" w:hAnsi="宋体" w:eastAsia="宋体" w:cs="宋体"/>
          <w:spacing w:val="8"/>
          <w:kern w:val="0"/>
        </w:rPr>
        <w:t>项目概况</w:t>
      </w:r>
    </w:p>
    <w:p w14:paraId="430D1F9E">
      <w:pPr>
        <w:pBdr>
          <w:top w:val="single" w:color="auto" w:sz="4" w:space="1"/>
          <w:left w:val="single" w:color="auto" w:sz="4" w:space="4"/>
          <w:bottom w:val="single" w:color="auto" w:sz="4" w:space="1"/>
          <w:right w:val="single" w:color="auto" w:sz="4" w:space="4"/>
        </w:pBdr>
        <w:spacing w:line="360" w:lineRule="auto"/>
        <w:ind w:firstLine="452" w:firstLineChars="200"/>
        <w:jc w:val="left"/>
        <w:rPr>
          <w:rFonts w:hint="eastAsia" w:ascii="宋体" w:hAnsi="宋体" w:eastAsia="宋体" w:cs="宋体"/>
        </w:rPr>
      </w:pPr>
      <w:r>
        <w:rPr>
          <w:rFonts w:hint="eastAsia" w:cs="宋体"/>
          <w:spacing w:val="8"/>
          <w:kern w:val="0"/>
          <w:u w:val="single"/>
          <w:lang w:val="en-US" w:eastAsia="zh-CN"/>
        </w:rPr>
        <w:t>南京市规划和自然资源局信访及12345用房改造项目</w:t>
      </w:r>
      <w:r>
        <w:rPr>
          <w:rFonts w:hint="eastAsia" w:ascii="宋体" w:hAnsi="宋体" w:eastAsia="宋体" w:cs="宋体"/>
        </w:rPr>
        <w:t>采购项目的潜在供应商应在</w:t>
      </w:r>
      <w:r>
        <w:rPr>
          <w:rFonts w:hint="eastAsia" w:ascii="宋体" w:hAnsi="宋体" w:eastAsia="宋体" w:cs="宋体"/>
          <w:u w:val="single"/>
        </w:rPr>
        <w:t>线上</w:t>
      </w:r>
      <w:r>
        <w:rPr>
          <w:rFonts w:hint="eastAsia" w:ascii="宋体" w:hAnsi="宋体" w:eastAsia="宋体" w:cs="宋体"/>
        </w:rPr>
        <w:t>获取</w:t>
      </w:r>
      <w:r>
        <w:rPr>
          <w:rFonts w:hint="eastAsia" w:cs="宋体"/>
          <w:lang w:eastAsia="zh-CN"/>
        </w:rPr>
        <w:t>磋商文件</w:t>
      </w:r>
      <w:r>
        <w:rPr>
          <w:rFonts w:hint="eastAsia" w:ascii="宋体" w:hAnsi="宋体" w:eastAsia="宋体" w:cs="宋体"/>
        </w:rPr>
        <w:t>，并于</w:t>
      </w:r>
      <w:r>
        <w:rPr>
          <w:rFonts w:hint="eastAsia" w:ascii="宋体" w:hAnsi="宋体" w:eastAsia="宋体" w:cs="宋体"/>
          <w:iCs/>
          <w:spacing w:val="8"/>
          <w:kern w:val="0"/>
        </w:rPr>
        <w:t>202</w:t>
      </w:r>
      <w:r>
        <w:rPr>
          <w:rFonts w:hint="eastAsia" w:ascii="宋体" w:hAnsi="宋体" w:cs="宋体"/>
          <w:iCs/>
          <w:spacing w:val="8"/>
          <w:kern w:val="0"/>
          <w:lang w:val="en-US" w:eastAsia="zh-CN"/>
        </w:rPr>
        <w:t>5</w:t>
      </w:r>
      <w:r>
        <w:rPr>
          <w:rFonts w:hint="eastAsia" w:ascii="宋体" w:hAnsi="宋体" w:eastAsia="宋体" w:cs="宋体"/>
          <w:spacing w:val="8"/>
          <w:kern w:val="0"/>
        </w:rPr>
        <w:t>年</w:t>
      </w:r>
      <w:r>
        <w:rPr>
          <w:rFonts w:hint="eastAsia" w:cs="宋体"/>
          <w:spacing w:val="8"/>
          <w:kern w:val="0"/>
          <w:lang w:val="en-US" w:eastAsia="zh-CN"/>
        </w:rPr>
        <w:t>12</w:t>
      </w:r>
      <w:r>
        <w:rPr>
          <w:rFonts w:hint="eastAsia" w:ascii="宋体" w:hAnsi="宋体" w:eastAsia="宋体" w:cs="宋体"/>
          <w:spacing w:val="8"/>
          <w:kern w:val="0"/>
        </w:rPr>
        <w:t>月</w:t>
      </w:r>
      <w:r>
        <w:rPr>
          <w:rFonts w:hint="eastAsia" w:cs="宋体"/>
          <w:spacing w:val="8"/>
          <w:kern w:val="0"/>
          <w:lang w:val="en-US" w:eastAsia="zh-CN"/>
        </w:rPr>
        <w:t>12</w:t>
      </w:r>
      <w:r>
        <w:rPr>
          <w:rFonts w:hint="eastAsia" w:ascii="宋体" w:hAnsi="宋体" w:eastAsia="宋体" w:cs="宋体"/>
          <w:spacing w:val="8"/>
          <w:kern w:val="0"/>
        </w:rPr>
        <w:t>日</w:t>
      </w:r>
      <w:r>
        <w:rPr>
          <w:rFonts w:hint="eastAsia" w:cs="宋体"/>
          <w:spacing w:val="8"/>
          <w:kern w:val="0"/>
          <w:lang w:val="en-US" w:eastAsia="zh-CN"/>
        </w:rPr>
        <w:t>09</w:t>
      </w:r>
      <w:r>
        <w:rPr>
          <w:rFonts w:hint="eastAsia" w:ascii="宋体" w:hAnsi="宋体" w:eastAsia="宋体" w:cs="宋体"/>
          <w:spacing w:val="8"/>
          <w:kern w:val="0"/>
        </w:rPr>
        <w:t>点</w:t>
      </w:r>
      <w:r>
        <w:rPr>
          <w:rFonts w:hint="eastAsia" w:cs="宋体"/>
          <w:spacing w:val="8"/>
          <w:kern w:val="0"/>
          <w:lang w:val="en-US" w:eastAsia="zh-CN"/>
        </w:rPr>
        <w:t>30</w:t>
      </w:r>
      <w:r>
        <w:rPr>
          <w:rFonts w:hint="eastAsia" w:ascii="宋体" w:hAnsi="宋体" w:eastAsia="宋体" w:cs="宋体"/>
          <w:spacing w:val="8"/>
          <w:kern w:val="0"/>
        </w:rPr>
        <w:t>分</w:t>
      </w:r>
      <w:r>
        <w:rPr>
          <w:rFonts w:hint="eastAsia" w:ascii="宋体" w:hAnsi="宋体" w:eastAsia="宋体" w:cs="宋体"/>
          <w:bCs/>
        </w:rPr>
        <w:t>（北京时间）前提交响应文件</w:t>
      </w:r>
      <w:r>
        <w:rPr>
          <w:rFonts w:hint="eastAsia" w:ascii="宋体" w:hAnsi="宋体" w:eastAsia="宋体" w:cs="宋体"/>
        </w:rPr>
        <w:t>。</w:t>
      </w:r>
    </w:p>
    <w:p w14:paraId="0BCB30C8">
      <w:pPr>
        <w:widowControl/>
        <w:shd w:val="clear" w:color="auto" w:fill="FFFFFF"/>
        <w:spacing w:line="360" w:lineRule="auto"/>
        <w:ind w:firstLine="200"/>
        <w:outlineLvl w:val="1"/>
        <w:rPr>
          <w:rFonts w:hint="eastAsia" w:ascii="宋体" w:hAnsi="宋体" w:eastAsia="宋体" w:cs="宋体"/>
          <w:b/>
          <w:spacing w:val="8"/>
          <w:kern w:val="0"/>
        </w:rPr>
      </w:pPr>
      <w:r>
        <w:rPr>
          <w:rFonts w:hint="eastAsia" w:ascii="宋体" w:hAnsi="宋体" w:eastAsia="宋体" w:cs="宋体"/>
          <w:b/>
          <w:spacing w:val="8"/>
          <w:kern w:val="0"/>
        </w:rPr>
        <w:t>一、项目基本情况</w:t>
      </w:r>
    </w:p>
    <w:p w14:paraId="4E24F1B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highlight w:val="yellow"/>
          <w:lang w:eastAsia="zh-CN"/>
        </w:rPr>
      </w:pPr>
      <w:r>
        <w:rPr>
          <w:rFonts w:hint="eastAsia" w:ascii="宋体" w:hAnsi="宋体" w:eastAsia="宋体" w:cs="宋体"/>
          <w:spacing w:val="8"/>
          <w:kern w:val="0"/>
        </w:rPr>
        <w:t>1.1项目编号：</w:t>
      </w:r>
      <w:r>
        <w:rPr>
          <w:rFonts w:hint="eastAsia" w:cs="宋体"/>
          <w:spacing w:val="8"/>
          <w:kern w:val="0"/>
          <w:lang w:eastAsia="zh-CN"/>
        </w:rPr>
        <w:t>ZZGJ—2025136</w:t>
      </w:r>
      <w:r>
        <w:rPr>
          <w:rFonts w:hint="eastAsia" w:cs="宋体"/>
          <w:spacing w:val="8"/>
          <w:kern w:val="0"/>
          <w:lang w:val="en-US" w:eastAsia="zh-CN"/>
        </w:rPr>
        <w:t xml:space="preserve"> </w:t>
      </w:r>
    </w:p>
    <w:p w14:paraId="01D1D2D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highlight w:val="none"/>
          <w:lang w:eastAsia="zh-CN"/>
        </w:rPr>
      </w:pPr>
      <w:r>
        <w:rPr>
          <w:rFonts w:hint="eastAsia" w:ascii="宋体" w:hAnsi="宋体" w:eastAsia="宋体" w:cs="宋体"/>
          <w:spacing w:val="8"/>
          <w:kern w:val="0"/>
        </w:rPr>
        <w:t>1.2项目名称：</w:t>
      </w:r>
      <w:r>
        <w:rPr>
          <w:rFonts w:hint="eastAsia" w:cs="宋体"/>
          <w:spacing w:val="8"/>
          <w:kern w:val="0"/>
          <w:highlight w:val="none"/>
          <w:lang w:eastAsia="zh-CN"/>
        </w:rPr>
        <w:t>南京市规划和自然资源局信访及12345用房改造项目</w:t>
      </w:r>
    </w:p>
    <w:p w14:paraId="3B938F0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1.3采购方式：竞争性磋商</w:t>
      </w:r>
    </w:p>
    <w:p w14:paraId="189A510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highlight w:val="none"/>
        </w:rPr>
      </w:pPr>
      <w:r>
        <w:rPr>
          <w:rFonts w:hint="eastAsia" w:ascii="宋体" w:hAnsi="宋体" w:eastAsia="宋体" w:cs="宋体"/>
          <w:spacing w:val="8"/>
          <w:kern w:val="0"/>
          <w:highlight w:val="none"/>
        </w:rPr>
        <w:t>1.4预算金额：</w:t>
      </w:r>
      <w:r>
        <w:rPr>
          <w:rFonts w:hint="eastAsia" w:cs="宋体"/>
          <w:spacing w:val="8"/>
          <w:kern w:val="0"/>
          <w:highlight w:val="none"/>
          <w:lang w:val="en-US" w:eastAsia="zh-CN"/>
        </w:rPr>
        <w:t>12.2</w:t>
      </w:r>
      <w:r>
        <w:rPr>
          <w:rFonts w:hint="eastAsia" w:ascii="宋体" w:hAnsi="宋体" w:eastAsia="宋体" w:cs="宋体"/>
          <w:i w:val="0"/>
          <w:iCs w:val="0"/>
          <w:caps w:val="0"/>
          <w:color w:val="000000"/>
          <w:spacing w:val="8"/>
          <w:sz w:val="21"/>
          <w:szCs w:val="21"/>
          <w:highlight w:val="none"/>
        </w:rPr>
        <w:t>万元，最高限价</w:t>
      </w:r>
      <w:r>
        <w:rPr>
          <w:rFonts w:hint="eastAsia" w:cs="宋体"/>
          <w:i w:val="0"/>
          <w:iCs w:val="0"/>
          <w:caps w:val="0"/>
          <w:color w:val="000000"/>
          <w:spacing w:val="8"/>
          <w:sz w:val="21"/>
          <w:szCs w:val="21"/>
          <w:highlight w:val="none"/>
          <w:lang w:val="en-US" w:eastAsia="zh-CN"/>
        </w:rPr>
        <w:t>12.2</w:t>
      </w:r>
      <w:r>
        <w:rPr>
          <w:rFonts w:hint="eastAsia" w:ascii="宋体" w:hAnsi="宋体" w:eastAsia="宋体" w:cs="宋体"/>
          <w:i w:val="0"/>
          <w:iCs w:val="0"/>
          <w:caps w:val="0"/>
          <w:color w:val="000000"/>
          <w:spacing w:val="8"/>
          <w:sz w:val="21"/>
          <w:szCs w:val="21"/>
          <w:highlight w:val="none"/>
        </w:rPr>
        <w:t>万元。</w:t>
      </w:r>
    </w:p>
    <w:p w14:paraId="5FAA130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1.5采购需求：</w:t>
      </w:r>
      <w:r>
        <w:rPr>
          <w:rFonts w:hint="eastAsia" w:cs="宋体"/>
          <w:spacing w:val="8"/>
          <w:kern w:val="0"/>
          <w:highlight w:val="none"/>
          <w:lang w:eastAsia="zh-CN"/>
        </w:rPr>
        <w:t>南京市规划和自然资源局信访及12345用房改造项目</w:t>
      </w:r>
      <w:r>
        <w:rPr>
          <w:rFonts w:hint="eastAsia" w:ascii="宋体" w:hAnsi="宋体" w:eastAsia="宋体" w:cs="宋体"/>
          <w:spacing w:val="8"/>
          <w:kern w:val="0"/>
          <w:lang w:val="en-US" w:eastAsia="zh-CN"/>
        </w:rPr>
        <w:t>，</w:t>
      </w:r>
      <w:r>
        <w:rPr>
          <w:rFonts w:hint="eastAsia" w:ascii="宋体" w:hAnsi="宋体" w:eastAsia="宋体" w:cs="宋体"/>
          <w:spacing w:val="8"/>
          <w:kern w:val="0"/>
        </w:rPr>
        <w:t>具体详见</w:t>
      </w:r>
      <w:r>
        <w:rPr>
          <w:rFonts w:hint="eastAsia" w:cs="宋体"/>
          <w:spacing w:val="8"/>
          <w:kern w:val="0"/>
          <w:lang w:val="en-US" w:eastAsia="zh-CN"/>
        </w:rPr>
        <w:t>磋商</w:t>
      </w:r>
      <w:r>
        <w:rPr>
          <w:rFonts w:hint="eastAsia" w:ascii="宋体" w:hAnsi="宋体" w:eastAsia="宋体" w:cs="宋体"/>
          <w:spacing w:val="8"/>
          <w:kern w:val="0"/>
        </w:rPr>
        <w:t>文件采购需求</w:t>
      </w:r>
      <w:r>
        <w:rPr>
          <w:rFonts w:hint="eastAsia" w:cs="宋体"/>
          <w:spacing w:val="8"/>
          <w:kern w:val="0"/>
          <w:lang w:val="en-US" w:eastAsia="zh-CN"/>
        </w:rPr>
        <w:t>及工程量清单</w:t>
      </w:r>
      <w:r>
        <w:rPr>
          <w:rFonts w:hint="eastAsia" w:ascii="宋体" w:hAnsi="宋体" w:eastAsia="宋体" w:cs="宋体"/>
          <w:spacing w:val="8"/>
          <w:kern w:val="0"/>
        </w:rPr>
        <w:t>。</w:t>
      </w:r>
    </w:p>
    <w:p w14:paraId="1622C54D">
      <w:pPr>
        <w:snapToGrid w:val="0"/>
        <w:spacing w:line="360" w:lineRule="auto"/>
        <w:ind w:left="0" w:leftChars="0" w:firstLine="452" w:firstLineChars="200"/>
        <w:rPr>
          <w:rFonts w:hint="eastAsia" w:ascii="宋体" w:hAnsi="宋体" w:eastAsia="宋体" w:cs="宋体"/>
          <w:spacing w:val="8"/>
          <w:kern w:val="0"/>
          <w:highlight w:val="none"/>
          <w:lang w:val="en-US" w:eastAsia="zh-CN"/>
        </w:rPr>
      </w:pPr>
      <w:r>
        <w:rPr>
          <w:rFonts w:hint="eastAsia" w:ascii="宋体" w:hAnsi="宋体" w:eastAsia="宋体" w:cs="宋体"/>
          <w:spacing w:val="8"/>
          <w:kern w:val="0"/>
          <w:lang w:val="en-US" w:eastAsia="zh-CN"/>
        </w:rPr>
        <w:t>1.6</w:t>
      </w:r>
      <w:r>
        <w:rPr>
          <w:rFonts w:hint="eastAsia" w:cs="宋体"/>
          <w:spacing w:val="8"/>
          <w:kern w:val="0"/>
          <w:lang w:val="en-US" w:eastAsia="zh-CN"/>
        </w:rPr>
        <w:t>工期</w:t>
      </w:r>
      <w:r>
        <w:rPr>
          <w:rFonts w:hint="eastAsia" w:ascii="宋体" w:hAnsi="宋体" w:eastAsia="宋体" w:cs="宋体"/>
          <w:spacing w:val="8"/>
          <w:kern w:val="0"/>
          <w:lang w:val="en-US" w:eastAsia="zh-CN"/>
        </w:rPr>
        <w:t>：</w:t>
      </w:r>
      <w:r>
        <w:rPr>
          <w:rFonts w:hint="eastAsia" w:ascii="宋体" w:hAnsi="宋体" w:eastAsia="宋体" w:cs="宋体"/>
          <w:sz w:val="21"/>
          <w:szCs w:val="21"/>
        </w:rPr>
        <w:t>自合同签订之日起</w:t>
      </w:r>
      <w:r>
        <w:rPr>
          <w:rFonts w:hint="eastAsia" w:cs="宋体"/>
          <w:sz w:val="21"/>
          <w:szCs w:val="21"/>
          <w:lang w:val="en-US" w:eastAsia="zh-CN"/>
        </w:rPr>
        <w:t>20</w:t>
      </w:r>
      <w:r>
        <w:rPr>
          <w:rFonts w:hint="eastAsia" w:ascii="宋体" w:hAnsi="宋体" w:eastAsia="宋体" w:cs="宋体"/>
          <w:sz w:val="21"/>
          <w:szCs w:val="21"/>
        </w:rPr>
        <w:t>日历天完成施工并完成相关验收，确保采购人可正常使用；具体施工时间按采购人要求</w:t>
      </w:r>
      <w:r>
        <w:rPr>
          <w:rFonts w:hint="eastAsia" w:ascii="宋体" w:hAnsi="宋体" w:eastAsia="宋体" w:cs="宋体"/>
          <w:spacing w:val="8"/>
          <w:kern w:val="0"/>
          <w:highlight w:val="none"/>
          <w:lang w:val="en-US" w:eastAsia="zh-CN"/>
        </w:rPr>
        <w:t>。</w:t>
      </w:r>
    </w:p>
    <w:p w14:paraId="0DBF943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1.</w:t>
      </w:r>
      <w:r>
        <w:rPr>
          <w:rFonts w:hint="eastAsia" w:cs="宋体"/>
          <w:spacing w:val="8"/>
          <w:kern w:val="0"/>
          <w:lang w:val="en-US" w:eastAsia="zh-CN"/>
        </w:rPr>
        <w:t>7</w:t>
      </w:r>
      <w:r>
        <w:rPr>
          <w:rFonts w:hint="eastAsia" w:ascii="宋体" w:hAnsi="宋体" w:eastAsia="宋体" w:cs="宋体"/>
          <w:spacing w:val="8"/>
          <w:kern w:val="0"/>
        </w:rPr>
        <w:t>本项目不接受联合体投标。</w:t>
      </w:r>
    </w:p>
    <w:p w14:paraId="4E2DFFCF">
      <w:pPr>
        <w:widowControl/>
        <w:shd w:val="clear" w:color="auto" w:fill="FFFFFF"/>
        <w:spacing w:line="360" w:lineRule="auto"/>
        <w:ind w:firstLine="200"/>
        <w:outlineLvl w:val="1"/>
        <w:rPr>
          <w:rFonts w:hint="eastAsia" w:ascii="宋体" w:hAnsi="宋体" w:eastAsia="宋体" w:cs="宋体"/>
          <w:b/>
          <w:spacing w:val="8"/>
          <w:kern w:val="0"/>
        </w:rPr>
      </w:pPr>
      <w:r>
        <w:rPr>
          <w:rFonts w:hint="eastAsia" w:ascii="宋体" w:hAnsi="宋体" w:eastAsia="宋体" w:cs="宋体"/>
          <w:b/>
          <w:spacing w:val="8"/>
          <w:kern w:val="0"/>
        </w:rPr>
        <w:t>二、申请人的资格要求：</w:t>
      </w:r>
    </w:p>
    <w:p w14:paraId="2EEAF36F">
      <w:pPr>
        <w:keepNext w:val="0"/>
        <w:keepLines w:val="0"/>
        <w:pageBreakBefore w:val="0"/>
        <w:widowControl w:val="0"/>
        <w:kinsoku/>
        <w:wordWrap/>
        <w:overflowPunct/>
        <w:topLinePunct w:val="0"/>
        <w:autoSpaceDE w:val="0"/>
        <w:autoSpaceDN w:val="0"/>
        <w:bidi w:val="0"/>
        <w:adjustRightInd w:val="0"/>
        <w:snapToGrid w:val="0"/>
        <w:spacing w:line="360" w:lineRule="auto"/>
        <w:ind w:firstLine="454" w:firstLineChars="200"/>
        <w:textAlignment w:val="auto"/>
        <w:rPr>
          <w:rFonts w:hint="eastAsia" w:ascii="宋体" w:hAnsi="宋体" w:eastAsia="宋体" w:cs="宋体"/>
          <w:b/>
          <w:bCs w:val="0"/>
        </w:rPr>
      </w:pPr>
      <w:r>
        <w:rPr>
          <w:rFonts w:hint="eastAsia" w:ascii="宋体" w:hAnsi="宋体" w:eastAsia="宋体" w:cs="宋体"/>
          <w:b/>
          <w:bCs w:val="0"/>
          <w:spacing w:val="8"/>
          <w:kern w:val="0"/>
        </w:rPr>
        <w:t>2.1满足《中华人民共和国政府采购法》第二十二条规定；</w:t>
      </w:r>
    </w:p>
    <w:p w14:paraId="1EA579D0">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（1）具有独立承担民事责任的能力（法人或者其他组织提供营业执照或法人证书或组织机构代码证，自然人提供身份证，提供证明材料复印件加盖公章）；</w:t>
      </w:r>
    </w:p>
    <w:p w14:paraId="709D4692">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（2）具有良好的商业信誉和健全的财务会计制度（提供参加本次政府采购活动前六个月任意一个月的会计报表，成立不满一年的无需提供，提供证明材料复印件加盖公章）；</w:t>
      </w:r>
    </w:p>
    <w:p w14:paraId="01B8006A">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（3）具有履行合同所必需的设备和专业技术能力（根据项目需求提供履行合同所必需的设备和专业技术能力的声明或证明材料复印件加盖公章）；</w:t>
      </w:r>
    </w:p>
    <w:p w14:paraId="036B75CA">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（4）有依法缴纳税收和社会保障资金的良好记录（提供参加本次政府采购活动前六个月内任意一个月依法缴纳税收和社会保障资金，提供承诺书并加盖公章）；</w:t>
      </w:r>
    </w:p>
    <w:p w14:paraId="545DD3A3">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（5）参加本项目政府采购活动前三年内，在经营活动中没有重大违法记录（提供参加本次政府采购活动前3年内在经营活动中没有重大违法记录的书面声明）；</w:t>
      </w:r>
    </w:p>
    <w:p w14:paraId="2ABE3B32">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（6）法律、行政法规规定的其他条件：无。</w:t>
      </w:r>
    </w:p>
    <w:p w14:paraId="746028EE">
      <w:pPr>
        <w:autoSpaceDE w:val="0"/>
        <w:autoSpaceDN w:val="0"/>
        <w:adjustRightInd w:val="0"/>
        <w:snapToGrid w:val="0"/>
        <w:spacing w:line="360" w:lineRule="auto"/>
        <w:rPr>
          <w:rFonts w:hint="eastAsia" w:ascii="宋体" w:hAnsi="宋体" w:eastAsia="宋体" w:cs="宋体"/>
          <w:b/>
          <w:spacing w:val="8"/>
          <w:kern w:val="0"/>
        </w:rPr>
      </w:pPr>
      <w:r>
        <w:rPr>
          <w:rFonts w:hint="eastAsia" w:ascii="宋体" w:hAnsi="宋体" w:eastAsia="宋体" w:cs="宋体"/>
          <w:b/>
          <w:spacing w:val="8"/>
          <w:kern w:val="0"/>
        </w:rPr>
        <w:t xml:space="preserve">2.2 落实政府采购政策需满足的资格要求： </w:t>
      </w:r>
    </w:p>
    <w:p w14:paraId="26638D22">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本项目按照采用以下第（4）种方式落实政府采购促进中小企业发展的要求</w:t>
      </w:r>
    </w:p>
    <w:p w14:paraId="369DB523">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（1）本项目整体专门面向中小企业采购货物。</w:t>
      </w:r>
    </w:p>
    <w:p w14:paraId="5562AF11">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（2）本项目整体专门面向小微企业采购货物。</w:t>
      </w:r>
    </w:p>
    <w:p w14:paraId="570E587F">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（3）本项目通过以下第</w:t>
      </w:r>
      <w:r>
        <w:rPr>
          <w:rFonts w:hint="eastAsia" w:ascii="宋体" w:hAnsi="宋体" w:eastAsia="宋体" w:cs="宋体"/>
          <w:spacing w:val="8"/>
          <w:kern w:val="0"/>
          <w:u w:val="single"/>
        </w:rPr>
        <w:t xml:space="preserve">  </w:t>
      </w:r>
      <w:r>
        <w:rPr>
          <w:rFonts w:hint="eastAsia" w:ascii="宋体" w:hAnsi="宋体" w:eastAsia="宋体" w:cs="宋体"/>
          <w:spacing w:val="8"/>
          <w:kern w:val="0"/>
        </w:rPr>
        <w:t>种方式预留部分采购份额采购中小企业货物：</w:t>
      </w:r>
    </w:p>
    <w:p w14:paraId="6DA394D1">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①本项目要求供应商以联合体形式参加，企业合同金额应当达到的比例为</w:t>
      </w:r>
      <w:r>
        <w:rPr>
          <w:rFonts w:hint="eastAsia" w:ascii="宋体" w:hAnsi="宋体" w:eastAsia="宋体" w:cs="宋体"/>
          <w:spacing w:val="8"/>
          <w:kern w:val="0"/>
          <w:u w:val="single"/>
        </w:rPr>
        <w:t xml:space="preserve">  </w:t>
      </w:r>
      <w:r>
        <w:rPr>
          <w:rFonts w:hint="eastAsia" w:ascii="宋体" w:hAnsi="宋体" w:eastAsia="宋体" w:cs="宋体"/>
          <w:spacing w:val="8"/>
          <w:kern w:val="0"/>
        </w:rPr>
        <w:t>%。</w:t>
      </w:r>
    </w:p>
    <w:p w14:paraId="435BE623">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②本项目要求供应商进行合同分包，企业合同金额应当达到的比例为</w:t>
      </w:r>
      <w:r>
        <w:rPr>
          <w:rFonts w:hint="eastAsia" w:ascii="宋体" w:hAnsi="宋体" w:eastAsia="宋体" w:cs="宋体"/>
          <w:spacing w:val="8"/>
          <w:kern w:val="0"/>
          <w:u w:val="single"/>
        </w:rPr>
        <w:t xml:space="preserve">  </w:t>
      </w:r>
      <w:r>
        <w:rPr>
          <w:rFonts w:hint="eastAsia" w:ascii="宋体" w:hAnsi="宋体" w:eastAsia="宋体" w:cs="宋体"/>
          <w:spacing w:val="8"/>
          <w:kern w:val="0"/>
        </w:rPr>
        <w:t>%。</w:t>
      </w:r>
    </w:p>
    <w:p w14:paraId="00169756">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i/>
          <w:spacing w:val="8"/>
          <w:kern w:val="0"/>
          <w:u w:val="single"/>
          <w:lang w:val="en"/>
        </w:rPr>
      </w:pPr>
      <w:r>
        <w:rPr>
          <w:rFonts w:hint="eastAsia" w:ascii="宋体" w:hAnsi="宋体" w:eastAsia="宋体" w:cs="宋体"/>
          <w:spacing w:val="8"/>
          <w:kern w:val="0"/>
        </w:rPr>
        <w:t>（4）本项目为非预留份额的采购项目或采购包，执行价格扣除优惠政策，详见</w:t>
      </w:r>
      <w:r>
        <w:rPr>
          <w:rFonts w:hint="eastAsia" w:cs="宋体"/>
          <w:spacing w:val="8"/>
          <w:kern w:val="0"/>
          <w:lang w:eastAsia="zh-CN"/>
        </w:rPr>
        <w:t>磋商文件</w:t>
      </w:r>
      <w:r>
        <w:rPr>
          <w:rFonts w:hint="eastAsia" w:ascii="宋体" w:hAnsi="宋体" w:eastAsia="宋体" w:cs="宋体"/>
          <w:spacing w:val="8"/>
          <w:kern w:val="0"/>
        </w:rPr>
        <w:t>第三章评标办法与标准。</w:t>
      </w:r>
    </w:p>
    <w:p w14:paraId="5CD4FE72">
      <w:pPr>
        <w:keepNext w:val="0"/>
        <w:keepLines w:val="0"/>
        <w:pageBreakBefore w:val="0"/>
        <w:widowControl w:val="0"/>
        <w:kinsoku/>
        <w:wordWrap/>
        <w:overflowPunct/>
        <w:topLinePunct w:val="0"/>
        <w:autoSpaceDE/>
        <w:autoSpaceDN/>
        <w:bidi w:val="0"/>
        <w:adjustRightInd/>
        <w:snapToGrid/>
        <w:spacing w:line="360" w:lineRule="auto"/>
        <w:ind w:firstLine="454" w:firstLineChars="200"/>
        <w:textAlignment w:val="auto"/>
        <w:rPr>
          <w:rFonts w:hint="eastAsia" w:ascii="宋体" w:hAnsi="宋体" w:eastAsia="宋体" w:cs="宋体"/>
          <w:b/>
          <w:bCs w:val="0"/>
          <w:spacing w:val="8"/>
          <w:kern w:val="0"/>
          <w:highlight w:val="none"/>
        </w:rPr>
      </w:pPr>
      <w:r>
        <w:rPr>
          <w:rFonts w:hint="eastAsia" w:ascii="宋体" w:hAnsi="宋体" w:eastAsia="宋体" w:cs="宋体"/>
          <w:b/>
          <w:bCs w:val="0"/>
          <w:spacing w:val="8"/>
          <w:kern w:val="0"/>
          <w:highlight w:val="none"/>
        </w:rPr>
        <w:t>2.3本项目的特定资格要求：</w:t>
      </w:r>
    </w:p>
    <w:p w14:paraId="7B21D3A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spacing w:val="8"/>
          <w:kern w:val="0"/>
          <w:lang w:val="en-US" w:eastAsia="zh-CN"/>
        </w:rPr>
      </w:pPr>
      <w:r>
        <w:rPr>
          <w:rFonts w:hint="eastAsia" w:ascii="宋体" w:hAnsi="宋体" w:eastAsia="宋体" w:cs="宋体"/>
          <w:b w:val="0"/>
          <w:bCs/>
          <w:spacing w:val="8"/>
          <w:kern w:val="0"/>
          <w:lang w:val="en-US" w:eastAsia="zh-CN"/>
        </w:rPr>
        <w:t>（1）企业资质要求：供应商应具有建设行政主管部门颁发的建筑工程施工总承包叁级</w:t>
      </w:r>
      <w:r>
        <w:rPr>
          <w:rFonts w:hint="eastAsia" w:cs="宋体"/>
          <w:b w:val="0"/>
          <w:bCs/>
          <w:spacing w:val="8"/>
          <w:kern w:val="0"/>
          <w:lang w:val="en-US" w:eastAsia="zh-CN"/>
        </w:rPr>
        <w:t>（含）</w:t>
      </w:r>
      <w:r>
        <w:rPr>
          <w:rFonts w:hint="eastAsia" w:ascii="宋体" w:hAnsi="宋体" w:eastAsia="宋体" w:cs="宋体"/>
          <w:b w:val="0"/>
          <w:bCs/>
          <w:spacing w:val="8"/>
          <w:kern w:val="0"/>
          <w:lang w:val="en-US" w:eastAsia="zh-CN"/>
        </w:rPr>
        <w:t>以上资质或建筑装修装饰工程专业承包二级（含）以上资质，并取得有效的安全生产许可证（提供有效期内的相应证书复印件并加盖公章）；</w:t>
      </w:r>
    </w:p>
    <w:p w14:paraId="7DBE0177">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spacing w:val="8"/>
          <w:kern w:val="0"/>
          <w:lang w:val="en-US" w:eastAsia="zh-CN"/>
        </w:rPr>
      </w:pPr>
      <w:r>
        <w:rPr>
          <w:rFonts w:hint="eastAsia" w:ascii="宋体" w:hAnsi="宋体" w:eastAsia="宋体" w:cs="宋体"/>
          <w:b w:val="0"/>
          <w:bCs/>
          <w:spacing w:val="8"/>
          <w:kern w:val="0"/>
          <w:lang w:val="en-US" w:eastAsia="zh-CN"/>
        </w:rPr>
        <w:t>（2）项目负责人要求：具有建筑工程专业二级(含)以上注册建造师证书，并取得有效的安全生产考核合格证（B 证）（提供有效期内的相应证书复印件并加盖公章，证书以注册在本单位为准，以及社保机构出具的近半年内任意一个月供应商为其缴纳的社保缴费证明【加盖社保公章或具有可验证的二维码（或验证码）】并加盖公章）；</w:t>
      </w:r>
    </w:p>
    <w:p w14:paraId="537474B7">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spacing w:val="8"/>
          <w:kern w:val="0"/>
          <w:lang w:val="en-US" w:eastAsia="zh-CN"/>
        </w:rPr>
      </w:pPr>
      <w:r>
        <w:rPr>
          <w:rFonts w:hint="eastAsia" w:ascii="宋体" w:hAnsi="宋体" w:eastAsia="宋体" w:cs="宋体"/>
          <w:b w:val="0"/>
          <w:bCs/>
          <w:spacing w:val="8"/>
          <w:kern w:val="0"/>
          <w:lang w:val="en-US" w:eastAsia="zh-CN"/>
        </w:rPr>
        <w:t xml:space="preserve">（3）项目负责人必须满足下列条件：（符合并提供承诺书） </w:t>
      </w:r>
    </w:p>
    <w:p w14:paraId="7305FA1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spacing w:val="8"/>
          <w:kern w:val="0"/>
          <w:lang w:val="en-US" w:eastAsia="zh-CN"/>
        </w:rPr>
      </w:pPr>
      <w:r>
        <w:rPr>
          <w:rFonts w:hint="eastAsia" w:ascii="宋体" w:hAnsi="宋体" w:eastAsia="宋体" w:cs="宋体"/>
          <w:b w:val="0"/>
          <w:bCs/>
          <w:spacing w:val="8"/>
          <w:kern w:val="0"/>
          <w:lang w:val="en-US" w:eastAsia="zh-CN"/>
        </w:rPr>
        <w:t>a.项目负责人不得同时在两个或两个以上单位受聘或者执业。</w:t>
      </w:r>
    </w:p>
    <w:p w14:paraId="2D9CF5F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spacing w:val="8"/>
          <w:kern w:val="0"/>
          <w:lang w:val="en-US" w:eastAsia="zh-CN"/>
        </w:rPr>
      </w:pPr>
      <w:r>
        <w:rPr>
          <w:rFonts w:hint="eastAsia" w:ascii="宋体" w:hAnsi="宋体" w:eastAsia="宋体" w:cs="宋体"/>
          <w:b w:val="0"/>
          <w:bCs/>
          <w:spacing w:val="8"/>
          <w:kern w:val="0"/>
          <w:lang w:val="en-US" w:eastAsia="zh-CN"/>
        </w:rPr>
        <w:t xml:space="preserve">b.项目负责人是非变更后无在建工程的。 </w:t>
      </w:r>
    </w:p>
    <w:p w14:paraId="064E0781">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spacing w:val="8"/>
          <w:kern w:val="0"/>
          <w:lang w:val="en-US" w:eastAsia="zh-CN"/>
        </w:rPr>
      </w:pPr>
      <w:r>
        <w:rPr>
          <w:rFonts w:hint="eastAsia" w:ascii="宋体" w:hAnsi="宋体" w:eastAsia="宋体" w:cs="宋体"/>
          <w:b w:val="0"/>
          <w:bCs/>
          <w:spacing w:val="8"/>
          <w:kern w:val="0"/>
          <w:lang w:val="en-US" w:eastAsia="zh-CN"/>
        </w:rPr>
        <w:t xml:space="preserve">c.项目负责人是变更后无在建工程的，并且：原合同工期已满且变更备案之日已满6个月；或者，因非承包方原因致使工程项目停工超过120天，且经建设单位同意并已经办理项目负责人变更手续的。 </w:t>
      </w:r>
    </w:p>
    <w:p w14:paraId="2C389131">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bCs w:val="0"/>
          <w:spacing w:val="8"/>
          <w:kern w:val="0"/>
          <w:lang w:val="en-US" w:eastAsia="zh-CN"/>
        </w:rPr>
      </w:pPr>
      <w:r>
        <w:rPr>
          <w:rFonts w:hint="eastAsia" w:ascii="宋体" w:hAnsi="宋体" w:eastAsia="宋体" w:cs="宋体"/>
          <w:b w:val="0"/>
          <w:bCs/>
          <w:spacing w:val="8"/>
          <w:kern w:val="0"/>
          <w:lang w:val="en-US" w:eastAsia="zh-CN"/>
        </w:rPr>
        <w:t>d.项目负责人有在建工程，但该在建工程与本次采购的工程属于同一工程项目、同一项目批文、同一施工地点分段发包或分期施工的情况。</w:t>
      </w:r>
    </w:p>
    <w:p w14:paraId="661466A4">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Cs/>
        </w:rPr>
      </w:pPr>
      <w:r>
        <w:rPr>
          <w:rFonts w:hint="eastAsia" w:ascii="宋体" w:hAnsi="宋体" w:eastAsia="宋体" w:cs="宋体"/>
          <w:spacing w:val="8"/>
          <w:kern w:val="0"/>
        </w:rPr>
        <w:t>2.4</w:t>
      </w:r>
      <w:r>
        <w:rPr>
          <w:rFonts w:hint="eastAsia" w:ascii="宋体" w:hAnsi="宋体" w:eastAsia="宋体" w:cs="宋体"/>
          <w:bCs/>
        </w:rPr>
        <w:t>第2.1（5）条所称重大违法记录，是指供应商因违法经营受到刑事处罚或者责令停产停业、吊销许可证或者执照、较大数额罚款等行政处罚。</w:t>
      </w:r>
    </w:p>
    <w:p w14:paraId="7AE9B9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rPr>
      </w:pPr>
      <w:r>
        <w:rPr>
          <w:rFonts w:hint="eastAsia" w:ascii="宋体" w:hAnsi="宋体" w:eastAsia="宋体" w:cs="宋体"/>
          <w:bCs/>
        </w:rPr>
        <w:t>2.5 供应商在参加政府采购活动前3年内因违法经营被禁止在一定期限内参加政府采购活动，期限届满的，可以参加政府采购活动。</w:t>
      </w:r>
    </w:p>
    <w:p w14:paraId="282CD7A2">
      <w:pPr>
        <w:widowControl/>
        <w:shd w:val="clear" w:color="auto" w:fill="FFFFFF"/>
        <w:spacing w:line="360" w:lineRule="auto"/>
        <w:rPr>
          <w:rFonts w:hint="eastAsia" w:ascii="宋体" w:hAnsi="宋体" w:eastAsia="宋体" w:cs="宋体"/>
          <w:b/>
          <w:spacing w:val="8"/>
          <w:kern w:val="0"/>
          <w:lang w:eastAsia="zh-CN"/>
        </w:rPr>
      </w:pPr>
      <w:r>
        <w:rPr>
          <w:rFonts w:hint="eastAsia" w:ascii="宋体" w:hAnsi="宋体" w:eastAsia="宋体" w:cs="宋体"/>
          <w:b/>
          <w:spacing w:val="8"/>
          <w:kern w:val="0"/>
        </w:rPr>
        <w:t>三、获取</w:t>
      </w:r>
      <w:r>
        <w:rPr>
          <w:rFonts w:hint="eastAsia" w:cs="宋体"/>
          <w:b/>
          <w:spacing w:val="8"/>
          <w:kern w:val="0"/>
          <w:lang w:eastAsia="zh-CN"/>
        </w:rPr>
        <w:t>磋商文件</w:t>
      </w:r>
    </w:p>
    <w:p w14:paraId="353E4B6C">
      <w:pPr>
        <w:snapToGrid w:val="0"/>
        <w:spacing w:line="360" w:lineRule="auto"/>
        <w:rPr>
          <w:rFonts w:hint="eastAsia" w:ascii="宋体" w:hAnsi="宋体" w:eastAsia="宋体" w:cs="宋体"/>
        </w:rPr>
      </w:pPr>
      <w:r>
        <w:rPr>
          <w:rFonts w:hint="eastAsia" w:ascii="宋体" w:hAnsi="宋体" w:eastAsia="宋体" w:cs="宋体"/>
        </w:rPr>
        <w:t>3.1</w:t>
      </w:r>
      <w:r>
        <w:rPr>
          <w:rFonts w:hint="eastAsia" w:cs="宋体"/>
          <w:lang w:eastAsia="zh-CN"/>
        </w:rPr>
        <w:t>磋商文件</w:t>
      </w:r>
      <w:r>
        <w:rPr>
          <w:rFonts w:hint="eastAsia" w:ascii="宋体" w:hAnsi="宋体" w:eastAsia="宋体" w:cs="宋体"/>
        </w:rPr>
        <w:t>出售时间：自202</w:t>
      </w:r>
      <w:r>
        <w:rPr>
          <w:rFonts w:hint="eastAsia" w:ascii="宋体" w:hAnsi="宋体" w:cs="宋体"/>
          <w:lang w:val="en-US" w:eastAsia="zh-CN"/>
        </w:rPr>
        <w:t>5</w:t>
      </w:r>
      <w:r>
        <w:rPr>
          <w:rFonts w:hint="eastAsia" w:ascii="宋体" w:hAnsi="宋体" w:eastAsia="宋体" w:cs="宋体"/>
        </w:rPr>
        <w:t>年</w:t>
      </w:r>
      <w:r>
        <w:rPr>
          <w:rFonts w:hint="eastAsia" w:cs="宋体"/>
          <w:lang w:val="en-US" w:eastAsia="zh-CN"/>
        </w:rPr>
        <w:t>12</w:t>
      </w:r>
      <w:r>
        <w:rPr>
          <w:rFonts w:hint="eastAsia" w:ascii="宋体" w:hAnsi="宋体" w:eastAsia="宋体" w:cs="宋体"/>
        </w:rPr>
        <w:t>月</w:t>
      </w:r>
      <w:r>
        <w:rPr>
          <w:rFonts w:hint="eastAsia" w:cs="宋体"/>
          <w:lang w:val="en-US" w:eastAsia="zh-CN"/>
        </w:rPr>
        <w:t>2</w:t>
      </w:r>
      <w:r>
        <w:rPr>
          <w:rFonts w:hint="eastAsia" w:ascii="宋体" w:hAnsi="宋体" w:eastAsia="宋体" w:cs="宋体"/>
        </w:rPr>
        <w:t>日起至202</w:t>
      </w:r>
      <w:r>
        <w:rPr>
          <w:rFonts w:hint="eastAsia" w:ascii="宋体" w:hAnsi="宋体" w:cs="宋体"/>
          <w:lang w:val="en-US" w:eastAsia="zh-CN"/>
        </w:rPr>
        <w:t>5</w:t>
      </w:r>
      <w:r>
        <w:rPr>
          <w:rFonts w:hint="eastAsia" w:ascii="宋体" w:hAnsi="宋体" w:eastAsia="宋体" w:cs="宋体"/>
        </w:rPr>
        <w:t>年</w:t>
      </w:r>
      <w:r>
        <w:rPr>
          <w:rFonts w:hint="eastAsia" w:cs="宋体"/>
          <w:lang w:val="en-US" w:eastAsia="zh-CN"/>
        </w:rPr>
        <w:t>12</w:t>
      </w:r>
      <w:r>
        <w:rPr>
          <w:rFonts w:hint="eastAsia" w:ascii="宋体" w:hAnsi="宋体" w:eastAsia="宋体" w:cs="宋体"/>
        </w:rPr>
        <w:t>月</w:t>
      </w:r>
      <w:r>
        <w:rPr>
          <w:rFonts w:hint="eastAsia" w:cs="宋体"/>
          <w:lang w:val="en-US" w:eastAsia="zh-CN"/>
        </w:rPr>
        <w:t>8</w:t>
      </w:r>
      <w:r>
        <w:rPr>
          <w:rFonts w:hint="eastAsia" w:ascii="宋体" w:hAnsi="宋体" w:eastAsia="宋体" w:cs="宋体"/>
        </w:rPr>
        <w:t>日，每天上午09时00分至 11时00分,下午14时00分至17时00分（北京时间，节假日除外）；</w:t>
      </w:r>
    </w:p>
    <w:p w14:paraId="7D53D6D0">
      <w:pPr>
        <w:snapToGrid w:val="0"/>
        <w:spacing w:line="360" w:lineRule="auto"/>
        <w:rPr>
          <w:rFonts w:hint="eastAsia" w:ascii="宋体" w:hAnsi="宋体" w:eastAsia="宋体" w:cs="宋体"/>
        </w:rPr>
      </w:pPr>
      <w:r>
        <w:rPr>
          <w:rFonts w:hint="eastAsia" w:ascii="宋体" w:hAnsi="宋体" w:eastAsia="宋体" w:cs="宋体"/>
        </w:rPr>
        <w:t>3.2获取方式：</w:t>
      </w:r>
      <w:r>
        <w:rPr>
          <w:rFonts w:hint="eastAsia" w:cs="宋体"/>
          <w:lang w:val="en-US" w:eastAsia="zh-CN"/>
        </w:rPr>
        <w:t>线上或现场。</w:t>
      </w:r>
      <w:r>
        <w:rPr>
          <w:rFonts w:hint="eastAsia" w:ascii="宋体" w:hAnsi="宋体" w:eastAsia="宋体" w:cs="宋体"/>
        </w:rPr>
        <w:t>请供应商提供以下要求的证明文件的扫描件发送至</w:t>
      </w:r>
      <w:r>
        <w:rPr>
          <w:rFonts w:hint="eastAsia" w:cs="宋体"/>
          <w:lang w:val="en-US" w:eastAsia="zh-CN"/>
        </w:rPr>
        <w:t>17749517836@163.com</w:t>
      </w:r>
      <w:r>
        <w:rPr>
          <w:rFonts w:hint="eastAsia" w:ascii="宋体" w:hAnsi="宋体" w:eastAsia="宋体" w:cs="宋体"/>
        </w:rPr>
        <w:t>（邮件须命名为：公司全称+项目简称+授权代表姓名+联系方式，须为一个PDF文件上传），且须加盖供应商公章后方为有效，</w:t>
      </w:r>
      <w:r>
        <w:rPr>
          <w:rFonts w:hint="eastAsia" w:cs="宋体"/>
          <w:lang w:val="en-US" w:eastAsia="zh-CN"/>
        </w:rPr>
        <w:t>或</w:t>
      </w:r>
      <w:r>
        <w:rPr>
          <w:rFonts w:hint="eastAsia" w:ascii="宋体" w:hAnsi="宋体" w:eastAsia="宋体" w:cs="宋体"/>
          <w:color w:val="auto"/>
          <w:sz w:val="21"/>
          <w:szCs w:val="21"/>
          <w:highlight w:val="none"/>
          <w:lang w:val="en-US" w:eastAsia="zh-CN"/>
        </w:rPr>
        <w:t>到南京市建邺区嘉陵江东街18号1栋17层现场报名，</w:t>
      </w:r>
      <w:bookmarkStart w:id="624" w:name="_GoBack"/>
      <w:bookmarkEnd w:id="624"/>
      <w:r>
        <w:rPr>
          <w:rFonts w:hint="eastAsia" w:ascii="宋体" w:hAnsi="宋体" w:eastAsia="宋体" w:cs="宋体"/>
        </w:rPr>
        <w:t>审核通过后获取</w:t>
      </w:r>
      <w:r>
        <w:rPr>
          <w:rFonts w:hint="eastAsia" w:cs="宋体"/>
          <w:lang w:eastAsia="zh-CN"/>
        </w:rPr>
        <w:t>磋商文件</w:t>
      </w:r>
      <w:r>
        <w:rPr>
          <w:rFonts w:hint="eastAsia" w:ascii="宋体" w:hAnsi="宋体" w:eastAsia="宋体" w:cs="宋体"/>
        </w:rPr>
        <w:t>：</w:t>
      </w:r>
    </w:p>
    <w:p w14:paraId="7AE1CD4E">
      <w:pPr>
        <w:snapToGrid w:val="0"/>
        <w:spacing w:line="360" w:lineRule="auto"/>
        <w:rPr>
          <w:rFonts w:hint="eastAsia" w:ascii="宋体" w:hAnsi="宋体" w:eastAsia="宋体" w:cs="宋体"/>
        </w:rPr>
      </w:pPr>
      <w:r>
        <w:rPr>
          <w:rFonts w:hint="eastAsia" w:ascii="宋体" w:hAnsi="宋体" w:eastAsia="宋体" w:cs="宋体"/>
        </w:rPr>
        <w:t>（1）供应商的营业执照副本扫描件；</w:t>
      </w:r>
    </w:p>
    <w:p w14:paraId="14743841">
      <w:pPr>
        <w:snapToGrid w:val="0"/>
        <w:spacing w:line="360" w:lineRule="auto"/>
        <w:rPr>
          <w:rFonts w:hint="eastAsia" w:ascii="宋体" w:hAnsi="宋体" w:eastAsia="宋体" w:cs="宋体"/>
        </w:rPr>
      </w:pPr>
      <w:r>
        <w:rPr>
          <w:rFonts w:hint="eastAsia" w:ascii="宋体" w:hAnsi="宋体" w:eastAsia="宋体" w:cs="宋体"/>
        </w:rPr>
        <w:t>（2）供应商法定代表人身份证扫描件，法定代表人授权委托书原件的扫描件和委托代理人的身份证扫描件；</w:t>
      </w:r>
    </w:p>
    <w:p w14:paraId="443DFB08">
      <w:pPr>
        <w:snapToGrid w:val="0"/>
        <w:spacing w:line="360" w:lineRule="auto"/>
        <w:rPr>
          <w:rFonts w:hint="eastAsia" w:ascii="宋体" w:hAnsi="宋体" w:eastAsia="宋体" w:cs="宋体"/>
          <w:lang w:val="en"/>
        </w:rPr>
      </w:pPr>
      <w:r>
        <w:rPr>
          <w:rFonts w:hint="eastAsia" w:ascii="宋体" w:hAnsi="宋体" w:eastAsia="宋体" w:cs="宋体"/>
          <w:lang w:val="en"/>
        </w:rPr>
        <w:t>（</w:t>
      </w:r>
      <w:r>
        <w:rPr>
          <w:rFonts w:hint="eastAsia" w:ascii="宋体" w:hAnsi="宋体" w:eastAsia="宋体" w:cs="宋体"/>
        </w:rPr>
        <w:t>3</w:t>
      </w:r>
      <w:r>
        <w:rPr>
          <w:rFonts w:hint="eastAsia" w:ascii="宋体" w:hAnsi="宋体" w:eastAsia="宋体" w:cs="宋体"/>
          <w:lang w:val="en"/>
        </w:rPr>
        <w:t>）文件费缴纳付款凭证（需备注公司名称+项目名称+纸质文件邮寄地址，以便代理工作人员查询）。</w:t>
      </w:r>
    </w:p>
    <w:p w14:paraId="0CB30767">
      <w:pPr>
        <w:snapToGrid w:val="0"/>
        <w:spacing w:line="360" w:lineRule="auto"/>
        <w:rPr>
          <w:rFonts w:hint="eastAsia"/>
        </w:rPr>
      </w:pPr>
      <w:r>
        <w:rPr>
          <w:rFonts w:hint="eastAsia" w:ascii="宋体" w:hAnsi="宋体" w:eastAsia="宋体" w:cs="宋体"/>
          <w:lang w:val="en"/>
        </w:rPr>
        <w:t>文件费支付宝收款账户：</w:t>
      </w:r>
      <w:r>
        <w:rPr>
          <w:rFonts w:hint="eastAsia" w:cs="宋体"/>
          <w:lang w:val="en-US" w:eastAsia="zh-CN"/>
        </w:rPr>
        <w:t>17749517836</w:t>
      </w:r>
      <w:r>
        <w:rPr>
          <w:rFonts w:hint="eastAsia" w:ascii="宋体" w:hAnsi="宋体" w:eastAsia="宋体" w:cs="宋体"/>
        </w:rPr>
        <w:t>，招标文件工本费及邮递费100元。</w:t>
      </w:r>
    </w:p>
    <w:p w14:paraId="2F5B8B45">
      <w:pPr>
        <w:widowControl/>
        <w:shd w:val="clear" w:color="auto" w:fill="FFFFFF"/>
        <w:spacing w:line="360" w:lineRule="auto"/>
        <w:outlineLvl w:val="1"/>
        <w:rPr>
          <w:rFonts w:hint="eastAsia" w:ascii="宋体" w:hAnsi="宋体" w:eastAsia="宋体" w:cs="宋体"/>
          <w:b/>
          <w:spacing w:val="8"/>
          <w:kern w:val="0"/>
        </w:rPr>
      </w:pPr>
      <w:r>
        <w:rPr>
          <w:rFonts w:hint="eastAsia" w:ascii="宋体" w:hAnsi="宋体" w:eastAsia="宋体" w:cs="宋体"/>
          <w:b/>
          <w:spacing w:val="8"/>
          <w:kern w:val="0"/>
        </w:rPr>
        <w:t>四、响应文件提交</w:t>
      </w:r>
    </w:p>
    <w:p w14:paraId="6DA901AB">
      <w:pPr>
        <w:spacing w:line="360" w:lineRule="auto"/>
        <w:rPr>
          <w:rFonts w:hint="eastAsia" w:ascii="宋体" w:hAnsi="宋体" w:eastAsia="宋体" w:cs="宋体"/>
          <w:spacing w:val="8"/>
          <w:kern w:val="0"/>
        </w:rPr>
      </w:pPr>
      <w:r>
        <w:rPr>
          <w:rFonts w:hint="eastAsia" w:ascii="宋体" w:hAnsi="宋体" w:eastAsia="宋体" w:cs="宋体"/>
        </w:rPr>
        <w:t>4.1 截止时间：202</w:t>
      </w:r>
      <w:r>
        <w:rPr>
          <w:rFonts w:hint="eastAsia" w:ascii="宋体" w:hAnsi="宋体" w:cs="宋体"/>
          <w:lang w:val="en-US" w:eastAsia="zh-CN"/>
        </w:rPr>
        <w:t>5</w:t>
      </w:r>
      <w:r>
        <w:rPr>
          <w:rFonts w:hint="eastAsia" w:ascii="宋体" w:hAnsi="宋体" w:eastAsia="宋体" w:cs="宋体"/>
          <w:spacing w:val="8"/>
          <w:kern w:val="0"/>
        </w:rPr>
        <w:t>年</w:t>
      </w:r>
      <w:r>
        <w:rPr>
          <w:rFonts w:hint="eastAsia" w:cs="宋体"/>
          <w:lang w:val="en-US" w:eastAsia="zh-CN"/>
        </w:rPr>
        <w:t>12</w:t>
      </w:r>
      <w:r>
        <w:rPr>
          <w:rFonts w:hint="eastAsia" w:ascii="宋体" w:hAnsi="宋体" w:eastAsia="宋体" w:cs="宋体"/>
          <w:spacing w:val="8"/>
          <w:kern w:val="0"/>
        </w:rPr>
        <w:t>月</w:t>
      </w:r>
      <w:r>
        <w:rPr>
          <w:rFonts w:hint="eastAsia" w:cs="宋体"/>
          <w:lang w:val="en-US" w:eastAsia="zh-CN"/>
        </w:rPr>
        <w:t>12</w:t>
      </w:r>
      <w:r>
        <w:rPr>
          <w:rFonts w:hint="eastAsia" w:ascii="宋体" w:hAnsi="宋体" w:eastAsia="宋体" w:cs="宋体"/>
          <w:spacing w:val="8"/>
          <w:kern w:val="0"/>
        </w:rPr>
        <w:t>日</w:t>
      </w:r>
      <w:r>
        <w:rPr>
          <w:rFonts w:hint="eastAsia" w:cs="宋体"/>
          <w:spacing w:val="8"/>
          <w:kern w:val="0"/>
          <w:lang w:val="en-US" w:eastAsia="zh-CN"/>
        </w:rPr>
        <w:t>09</w:t>
      </w:r>
      <w:r>
        <w:rPr>
          <w:rFonts w:hint="eastAsia" w:ascii="宋体" w:hAnsi="宋体" w:eastAsia="宋体" w:cs="宋体"/>
          <w:spacing w:val="8"/>
          <w:kern w:val="0"/>
        </w:rPr>
        <w:t>点</w:t>
      </w:r>
      <w:r>
        <w:rPr>
          <w:rFonts w:hint="eastAsia" w:cs="宋体"/>
          <w:lang w:val="en-US" w:eastAsia="zh-CN"/>
        </w:rPr>
        <w:t>30</w:t>
      </w:r>
      <w:r>
        <w:rPr>
          <w:rFonts w:hint="eastAsia" w:ascii="宋体" w:hAnsi="宋体" w:eastAsia="宋体" w:cs="宋体"/>
          <w:spacing w:val="8"/>
          <w:kern w:val="0"/>
        </w:rPr>
        <w:t>分（北京时间）</w:t>
      </w:r>
    </w:p>
    <w:p w14:paraId="1D2259E5">
      <w:pPr>
        <w:spacing w:line="360" w:lineRule="auto"/>
        <w:rPr>
          <w:rFonts w:hint="eastAsia" w:ascii="宋体" w:hAnsi="宋体" w:eastAsia="宋体" w:cs="宋体"/>
          <w:spacing w:val="8"/>
          <w:kern w:val="0"/>
          <w:lang w:eastAsia="zh-CN"/>
        </w:rPr>
      </w:pPr>
      <w:r>
        <w:rPr>
          <w:rFonts w:hint="eastAsia" w:ascii="宋体" w:hAnsi="宋体" w:eastAsia="宋体" w:cs="宋体"/>
        </w:rPr>
        <w:t>4.2 地点：</w:t>
      </w:r>
      <w:r>
        <w:rPr>
          <w:rFonts w:hint="eastAsia" w:cs="宋体"/>
          <w:lang w:eastAsia="zh-CN"/>
        </w:rPr>
        <w:t>南京市建邺区嘉陵江东街18号1栋17层1号会议室</w:t>
      </w:r>
    </w:p>
    <w:p w14:paraId="78E456B6">
      <w:pPr>
        <w:widowControl/>
        <w:shd w:val="clear" w:color="auto" w:fill="FFFFFF"/>
        <w:spacing w:line="360" w:lineRule="auto"/>
        <w:rPr>
          <w:rFonts w:hint="eastAsia" w:ascii="宋体" w:hAnsi="宋体" w:cs="宋体"/>
          <w:kern w:val="0"/>
          <w:lang w:val="en-US" w:eastAsia="zh-CN"/>
        </w:rPr>
      </w:pPr>
      <w:r>
        <w:rPr>
          <w:rFonts w:hint="eastAsia" w:ascii="宋体" w:hAnsi="宋体" w:eastAsia="宋体" w:cs="宋体"/>
        </w:rPr>
        <w:t>4.3磋</w:t>
      </w:r>
      <w:r>
        <w:rPr>
          <w:rFonts w:hint="eastAsia" w:ascii="宋体" w:hAnsi="宋体" w:eastAsia="宋体" w:cs="宋体"/>
          <w:kern w:val="0"/>
        </w:rPr>
        <w:t>商响应文件份数：</w:t>
      </w:r>
      <w:r>
        <w:rPr>
          <w:rFonts w:hint="eastAsia" w:ascii="宋体" w:hAnsi="宋体" w:eastAsia="宋体" w:cs="宋体"/>
          <w:b/>
          <w:bCs/>
          <w:kern w:val="0"/>
        </w:rPr>
        <w:t>纸质版一式叁份（壹份正本、贰份副本）、电子版</w:t>
      </w:r>
      <w:r>
        <w:rPr>
          <w:rFonts w:hint="eastAsia" w:cs="宋体"/>
          <w:b/>
          <w:bCs/>
          <w:kern w:val="0"/>
          <w:lang w:val="en-US" w:eastAsia="zh-CN"/>
        </w:rPr>
        <w:t>响应</w:t>
      </w:r>
      <w:r>
        <w:rPr>
          <w:rFonts w:hint="eastAsia" w:ascii="宋体" w:hAnsi="宋体" w:eastAsia="宋体" w:cs="宋体"/>
          <w:b/>
          <w:bCs/>
          <w:kern w:val="0"/>
        </w:rPr>
        <w:t>文件壹份（一般应为U盘形式、随纸质正本文件一并提交，须为纸质版正本投标文件加盖公章的扫描件）。</w:t>
      </w:r>
      <w:r>
        <w:rPr>
          <w:rFonts w:hint="eastAsia" w:ascii="宋体" w:hAnsi="宋体" w:eastAsia="宋体" w:cs="宋体"/>
          <w:kern w:val="0"/>
        </w:rPr>
        <w:t>当电子版文件和纸质正本文件不一致时，以纸质正本文件为准。电子版文件用于辅助评标和存档，</w:t>
      </w:r>
      <w:r>
        <w:rPr>
          <w:rFonts w:hint="eastAsia" w:ascii="宋体" w:hAnsi="宋体" w:cs="宋体"/>
          <w:kern w:val="0"/>
          <w:lang w:eastAsia="zh-CN"/>
        </w:rPr>
        <w:t>供应商</w:t>
      </w:r>
      <w:r>
        <w:rPr>
          <w:rFonts w:hint="eastAsia" w:ascii="宋体" w:hAnsi="宋体" w:eastAsia="宋体" w:cs="宋体"/>
          <w:kern w:val="0"/>
        </w:rPr>
        <w:t>需承担前述不一致造成的不利后果。每份</w:t>
      </w:r>
      <w:r>
        <w:rPr>
          <w:rFonts w:hint="eastAsia" w:cs="宋体"/>
          <w:kern w:val="0"/>
          <w:lang w:val="en-US" w:eastAsia="zh-CN"/>
        </w:rPr>
        <w:t>响应</w:t>
      </w:r>
      <w:r>
        <w:rPr>
          <w:rFonts w:hint="eastAsia" w:ascii="宋体" w:hAnsi="宋体" w:eastAsia="宋体" w:cs="宋体"/>
          <w:kern w:val="0"/>
        </w:rPr>
        <w:t>文件须清楚标明“正本”或“副本”字样。一旦正本和副本不符，以正本为准</w:t>
      </w:r>
      <w:r>
        <w:rPr>
          <w:rFonts w:hint="eastAsia" w:ascii="宋体" w:hAnsi="宋体" w:cs="宋体"/>
          <w:kern w:val="0"/>
          <w:lang w:eastAsia="zh-CN"/>
        </w:rPr>
        <w:t>，</w:t>
      </w:r>
      <w:r>
        <w:rPr>
          <w:rFonts w:hint="eastAsia" w:ascii="宋体" w:hAnsi="宋体" w:cs="宋体"/>
          <w:kern w:val="0"/>
          <w:lang w:val="en-US" w:eastAsia="zh-CN"/>
        </w:rPr>
        <w:t>如未按上述要求，采购人有权拒收招标文件。</w:t>
      </w:r>
    </w:p>
    <w:p w14:paraId="4428572B">
      <w:pPr>
        <w:spacing w:line="360" w:lineRule="auto"/>
        <w:rPr>
          <w:rFonts w:hint="eastAsia" w:ascii="宋体" w:hAnsi="宋体" w:eastAsia="宋体" w:cs="宋体"/>
          <w:b/>
          <w:spacing w:val="8"/>
          <w:kern w:val="0"/>
        </w:rPr>
      </w:pPr>
      <w:r>
        <w:rPr>
          <w:rFonts w:hint="eastAsia" w:ascii="宋体" w:hAnsi="宋体" w:eastAsia="宋体" w:cs="宋体"/>
          <w:b/>
          <w:spacing w:val="8"/>
          <w:kern w:val="0"/>
        </w:rPr>
        <w:t>五、开启</w:t>
      </w:r>
    </w:p>
    <w:p w14:paraId="70F23AE0">
      <w:pPr>
        <w:spacing w:line="360" w:lineRule="auto"/>
        <w:rPr>
          <w:rFonts w:hint="eastAsia" w:ascii="宋体" w:hAnsi="宋体" w:eastAsia="宋体" w:cs="宋体"/>
          <w:spacing w:val="8"/>
          <w:kern w:val="0"/>
        </w:rPr>
      </w:pPr>
      <w:r>
        <w:rPr>
          <w:rFonts w:hint="eastAsia" w:ascii="宋体" w:hAnsi="宋体" w:eastAsia="宋体" w:cs="宋体"/>
        </w:rPr>
        <w:t>5.1 时间：202</w:t>
      </w:r>
      <w:r>
        <w:rPr>
          <w:rFonts w:hint="eastAsia" w:ascii="宋体" w:hAnsi="宋体" w:cs="宋体"/>
          <w:lang w:val="en-US" w:eastAsia="zh-CN"/>
        </w:rPr>
        <w:t>5</w:t>
      </w:r>
      <w:r>
        <w:rPr>
          <w:rFonts w:hint="eastAsia" w:ascii="宋体" w:hAnsi="宋体" w:eastAsia="宋体" w:cs="宋体"/>
          <w:spacing w:val="8"/>
          <w:kern w:val="0"/>
        </w:rPr>
        <w:t>年</w:t>
      </w:r>
      <w:r>
        <w:rPr>
          <w:rFonts w:hint="eastAsia" w:cs="宋体"/>
          <w:lang w:val="en-US" w:eastAsia="zh-CN"/>
        </w:rPr>
        <w:t>12</w:t>
      </w:r>
      <w:r>
        <w:rPr>
          <w:rFonts w:hint="eastAsia" w:ascii="宋体" w:hAnsi="宋体" w:eastAsia="宋体" w:cs="宋体"/>
          <w:spacing w:val="8"/>
          <w:kern w:val="0"/>
        </w:rPr>
        <w:t>月</w:t>
      </w:r>
      <w:r>
        <w:rPr>
          <w:rFonts w:hint="eastAsia" w:cs="宋体"/>
          <w:lang w:val="en-US" w:eastAsia="zh-CN"/>
        </w:rPr>
        <w:t>12</w:t>
      </w:r>
      <w:r>
        <w:rPr>
          <w:rFonts w:hint="eastAsia" w:ascii="宋体" w:hAnsi="宋体" w:eastAsia="宋体" w:cs="宋体"/>
          <w:spacing w:val="8"/>
          <w:kern w:val="0"/>
        </w:rPr>
        <w:t>日</w:t>
      </w:r>
      <w:r>
        <w:rPr>
          <w:rFonts w:hint="eastAsia" w:cs="宋体"/>
          <w:lang w:val="en-US" w:eastAsia="zh-CN"/>
        </w:rPr>
        <w:t>09</w:t>
      </w:r>
      <w:r>
        <w:rPr>
          <w:rFonts w:hint="eastAsia" w:ascii="宋体" w:hAnsi="宋体" w:eastAsia="宋体" w:cs="宋体"/>
          <w:spacing w:val="8"/>
          <w:kern w:val="0"/>
        </w:rPr>
        <w:t>点</w:t>
      </w:r>
      <w:r>
        <w:rPr>
          <w:rFonts w:hint="eastAsia" w:cs="宋体"/>
          <w:lang w:val="en-US" w:eastAsia="zh-CN"/>
        </w:rPr>
        <w:t>30</w:t>
      </w:r>
      <w:r>
        <w:rPr>
          <w:rFonts w:hint="eastAsia" w:ascii="宋体" w:hAnsi="宋体" w:eastAsia="宋体" w:cs="宋体"/>
          <w:spacing w:val="8"/>
          <w:kern w:val="0"/>
        </w:rPr>
        <w:t>分（北京时间）</w:t>
      </w:r>
    </w:p>
    <w:p w14:paraId="54A206BF">
      <w:pPr>
        <w:spacing w:line="360" w:lineRule="auto"/>
        <w:rPr>
          <w:rFonts w:hint="eastAsia" w:ascii="宋体" w:hAnsi="宋体" w:eastAsia="宋体" w:cs="宋体"/>
          <w:spacing w:val="8"/>
          <w:kern w:val="0"/>
          <w:lang w:eastAsia="zh-CN"/>
        </w:rPr>
      </w:pPr>
      <w:r>
        <w:rPr>
          <w:rFonts w:hint="eastAsia" w:ascii="宋体" w:hAnsi="宋体" w:eastAsia="宋体" w:cs="宋体"/>
        </w:rPr>
        <w:t>5.2 地点：</w:t>
      </w:r>
      <w:r>
        <w:rPr>
          <w:rFonts w:hint="eastAsia" w:cs="宋体"/>
          <w:lang w:eastAsia="zh-CN"/>
        </w:rPr>
        <w:t>南京市建邺区嘉陵江东街18号1栋17层1号会议室</w:t>
      </w:r>
    </w:p>
    <w:p w14:paraId="32764BC8">
      <w:pPr>
        <w:widowControl/>
        <w:shd w:val="clear" w:color="auto" w:fill="FFFFFF"/>
        <w:spacing w:line="360" w:lineRule="auto"/>
        <w:outlineLvl w:val="1"/>
        <w:rPr>
          <w:rFonts w:hint="eastAsia" w:ascii="宋体" w:hAnsi="宋体" w:eastAsia="宋体" w:cs="宋体"/>
          <w:b/>
          <w:spacing w:val="8"/>
          <w:kern w:val="0"/>
        </w:rPr>
      </w:pPr>
      <w:r>
        <w:rPr>
          <w:rFonts w:hint="eastAsia" w:ascii="宋体" w:hAnsi="宋体" w:eastAsia="宋体" w:cs="宋体"/>
          <w:b/>
          <w:spacing w:val="8"/>
          <w:kern w:val="0"/>
        </w:rPr>
        <w:t>六、公告期限</w:t>
      </w:r>
    </w:p>
    <w:p w14:paraId="7A977F45">
      <w:pPr>
        <w:widowControl/>
        <w:shd w:val="clear" w:color="auto" w:fill="FFFFFF"/>
        <w:spacing w:line="360" w:lineRule="auto"/>
        <w:rPr>
          <w:rFonts w:hint="eastAsia" w:ascii="宋体" w:hAnsi="宋体" w:eastAsia="宋体" w:cs="宋体"/>
          <w:spacing w:val="8"/>
          <w:kern w:val="0"/>
        </w:rPr>
      </w:pPr>
      <w:r>
        <w:rPr>
          <w:rFonts w:hint="eastAsia" w:ascii="宋体" w:hAnsi="宋体" w:eastAsia="宋体" w:cs="宋体"/>
          <w:spacing w:val="8"/>
          <w:kern w:val="0"/>
        </w:rPr>
        <w:t>公告期限</w:t>
      </w:r>
      <w:r>
        <w:rPr>
          <w:rFonts w:hint="eastAsia" w:cs="宋体"/>
          <w:spacing w:val="8"/>
          <w:kern w:val="0"/>
          <w:lang w:val="en-US" w:eastAsia="zh-CN"/>
        </w:rPr>
        <w:t>3</w:t>
      </w:r>
      <w:r>
        <w:rPr>
          <w:rFonts w:hint="eastAsia" w:ascii="宋体" w:hAnsi="宋体" w:eastAsia="宋体" w:cs="宋体"/>
          <w:spacing w:val="8"/>
          <w:kern w:val="0"/>
        </w:rPr>
        <w:t>个工作日。</w:t>
      </w:r>
    </w:p>
    <w:p w14:paraId="13D69AD5">
      <w:pPr>
        <w:widowControl/>
        <w:shd w:val="clear" w:color="auto" w:fill="FFFFFF"/>
        <w:spacing w:line="360" w:lineRule="auto"/>
        <w:outlineLvl w:val="1"/>
        <w:rPr>
          <w:rFonts w:hint="eastAsia" w:ascii="宋体" w:hAnsi="宋体" w:eastAsia="宋体" w:cs="宋体"/>
          <w:b/>
          <w:spacing w:val="8"/>
          <w:kern w:val="0"/>
        </w:rPr>
      </w:pPr>
      <w:r>
        <w:rPr>
          <w:rFonts w:hint="eastAsia" w:ascii="宋体" w:hAnsi="宋体" w:eastAsia="宋体" w:cs="宋体"/>
          <w:b/>
          <w:spacing w:val="8"/>
          <w:kern w:val="0"/>
        </w:rPr>
        <w:t>七、其他补充事宜</w:t>
      </w:r>
    </w:p>
    <w:p w14:paraId="3E21787C">
      <w:pPr>
        <w:rPr>
          <w:color w:val="FF0000"/>
          <w:kern w:val="0"/>
          <w:u w:val="single"/>
        </w:rPr>
      </w:pPr>
      <w:r>
        <w:rPr>
          <w:rFonts w:hint="eastAsia"/>
        </w:rPr>
        <w:t>7</w:t>
      </w:r>
      <w:r>
        <w:t>.1勘察现场或答疑：</w:t>
      </w:r>
      <w:r>
        <w:rPr>
          <w:rFonts w:hint="eastAsia"/>
        </w:rPr>
        <w:t>采购人不统一组织，有需要的供应商可自行勘察。</w:t>
      </w:r>
    </w:p>
    <w:p w14:paraId="7263E67B">
      <w:pPr>
        <w:rPr>
          <w:rFonts w:hint="eastAsia"/>
          <w:lang w:val="zh-CN"/>
        </w:rPr>
      </w:pPr>
      <w:r>
        <w:rPr>
          <w:rFonts w:hint="eastAsia"/>
          <w:lang w:val="zh-CN"/>
        </w:rPr>
        <w:t>7.2 拒绝下述供应商参加本次采购活动</w:t>
      </w:r>
    </w:p>
    <w:p w14:paraId="7A642E94">
      <w:pPr>
        <w:rPr>
          <w:rFonts w:hint="eastAsia"/>
          <w:lang w:val="zh-CN"/>
        </w:rPr>
      </w:pPr>
      <w:r>
        <w:rPr>
          <w:rFonts w:hint="eastAsia"/>
          <w:lang w:val="zh-CN"/>
        </w:rPr>
        <w:t>（1）供应商单位负责人为同一人或者存在直接控股、管理关系的不同供应商，不得参加同一合同项下的政府采购活动；</w:t>
      </w:r>
    </w:p>
    <w:p w14:paraId="2D20AA00">
      <w:pPr>
        <w:rPr>
          <w:rFonts w:hint="eastAsia"/>
          <w:lang w:val="zh-CN"/>
        </w:rPr>
      </w:pPr>
      <w:r>
        <w:rPr>
          <w:rFonts w:hint="eastAsia"/>
          <w:lang w:val="zh-CN"/>
        </w:rPr>
        <w:t>（2）为采购项目提供整体设计、规范编制或者项目管理、监理、检测等服务的供应商，不得参加本项目的采购活动；</w:t>
      </w:r>
    </w:p>
    <w:p w14:paraId="48726DF0">
      <w:pPr>
        <w:rPr>
          <w:rFonts w:hint="eastAsia"/>
          <w:lang w:val="zh-CN"/>
        </w:rPr>
      </w:pPr>
      <w:r>
        <w:rPr>
          <w:rFonts w:hint="eastAsia"/>
          <w:lang w:val="zh-CN"/>
        </w:rPr>
        <w:t>（3）供应商被“信用中国”网站（www.creditchina.gov.cn）、“中国政府采购网”(www.ccgp.gov.cn)列入失信被执行人、重大税收违法案件当事人名单、政府采购严重违法失信行为记录名单；</w:t>
      </w:r>
    </w:p>
    <w:p w14:paraId="1FE1B520">
      <w:pPr>
        <w:rPr>
          <w:rFonts w:hint="eastAsia"/>
          <w:lang w:val="zh-CN"/>
        </w:rPr>
      </w:pPr>
      <w:r>
        <w:rPr>
          <w:rFonts w:hint="eastAsia"/>
          <w:lang w:val="zh-CN"/>
        </w:rPr>
        <w:t>（4）供应商未提供《南京市政府采购供应商信用记录表暨信用承诺书》或未提供二、申请人资格要求</w:t>
      </w:r>
      <w:r>
        <w:rPr>
          <w:rFonts w:hint="eastAsia"/>
          <w:lang w:val="en-US" w:eastAsia="zh-CN"/>
        </w:rPr>
        <w:t>2.</w:t>
      </w:r>
      <w:r>
        <w:rPr>
          <w:rFonts w:hint="eastAsia"/>
          <w:lang w:val="zh-CN"/>
        </w:rPr>
        <w:t>1条 （1）~（6）所需证明材料；</w:t>
      </w:r>
    </w:p>
    <w:p w14:paraId="5D611A50">
      <w:r>
        <w:rPr>
          <w:rFonts w:hint="eastAsia"/>
        </w:rPr>
        <w:t>7.</w:t>
      </w:r>
      <w:r>
        <w:t>3</w:t>
      </w:r>
      <w:r>
        <w:rPr>
          <w:rFonts w:hint="eastAsia"/>
        </w:rPr>
        <w:t>供应商诚信档案</w:t>
      </w:r>
    </w:p>
    <w:p w14:paraId="4ADF9610">
      <w:r>
        <w:rPr>
          <w:rFonts w:hint="eastAsia"/>
        </w:rPr>
        <w:t>根据《南京市政府采购供应商信用管理工作暂行办法》（宁财规〔2018〕10号）有关规定，凡在南京地区参加政府采购活动的供应商，应当事先登陆“南京市政府采购供应商诚信档案管理系统”（http://222.190.243.84:8280/hodeframe2018_cxda/index.action）或“南京公共采购信息网”（https://njgc.jfh.com/）主页“南京市政府采购供应商诚信档案”栏目进行注册登记。由于特殊原因未及时注册的供应商可先行获取</w:t>
      </w:r>
      <w:r>
        <w:rPr>
          <w:rFonts w:hint="eastAsia"/>
          <w:lang w:val="zh-CN"/>
        </w:rPr>
        <w:t>磋商文件</w:t>
      </w:r>
      <w:r>
        <w:rPr>
          <w:rFonts w:hint="eastAsia"/>
        </w:rPr>
        <w:t>，但必须在提交响应文件截止日两天前办理。</w:t>
      </w:r>
    </w:p>
    <w:p w14:paraId="65D3B378">
      <w:r>
        <w:rPr>
          <w:rFonts w:hint="eastAsia"/>
        </w:rPr>
        <w:t>供应商参加本次政府采购活动时，在</w:t>
      </w:r>
      <w:r>
        <w:rPr>
          <w:rFonts w:hint="eastAsia"/>
          <w:lang w:val="zh-CN"/>
        </w:rPr>
        <w:t>磋商文件</w:t>
      </w:r>
      <w:r>
        <w:rPr>
          <w:rFonts w:hint="eastAsia"/>
        </w:rPr>
        <w:t>发布之日起至递交响应文件截止日前，应先登录“南京市政府采购供应商诚信档案管理系统”在线打印其“南京市政府采购供应商信用记录表暨信用承诺书”，经法定代表人签字、加盖单位公章后作为响应文件的组成部分。</w:t>
      </w:r>
    </w:p>
    <w:p w14:paraId="4CA85C03">
      <w:r>
        <w:rPr>
          <w:rFonts w:hint="eastAsia" w:ascii="宋体" w:hAnsi="宋体" w:cs="Arial"/>
        </w:rPr>
        <w:t>7</w:t>
      </w:r>
      <w:r>
        <w:rPr>
          <w:rFonts w:ascii="宋体" w:hAnsi="宋体" w:cs="Arial"/>
        </w:rPr>
        <w:t xml:space="preserve">.4 </w:t>
      </w:r>
      <w:r>
        <w:rPr>
          <w:rFonts w:hint="eastAsia"/>
        </w:rPr>
        <w:t>根据《关于在政府采购活动中推行信用承诺制的通知》（宁财购通[2021]5号）的规定，本项目招标公告“二、</w:t>
      </w:r>
      <w:r>
        <w:rPr>
          <w:rFonts w:hint="eastAsia"/>
          <w:lang w:val="en-US" w:eastAsia="zh-CN"/>
        </w:rPr>
        <w:t>申请人</w:t>
      </w:r>
      <w:r>
        <w:rPr>
          <w:rFonts w:hint="eastAsia"/>
        </w:rPr>
        <w:t>的资格要求 2.1条”和“七、其他补充事宜7.2（3）条”中涉及的证明材料，供应商可以在响应文件中一次性提交，也可以仅在响应文件中提供“南京市政府采购供应商信用记录表</w:t>
      </w:r>
      <w:bookmarkStart w:id="1" w:name="_Hlk81487034"/>
      <w:r>
        <w:rPr>
          <w:rFonts w:hint="eastAsia"/>
          <w:sz w:val="20"/>
        </w:rPr>
        <w:t>暨信用承诺书</w:t>
      </w:r>
      <w:bookmarkEnd w:id="1"/>
      <w:r>
        <w:rPr>
          <w:rFonts w:hint="eastAsia"/>
        </w:rPr>
        <w:t>” （</w:t>
      </w:r>
      <w:bookmarkStart w:id="2" w:name="_Hlk81314320"/>
      <w:r>
        <w:rPr>
          <w:rFonts w:hint="eastAsia"/>
        </w:rPr>
        <w:t>信用承诺书下载方式详见</w:t>
      </w:r>
      <w:bookmarkEnd w:id="2"/>
      <w:r>
        <w:rPr>
          <w:rFonts w:hint="eastAsia"/>
        </w:rPr>
        <w:t>磋商文件第二章3.</w:t>
      </w:r>
      <w:r>
        <w:t>7</w:t>
      </w:r>
      <w:r>
        <w:rPr>
          <w:rFonts w:hint="eastAsia"/>
        </w:rPr>
        <w:t>供应商诚信档案管理）。</w:t>
      </w:r>
    </w:p>
    <w:p w14:paraId="188922DE">
      <w:r>
        <w:rPr>
          <w:rFonts w:hint="eastAsia"/>
        </w:rPr>
        <w:t>供应商仅提供信用承诺书而未提供“二、申请人的资格要求 2.1条”和“七、其他补充事宜7</w:t>
      </w:r>
      <w:r>
        <w:t>.2</w:t>
      </w:r>
      <w:r>
        <w:rPr>
          <w:rFonts w:hint="eastAsia"/>
        </w:rPr>
        <w:t>（3）条”中涉及的证明材料的，须在成交后另行提供上述由信用承诺书替代的证明材料（一式</w:t>
      </w:r>
      <w:r>
        <w:rPr>
          <w:rFonts w:hint="eastAsia"/>
          <w:u w:val="single"/>
        </w:rPr>
        <w:t>三</w:t>
      </w:r>
      <w:r>
        <w:rPr>
          <w:rFonts w:hint="eastAsia"/>
        </w:rPr>
        <w:t>份），材料须加盖公章并按</w:t>
      </w:r>
      <w:r>
        <w:rPr>
          <w:rFonts w:hint="eastAsia" w:ascii="宋体" w:hAnsi="宋体"/>
          <w:lang w:val="zh-CN"/>
        </w:rPr>
        <w:t>磋商文件</w:t>
      </w:r>
      <w:r>
        <w:rPr>
          <w:rFonts w:hint="eastAsia"/>
        </w:rPr>
        <w:t>要求胶装提交采购人或招标代理机构核验。经核验无误后，由采购人或招标代理机构发出成交通知书。</w:t>
      </w:r>
    </w:p>
    <w:p w14:paraId="3E4299FB">
      <w:r>
        <w:rPr>
          <w:rFonts w:hint="eastAsia"/>
        </w:rPr>
        <w:t>供应商涉及以下情形的，不适用信用承诺，仍须提供上述证明材料：</w:t>
      </w:r>
    </w:p>
    <w:p w14:paraId="6E0A666B">
      <w:r>
        <w:rPr>
          <w:rFonts w:hint="eastAsia"/>
        </w:rPr>
        <w:t>（</w:t>
      </w:r>
      <w:r>
        <w:t>1</w:t>
      </w:r>
      <w:r>
        <w:rPr>
          <w:rFonts w:hint="eastAsia"/>
        </w:rPr>
        <w:t>）供应商被列入严重失信主体名单；</w:t>
      </w:r>
    </w:p>
    <w:p w14:paraId="24B0013D">
      <w:r>
        <w:rPr>
          <w:rFonts w:hint="eastAsia"/>
        </w:rPr>
        <w:t>（2）被相关监管部门作出行政处罚且尚在处罚有效期内；</w:t>
      </w:r>
    </w:p>
    <w:p w14:paraId="0CAAEC40">
      <w:r>
        <w:rPr>
          <w:rFonts w:hint="eastAsia"/>
        </w:rPr>
        <w:t>（3）其他法律、行政法规规定的不适用信用承诺的情形。</w:t>
      </w:r>
    </w:p>
    <w:p w14:paraId="5350D083">
      <w:pPr>
        <w:rPr>
          <w:rFonts w:hint="eastAsia"/>
        </w:rPr>
      </w:pPr>
      <w:r>
        <w:rPr>
          <w:rFonts w:hint="eastAsia"/>
        </w:rPr>
        <w:t>供应商对信用承诺内容的真实性、合法性、有效性负责。如作出虚假信用承诺，视同为“提供虚假材料谋取成交”的违法行为。</w:t>
      </w:r>
    </w:p>
    <w:p w14:paraId="3019EDF0">
      <w:pPr>
        <w:rPr>
          <w:rFonts w:hint="eastAsia"/>
          <w:lang w:val="en-US" w:eastAsia="zh-CN"/>
        </w:rPr>
      </w:pPr>
      <w:r>
        <w:rPr>
          <w:rFonts w:hint="eastAsia"/>
        </w:rPr>
        <w:t>7.</w:t>
      </w:r>
      <w:r>
        <w:rPr>
          <w:rFonts w:hint="eastAsia"/>
          <w:lang w:val="en-US" w:eastAsia="zh-CN"/>
        </w:rPr>
        <w:t>5供应商的单位名称必须与企业营业执照、企业资质证书及安全生产许可证上的单位名称一致，如不一致,将导致资格审查不通过。</w:t>
      </w:r>
    </w:p>
    <w:p w14:paraId="4B166F06">
      <w:pPr>
        <w:rPr>
          <w:rFonts w:hint="eastAsia"/>
          <w:lang w:val="en-US" w:eastAsia="zh-CN"/>
        </w:rPr>
      </w:pPr>
      <w:r>
        <w:rPr>
          <w:rFonts w:hint="eastAsia"/>
          <w:lang w:val="en-US" w:eastAsia="zh-CN"/>
        </w:rPr>
        <w:t>7.6在资格审查时，若供应商或项目负责人是被红牌、黄牌警示的单位和责任人，并在警示期内，将作资格审查不通过处理(红、黄牌警示信息均以南京市公共资源交易中心网上发布的信息为准)。</w:t>
      </w:r>
    </w:p>
    <w:p w14:paraId="679791FC">
      <w:pPr>
        <w:rPr>
          <w:rFonts w:hint="eastAsia"/>
          <w:lang w:eastAsia="zh-CN"/>
        </w:rPr>
      </w:pPr>
      <w:r>
        <w:rPr>
          <w:rFonts w:hint="eastAsia"/>
        </w:rPr>
        <w:t>7.7供应商不得存在下列情形之一</w:t>
      </w:r>
      <w:r>
        <w:rPr>
          <w:rFonts w:hint="eastAsia"/>
          <w:lang w:val="en-US" w:eastAsia="zh-CN"/>
        </w:rPr>
        <w:t>：</w:t>
      </w:r>
      <w:r>
        <w:rPr>
          <w:rFonts w:hint="eastAsia"/>
        </w:rPr>
        <w:t>(1)为采购人不具有独立法人资格的附属机构(单位)</w:t>
      </w:r>
      <w:r>
        <w:rPr>
          <w:rFonts w:hint="eastAsia"/>
          <w:lang w:val="en-US" w:eastAsia="zh-CN"/>
        </w:rPr>
        <w:t>；</w:t>
      </w:r>
      <w:r>
        <w:rPr>
          <w:rFonts w:hint="eastAsia"/>
        </w:rPr>
        <w:t>(2)为本采购项目的监理人、代建人、项目管理人，以及为本采购项目提供采购代理、设计服务的</w:t>
      </w:r>
      <w:r>
        <w:rPr>
          <w:rFonts w:hint="eastAsia"/>
          <w:lang w:val="en-US" w:eastAsia="zh-CN"/>
        </w:rPr>
        <w:t>；</w:t>
      </w:r>
      <w:r>
        <w:rPr>
          <w:rFonts w:hint="eastAsia"/>
        </w:rPr>
        <w:t>(3)与本采购项目的监理人、代建人、采购代理机构同为一个法定代表人的，或者相互控股、参股的</w:t>
      </w:r>
      <w:r>
        <w:rPr>
          <w:rFonts w:hint="eastAsia"/>
          <w:lang w:eastAsia="zh-CN"/>
        </w:rPr>
        <w:t>；</w:t>
      </w:r>
      <w:r>
        <w:rPr>
          <w:rFonts w:hint="eastAsia"/>
        </w:rPr>
        <w:t>(4)与采购人存在利害关系可能影响采购公正性的</w:t>
      </w:r>
      <w:r>
        <w:rPr>
          <w:rFonts w:hint="eastAsia"/>
          <w:lang w:eastAsia="zh-CN"/>
        </w:rPr>
        <w:t>；</w:t>
      </w:r>
      <w:r>
        <w:rPr>
          <w:rFonts w:hint="eastAsia"/>
        </w:rPr>
        <w:t>(5)单位负责人为同一人或者存在控股、管理关系的不同单位</w:t>
      </w:r>
      <w:r>
        <w:rPr>
          <w:rFonts w:hint="eastAsia"/>
          <w:lang w:eastAsia="zh-CN"/>
        </w:rPr>
        <w:t>；</w:t>
      </w:r>
      <w:r>
        <w:rPr>
          <w:rFonts w:hint="eastAsia"/>
        </w:rPr>
        <w:t>(6)处于被责令停业、财产被接管、冻结和破产状态，以及投标资格被取消或者被暂停且在暂停期内</w:t>
      </w:r>
      <w:r>
        <w:rPr>
          <w:rFonts w:hint="eastAsia"/>
          <w:lang w:eastAsia="zh-CN"/>
        </w:rPr>
        <w:t>；</w:t>
      </w:r>
      <w:r>
        <w:rPr>
          <w:rFonts w:hint="eastAsia"/>
        </w:rPr>
        <w:t>(7)因拖欠工人工资或者因发生质量安全事故被有关部门限制在采购项目所在地承接工程的</w:t>
      </w:r>
      <w:r>
        <w:rPr>
          <w:rFonts w:hint="eastAsia"/>
          <w:lang w:eastAsia="zh-CN"/>
        </w:rPr>
        <w:t>；</w:t>
      </w:r>
      <w:r>
        <w:rPr>
          <w:rFonts w:hint="eastAsia"/>
        </w:rPr>
        <w:t>(8)供应商近3年内有行贿犯罪行为且被记录，或者法定代表人有行贿犯罪记录且自记录之日起未超过5年的</w:t>
      </w:r>
      <w:r>
        <w:rPr>
          <w:rFonts w:hint="eastAsia"/>
          <w:lang w:eastAsia="zh-CN"/>
        </w:rPr>
        <w:t>。</w:t>
      </w:r>
    </w:p>
    <w:p w14:paraId="540A7C1D">
      <w:pPr>
        <w:rPr>
          <w:rFonts w:hint="eastAsia"/>
          <w:lang w:eastAsia="zh-CN"/>
        </w:rPr>
      </w:pPr>
      <w:r>
        <w:rPr>
          <w:rFonts w:hint="eastAsia"/>
          <w:lang w:eastAsia="zh-CN"/>
        </w:rPr>
        <w:t>7.8根据《省住房和城乡建设厅关于开展建筑业企业资质动态监管工作的公告》(</w:t>
      </w:r>
      <w:r>
        <w:rPr>
          <w:rFonts w:hint="eastAsia"/>
          <w:lang w:val="en-US" w:eastAsia="zh-CN"/>
        </w:rPr>
        <w:t>[</w:t>
      </w:r>
      <w:r>
        <w:rPr>
          <w:rFonts w:hint="eastAsia"/>
          <w:lang w:eastAsia="zh-CN"/>
        </w:rPr>
        <w:t>2018</w:t>
      </w:r>
      <w:r>
        <w:rPr>
          <w:rFonts w:hint="eastAsia"/>
          <w:lang w:val="en-US" w:eastAsia="zh-CN"/>
        </w:rPr>
        <w:t>]</w:t>
      </w:r>
      <w:r>
        <w:rPr>
          <w:rFonts w:hint="eastAsia"/>
          <w:lang w:eastAsia="zh-CN"/>
        </w:rPr>
        <w:t>第6号)、《关于在我省国有资金投资工程建设项目采购投标中应用建筑业企业资质动态监管结果有关要求的通知》(苏建招办</w:t>
      </w:r>
      <w:r>
        <w:rPr>
          <w:rFonts w:hint="eastAsia"/>
          <w:lang w:val="en-US" w:eastAsia="zh-CN"/>
        </w:rPr>
        <w:t>[</w:t>
      </w:r>
      <w:r>
        <w:rPr>
          <w:rFonts w:hint="eastAsia"/>
          <w:lang w:eastAsia="zh-CN"/>
        </w:rPr>
        <w:t>2022</w:t>
      </w:r>
      <w:r>
        <w:rPr>
          <w:rFonts w:hint="eastAsia"/>
          <w:lang w:val="en-US" w:eastAsia="zh-CN"/>
        </w:rPr>
        <w:t>]</w:t>
      </w:r>
      <w:r>
        <w:rPr>
          <w:rFonts w:hint="eastAsia"/>
          <w:lang w:eastAsia="zh-CN"/>
        </w:rPr>
        <w:t>2号)等文件规定，在资格审查或者评标阶段，由资格审查委员会或评标委员会对各供应商的资质动态情况进行核查,供应商在资格审查申请文件递交截止时间当日及投标文件递交截止时间当日,建筑业企业资质动态监管结果处于不合格状态的，作为资格审查不通过(或投标无效)处理。(企业动态资质查询信息以江苏省建筑市场监管与诚信信息一体化平台发布的信息为准)。</w:t>
      </w:r>
    </w:p>
    <w:p w14:paraId="528C0B5B">
      <w:pPr>
        <w:rPr>
          <w:rFonts w:hint="eastAsia"/>
          <w:lang w:eastAsia="zh-CN"/>
        </w:rPr>
      </w:pPr>
      <w:r>
        <w:rPr>
          <w:rFonts w:hint="eastAsia"/>
          <w:lang w:eastAsia="zh-CN"/>
        </w:rPr>
        <w:t>7.9.根据建办市[2019]50号文及苏建函建管[2019]393号文规定，已取消一级、二级建造师临时执业证书，因此本项目不接受持临时建造师执业资格的项目负责人投标，否则将作为资格审查不通过处理。</w:t>
      </w:r>
    </w:p>
    <w:p w14:paraId="0D67B03A">
      <w:pPr>
        <w:rPr>
          <w:rFonts w:hint="eastAsia"/>
          <w:lang w:eastAsia="zh-CN"/>
        </w:rPr>
      </w:pPr>
      <w:r>
        <w:rPr>
          <w:rFonts w:hint="eastAsia"/>
          <w:lang w:eastAsia="zh-CN"/>
        </w:rPr>
        <w:t>7.10 根据住房和城乡建设部办公厅关于全面实行一级建造师电子注册证书的通知(建办市</w:t>
      </w:r>
      <w:r>
        <w:rPr>
          <w:rFonts w:hint="eastAsia"/>
          <w:lang w:val="en-US" w:eastAsia="zh-CN"/>
        </w:rPr>
        <w:t>[</w:t>
      </w:r>
      <w:r>
        <w:rPr>
          <w:rFonts w:hint="eastAsia"/>
          <w:lang w:eastAsia="zh-CN"/>
        </w:rPr>
        <w:t>2021</w:t>
      </w:r>
      <w:r>
        <w:rPr>
          <w:rFonts w:hint="eastAsia"/>
          <w:lang w:val="en-US" w:eastAsia="zh-CN"/>
        </w:rPr>
        <w:t>]</w:t>
      </w:r>
      <w:r>
        <w:rPr>
          <w:rFonts w:hint="eastAsia"/>
          <w:lang w:eastAsia="zh-CN"/>
        </w:rPr>
        <w:t>40 号)要求，自2021年10月15 日起，在全国范围内实行一级建造师电子证书，电子证书式样按照《全国一体化在线政务服务平台电子证照一级建造师注册证书》标准执行。自 2022年1月1日起，一级建造师统一使用电子证书，纸质注册证书作废。各供应商须上传一级建造师证书电子注册证书，电子注册证书应当符合相关文件规定,持证人个人手写签名笔迹应当与签名图像一致，证书应当在使用有效期限内。若上传的电子件无法识别有效信息的，视为无效。</w:t>
      </w:r>
    </w:p>
    <w:p w14:paraId="2FD88156">
      <w:r>
        <w:rPr>
          <w:rFonts w:hint="eastAsia"/>
          <w:lang w:val="en-US" w:eastAsia="zh-CN"/>
        </w:rPr>
        <w:t>7.11</w:t>
      </w:r>
      <w:r>
        <w:rPr>
          <w:rFonts w:hint="eastAsia"/>
        </w:rPr>
        <w:t>公告媒体</w:t>
      </w:r>
    </w:p>
    <w:p w14:paraId="4994A88E">
      <w:r>
        <w:rPr>
          <w:rFonts w:hint="eastAsia"/>
        </w:rPr>
        <w:t>（1）本公告在南京公共采购信息网（https：//njgc.jfh.com/）公告发布，敬请各供应商关注；</w:t>
      </w:r>
    </w:p>
    <w:p w14:paraId="7BF518E3">
      <w:r>
        <w:rPr>
          <w:rFonts w:hint="eastAsia"/>
        </w:rPr>
        <w:t>（2）若有关本次采购存在变动或修改，敬请各供应商及时关注南京公共采购信息网（https：//njgc.jfh.com/）发布的关于本项目的信息更正公告。</w:t>
      </w:r>
    </w:p>
    <w:p w14:paraId="21BF4E9A">
      <w:pPr>
        <w:widowControl/>
        <w:shd w:val="clear" w:color="auto" w:fill="FFFFFF"/>
        <w:spacing w:line="360" w:lineRule="auto"/>
        <w:outlineLvl w:val="1"/>
        <w:rPr>
          <w:rFonts w:hint="eastAsia" w:ascii="宋体" w:hAnsi="宋体" w:eastAsia="宋体" w:cs="宋体"/>
          <w:b/>
          <w:spacing w:val="8"/>
          <w:kern w:val="0"/>
        </w:rPr>
      </w:pPr>
      <w:r>
        <w:rPr>
          <w:rFonts w:hint="eastAsia" w:ascii="宋体" w:hAnsi="宋体" w:eastAsia="宋体" w:cs="宋体"/>
          <w:b/>
          <w:spacing w:val="8"/>
          <w:kern w:val="0"/>
        </w:rPr>
        <w:t>八、对本次采购提出询问，请按以下方式联系。</w:t>
      </w:r>
    </w:p>
    <w:p w14:paraId="023EE1B1">
      <w:pPr>
        <w:widowControl/>
        <w:shd w:val="clear" w:color="auto" w:fill="FFFFFF"/>
        <w:spacing w:line="360" w:lineRule="auto"/>
        <w:jc w:val="left"/>
        <w:rPr>
          <w:rFonts w:hint="eastAsia" w:ascii="宋体" w:hAnsi="宋体" w:eastAsia="宋体" w:cs="宋体"/>
          <w:spacing w:val="8"/>
          <w:kern w:val="0"/>
        </w:rPr>
      </w:pPr>
      <w:r>
        <w:rPr>
          <w:rFonts w:hint="eastAsia" w:ascii="宋体" w:hAnsi="宋体" w:eastAsia="宋体" w:cs="宋体"/>
          <w:spacing w:val="8"/>
          <w:kern w:val="0"/>
        </w:rPr>
        <w:t>8.1采购人信息</w:t>
      </w:r>
    </w:p>
    <w:p w14:paraId="7ECDF7CB">
      <w:pPr>
        <w:snapToGrid w:val="0"/>
        <w:spacing w:line="360" w:lineRule="auto"/>
        <w:rPr>
          <w:rFonts w:hint="eastAsia" w:ascii="宋体" w:hAnsi="宋体" w:eastAsia="宋体" w:cs="宋体"/>
          <w:highlight w:val="none"/>
          <w:lang w:eastAsia="zh-CN"/>
        </w:rPr>
      </w:pPr>
      <w:r>
        <w:rPr>
          <w:rFonts w:hint="eastAsia" w:ascii="宋体" w:hAnsi="宋体" w:eastAsia="宋体" w:cs="宋体"/>
        </w:rPr>
        <w:t>采购单位联系方式：</w:t>
      </w:r>
      <w:r>
        <w:rPr>
          <w:rFonts w:hint="eastAsia" w:cs="宋体"/>
          <w:highlight w:val="none"/>
          <w:lang w:eastAsia="zh-CN"/>
        </w:rPr>
        <w:t>南京市规划和自然资源局</w:t>
      </w:r>
    </w:p>
    <w:p w14:paraId="2B2FBF3B">
      <w:pPr>
        <w:autoSpaceDE w:val="0"/>
        <w:autoSpaceDN w:val="0"/>
        <w:adjustRightInd w:val="0"/>
        <w:snapToGrid w:val="0"/>
        <w:spacing w:line="360" w:lineRule="auto"/>
        <w:rPr>
          <w:rFonts w:hint="default" w:ascii="宋体" w:hAnsi="宋体" w:eastAsia="宋体" w:cs="宋体"/>
          <w:kern w:val="0"/>
          <w:highlight w:val="none"/>
          <w:lang w:val="en-US" w:eastAsia="zh-CN"/>
        </w:rPr>
      </w:pPr>
      <w:r>
        <w:rPr>
          <w:rFonts w:hint="eastAsia" w:ascii="宋体" w:hAnsi="宋体" w:eastAsia="宋体" w:cs="宋体"/>
          <w:kern w:val="0"/>
          <w:highlight w:val="none"/>
        </w:rPr>
        <w:t>联系人：</w:t>
      </w:r>
      <w:r>
        <w:rPr>
          <w:rFonts w:hint="eastAsia" w:cs="宋体"/>
          <w:kern w:val="0"/>
          <w:highlight w:val="none"/>
          <w:lang w:val="en-US" w:eastAsia="zh-CN"/>
        </w:rPr>
        <w:t>程先生</w:t>
      </w:r>
    </w:p>
    <w:p w14:paraId="6FA1D8EF">
      <w:pPr>
        <w:autoSpaceDE w:val="0"/>
        <w:autoSpaceDN w:val="0"/>
        <w:adjustRightInd w:val="0"/>
        <w:snapToGrid w:val="0"/>
        <w:spacing w:line="360" w:lineRule="auto"/>
        <w:rPr>
          <w:rFonts w:hint="default" w:ascii="宋体" w:hAnsi="宋体" w:eastAsia="宋体" w:cs="宋体"/>
          <w:kern w:val="0"/>
          <w:highlight w:val="none"/>
          <w:lang w:val="en-US" w:eastAsia="zh-CN"/>
        </w:rPr>
      </w:pPr>
      <w:r>
        <w:rPr>
          <w:rFonts w:hint="eastAsia" w:ascii="宋体" w:hAnsi="宋体" w:eastAsia="宋体" w:cs="宋体"/>
          <w:kern w:val="0"/>
          <w:highlight w:val="none"/>
        </w:rPr>
        <w:t>联系电话</w:t>
      </w:r>
      <w:r>
        <w:rPr>
          <w:rFonts w:hint="eastAsia" w:cs="宋体"/>
          <w:kern w:val="0"/>
          <w:highlight w:val="none"/>
          <w:lang w:eastAsia="zh-CN"/>
        </w:rPr>
        <w:t>：</w:t>
      </w:r>
      <w:r>
        <w:rPr>
          <w:rFonts w:hint="eastAsia" w:cs="宋体"/>
          <w:kern w:val="0"/>
          <w:highlight w:val="none"/>
          <w:lang w:val="en-US" w:eastAsia="zh-CN"/>
        </w:rPr>
        <w:t>025-89690908</w:t>
      </w:r>
    </w:p>
    <w:p w14:paraId="62FEE3FF">
      <w:pPr>
        <w:widowControl/>
        <w:shd w:val="clear" w:color="auto" w:fill="FFFFFF"/>
        <w:spacing w:line="360" w:lineRule="auto"/>
        <w:jc w:val="left"/>
        <w:rPr>
          <w:rFonts w:hint="eastAsia" w:ascii="宋体" w:hAnsi="宋体" w:eastAsia="宋体" w:cs="宋体"/>
          <w:spacing w:val="8"/>
          <w:kern w:val="0"/>
        </w:rPr>
      </w:pPr>
      <w:r>
        <w:rPr>
          <w:rFonts w:hint="eastAsia" w:ascii="宋体" w:hAnsi="宋体" w:eastAsia="宋体" w:cs="宋体"/>
          <w:spacing w:val="8"/>
          <w:kern w:val="0"/>
        </w:rPr>
        <w:t>8.2采购代理机构信息</w:t>
      </w:r>
    </w:p>
    <w:p w14:paraId="43191E86">
      <w:pPr>
        <w:widowControl/>
        <w:shd w:val="clear" w:color="auto" w:fill="FFFFFF"/>
        <w:spacing w:line="360" w:lineRule="auto"/>
        <w:rPr>
          <w:rFonts w:hint="eastAsia" w:ascii="宋体" w:hAnsi="宋体" w:eastAsia="宋体" w:cs="宋体"/>
          <w:spacing w:val="8"/>
          <w:kern w:val="0"/>
        </w:rPr>
      </w:pPr>
      <w:r>
        <w:rPr>
          <w:rFonts w:hint="eastAsia" w:ascii="宋体" w:hAnsi="宋体" w:eastAsia="宋体" w:cs="宋体"/>
          <w:spacing w:val="8"/>
          <w:kern w:val="0"/>
        </w:rPr>
        <w:t>名 称：</w:t>
      </w:r>
      <w:r>
        <w:rPr>
          <w:rFonts w:hint="eastAsia" w:ascii="宋体" w:hAnsi="宋体" w:eastAsia="宋体" w:cs="宋体"/>
        </w:rPr>
        <w:t>正中国际项目管理集团有限公司</w:t>
      </w:r>
    </w:p>
    <w:p w14:paraId="31803427">
      <w:pPr>
        <w:widowControl/>
        <w:shd w:val="clear" w:color="auto" w:fill="FFFFFF"/>
        <w:spacing w:line="360" w:lineRule="auto"/>
        <w:rPr>
          <w:rFonts w:hint="eastAsia" w:ascii="宋体" w:hAnsi="宋体" w:eastAsia="宋体" w:cs="宋体"/>
          <w:spacing w:val="8"/>
          <w:kern w:val="0"/>
          <w:lang w:eastAsia="zh-CN"/>
        </w:rPr>
      </w:pPr>
      <w:r>
        <w:rPr>
          <w:rFonts w:hint="eastAsia" w:ascii="宋体" w:hAnsi="宋体" w:eastAsia="宋体" w:cs="宋体"/>
          <w:spacing w:val="8"/>
          <w:kern w:val="0"/>
        </w:rPr>
        <w:t>地 址：</w:t>
      </w:r>
      <w:r>
        <w:rPr>
          <w:rFonts w:hint="eastAsia" w:cs="宋体"/>
          <w:lang w:eastAsia="zh-CN"/>
        </w:rPr>
        <w:t>南京市建邺区嘉陵江东街18号1栋17层</w:t>
      </w:r>
    </w:p>
    <w:p w14:paraId="25618BD0">
      <w:pPr>
        <w:widowControl/>
        <w:shd w:val="clear" w:color="auto" w:fill="FFFFFF"/>
        <w:spacing w:line="360" w:lineRule="auto"/>
        <w:rPr>
          <w:rFonts w:hint="default" w:ascii="宋体" w:hAnsi="宋体" w:eastAsia="宋体" w:cs="宋体"/>
          <w:spacing w:val="8"/>
          <w:kern w:val="0"/>
          <w:lang w:val="en-US" w:eastAsia="zh-CN"/>
        </w:rPr>
      </w:pPr>
      <w:r>
        <w:rPr>
          <w:rFonts w:hint="eastAsia" w:ascii="宋体" w:hAnsi="宋体" w:eastAsia="宋体" w:cs="宋体"/>
          <w:spacing w:val="8"/>
          <w:kern w:val="0"/>
        </w:rPr>
        <w:t>联系方式：</w:t>
      </w:r>
      <w:r>
        <w:rPr>
          <w:rFonts w:hint="eastAsia" w:cs="宋体"/>
          <w:spacing w:val="8"/>
          <w:kern w:val="0"/>
          <w:lang w:val="en-US" w:eastAsia="zh-CN"/>
        </w:rPr>
        <w:t>刘</w:t>
      </w:r>
      <w:r>
        <w:rPr>
          <w:rFonts w:hint="eastAsia" w:ascii="宋体" w:hAnsi="宋体" w:cs="宋体"/>
          <w:spacing w:val="8"/>
          <w:kern w:val="0"/>
          <w:lang w:val="en-US" w:eastAsia="zh-CN"/>
        </w:rPr>
        <w:t xml:space="preserve">工 </w:t>
      </w:r>
      <w:r>
        <w:rPr>
          <w:rFonts w:hint="eastAsia" w:ascii="宋体" w:hAnsi="宋体" w:eastAsia="宋体" w:cs="宋体"/>
          <w:spacing w:val="8"/>
          <w:kern w:val="0"/>
        </w:rPr>
        <w:t xml:space="preserve"> </w:t>
      </w:r>
      <w:r>
        <w:rPr>
          <w:rFonts w:hint="eastAsia" w:cs="宋体"/>
          <w:spacing w:val="8"/>
          <w:kern w:val="0"/>
          <w:lang w:val="en-US" w:eastAsia="zh-CN"/>
        </w:rPr>
        <w:t xml:space="preserve">  17749517836  </w:t>
      </w:r>
    </w:p>
    <w:p w14:paraId="20E7B83B">
      <w:pPr>
        <w:widowControl/>
        <w:shd w:val="clear" w:color="auto" w:fill="FFFFFF"/>
        <w:spacing w:line="360" w:lineRule="auto"/>
        <w:jc w:val="left"/>
        <w:rPr>
          <w:rFonts w:hint="eastAsia" w:ascii="宋体" w:hAnsi="宋体" w:eastAsia="宋体" w:cs="宋体"/>
          <w:spacing w:val="8"/>
          <w:kern w:val="0"/>
        </w:rPr>
      </w:pPr>
      <w:r>
        <w:rPr>
          <w:rFonts w:hint="eastAsia" w:ascii="宋体" w:hAnsi="宋体" w:eastAsia="宋体" w:cs="宋体"/>
          <w:spacing w:val="8"/>
          <w:kern w:val="0"/>
        </w:rPr>
        <w:t>8.3项目联系方式</w:t>
      </w:r>
    </w:p>
    <w:p w14:paraId="2FEA128D">
      <w:pPr>
        <w:widowControl/>
        <w:shd w:val="clear" w:color="auto" w:fill="FFFFFF"/>
        <w:spacing w:line="360" w:lineRule="auto"/>
        <w:rPr>
          <w:rFonts w:hint="eastAsia" w:ascii="宋体" w:hAnsi="宋体" w:eastAsia="宋体" w:cs="宋体"/>
          <w:spacing w:val="8"/>
          <w:kern w:val="0"/>
        </w:rPr>
      </w:pPr>
      <w:r>
        <w:rPr>
          <w:rFonts w:hint="eastAsia" w:ascii="宋体" w:hAnsi="宋体" w:eastAsia="宋体" w:cs="宋体"/>
          <w:spacing w:val="8"/>
          <w:kern w:val="0"/>
        </w:rPr>
        <w:t>项目联系人：</w:t>
      </w:r>
      <w:r>
        <w:rPr>
          <w:rFonts w:hint="eastAsia" w:cs="宋体"/>
          <w:spacing w:val="8"/>
          <w:kern w:val="0"/>
          <w:lang w:val="en-US" w:eastAsia="zh-CN"/>
        </w:rPr>
        <w:t>刘</w:t>
      </w:r>
      <w:r>
        <w:rPr>
          <w:rFonts w:hint="eastAsia" w:ascii="宋体" w:hAnsi="宋体" w:eastAsia="宋体" w:cs="宋体"/>
          <w:spacing w:val="8"/>
          <w:kern w:val="0"/>
        </w:rPr>
        <w:t>工</w:t>
      </w:r>
    </w:p>
    <w:p w14:paraId="7F7BD41E">
      <w:pPr>
        <w:snapToGrid w:val="0"/>
        <w:spacing w:line="360" w:lineRule="auto"/>
        <w:rPr>
          <w:rFonts w:hint="default" w:ascii="宋体" w:hAnsi="宋体" w:eastAsia="宋体" w:cs="宋体"/>
          <w:lang w:val="en-US"/>
        </w:rPr>
      </w:pPr>
      <w:r>
        <w:rPr>
          <w:rFonts w:hint="eastAsia" w:ascii="宋体" w:hAnsi="宋体" w:eastAsia="宋体" w:cs="宋体"/>
          <w:spacing w:val="8"/>
          <w:kern w:val="0"/>
        </w:rPr>
        <w:t>电 话：</w:t>
      </w:r>
      <w:r>
        <w:rPr>
          <w:rFonts w:hint="eastAsia" w:cs="宋体"/>
          <w:spacing w:val="8"/>
          <w:kern w:val="0"/>
          <w:lang w:val="en-US" w:eastAsia="zh-CN"/>
        </w:rPr>
        <w:t xml:space="preserve">17749517836  </w:t>
      </w:r>
    </w:p>
    <w:p w14:paraId="5B794B4A">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0EF6D90">
      <w:pPr>
        <w:pStyle w:val="18"/>
        <w:spacing w:before="0" w:after="0" w:line="360" w:lineRule="auto"/>
        <w:ind w:left="0" w:leftChars="0" w:firstLine="0" w:firstLineChars="0"/>
        <w:jc w:val="center"/>
        <w:rPr>
          <w:rFonts w:hint="eastAsia" w:ascii="宋体" w:hAnsi="宋体" w:eastAsia="宋体" w:cs="宋体"/>
        </w:rPr>
      </w:pPr>
      <w:r>
        <w:rPr>
          <w:rFonts w:hint="eastAsia" w:ascii="宋体" w:hAnsi="宋体" w:eastAsia="宋体" w:cs="宋体"/>
          <w:sz w:val="24"/>
          <w:szCs w:val="24"/>
        </w:rPr>
        <w:br w:type="page"/>
      </w:r>
      <w:bookmarkStart w:id="3" w:name="_Toc534273793"/>
      <w:bookmarkEnd w:id="3"/>
      <w:r>
        <w:rPr>
          <w:rFonts w:hint="eastAsia" w:ascii="宋体" w:hAnsi="宋体" w:eastAsia="宋体" w:cs="宋体"/>
        </w:rPr>
        <w:t>第二章  竞争性磋商须知</w:t>
      </w:r>
    </w:p>
    <w:p w14:paraId="75B3A156">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一、总    则</w:t>
      </w:r>
    </w:p>
    <w:p w14:paraId="69678060">
      <w:pPr>
        <w:spacing w:line="360" w:lineRule="auto"/>
        <w:rPr>
          <w:rFonts w:hint="eastAsia" w:ascii="宋体" w:hAnsi="宋体" w:eastAsia="宋体" w:cs="宋体"/>
          <w:b/>
        </w:rPr>
      </w:pPr>
      <w:r>
        <w:rPr>
          <w:rFonts w:hint="eastAsia" w:ascii="宋体" w:hAnsi="宋体" w:eastAsia="宋体" w:cs="宋体"/>
          <w:b/>
        </w:rPr>
        <w:t>1、适用法律</w:t>
      </w:r>
    </w:p>
    <w:p w14:paraId="74694C20">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rPr>
        <w:t>《中华人民共和国政府采购法》、《中华人民共和国政府采购法实施条例》、《政府采购竞争性磋商采购方式管理暂行办法》等有关法律、法规、规章和规定等。</w:t>
      </w:r>
    </w:p>
    <w:p w14:paraId="64F33141">
      <w:pPr>
        <w:spacing w:line="360" w:lineRule="auto"/>
        <w:rPr>
          <w:rFonts w:hint="eastAsia" w:ascii="宋体" w:hAnsi="宋体" w:eastAsia="宋体" w:cs="宋体"/>
          <w:b/>
        </w:rPr>
      </w:pPr>
      <w:r>
        <w:rPr>
          <w:rFonts w:hint="eastAsia" w:ascii="宋体" w:hAnsi="宋体" w:eastAsia="宋体" w:cs="宋体"/>
          <w:b/>
        </w:rPr>
        <w:t>2、定义</w:t>
      </w:r>
    </w:p>
    <w:p w14:paraId="7A4256A1">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2.1“采购人”是指依法进行政府采购的国家机关、事业单位、团体组织。</w:t>
      </w:r>
    </w:p>
    <w:p w14:paraId="241551F5">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2.2“供应商”是指参加竞争性磋商，并符合采购文件规定资格条件的法人、其他组织或者自然人。</w:t>
      </w:r>
    </w:p>
    <w:p w14:paraId="1840B617">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2.3“货物和服务”指本采购文件中所述</w:t>
      </w:r>
      <w:r>
        <w:rPr>
          <w:rFonts w:hint="eastAsia" w:ascii="宋体" w:hAnsi="宋体" w:eastAsia="宋体" w:cs="宋体"/>
          <w:bCs/>
          <w:kern w:val="0"/>
        </w:rPr>
        <w:t>产品</w:t>
      </w:r>
      <w:r>
        <w:rPr>
          <w:rFonts w:hint="eastAsia" w:ascii="宋体" w:hAnsi="宋体" w:eastAsia="宋体" w:cs="宋体"/>
          <w:kern w:val="0"/>
        </w:rPr>
        <w:t>及相关服务。</w:t>
      </w:r>
    </w:p>
    <w:p w14:paraId="50787CA1">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2.4“用户或使用单位”是指使用服务的单位。</w:t>
      </w:r>
    </w:p>
    <w:p w14:paraId="7BA5EC70">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3、政策功能</w:t>
      </w:r>
    </w:p>
    <w:p w14:paraId="20E4E361">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3.1</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14:paraId="414795A4">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3.2</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764BD5BF">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3.3</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45D1BBAA">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3.4 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供应商应当提供国家确定的认证机构出具的、处于有效期之内的节能产品、环境标志产品认证证书。</w:t>
      </w:r>
    </w:p>
    <w:p w14:paraId="00ECC155">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3.5 强制采购信息安全产品。参加政府采购活动的信息安全产品供应商应当选择经国家认证的信息安全产品投标，并提供由国家信息安全认证中心按国家标准认证颁发的有效认证证书。</w:t>
      </w:r>
    </w:p>
    <w:p w14:paraId="47348B39">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3.6</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进口产品政策</w:t>
      </w:r>
    </w:p>
    <w:p w14:paraId="7000313A">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（1）除招标公告载明接受进口产品参加外，不允许进口产品参加。进口产品认定依照《财政部关于政府采购进口产品管理有关问题的通知》（财办库〔2008〕248号）的规定。</w:t>
      </w:r>
    </w:p>
    <w:p w14:paraId="4F51E5EA">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（2）允许进口产品参加的，满足需求的国内产品可以参加。</w:t>
      </w:r>
    </w:p>
    <w:p w14:paraId="3D0CA58F">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（3）允许进口产品参加的，优先采购向我国企业转让技术、与我国企业签订消化吸收再创新方案的供应商的进口产品。</w:t>
      </w:r>
    </w:p>
    <w:p w14:paraId="27814896">
      <w:pPr>
        <w:autoSpaceDE w:val="0"/>
        <w:autoSpaceDN w:val="0"/>
        <w:adjustRightInd w:val="0"/>
        <w:snapToGrid w:val="0"/>
        <w:spacing w:line="360" w:lineRule="auto"/>
        <w:rPr>
          <w:rFonts w:hint="eastAsia" w:ascii="宋体" w:hAnsi="宋体" w:eastAsia="宋体" w:cs="宋体"/>
          <w:b/>
          <w:lang w:val="zh-CN"/>
        </w:rPr>
      </w:pPr>
      <w:r>
        <w:rPr>
          <w:rFonts w:hint="eastAsia" w:ascii="宋体" w:hAnsi="宋体" w:eastAsia="宋体" w:cs="宋体"/>
          <w:b w:val="0"/>
          <w:bCs/>
          <w:lang w:val="zh-CN"/>
        </w:rPr>
        <w:t>3.7未按要求提供相关材料的，不享受相关政策</w:t>
      </w:r>
      <w:r>
        <w:rPr>
          <w:rFonts w:hint="eastAsia" w:ascii="宋体" w:hAnsi="宋体" w:eastAsia="宋体" w:cs="宋体"/>
          <w:b/>
          <w:lang w:val="zh-CN"/>
        </w:rPr>
        <w:t>。</w:t>
      </w:r>
    </w:p>
    <w:p w14:paraId="762563FA">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二、磋商响应文件编制</w:t>
      </w:r>
    </w:p>
    <w:p w14:paraId="33CFC13A">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4、磋商响应文件的语言、计量单位、货币和编制</w:t>
      </w:r>
    </w:p>
    <w:p w14:paraId="3206D056">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42E99F0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4.2 供应商所使用的计量单位应为国家法定计量单位。</w:t>
      </w:r>
    </w:p>
    <w:p w14:paraId="5D0E9CE4">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4.3 供应商应用人民币报价。报价产品如果是进口产品的，应提供人民币与外币之间的汇率；报价单位为“元”。</w:t>
      </w:r>
    </w:p>
    <w:p w14:paraId="1BC2BD80">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4.4 磋商响应文件应按照竞争性磋商文件规定的顺序，统一用A4规格幅面打印、装订成册并编制目录，由于编排混乱导致响应文件被误读或查找不到，责任由供应商承担。</w:t>
      </w:r>
    </w:p>
    <w:p w14:paraId="2EA57FE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4.5 供应商应在磋商响应文件中写清相应的项目编号、项目名称、供应商全称、地址、电话、传真等。</w:t>
      </w:r>
    </w:p>
    <w:p w14:paraId="428BC0EF">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5、磋商响应文件的组成</w:t>
      </w:r>
    </w:p>
    <w:p w14:paraId="35BA0760">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5.1 供应商应当根据竞争性磋商文件要求编制磋商响应文件，并根据自己的商务能力、技术水平对竞争性磋商文件提出的要求和条件逐条标明是否响应。</w:t>
      </w:r>
    </w:p>
    <w:p w14:paraId="7C4142D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5.2 磋商响应文件由商务部分、技术部分、价格部分，以及其他部分组成。</w:t>
      </w:r>
    </w:p>
    <w:p w14:paraId="581BBA3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5.3 本次采购的最小单位是包。采购项目的技术要求中未分包的，供应商对要求提供的服务不得部分投标；采购项目的技术要求中已经分包的，可以以包为单位投标。</w:t>
      </w:r>
    </w:p>
    <w:p w14:paraId="1231535E">
      <w:pPr>
        <w:autoSpaceDE w:val="0"/>
        <w:autoSpaceDN w:val="0"/>
        <w:adjustRightInd w:val="0"/>
        <w:spacing w:line="360" w:lineRule="auto"/>
        <w:rPr>
          <w:rFonts w:hint="eastAsia" w:ascii="宋体" w:hAnsi="宋体" w:eastAsia="宋体" w:cs="宋体"/>
        </w:rPr>
      </w:pPr>
      <w:r>
        <w:rPr>
          <w:rFonts w:hint="eastAsia" w:ascii="宋体" w:hAnsi="宋体" w:eastAsia="宋体" w:cs="宋体"/>
          <w:bCs/>
        </w:rPr>
        <w:t xml:space="preserve">5.4 </w:t>
      </w:r>
      <w:r>
        <w:rPr>
          <w:rFonts w:hint="eastAsia" w:ascii="宋体" w:hAnsi="宋体" w:eastAsia="宋体" w:cs="宋体"/>
          <w:b/>
          <w:bCs/>
        </w:rPr>
        <w:t>磋商响应文件的商务部分。</w:t>
      </w:r>
      <w:r>
        <w:rPr>
          <w:rFonts w:hint="eastAsia" w:ascii="宋体" w:hAnsi="宋体" w:eastAsia="宋体" w:cs="宋体"/>
        </w:rPr>
        <w:t>商务部分是证明供应商有资格参加磋商和成交后有能力履行合同的文件，这些文件应能满足竞争性磋商采购的要求，包括但不限于下列文件</w:t>
      </w:r>
      <w:r>
        <w:rPr>
          <w:rFonts w:hint="eastAsia" w:ascii="宋体" w:hAnsi="宋体" w:eastAsia="宋体" w:cs="宋体"/>
          <w:kern w:val="0"/>
        </w:rPr>
        <w:t>（</w:t>
      </w:r>
      <w:r>
        <w:rPr>
          <w:rFonts w:hint="eastAsia" w:ascii="宋体" w:hAnsi="宋体" w:eastAsia="宋体" w:cs="宋体"/>
          <w:b/>
          <w:kern w:val="0"/>
        </w:rPr>
        <w:t>（1）-（6）所述材料如提供不全或不满足磋商文件的实质性要求，评标委员会有权否决供应商的投标</w:t>
      </w:r>
      <w:r>
        <w:rPr>
          <w:rFonts w:hint="eastAsia" w:ascii="宋体" w:hAnsi="宋体" w:eastAsia="宋体" w:cs="宋体"/>
          <w:kern w:val="0"/>
        </w:rPr>
        <w:t>）</w:t>
      </w:r>
      <w:r>
        <w:rPr>
          <w:rFonts w:hint="eastAsia" w:ascii="宋体" w:hAnsi="宋体" w:eastAsia="宋体" w:cs="宋体"/>
        </w:rPr>
        <w:t>：</w:t>
      </w:r>
    </w:p>
    <w:p w14:paraId="06D5F528">
      <w:pPr>
        <w:autoSpaceDE w:val="0"/>
        <w:autoSpaceDN w:val="0"/>
        <w:adjustRightInd w:val="0"/>
        <w:spacing w:line="360" w:lineRule="auto"/>
        <w:jc w:val="left"/>
        <w:rPr>
          <w:rFonts w:hint="eastAsia" w:ascii="宋体" w:hAnsi="宋体" w:eastAsia="宋体" w:cs="宋体"/>
        </w:rPr>
      </w:pPr>
      <w:r>
        <w:rPr>
          <w:rFonts w:hint="eastAsia" w:ascii="宋体" w:hAnsi="宋体" w:eastAsia="宋体" w:cs="宋体"/>
        </w:rPr>
        <w:t>（1）竞争性磋商申请及声明</w:t>
      </w:r>
      <w:r>
        <w:rPr>
          <w:rFonts w:hint="eastAsia" w:ascii="宋体" w:hAnsi="宋体" w:eastAsia="宋体" w:cs="宋体"/>
          <w:bCs/>
        </w:rPr>
        <w:t>（</w:t>
      </w:r>
      <w:r>
        <w:rPr>
          <w:rFonts w:hint="eastAsia" w:ascii="宋体" w:hAnsi="宋体" w:eastAsia="宋体" w:cs="宋体"/>
          <w:b/>
          <w:bCs/>
        </w:rPr>
        <w:t>格式见附件</w:t>
      </w:r>
      <w:r>
        <w:rPr>
          <w:rFonts w:hint="eastAsia" w:ascii="宋体" w:hAnsi="宋体" w:eastAsia="宋体" w:cs="宋体"/>
          <w:bCs/>
        </w:rPr>
        <w:t>）</w:t>
      </w:r>
      <w:r>
        <w:rPr>
          <w:rFonts w:hint="eastAsia" w:ascii="宋体" w:hAnsi="宋体" w:eastAsia="宋体" w:cs="宋体"/>
        </w:rPr>
        <w:t>；</w:t>
      </w:r>
    </w:p>
    <w:p w14:paraId="13983A5A">
      <w:pPr>
        <w:widowControl/>
        <w:adjustRightInd w:val="0"/>
        <w:spacing w:line="360" w:lineRule="auto"/>
        <w:jc w:val="left"/>
        <w:rPr>
          <w:rFonts w:hint="eastAsia" w:ascii="宋体" w:hAnsi="宋体" w:eastAsia="宋体" w:cs="宋体"/>
          <w:kern w:val="0"/>
        </w:rPr>
      </w:pPr>
      <w:r>
        <w:rPr>
          <w:rFonts w:hint="eastAsia" w:ascii="宋体" w:hAnsi="宋体" w:eastAsia="宋体" w:cs="宋体"/>
          <w:kern w:val="0"/>
        </w:rPr>
        <w:t>（2）法定代表人授权委托书及委托代理人的身份证复印件</w:t>
      </w:r>
      <w:r>
        <w:rPr>
          <w:rFonts w:hint="eastAsia" w:ascii="宋体" w:hAnsi="宋体" w:eastAsia="宋体" w:cs="宋体"/>
          <w:bCs/>
        </w:rPr>
        <w:t>（</w:t>
      </w:r>
      <w:r>
        <w:rPr>
          <w:rFonts w:hint="eastAsia" w:ascii="宋体" w:hAnsi="宋体" w:eastAsia="宋体" w:cs="宋体"/>
          <w:b/>
          <w:bCs/>
        </w:rPr>
        <w:t>格式见附件</w:t>
      </w:r>
      <w:r>
        <w:rPr>
          <w:rFonts w:hint="eastAsia" w:ascii="宋体" w:hAnsi="宋体" w:eastAsia="宋体" w:cs="宋体"/>
          <w:bCs/>
        </w:rPr>
        <w:t>）</w:t>
      </w:r>
      <w:r>
        <w:rPr>
          <w:rFonts w:hint="eastAsia" w:ascii="宋体" w:hAnsi="宋体" w:eastAsia="宋体" w:cs="宋体"/>
          <w:kern w:val="0"/>
        </w:rPr>
        <w:t>；</w:t>
      </w:r>
    </w:p>
    <w:p w14:paraId="7A632CF4">
      <w:pPr>
        <w:widowControl/>
        <w:adjustRightInd w:val="0"/>
        <w:spacing w:line="360" w:lineRule="auto"/>
        <w:jc w:val="left"/>
        <w:rPr>
          <w:rFonts w:hint="eastAsia" w:ascii="宋体" w:hAnsi="宋体" w:eastAsia="宋体" w:cs="宋体"/>
          <w:kern w:val="0"/>
        </w:rPr>
      </w:pPr>
      <w:r>
        <w:rPr>
          <w:rFonts w:hint="eastAsia" w:ascii="宋体" w:hAnsi="宋体" w:eastAsia="宋体" w:cs="宋体"/>
          <w:kern w:val="0"/>
        </w:rPr>
        <w:t>（3）申请人资格资信证明文件：</w:t>
      </w:r>
    </w:p>
    <w:p w14:paraId="03DA123F">
      <w:pPr>
        <w:widowControl/>
        <w:adjustRightInd w:val="0"/>
        <w:spacing w:line="360" w:lineRule="auto"/>
        <w:jc w:val="left"/>
        <w:rPr>
          <w:rFonts w:hint="eastAsia" w:ascii="宋体" w:hAnsi="宋体" w:eastAsia="宋体" w:cs="宋体"/>
        </w:rPr>
      </w:pPr>
      <w:r>
        <w:rPr>
          <w:rFonts w:hint="eastAsia" w:ascii="宋体" w:hAnsi="宋体" w:eastAsia="宋体" w:cs="宋体"/>
        </w:rPr>
        <w:t>1）第一章竞争性磋商公告中 2.1《中华人民共和国政府采购法》规定的资格条件证明文件；</w:t>
      </w:r>
    </w:p>
    <w:p w14:paraId="55E89F27">
      <w:pPr>
        <w:widowControl/>
        <w:adjustRightInd w:val="0"/>
        <w:spacing w:line="360" w:lineRule="auto"/>
        <w:jc w:val="left"/>
        <w:rPr>
          <w:rFonts w:hint="eastAsia" w:ascii="宋体" w:hAnsi="宋体" w:eastAsia="宋体" w:cs="宋体"/>
        </w:rPr>
      </w:pPr>
      <w:r>
        <w:rPr>
          <w:rFonts w:hint="eastAsia" w:ascii="宋体" w:hAnsi="宋体" w:eastAsia="宋体" w:cs="宋体"/>
        </w:rPr>
        <w:t xml:space="preserve">2）第一章竞争性磋商公告中 2.2 </w:t>
      </w:r>
      <w:r>
        <w:rPr>
          <w:rFonts w:hint="eastAsia" w:ascii="宋体" w:hAnsi="宋体" w:eastAsia="宋体" w:cs="宋体"/>
          <w:spacing w:val="8"/>
          <w:kern w:val="0"/>
        </w:rPr>
        <w:t>落实政府采购政策需满足的资格要求；</w:t>
      </w:r>
    </w:p>
    <w:p w14:paraId="167B4E20">
      <w:pPr>
        <w:widowControl/>
        <w:adjustRightInd w:val="0"/>
        <w:spacing w:line="360" w:lineRule="auto"/>
        <w:jc w:val="left"/>
        <w:rPr>
          <w:rFonts w:hint="eastAsia" w:ascii="宋体" w:hAnsi="宋体" w:eastAsia="宋体" w:cs="宋体"/>
        </w:rPr>
      </w:pPr>
      <w:r>
        <w:rPr>
          <w:rFonts w:hint="eastAsia" w:ascii="宋体" w:hAnsi="宋体" w:eastAsia="宋体" w:cs="宋体"/>
        </w:rPr>
        <w:t>3）第一章竞争性磋商公告中 2.3 采购人根据采购项目的特殊要求规定的特定条件证明文件（如有）；</w:t>
      </w:r>
    </w:p>
    <w:p w14:paraId="1AD3ED3C">
      <w:pPr>
        <w:widowControl/>
        <w:adjustRightInd w:val="0"/>
        <w:spacing w:line="360" w:lineRule="auto"/>
        <w:jc w:val="left"/>
        <w:rPr>
          <w:rFonts w:hint="eastAsia" w:ascii="宋体" w:hAnsi="宋体" w:eastAsia="宋体" w:cs="宋体"/>
          <w:kern w:val="0"/>
        </w:rPr>
      </w:pPr>
      <w:r>
        <w:rPr>
          <w:rFonts w:hint="eastAsia" w:ascii="宋体" w:hAnsi="宋体" w:eastAsia="宋体" w:cs="宋体"/>
        </w:rPr>
        <w:t>（4）报价表</w:t>
      </w:r>
      <w:r>
        <w:rPr>
          <w:rFonts w:hint="eastAsia" w:ascii="宋体" w:hAnsi="宋体" w:eastAsia="宋体" w:cs="宋体"/>
          <w:bCs/>
        </w:rPr>
        <w:t>（</w:t>
      </w:r>
      <w:r>
        <w:rPr>
          <w:rFonts w:hint="eastAsia" w:ascii="宋体" w:hAnsi="宋体" w:eastAsia="宋体" w:cs="宋体"/>
          <w:b/>
          <w:bCs/>
        </w:rPr>
        <w:t>格式见附件</w:t>
      </w:r>
      <w:r>
        <w:rPr>
          <w:rFonts w:hint="eastAsia" w:ascii="宋体" w:hAnsi="宋体" w:eastAsia="宋体" w:cs="宋体"/>
          <w:bCs/>
        </w:rPr>
        <w:t>）</w:t>
      </w:r>
      <w:r>
        <w:rPr>
          <w:rFonts w:hint="eastAsia" w:ascii="宋体" w:hAnsi="宋体" w:eastAsia="宋体" w:cs="宋体"/>
        </w:rPr>
        <w:t>；</w:t>
      </w:r>
    </w:p>
    <w:p w14:paraId="36BC0D1E">
      <w:pPr>
        <w:autoSpaceDE w:val="0"/>
        <w:autoSpaceDN w:val="0"/>
        <w:adjustRightInd w:val="0"/>
        <w:spacing w:line="360" w:lineRule="auto"/>
        <w:jc w:val="left"/>
        <w:rPr>
          <w:rFonts w:hint="eastAsia" w:ascii="宋体" w:hAnsi="宋体" w:eastAsia="宋体" w:cs="宋体"/>
        </w:rPr>
      </w:pPr>
      <w:r>
        <w:rPr>
          <w:rFonts w:hint="eastAsia" w:ascii="宋体" w:hAnsi="宋体" w:eastAsia="宋体" w:cs="宋体"/>
        </w:rPr>
        <w:t>（</w:t>
      </w:r>
      <w:r>
        <w:rPr>
          <w:rFonts w:hint="eastAsia" w:cs="宋体"/>
          <w:lang w:val="en-US" w:eastAsia="zh-CN"/>
        </w:rPr>
        <w:t>5</w:t>
      </w:r>
      <w:r>
        <w:rPr>
          <w:rFonts w:hint="eastAsia" w:ascii="宋体" w:hAnsi="宋体" w:eastAsia="宋体" w:cs="宋体"/>
        </w:rPr>
        <w:t>）《商务条款偏离表》；</w:t>
      </w:r>
    </w:p>
    <w:p w14:paraId="7F4D5A76">
      <w:pPr>
        <w:autoSpaceDE w:val="0"/>
        <w:autoSpaceDN w:val="0"/>
        <w:adjustRightInd w:val="0"/>
        <w:spacing w:line="360" w:lineRule="auto"/>
        <w:jc w:val="left"/>
        <w:rPr>
          <w:rFonts w:hint="eastAsia" w:ascii="宋体" w:hAnsi="宋体" w:eastAsia="宋体" w:cs="宋体"/>
        </w:rPr>
      </w:pPr>
      <w:r>
        <w:rPr>
          <w:rFonts w:hint="eastAsia" w:ascii="宋体" w:hAnsi="宋体" w:eastAsia="宋体" w:cs="宋体"/>
        </w:rPr>
        <w:t>（</w:t>
      </w:r>
      <w:r>
        <w:rPr>
          <w:rFonts w:hint="eastAsia" w:cs="宋体"/>
          <w:lang w:val="en-US" w:eastAsia="zh-CN"/>
        </w:rPr>
        <w:t>6</w:t>
      </w:r>
      <w:r>
        <w:rPr>
          <w:rFonts w:hint="eastAsia" w:ascii="宋体" w:hAnsi="宋体" w:eastAsia="宋体" w:cs="宋体"/>
        </w:rPr>
        <w:t>）供应商认为需要提供的其他资格证明文件和商务资料。</w:t>
      </w:r>
    </w:p>
    <w:p w14:paraId="03751055">
      <w:pPr>
        <w:autoSpaceDE w:val="0"/>
        <w:autoSpaceDN w:val="0"/>
        <w:adjustRightInd w:val="0"/>
        <w:spacing w:line="360" w:lineRule="auto"/>
        <w:rPr>
          <w:rFonts w:hint="eastAsia" w:ascii="宋体" w:hAnsi="宋体" w:eastAsia="宋体" w:cs="宋体"/>
        </w:rPr>
      </w:pPr>
      <w:r>
        <w:rPr>
          <w:rFonts w:hint="eastAsia" w:ascii="宋体" w:hAnsi="宋体" w:eastAsia="宋体" w:cs="宋体"/>
          <w:bCs/>
        </w:rPr>
        <w:t xml:space="preserve">5.5 </w:t>
      </w:r>
      <w:r>
        <w:rPr>
          <w:rFonts w:hint="eastAsia" w:ascii="宋体" w:hAnsi="宋体" w:eastAsia="宋体" w:cs="宋体"/>
          <w:b/>
          <w:bCs/>
        </w:rPr>
        <w:t>磋商响应文件的技术部分。</w:t>
      </w:r>
      <w:r>
        <w:rPr>
          <w:rFonts w:hint="eastAsia" w:ascii="宋体" w:hAnsi="宋体" w:eastAsia="宋体" w:cs="宋体"/>
        </w:rPr>
        <w:t>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5F686BE0">
      <w:pPr>
        <w:widowControl/>
        <w:adjustRightInd w:val="0"/>
        <w:spacing w:line="360" w:lineRule="auto"/>
        <w:jc w:val="left"/>
        <w:rPr>
          <w:rFonts w:hint="eastAsia" w:ascii="宋体" w:hAnsi="宋体" w:eastAsia="宋体" w:cs="宋体"/>
        </w:rPr>
      </w:pPr>
      <w:r>
        <w:rPr>
          <w:rFonts w:hint="eastAsia" w:ascii="宋体" w:hAnsi="宋体" w:eastAsia="宋体" w:cs="宋体"/>
          <w:kern w:val="0"/>
        </w:rPr>
        <w:t>（1）</w:t>
      </w:r>
      <w:r>
        <w:rPr>
          <w:rFonts w:hint="eastAsia" w:ascii="宋体" w:hAnsi="宋体" w:eastAsia="宋体" w:cs="宋体"/>
        </w:rPr>
        <w:t xml:space="preserve">项目技术方案或服务说明； </w:t>
      </w:r>
    </w:p>
    <w:p w14:paraId="0452D2F4">
      <w:pPr>
        <w:autoSpaceDE w:val="0"/>
        <w:autoSpaceDN w:val="0"/>
        <w:adjustRightInd w:val="0"/>
        <w:spacing w:line="360" w:lineRule="auto"/>
        <w:rPr>
          <w:rFonts w:hint="eastAsia" w:ascii="宋体" w:hAnsi="宋体" w:eastAsia="宋体" w:cs="宋体"/>
        </w:rPr>
      </w:pPr>
      <w:r>
        <w:rPr>
          <w:rFonts w:hint="eastAsia" w:ascii="宋体" w:hAnsi="宋体" w:eastAsia="宋体" w:cs="宋体"/>
        </w:rPr>
        <w:t>（2）《采购需求条款偏离表》；</w:t>
      </w:r>
    </w:p>
    <w:p w14:paraId="12D149B8">
      <w:pPr>
        <w:widowControl/>
        <w:adjustRightInd w:val="0"/>
        <w:spacing w:line="360" w:lineRule="auto"/>
        <w:jc w:val="left"/>
        <w:rPr>
          <w:rFonts w:hint="eastAsia" w:ascii="宋体" w:hAnsi="宋体" w:eastAsia="宋体" w:cs="宋体"/>
          <w:kern w:val="0"/>
        </w:rPr>
      </w:pPr>
      <w:r>
        <w:rPr>
          <w:rFonts w:hint="eastAsia" w:ascii="宋体" w:hAnsi="宋体" w:eastAsia="宋体" w:cs="宋体"/>
        </w:rPr>
        <w:t>（3）供应商认为需要</w:t>
      </w:r>
      <w:r>
        <w:rPr>
          <w:rFonts w:hint="eastAsia" w:ascii="宋体" w:hAnsi="宋体" w:eastAsia="宋体" w:cs="宋体"/>
          <w:kern w:val="0"/>
        </w:rPr>
        <w:t>提供的其他技术资料。</w:t>
      </w:r>
    </w:p>
    <w:p w14:paraId="0D50129F">
      <w:pPr>
        <w:autoSpaceDE w:val="0"/>
        <w:autoSpaceDN w:val="0"/>
        <w:adjustRightInd w:val="0"/>
        <w:spacing w:line="360" w:lineRule="auto"/>
        <w:rPr>
          <w:rFonts w:hint="eastAsia" w:ascii="宋体" w:hAnsi="宋体" w:eastAsia="宋体" w:cs="宋体"/>
          <w:b/>
        </w:rPr>
      </w:pPr>
      <w:r>
        <w:rPr>
          <w:rFonts w:hint="eastAsia" w:ascii="宋体" w:hAnsi="宋体" w:eastAsia="宋体" w:cs="宋体"/>
        </w:rPr>
        <w:t xml:space="preserve">5.6 </w:t>
      </w:r>
      <w:r>
        <w:rPr>
          <w:rFonts w:hint="eastAsia" w:ascii="宋体" w:hAnsi="宋体" w:eastAsia="宋体" w:cs="宋体"/>
          <w:b/>
        </w:rPr>
        <w:t>磋商响应文件的价格部分</w:t>
      </w:r>
    </w:p>
    <w:p w14:paraId="38A373C7">
      <w:pPr>
        <w:numPr>
          <w:ilvl w:val="0"/>
          <w:numId w:val="1"/>
        </w:numPr>
        <w:autoSpaceDE w:val="0"/>
        <w:autoSpaceDN w:val="0"/>
        <w:adjustRightInd w:val="0"/>
        <w:spacing w:line="360" w:lineRule="auto"/>
        <w:rPr>
          <w:rFonts w:hint="eastAsia" w:ascii="宋体" w:hAnsi="宋体" w:eastAsia="宋体" w:cs="宋体"/>
        </w:rPr>
      </w:pPr>
      <w:r>
        <w:rPr>
          <w:rFonts w:hint="eastAsia" w:ascii="宋体" w:hAnsi="宋体" w:eastAsia="宋体" w:cs="宋体"/>
        </w:rPr>
        <w:t>价格部分是对服务价格构成的说明，竞争性磋商文件如没有特别说明的话，对每一项服务仅接受一个价格。</w:t>
      </w:r>
    </w:p>
    <w:p w14:paraId="68D15F34">
      <w:pPr>
        <w:autoSpaceDE w:val="0"/>
        <w:autoSpaceDN w:val="0"/>
        <w:adjustRightInd w:val="0"/>
        <w:spacing w:line="360" w:lineRule="auto"/>
        <w:rPr>
          <w:rFonts w:hint="eastAsia" w:ascii="宋体" w:hAnsi="宋体" w:eastAsia="宋体" w:cs="宋体"/>
        </w:rPr>
      </w:pPr>
      <w:r>
        <w:rPr>
          <w:rFonts w:hint="eastAsia" w:ascii="宋体" w:hAnsi="宋体" w:eastAsia="宋体" w:cs="宋体"/>
        </w:rPr>
        <w:t>（2）报价应包含与磋商项目有关的所有费用，以及技术资料、支付给员工的工资和国家强制缴纳的各种社会保障资金，以及供应商认为需要的其他费用等。</w:t>
      </w:r>
    </w:p>
    <w:p w14:paraId="3C905BB0">
      <w:pPr>
        <w:autoSpaceDE w:val="0"/>
        <w:autoSpaceDN w:val="0"/>
        <w:adjustRightInd w:val="0"/>
        <w:spacing w:line="360" w:lineRule="auto"/>
        <w:rPr>
          <w:rFonts w:hint="eastAsia" w:ascii="宋体" w:hAnsi="宋体" w:eastAsia="宋体" w:cs="宋体"/>
        </w:rPr>
      </w:pPr>
      <w:r>
        <w:rPr>
          <w:rFonts w:hint="eastAsia" w:ascii="宋体" w:hAnsi="宋体" w:eastAsia="宋体" w:cs="宋体"/>
        </w:rPr>
        <w:t>（3）供应商应以表格形式详细说明服务的价格构成，以及价格构成各项因素的单价和总价以及分项报价。</w:t>
      </w:r>
      <w:r>
        <w:rPr>
          <w:rFonts w:hint="eastAsia" w:ascii="宋体" w:hAnsi="宋体" w:cs="宋体"/>
          <w:lang w:eastAsia="zh-CN"/>
        </w:rPr>
        <w:t>供应商</w:t>
      </w:r>
      <w:r>
        <w:rPr>
          <w:rFonts w:hint="eastAsia" w:ascii="宋体" w:hAnsi="宋体" w:eastAsia="宋体" w:cs="宋体"/>
        </w:rPr>
        <w:t>符合本须知3.1条所述情形的，须在《报价表》、《分项报价表》中注明。</w:t>
      </w:r>
    </w:p>
    <w:p w14:paraId="491CF255">
      <w:pPr>
        <w:autoSpaceDE w:val="0"/>
        <w:autoSpaceDN w:val="0"/>
        <w:adjustRightInd w:val="0"/>
        <w:spacing w:line="360" w:lineRule="auto"/>
        <w:rPr>
          <w:rFonts w:hint="eastAsia" w:ascii="宋体" w:hAnsi="宋体" w:eastAsia="宋体" w:cs="宋体"/>
        </w:rPr>
      </w:pPr>
      <w:r>
        <w:rPr>
          <w:rFonts w:hint="eastAsia" w:ascii="宋体" w:hAnsi="宋体" w:eastAsia="宋体" w:cs="宋体"/>
        </w:rPr>
        <w:t>（4）供应商应充分考虑到市场价格变动，以及项目实施过程中的不可预见因素，一旦成交，总价格不变。如果有漏项，视同让利。</w:t>
      </w:r>
    </w:p>
    <w:p w14:paraId="3FB03A56">
      <w:pPr>
        <w:widowControl/>
        <w:shd w:val="clear" w:color="auto" w:fill="FFFFFF"/>
        <w:spacing w:line="360" w:lineRule="auto"/>
        <w:rPr>
          <w:rFonts w:hint="eastAsia" w:ascii="宋体" w:hAnsi="宋体" w:eastAsia="宋体" w:cs="宋体"/>
          <w:b/>
          <w:kern w:val="0"/>
        </w:rPr>
      </w:pPr>
      <w:r>
        <w:rPr>
          <w:rFonts w:hint="eastAsia" w:ascii="宋体" w:hAnsi="宋体" w:eastAsia="宋体" w:cs="宋体"/>
          <w:b/>
          <w:kern w:val="0"/>
        </w:rPr>
        <w:t>（5）响应文件所报的投标价格不得超过磋商文件规定的预算价、限价，超过磋商文件规定的，响应文件按无效投标处理。</w:t>
      </w:r>
    </w:p>
    <w:p w14:paraId="173587A7">
      <w:pPr>
        <w:autoSpaceDE w:val="0"/>
        <w:autoSpaceDN w:val="0"/>
        <w:adjustRightInd w:val="0"/>
        <w:spacing w:line="360" w:lineRule="auto"/>
        <w:rPr>
          <w:rFonts w:hint="eastAsia" w:ascii="宋体" w:hAnsi="宋体" w:eastAsia="宋体" w:cs="宋体"/>
        </w:rPr>
      </w:pPr>
      <w:r>
        <w:rPr>
          <w:rFonts w:hint="eastAsia" w:ascii="宋体" w:hAnsi="宋体" w:eastAsia="宋体" w:cs="宋体"/>
        </w:rPr>
        <w:t>（6）经磋商后，如果成交价低于供应商在磋商响应文件报价的话，除特别注明外，分项报价同比例调整。</w:t>
      </w:r>
    </w:p>
    <w:p w14:paraId="7419BCCE">
      <w:pPr>
        <w:autoSpaceDE w:val="0"/>
        <w:autoSpaceDN w:val="0"/>
        <w:adjustRightInd w:val="0"/>
        <w:spacing w:line="360" w:lineRule="auto"/>
        <w:rPr>
          <w:rFonts w:hint="eastAsia" w:ascii="宋体" w:hAnsi="宋体" w:eastAsia="宋体" w:cs="宋体"/>
        </w:rPr>
      </w:pPr>
      <w:r>
        <w:rPr>
          <w:rFonts w:hint="eastAsia" w:ascii="宋体" w:hAnsi="宋体" w:eastAsia="宋体" w:cs="宋体"/>
        </w:rPr>
        <w:t>5.7 磋商响应文件的其他部分。其他部分由供应商根据编制磋商响应文件需要提供的其他相关文件组成。</w:t>
      </w:r>
    </w:p>
    <w:p w14:paraId="7DE02675">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6、磋商保证金</w:t>
      </w:r>
    </w:p>
    <w:p w14:paraId="69C1BE13">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本项目无须缴纳投标保证金。</w:t>
      </w:r>
    </w:p>
    <w:p w14:paraId="5C389917">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三、磋商响应文件的递交</w:t>
      </w:r>
    </w:p>
    <w:p w14:paraId="07153C5B">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7、磋商响应文件的签署、密封和递交</w:t>
      </w:r>
    </w:p>
    <w:p w14:paraId="0B2CB156">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rPr>
        <w:t xml:space="preserve">7.1 </w:t>
      </w:r>
      <w:r>
        <w:rPr>
          <w:rFonts w:hint="eastAsia" w:ascii="宋体" w:hAnsi="宋体" w:eastAsia="宋体" w:cs="宋体"/>
          <w:b/>
        </w:rPr>
        <w:t>磋商响应文件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4B32DB4E">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 xml:space="preserve">7.2 </w:t>
      </w:r>
      <w:r>
        <w:rPr>
          <w:rFonts w:hint="eastAsia" w:ascii="宋体" w:hAnsi="宋体" w:eastAsia="宋体" w:cs="宋体"/>
          <w:kern w:val="0"/>
        </w:rPr>
        <w:t>磋商响应文件不应有涂改、增删之处，如必须修改时，修改处必须有供应商法定代表人或授权代表签字，同时加盖供应商公章。</w:t>
      </w:r>
    </w:p>
    <w:p w14:paraId="5438763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 xml:space="preserve">7.3 </w:t>
      </w:r>
      <w:r>
        <w:rPr>
          <w:rFonts w:hint="eastAsia" w:ascii="宋体" w:hAnsi="宋体" w:eastAsia="宋体" w:cs="宋体"/>
          <w:b/>
        </w:rPr>
        <w:t>供应商应当在竞争性磋商文件要求递交磋商响应文件的截止时间前，将磋商响应文件密封送达指定地点。</w:t>
      </w:r>
    </w:p>
    <w:p w14:paraId="0647EF93">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rPr>
        <w:t xml:space="preserve">7.4 </w:t>
      </w:r>
      <w:r>
        <w:rPr>
          <w:rFonts w:hint="eastAsia" w:ascii="宋体" w:hAnsi="宋体" w:eastAsia="宋体" w:cs="宋体"/>
          <w:b/>
          <w:bCs/>
        </w:rPr>
        <w:t>有下列情形之一的响应文件将拒收：</w:t>
      </w:r>
    </w:p>
    <w:p w14:paraId="536DA7D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（1）未按竞争性磋商文件要求密封的；</w:t>
      </w:r>
    </w:p>
    <w:p w14:paraId="1270B751">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（2）在竞争性磋商文件要求的递交响应文件截止时间之后送达的。</w:t>
      </w:r>
    </w:p>
    <w:p w14:paraId="779B2EBD">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8、诚实守信</w:t>
      </w:r>
    </w:p>
    <w:p w14:paraId="7923647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8.1 供应商之间不得相互串通报价，不得妨碍其他供应商的公平竞争，不得损害采购人或者其他供应商的合法权益。</w:t>
      </w:r>
    </w:p>
    <w:p w14:paraId="15055844">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8.2 供应商不得以向采购代理机构工作人员、磋商小组成员行贿或者采取其他不正当手段谋取成交。</w:t>
      </w:r>
    </w:p>
    <w:p w14:paraId="39FD41A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b/>
          <w:bCs/>
        </w:rPr>
        <w:t>四、磋商</w:t>
      </w:r>
    </w:p>
    <w:p w14:paraId="19E3EC6D">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9、磋商组织</w:t>
      </w:r>
    </w:p>
    <w:p w14:paraId="20DC38E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9.1 在递交磋商响应文件时间截止后，采购代理机构在规定的时间和地点组织磋商小组分别与供应商进行磋商。</w:t>
      </w:r>
    </w:p>
    <w:p w14:paraId="7C36E2A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9.2 磋商工作由采购代理机构负责组织，具体磋商事务由依法组建的磋商小组负责。</w:t>
      </w:r>
    </w:p>
    <w:p w14:paraId="48ADBF8E">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10、磋商程序</w:t>
      </w:r>
    </w:p>
    <w:p w14:paraId="584DB5AA">
      <w:pPr>
        <w:autoSpaceDE w:val="0"/>
        <w:autoSpaceDN w:val="0"/>
        <w:adjustRightInd w:val="0"/>
        <w:spacing w:line="360" w:lineRule="auto"/>
        <w:rPr>
          <w:rFonts w:hint="eastAsia" w:ascii="宋体" w:hAnsi="宋体" w:eastAsia="宋体" w:cs="宋体"/>
        </w:rPr>
      </w:pPr>
      <w:r>
        <w:rPr>
          <w:rFonts w:hint="eastAsia" w:ascii="宋体" w:hAnsi="宋体" w:eastAsia="宋体" w:cs="宋体"/>
        </w:rPr>
        <w:t>10.1 磋商小组审阅供应商所递交的响应文件，凡不具备资格条件的供应商不得进入磋商程序。</w:t>
      </w:r>
    </w:p>
    <w:p w14:paraId="28914C2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10.2 磋商小组所有成员集中与单一供应商分别就竞争性磋商采购项目的技术、商务和价格进行磋商。</w:t>
      </w:r>
    </w:p>
    <w:p w14:paraId="55594EB2">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10.3 磋商过程中，磋商小组可以根据磋商文件和磋商情况可能实质性变动采购需求中的技术、服务要求以及合同草案条款，但不得变动磋商文件中的其他内容。实质性变动的内容，须经采购人代表确认。</w:t>
      </w:r>
    </w:p>
    <w:p w14:paraId="2EACE9B5">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对磋商文件作出的实质性变动是磋商文件的有效组成部分，磋商小组应当及时以书面形式同时通知所有参加磋商的供应商。</w:t>
      </w:r>
    </w:p>
    <w:p w14:paraId="6A60672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10.4 如磋商文件有实质性变动的，供应商应当按照磋商文件的变动情况和磋商小组的要求提交响应（或补充）文件，应由其法定代表人或授权代表签字或者加盖公章。</w:t>
      </w:r>
    </w:p>
    <w:p w14:paraId="7BFEF026">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10.5 磋商结束后，磋商小组将要求所有实质性响应的供应商在规定时间内提交最后报价。</w:t>
      </w:r>
    </w:p>
    <w:p w14:paraId="448B290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10.6</w:t>
      </w:r>
      <w:r>
        <w:rPr>
          <w:rFonts w:hint="eastAsia" w:ascii="宋体" w:hAnsi="宋体" w:eastAsia="宋体" w:cs="宋体"/>
          <w:bCs/>
        </w:rPr>
        <w:t>最后报价由</w:t>
      </w:r>
      <w:r>
        <w:rPr>
          <w:rFonts w:hint="eastAsia" w:ascii="宋体" w:hAnsi="宋体" w:eastAsia="宋体" w:cs="宋体"/>
        </w:rPr>
        <w:t>供应商</w:t>
      </w:r>
      <w:r>
        <w:rPr>
          <w:rFonts w:hint="eastAsia" w:ascii="宋体" w:hAnsi="宋体" w:eastAsia="宋体" w:cs="宋体"/>
          <w:bCs/>
        </w:rPr>
        <w:t>法定代表人或授权代表签字或者加盖公章，最后报价是供应商响应文件的有效组成部分。</w:t>
      </w:r>
    </w:p>
    <w:p w14:paraId="13A956C0">
      <w:pPr>
        <w:snapToGrid w:val="0"/>
        <w:spacing w:line="360" w:lineRule="auto"/>
        <w:rPr>
          <w:rFonts w:hint="eastAsia" w:ascii="宋体" w:hAnsi="宋体" w:eastAsia="宋体" w:cs="宋体"/>
          <w:b/>
          <w:kern w:val="0"/>
        </w:rPr>
      </w:pPr>
      <w:r>
        <w:rPr>
          <w:rFonts w:hint="eastAsia" w:ascii="宋体" w:hAnsi="宋体" w:eastAsia="宋体" w:cs="宋体"/>
          <w:b/>
        </w:rPr>
        <w:t>10.7 出现下列情形之一的响应文件按照无效处理：</w:t>
      </w:r>
    </w:p>
    <w:p w14:paraId="16D4880A">
      <w:pPr>
        <w:snapToGrid w:val="0"/>
        <w:spacing w:line="360" w:lineRule="auto"/>
        <w:rPr>
          <w:rFonts w:hint="eastAsia" w:ascii="宋体" w:hAnsi="宋体" w:eastAsia="宋体" w:cs="宋体"/>
        </w:rPr>
      </w:pPr>
      <w:r>
        <w:rPr>
          <w:rFonts w:hint="eastAsia" w:ascii="宋体" w:hAnsi="宋体" w:eastAsia="宋体" w:cs="宋体"/>
        </w:rPr>
        <w:t xml:space="preserve">（1）不满足“第一章竞争性磋商公告 二、申请人资格要求”的规定的； </w:t>
      </w:r>
    </w:p>
    <w:p w14:paraId="45A93FD6">
      <w:pPr>
        <w:snapToGrid w:val="0"/>
        <w:spacing w:line="360" w:lineRule="auto"/>
        <w:rPr>
          <w:rFonts w:hint="eastAsia" w:ascii="宋体" w:hAnsi="宋体" w:eastAsia="宋体" w:cs="宋体"/>
          <w:b/>
        </w:rPr>
      </w:pPr>
      <w:r>
        <w:rPr>
          <w:rFonts w:hint="eastAsia" w:ascii="宋体" w:hAnsi="宋体" w:eastAsia="宋体" w:cs="宋体"/>
        </w:rPr>
        <w:t>（2）未实质性响应采购文件要求的；</w:t>
      </w:r>
      <w:r>
        <w:rPr>
          <w:rFonts w:hint="eastAsia" w:ascii="宋体" w:hAnsi="宋体" w:eastAsia="宋体" w:cs="宋体"/>
          <w:b/>
        </w:rPr>
        <w:t>（</w:t>
      </w:r>
      <w:r>
        <w:rPr>
          <w:rFonts w:hint="eastAsia" w:ascii="宋体" w:hAnsi="宋体" w:eastAsia="宋体" w:cs="宋体"/>
          <w:b/>
          <w:bCs/>
          <w:kern w:val="0"/>
        </w:rPr>
        <w:t>实质性要求是指本竞争性磋商文件中用带星号（“</w:t>
      </w:r>
      <w:r>
        <w:rPr>
          <w:rFonts w:hint="eastAsia" w:ascii="宋体" w:hAnsi="宋体" w:eastAsia="宋体" w:cs="宋体"/>
          <w:b/>
          <w:bCs/>
        </w:rPr>
        <w:t>*</w:t>
      </w:r>
      <w:r>
        <w:rPr>
          <w:rFonts w:hint="eastAsia" w:ascii="宋体" w:hAnsi="宋体" w:eastAsia="宋体" w:cs="宋体"/>
          <w:b/>
          <w:bCs/>
          <w:kern w:val="0"/>
        </w:rPr>
        <w:t>”）、“须（必须）”或“应（应当）”等其他文字说明的商务和技术要求。</w:t>
      </w:r>
      <w:r>
        <w:rPr>
          <w:rFonts w:hint="eastAsia" w:ascii="宋体" w:hAnsi="宋体" w:eastAsia="宋体" w:cs="宋体"/>
          <w:b/>
        </w:rPr>
        <w:t>）</w:t>
      </w:r>
    </w:p>
    <w:p w14:paraId="338A4876">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（3）不符合法律、法规和磋商文件规定的其他实质性要求的。</w:t>
      </w:r>
    </w:p>
    <w:p w14:paraId="73A9501F">
      <w:pPr>
        <w:pStyle w:val="10"/>
        <w:spacing w:before="0" w:beforeAutospacing="0" w:after="0" w:afterAutospacing="0" w:line="360" w:lineRule="auto"/>
        <w:ind w:left="0"/>
        <w:rPr>
          <w:rFonts w:hint="eastAsia" w:ascii="宋体" w:hAnsi="宋体" w:eastAsia="宋体" w:cs="宋体"/>
        </w:rPr>
      </w:pPr>
      <w:r>
        <w:rPr>
          <w:rFonts w:hint="eastAsia" w:ascii="宋体" w:hAnsi="宋体" w:eastAsia="宋体" w:cs="宋体"/>
        </w:rPr>
        <w:t>（4）不同</w:t>
      </w:r>
      <w:r>
        <w:rPr>
          <w:rFonts w:hint="eastAsia" w:ascii="宋体" w:hAnsi="宋体" w:cs="宋体"/>
          <w:lang w:eastAsia="zh-CN"/>
        </w:rPr>
        <w:t>供应商</w:t>
      </w:r>
      <w:r>
        <w:rPr>
          <w:rFonts w:hint="eastAsia" w:ascii="宋体" w:hAnsi="宋体" w:eastAsia="宋体" w:cs="宋体"/>
        </w:rPr>
        <w:t>的投标文件载明的项目管理成员或者联系人为同一人。</w:t>
      </w:r>
    </w:p>
    <w:p w14:paraId="0DC6C385">
      <w:pPr>
        <w:spacing w:line="360" w:lineRule="auto"/>
        <w:rPr>
          <w:rFonts w:hint="eastAsia" w:ascii="宋体" w:hAnsi="宋体" w:eastAsia="宋体" w:cs="宋体"/>
        </w:rPr>
      </w:pPr>
      <w:r>
        <w:rPr>
          <w:rFonts w:hint="eastAsia" w:ascii="宋体" w:hAnsi="宋体" w:eastAsia="宋体" w:cs="宋体"/>
        </w:rPr>
        <w:t>（5）不同</w:t>
      </w:r>
      <w:r>
        <w:rPr>
          <w:rFonts w:hint="eastAsia" w:ascii="宋体" w:hAnsi="宋体" w:cs="宋体"/>
          <w:lang w:eastAsia="zh-CN"/>
        </w:rPr>
        <w:t>供应商</w:t>
      </w:r>
      <w:r>
        <w:rPr>
          <w:rFonts w:hint="eastAsia" w:ascii="宋体" w:hAnsi="宋体" w:eastAsia="宋体" w:cs="宋体"/>
        </w:rPr>
        <w:t>的投标文件互相混装</w:t>
      </w:r>
    </w:p>
    <w:p w14:paraId="74110F22">
      <w:pPr>
        <w:snapToGrid w:val="0"/>
        <w:spacing w:line="360" w:lineRule="auto"/>
        <w:rPr>
          <w:rFonts w:hint="eastAsia" w:ascii="宋体" w:hAnsi="宋体" w:eastAsia="宋体" w:cs="宋体"/>
          <w:b/>
          <w:bCs/>
        </w:rPr>
      </w:pPr>
      <w:r>
        <w:rPr>
          <w:rFonts w:hint="eastAsia" w:ascii="宋体" w:hAnsi="宋体" w:eastAsia="宋体" w:cs="宋体"/>
          <w:b/>
        </w:rPr>
        <w:t>10.8</w:t>
      </w:r>
      <w:r>
        <w:rPr>
          <w:rFonts w:hint="eastAsia" w:ascii="宋体" w:hAnsi="宋体" w:eastAsia="宋体" w:cs="宋体"/>
          <w:b/>
          <w:bCs/>
        </w:rPr>
        <w:t>出现下列情形之一的磋商终止：</w:t>
      </w:r>
    </w:p>
    <w:p w14:paraId="2E5DE81A">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（1）因情况变化，不再符合规定的竞争性磋商采购方式适用情形的；</w:t>
      </w:r>
    </w:p>
    <w:p w14:paraId="71451EFB">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（2）出现影响采购公正的违法、违规行为的；</w:t>
      </w:r>
    </w:p>
    <w:p w14:paraId="41C40BD0">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（3）除市场竞争不充分的科研项目，以及需要扶持的科技成果转化项目外，在采购过程中符合要求的供应商或者报价未超过采购预算的供应商不足3家的。</w:t>
      </w:r>
    </w:p>
    <w:p w14:paraId="5BE03564">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10.9 磋商有效期为90天，从提交磋商响应文件的截止之日起算。磋商响应文件中承诺的磋商有效期应当不少于竞争性磋商文件中载明的磋商有效期。</w:t>
      </w:r>
    </w:p>
    <w:p w14:paraId="2A4D68C1">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11、</w:t>
      </w:r>
      <w:r>
        <w:rPr>
          <w:rFonts w:hint="eastAsia" w:ascii="宋体" w:hAnsi="宋体" w:eastAsia="宋体" w:cs="宋体"/>
          <w:b/>
          <w:bCs/>
          <w:kern w:val="0"/>
        </w:rPr>
        <w:t>评分方法和标准</w:t>
      </w:r>
    </w:p>
    <w:p w14:paraId="5783E893">
      <w:pPr>
        <w:widowControl/>
        <w:adjustRightInd w:val="0"/>
        <w:snapToGrid w:val="0"/>
        <w:spacing w:line="360" w:lineRule="auto"/>
        <w:rPr>
          <w:rFonts w:hint="eastAsia" w:ascii="宋体" w:hAnsi="宋体" w:eastAsia="宋体" w:cs="宋体"/>
          <w:bCs/>
          <w:kern w:val="0"/>
        </w:rPr>
      </w:pPr>
      <w:r>
        <w:rPr>
          <w:rFonts w:hint="eastAsia" w:ascii="宋体" w:hAnsi="宋体" w:eastAsia="宋体" w:cs="宋体"/>
          <w:bCs/>
          <w:kern w:val="0"/>
        </w:rPr>
        <w:t xml:space="preserve">11.1 </w:t>
      </w:r>
      <w:r>
        <w:rPr>
          <w:rFonts w:hint="eastAsia" w:ascii="宋体" w:hAnsi="宋体" w:eastAsia="宋体" w:cs="宋体"/>
          <w:kern w:val="0"/>
        </w:rPr>
        <w:t>采用综合评分法。即在最大限度地满足磋商文件实质性要求前提下，按照磋商文件中规定的各项因素进行综合评审后，以评审总得分最高的供应商作为成交候选供应商或者成交供应商的评分方法。</w:t>
      </w:r>
    </w:p>
    <w:p w14:paraId="73D862A9">
      <w:pPr>
        <w:spacing w:line="360" w:lineRule="auto"/>
        <w:rPr>
          <w:rFonts w:hint="eastAsia" w:ascii="宋体" w:hAnsi="宋体" w:eastAsia="宋体" w:cs="宋体"/>
        </w:rPr>
      </w:pPr>
      <w:r>
        <w:rPr>
          <w:rFonts w:hint="eastAsia" w:ascii="宋体" w:hAnsi="宋体" w:eastAsia="宋体" w:cs="宋体"/>
          <w:bCs/>
          <w:kern w:val="0"/>
        </w:rPr>
        <w:t xml:space="preserve">11.2 </w:t>
      </w:r>
      <w:r>
        <w:rPr>
          <w:rFonts w:hint="eastAsia" w:ascii="宋体" w:hAnsi="宋体" w:eastAsia="宋体" w:cs="宋体"/>
          <w:kern w:val="0"/>
        </w:rPr>
        <w:t>综合评分的主要因素是</w:t>
      </w:r>
      <w:r>
        <w:rPr>
          <w:rFonts w:hint="eastAsia" w:ascii="宋体" w:hAnsi="宋体" w:eastAsia="宋体" w:cs="宋体"/>
          <w:bCs/>
          <w:kern w:val="0"/>
        </w:rPr>
        <w:t>：</w:t>
      </w:r>
      <w:r>
        <w:rPr>
          <w:rFonts w:hint="eastAsia" w:ascii="宋体" w:hAnsi="宋体" w:eastAsia="宋体" w:cs="宋体"/>
        </w:rPr>
        <w:t>详见第三章评标办法与标准。</w:t>
      </w:r>
    </w:p>
    <w:p w14:paraId="278251B5">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11.3 评分标准详见第三章。</w:t>
      </w:r>
    </w:p>
    <w:p w14:paraId="51429A16">
      <w:pPr>
        <w:widowControl/>
        <w:shd w:val="clear" w:color="auto" w:fill="FFFFFF"/>
        <w:spacing w:line="360" w:lineRule="auto"/>
        <w:rPr>
          <w:rFonts w:hint="eastAsia" w:ascii="宋体" w:hAnsi="宋体" w:eastAsia="宋体" w:cs="宋体"/>
          <w:b/>
          <w:kern w:val="0"/>
        </w:rPr>
      </w:pPr>
      <w:r>
        <w:rPr>
          <w:rFonts w:hint="eastAsia" w:ascii="宋体" w:hAnsi="宋体" w:eastAsia="宋体" w:cs="宋体"/>
          <w:b/>
          <w:kern w:val="0"/>
        </w:rPr>
        <w:t>12、确定成交供应商</w:t>
      </w:r>
    </w:p>
    <w:p w14:paraId="3D5B6180">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12.1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54E1DBEB">
      <w:pPr>
        <w:widowControl/>
        <w:shd w:val="clear" w:color="auto" w:fill="FFFFFF"/>
        <w:spacing w:line="360" w:lineRule="auto"/>
        <w:rPr>
          <w:rFonts w:hint="eastAsia" w:ascii="宋体" w:hAnsi="宋体" w:eastAsia="宋体" w:cs="宋体"/>
          <w:kern w:val="0"/>
        </w:rPr>
      </w:pPr>
      <w:r>
        <w:rPr>
          <w:rFonts w:hint="eastAsia" w:ascii="宋体" w:hAnsi="宋体" w:eastAsia="宋体" w:cs="宋体"/>
        </w:rPr>
        <w:t xml:space="preserve">12.2 </w:t>
      </w:r>
      <w:r>
        <w:rPr>
          <w:rFonts w:hint="eastAsia" w:ascii="宋体" w:hAnsi="宋体" w:eastAsia="宋体" w:cs="宋体"/>
          <w:kern w:val="0"/>
        </w:rPr>
        <w:t>成交供应商确定后，采购人或者采购代理机构将在省级以上财政部门指定的政府采购信息发布媒体上公告成交结果，同时向成交供应商发出成交通知书。</w:t>
      </w:r>
    </w:p>
    <w:p w14:paraId="6DE3960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12.3 成交通知书对采购人和成交供应商具有同等法律效力。</w:t>
      </w:r>
    </w:p>
    <w:p w14:paraId="1775A3A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12.4成交通知书发出后，采购人或成交供应商拒绝签订合同的，拒绝签订合同的一方应至少向另一方支付补偿金，以及为磋商所发生的有关费用和双方商定的其他补偿，并承担相应的法律责任。</w:t>
      </w:r>
    </w:p>
    <w:p w14:paraId="0EC3A13A">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12.5 成交通知书发出后，成交供应商除发生法律规定的不能预见、不能避免并不能克服的客观情况外不得放弃或拒绝签订合同的。放弃或拒绝签订合同的，磋商保证金（如有）不予退还，情节严重的提请财政部门将其列入不良行为名单，在一至三年内不得参加政府采购活动，并予以通报。</w:t>
      </w:r>
    </w:p>
    <w:p w14:paraId="2B2EB9F3">
      <w:pPr>
        <w:snapToGrid w:val="0"/>
        <w:spacing w:line="360" w:lineRule="auto"/>
        <w:rPr>
          <w:rFonts w:hint="eastAsia" w:ascii="宋体" w:hAnsi="宋体" w:eastAsia="宋体" w:cs="宋体"/>
        </w:rPr>
      </w:pPr>
      <w:r>
        <w:rPr>
          <w:rFonts w:hint="eastAsia" w:ascii="宋体" w:hAnsi="宋体" w:eastAsia="宋体" w:cs="宋体"/>
        </w:rPr>
        <w:t>12.6采购代理机构对未成交的供应商不作未成交原因的解释。</w:t>
      </w:r>
    </w:p>
    <w:p w14:paraId="0429972B">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rPr>
        <w:t>12.7 所有响应文件不论成交与否，采购代理机构均不退回。</w:t>
      </w:r>
    </w:p>
    <w:p w14:paraId="1AD30C43">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13</w:t>
      </w:r>
      <w:r>
        <w:rPr>
          <w:rFonts w:hint="eastAsia" w:ascii="宋体" w:hAnsi="宋体" w:eastAsia="宋体" w:cs="宋体"/>
          <w:b/>
          <w:bCs/>
        </w:rPr>
        <w:t>、</w:t>
      </w:r>
      <w:r>
        <w:rPr>
          <w:rFonts w:hint="eastAsia" w:ascii="宋体" w:hAnsi="宋体" w:eastAsia="宋体" w:cs="宋体"/>
          <w:b/>
        </w:rPr>
        <w:t>编写磋商（评审）报告</w:t>
      </w:r>
    </w:p>
    <w:p w14:paraId="79B5DB85">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13.1 磋商小组根据磋商过程和结果编写磋商（评审）报告。</w:t>
      </w:r>
    </w:p>
    <w:p w14:paraId="41CBF7CD">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rPr>
        <w:t>14、</w:t>
      </w:r>
      <w:r>
        <w:rPr>
          <w:rFonts w:hint="eastAsia" w:ascii="宋体" w:hAnsi="宋体" w:eastAsia="宋体" w:cs="宋体"/>
          <w:b/>
          <w:bCs/>
        </w:rPr>
        <w:t>签订合同</w:t>
      </w:r>
    </w:p>
    <w:p w14:paraId="6AED687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14.1 成交供应商应当自成交通知书发出之日起三十日内，与采购人签订合同，所签订的合同不得对竞争性磋商文件和响应文件作实质性修改。</w:t>
      </w:r>
    </w:p>
    <w:p w14:paraId="277ED48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14.2 采购人不得向成交供应商提出任何不合理的要求作为签订合同的条件，不得与成交供应商私下订立背离合同实质性内容的协议。</w:t>
      </w:r>
    </w:p>
    <w:p w14:paraId="2C46B10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14.3 成交供应商因不可抗力或者自身原因不能履行合同的，采购人可以视情与排位在成交供应商之后第一位的成交候选供应商签订合同，以此类推。</w:t>
      </w:r>
    </w:p>
    <w:p w14:paraId="1105A56E">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14.4 合同履行中，采购人需追加与合同标的相同的货物的，在不改变合同其他条款的前提下，可以与供应商协商签订补充合同，但所有补充合同的采购金额不得超过原合同采购金额的百分之十。</w:t>
      </w:r>
    </w:p>
    <w:p w14:paraId="02C1EBB9">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五、质疑与投诉</w:t>
      </w:r>
    </w:p>
    <w:p w14:paraId="7B2C7508">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15、质疑</w:t>
      </w:r>
    </w:p>
    <w:p w14:paraId="36041BC4">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15.1 供应商认为磋商文件、磋商过程和中标、成交结果使自己的权益受到损害的，可以在知道或者应知其权益受到损害之日起七个工作日内，以书面形式向采购代理机构提出质疑。</w:t>
      </w:r>
    </w:p>
    <w:p w14:paraId="0F7B09A9">
      <w:pPr>
        <w:autoSpaceDE w:val="0"/>
        <w:autoSpaceDN w:val="0"/>
        <w:adjustRightInd w:val="0"/>
        <w:snapToGrid w:val="0"/>
        <w:spacing w:line="360" w:lineRule="auto"/>
        <w:jc w:val="left"/>
        <w:rPr>
          <w:rFonts w:hint="eastAsia" w:ascii="宋体" w:hAnsi="宋体" w:eastAsia="宋体" w:cs="宋体"/>
        </w:rPr>
      </w:pPr>
      <w:r>
        <w:rPr>
          <w:rFonts w:hint="eastAsia" w:ascii="宋体" w:hAnsi="宋体" w:eastAsia="宋体" w:cs="宋体"/>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2E72E2AB">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15.3 提出质疑的供应商应当是参与所质疑项目采购活动的供应商。潜在供应商已依法获取其可质疑的采购文件的，可以对该文件提出质疑。</w:t>
      </w:r>
    </w:p>
    <w:p w14:paraId="1C58C08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5FCEC0E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15.5 以联合体形式参加政府采购活动的，其投诉应当由组成联合体的所有供应商共同提出。</w:t>
      </w:r>
    </w:p>
    <w:p w14:paraId="4A39738A">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15.6 供应商质疑应当有明确的请求和必要的证明材料。供应商必须在法定质疑期内一次性提出针对同一采购程序环节的质疑。</w:t>
      </w:r>
    </w:p>
    <w:p w14:paraId="0B041680">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32668EA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15.8 质疑函应当使用中文。相关当事人提供外文书证或者外国语视听资料的，应当附有中文译本，由翻译机构盖章或者翻译人员签名。</w:t>
      </w:r>
    </w:p>
    <w:p w14:paraId="521D568B">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15.9 质疑函应当现场书面提交至采购代理机构联系人（详见竞争性磋商公告）处，提交时应出示有效身份证明。</w:t>
      </w:r>
    </w:p>
    <w:p w14:paraId="39A0C39D">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16、投诉</w:t>
      </w:r>
    </w:p>
    <w:p w14:paraId="1908F78B">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16.1 供应商对采购代理机构的答复不满意或者采购代理机构未在规定的时间内作出答复的，可以在答复期满后十五个工作日内向同级政府采购监督管理部门投诉。</w:t>
      </w:r>
    </w:p>
    <w:p w14:paraId="51D24A7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16.2 供应商投诉应当有明确的请求和必要的证明材料。供应商投诉的事项不得超出已质疑事项的范围。</w:t>
      </w:r>
    </w:p>
    <w:p w14:paraId="0418578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16.3 投诉人对政府采购监督管理部门的投诉处理决定不服或者政府采购监督管理部门逾期未作处理的，可以依法申请行政复议或者向人民法院提起行政诉讼。</w:t>
      </w:r>
    </w:p>
    <w:p w14:paraId="7E22BD5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16.4 投诉人在全国范围12个月内三次以上投诉查无实据的，由财政部门列入不良行为记录名单。</w:t>
      </w:r>
    </w:p>
    <w:p w14:paraId="72EA2944">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16.5 投诉人有下列行为之一的，属于虚假、恶意投诉，由财政部门列入不良行为记录名单，禁止其1至3年内参加政府采购活动：</w:t>
      </w:r>
    </w:p>
    <w:p w14:paraId="0D87369F">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（1）捏造事实；</w:t>
      </w:r>
    </w:p>
    <w:p w14:paraId="79BB5EF0">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（2）提供虚假材料；</w:t>
      </w:r>
    </w:p>
    <w:p w14:paraId="6856E6B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（3）以非法手段取得证明材料。证据来源的合法性存在明显疑问，投诉人无法证明其取得方式合法的，视为以非法手段取得证明材料。</w:t>
      </w:r>
    </w:p>
    <w:p w14:paraId="5A849B89">
      <w:pPr>
        <w:autoSpaceDE w:val="0"/>
        <w:autoSpaceDN w:val="0"/>
        <w:adjustRightInd w:val="0"/>
        <w:spacing w:line="360" w:lineRule="auto"/>
        <w:rPr>
          <w:rFonts w:hint="eastAsia" w:ascii="宋体" w:hAnsi="宋体" w:eastAsia="宋体" w:cs="宋体"/>
          <w:b/>
          <w:bCs/>
        </w:rPr>
      </w:pPr>
      <w:r>
        <w:rPr>
          <w:rFonts w:hint="eastAsia" w:ascii="宋体" w:hAnsi="宋体" w:eastAsia="宋体" w:cs="宋体"/>
          <w:b/>
        </w:rPr>
        <w:t>六、</w:t>
      </w:r>
      <w:r>
        <w:rPr>
          <w:rFonts w:hint="eastAsia" w:ascii="宋体" w:hAnsi="宋体" w:eastAsia="宋体" w:cs="宋体"/>
          <w:b/>
          <w:bCs/>
        </w:rPr>
        <w:t>诚实信用</w:t>
      </w:r>
    </w:p>
    <w:p w14:paraId="7ED8B85A">
      <w:pPr>
        <w:autoSpaceDE w:val="0"/>
        <w:autoSpaceDN w:val="0"/>
        <w:adjustRightInd w:val="0"/>
        <w:spacing w:line="360" w:lineRule="auto"/>
        <w:rPr>
          <w:rFonts w:hint="eastAsia" w:ascii="宋体" w:hAnsi="宋体" w:eastAsia="宋体" w:cs="宋体"/>
        </w:rPr>
      </w:pPr>
      <w:r>
        <w:rPr>
          <w:rFonts w:hint="eastAsia" w:ascii="宋体" w:hAnsi="宋体" w:eastAsia="宋体" w:cs="宋体"/>
        </w:rPr>
        <w:t>17.1 供应商之间不得相互串通报价，不得妨碍其他供应商的公平竞争，不得损害采购人和其他供应商的合法权益。</w:t>
      </w:r>
    </w:p>
    <w:p w14:paraId="3FE9E95A">
      <w:pPr>
        <w:autoSpaceDE w:val="0"/>
        <w:autoSpaceDN w:val="0"/>
        <w:adjustRightInd w:val="0"/>
        <w:spacing w:line="360" w:lineRule="auto"/>
        <w:rPr>
          <w:rFonts w:hint="eastAsia" w:ascii="宋体" w:hAnsi="宋体" w:eastAsia="宋体" w:cs="宋体"/>
        </w:rPr>
      </w:pPr>
      <w:r>
        <w:rPr>
          <w:rFonts w:hint="eastAsia" w:ascii="宋体" w:hAnsi="宋体" w:eastAsia="宋体" w:cs="宋体"/>
        </w:rPr>
        <w:t>17.2 供应商不得以向采购代理机构工作人员、磋商委员会成员行贿或者采取其他不正当手段谋取成交。经查实供应商有此行为的，将在本项目发布媒体上进行公告，政府采购管理部门将供应商列入不良行为记录名单，按照《政府采购法》有关规定处理。</w:t>
      </w:r>
    </w:p>
    <w:p w14:paraId="0B602584">
      <w:pPr>
        <w:spacing w:line="360" w:lineRule="auto"/>
        <w:rPr>
          <w:rFonts w:hint="eastAsia" w:ascii="宋体" w:hAnsi="宋体" w:eastAsia="宋体" w:cs="宋体"/>
        </w:rPr>
      </w:pPr>
      <w:r>
        <w:rPr>
          <w:rFonts w:hint="eastAsia" w:ascii="宋体" w:hAnsi="宋体" w:eastAsia="宋体" w:cs="宋体"/>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4746BBD4">
      <w:pPr>
        <w:spacing w:line="360" w:lineRule="auto"/>
        <w:rPr>
          <w:rFonts w:hint="eastAsia" w:ascii="宋体" w:hAnsi="宋体" w:eastAsia="宋体" w:cs="宋体"/>
        </w:rPr>
      </w:pPr>
      <w:r>
        <w:rPr>
          <w:rFonts w:hint="eastAsia" w:ascii="宋体" w:hAnsi="宋体" w:eastAsia="宋体" w:cs="宋体"/>
        </w:rPr>
        <w:t>17.4 供应商不得虚假承诺，否则，按照提供虚假材料谋取成交处理。</w:t>
      </w:r>
    </w:p>
    <w:p w14:paraId="24D4031D">
      <w:pPr>
        <w:spacing w:line="360" w:lineRule="auto"/>
        <w:rPr>
          <w:rFonts w:hint="eastAsia" w:ascii="宋体" w:hAnsi="宋体" w:eastAsia="宋体" w:cs="宋体"/>
          <w:b/>
          <w:kern w:val="0"/>
        </w:rPr>
      </w:pPr>
      <w:r>
        <w:rPr>
          <w:rFonts w:hint="eastAsia" w:ascii="宋体" w:hAnsi="宋体" w:eastAsia="宋体" w:cs="宋体"/>
          <w:b/>
        </w:rPr>
        <w:t>七、磋商费用</w:t>
      </w:r>
    </w:p>
    <w:p w14:paraId="04A3C248">
      <w:pPr>
        <w:spacing w:line="360" w:lineRule="auto"/>
        <w:rPr>
          <w:rFonts w:hint="eastAsia" w:ascii="宋体" w:hAnsi="宋体" w:eastAsia="宋体" w:cs="宋体"/>
        </w:rPr>
      </w:pPr>
      <w:r>
        <w:rPr>
          <w:rFonts w:hint="eastAsia" w:ascii="宋体" w:hAnsi="宋体" w:eastAsia="宋体" w:cs="宋体"/>
        </w:rPr>
        <w:t>18.1 供应商应承担所有与准备和参加磋商有关的费用，无论采购结果如何，采购代理机构和采购人在任何情况下均无义务和责任承担这些费用。</w:t>
      </w:r>
    </w:p>
    <w:p w14:paraId="74B681BE">
      <w:pPr>
        <w:spacing w:line="360" w:lineRule="auto"/>
        <w:rPr>
          <w:rFonts w:hint="eastAsia" w:ascii="宋体" w:hAnsi="宋体" w:eastAsia="宋体" w:cs="宋体"/>
        </w:rPr>
      </w:pPr>
      <w:r>
        <w:rPr>
          <w:rFonts w:hint="eastAsia" w:ascii="宋体" w:hAnsi="宋体" w:eastAsia="宋体" w:cs="宋体"/>
        </w:rPr>
        <w:t xml:space="preserve">18.2 </w:t>
      </w:r>
      <w:r>
        <w:rPr>
          <w:rFonts w:hint="eastAsia" w:ascii="宋体" w:hAnsi="宋体" w:eastAsia="宋体" w:cs="宋体"/>
          <w:bCs/>
          <w:kern w:val="0"/>
        </w:rPr>
        <w:t>本次磋商，代理费用由中标供应商承担，其中代理服务费按照《国家计委关于印发招标代理服务收费管理暂行办法的通知》（计价格[2002]1980号）标准进行计取。</w:t>
      </w:r>
      <w:r>
        <w:rPr>
          <w:rFonts w:hint="eastAsia"/>
          <w:bCs/>
          <w:kern w:val="0"/>
        </w:rPr>
        <w:t>专家评审费由代理机构先行垫付，最终由中标供应商按实支付。中标供应商须在向代理机构领取中标通知书前支付上述费用。</w:t>
      </w:r>
    </w:p>
    <w:p w14:paraId="38D47161">
      <w:pPr>
        <w:pStyle w:val="18"/>
        <w:spacing w:before="0" w:after="0" w:line="360" w:lineRule="auto"/>
        <w:rPr>
          <w:rFonts w:hint="eastAsia" w:ascii="宋体" w:hAnsi="宋体" w:eastAsia="宋体" w:cs="宋体"/>
        </w:rPr>
      </w:pPr>
      <w:r>
        <w:rPr>
          <w:rFonts w:hint="eastAsia" w:ascii="宋体" w:hAnsi="宋体" w:eastAsia="宋体" w:cs="宋体"/>
          <w:sz w:val="24"/>
          <w:szCs w:val="24"/>
        </w:rPr>
        <w:br w:type="page"/>
      </w:r>
      <w:bookmarkStart w:id="4" w:name="_Toc534273794"/>
      <w:bookmarkEnd w:id="4"/>
      <w:r>
        <w:rPr>
          <w:rFonts w:hint="eastAsia" w:ascii="宋体" w:hAnsi="宋体" w:eastAsia="宋体" w:cs="宋体"/>
        </w:rPr>
        <w:t>第三章 评标办法与标准</w:t>
      </w:r>
    </w:p>
    <w:p w14:paraId="4FB5FAED">
      <w:pPr>
        <w:widowControl/>
        <w:shd w:val="clear" w:color="auto" w:fill="FFFFFF"/>
        <w:spacing w:line="360" w:lineRule="auto"/>
        <w:rPr>
          <w:rFonts w:hint="eastAsia" w:ascii="宋体" w:hAnsi="宋体" w:eastAsia="宋体" w:cs="宋体"/>
        </w:rPr>
      </w:pPr>
      <w:r>
        <w:rPr>
          <w:rFonts w:hint="eastAsia" w:ascii="宋体" w:hAnsi="宋体" w:eastAsia="宋体" w:cs="宋体"/>
        </w:rPr>
        <w:t>本项目采用综合评分法，评分统计方法采用百分制（满分100分），将全部磋商小组成员评分直接进行算术平均，小数点后保留2位。</w:t>
      </w:r>
    </w:p>
    <w:tbl>
      <w:tblPr>
        <w:tblStyle w:val="21"/>
        <w:tblW w:w="92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144"/>
        <w:gridCol w:w="6818"/>
        <w:gridCol w:w="731"/>
      </w:tblGrid>
      <w:tr w14:paraId="1A92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89" w:type="dxa"/>
            <w:vAlign w:val="center"/>
          </w:tcPr>
          <w:p w14:paraId="708A73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序号</w:t>
            </w:r>
          </w:p>
        </w:tc>
        <w:tc>
          <w:tcPr>
            <w:tcW w:w="1144" w:type="dxa"/>
            <w:vAlign w:val="center"/>
          </w:tcPr>
          <w:p w14:paraId="2B5A1A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评审</w:t>
            </w:r>
          </w:p>
          <w:p w14:paraId="623419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项目</w:t>
            </w:r>
          </w:p>
        </w:tc>
        <w:tc>
          <w:tcPr>
            <w:tcW w:w="6818" w:type="dxa"/>
            <w:vAlign w:val="center"/>
          </w:tcPr>
          <w:p w14:paraId="52D1C9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评审内容及规则</w:t>
            </w:r>
          </w:p>
        </w:tc>
        <w:tc>
          <w:tcPr>
            <w:tcW w:w="731" w:type="dxa"/>
            <w:vAlign w:val="center"/>
          </w:tcPr>
          <w:p w14:paraId="27FBE5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标准分值</w:t>
            </w:r>
          </w:p>
        </w:tc>
      </w:tr>
      <w:tr w14:paraId="0A55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82" w:type="dxa"/>
            <w:gridSpan w:val="4"/>
            <w:vAlign w:val="center"/>
          </w:tcPr>
          <w:p w14:paraId="2997C1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eastAsia="宋体"/>
                <w:b/>
                <w:bCs/>
                <w:lang w:val="en-US" w:eastAsia="zh-CN"/>
              </w:rPr>
            </w:pPr>
            <w:r>
              <w:rPr>
                <w:rFonts w:hint="eastAsia"/>
                <w:b/>
                <w:bCs/>
                <w:lang w:val="en-US" w:eastAsia="zh-CN"/>
              </w:rPr>
              <w:t>1、价格（30分）</w:t>
            </w:r>
          </w:p>
        </w:tc>
      </w:tr>
      <w:tr w14:paraId="6C64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589" w:type="dxa"/>
            <w:vAlign w:val="center"/>
          </w:tcPr>
          <w:p w14:paraId="58F311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lang w:val="en-US" w:eastAsia="zh-CN"/>
              </w:rPr>
            </w:pPr>
            <w:r>
              <w:rPr>
                <w:rFonts w:hint="eastAsia"/>
                <w:b/>
                <w:bCs/>
              </w:rPr>
              <w:t>1</w:t>
            </w:r>
            <w:r>
              <w:rPr>
                <w:rFonts w:hint="eastAsia"/>
                <w:b/>
                <w:bCs/>
                <w:lang w:eastAsia="zh-CN"/>
              </w:rPr>
              <w:t>.</w:t>
            </w:r>
            <w:r>
              <w:rPr>
                <w:rFonts w:hint="eastAsia"/>
                <w:b/>
                <w:bCs/>
                <w:lang w:val="en-US" w:eastAsia="zh-CN"/>
              </w:rPr>
              <w:t>1</w:t>
            </w:r>
          </w:p>
        </w:tc>
        <w:tc>
          <w:tcPr>
            <w:tcW w:w="1144" w:type="dxa"/>
            <w:vAlign w:val="center"/>
          </w:tcPr>
          <w:p w14:paraId="35087C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lang w:val="en-US" w:eastAsia="zh-CN"/>
              </w:rPr>
            </w:pPr>
            <w:r>
              <w:rPr>
                <w:rFonts w:hint="eastAsia"/>
                <w:b/>
                <w:bCs/>
              </w:rPr>
              <w:t>价格</w:t>
            </w:r>
            <w:r>
              <w:rPr>
                <w:rFonts w:hint="eastAsia"/>
                <w:b/>
                <w:bCs/>
                <w:lang w:val="en-US" w:eastAsia="zh-CN"/>
              </w:rPr>
              <w:t>分</w:t>
            </w:r>
          </w:p>
        </w:tc>
        <w:tc>
          <w:tcPr>
            <w:tcW w:w="6818" w:type="dxa"/>
            <w:vAlign w:val="center"/>
          </w:tcPr>
          <w:p w14:paraId="1C7A2A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hAnsi="宋体" w:cs="宋体"/>
                <w:sz w:val="21"/>
                <w:szCs w:val="21"/>
              </w:rPr>
              <w:t>供应商的价格分统一采用低价优先法计算，满足</w:t>
            </w:r>
            <w:r>
              <w:rPr>
                <w:rFonts w:hint="eastAsia" w:hAnsi="宋体" w:cs="宋体"/>
                <w:sz w:val="21"/>
                <w:szCs w:val="21"/>
                <w:lang w:eastAsia="zh-CN"/>
              </w:rPr>
              <w:t>竞争性磋商</w:t>
            </w:r>
            <w:r>
              <w:rPr>
                <w:rFonts w:hint="eastAsia" w:hAnsi="宋体" w:cs="宋体"/>
                <w:sz w:val="21"/>
                <w:szCs w:val="21"/>
              </w:rPr>
              <w:t>文件要求且投标价格最低的投标报价为评标基准价，其价格分为满分。其他供应商的价格分统一按照下列公式计算投标报价得分=(评标基准价/投标报价)×3</w:t>
            </w:r>
            <w:r>
              <w:rPr>
                <w:rFonts w:hint="eastAsia" w:hAnsi="宋体" w:cs="宋体"/>
                <w:sz w:val="21"/>
                <w:szCs w:val="21"/>
                <w:lang w:val="en-US" w:eastAsia="zh-CN"/>
              </w:rPr>
              <w:t>0</w:t>
            </w:r>
            <w:r>
              <w:rPr>
                <w:rFonts w:hint="eastAsia" w:hAnsi="宋体" w:cs="宋体"/>
                <w:sz w:val="21"/>
                <w:szCs w:val="21"/>
              </w:rPr>
              <w:t>。（小数点后保留两位）</w:t>
            </w:r>
          </w:p>
        </w:tc>
        <w:tc>
          <w:tcPr>
            <w:tcW w:w="731" w:type="dxa"/>
            <w:vAlign w:val="center"/>
          </w:tcPr>
          <w:p w14:paraId="72E348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lang w:val="en-US" w:eastAsia="zh-CN"/>
              </w:rPr>
              <w:t>30</w:t>
            </w:r>
          </w:p>
        </w:tc>
      </w:tr>
      <w:tr w14:paraId="42A4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282" w:type="dxa"/>
            <w:gridSpan w:val="4"/>
            <w:vAlign w:val="center"/>
          </w:tcPr>
          <w:p w14:paraId="43B354B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b/>
                <w:bCs/>
                <w:lang w:val="en-US" w:eastAsia="zh-CN"/>
              </w:rPr>
            </w:pPr>
            <w:r>
              <w:rPr>
                <w:rFonts w:hint="eastAsia"/>
                <w:b/>
                <w:bCs/>
                <w:lang w:val="en-US" w:eastAsia="zh-CN"/>
              </w:rPr>
              <w:t>2、技术部分（45分）</w:t>
            </w:r>
          </w:p>
        </w:tc>
      </w:tr>
      <w:tr w14:paraId="5DE1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89" w:type="dxa"/>
            <w:vAlign w:val="center"/>
          </w:tcPr>
          <w:p w14:paraId="18E63D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lang w:val="en-US" w:eastAsia="zh-CN"/>
              </w:rPr>
            </w:pPr>
            <w:r>
              <w:rPr>
                <w:rFonts w:hint="eastAsia"/>
                <w:b/>
                <w:bCs/>
                <w:lang w:val="en-US" w:eastAsia="zh-CN"/>
              </w:rPr>
              <w:t>2.1</w:t>
            </w:r>
          </w:p>
        </w:tc>
        <w:tc>
          <w:tcPr>
            <w:tcW w:w="1144" w:type="dxa"/>
            <w:vAlign w:val="center"/>
          </w:tcPr>
          <w:p w14:paraId="5F410B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lang w:val="en-US" w:eastAsia="zh-CN"/>
              </w:rPr>
            </w:pPr>
            <w:r>
              <w:rPr>
                <w:rFonts w:hint="eastAsia" w:hAnsi="宋体" w:cs="宋体"/>
                <w:b/>
                <w:bCs/>
                <w:sz w:val="21"/>
                <w:szCs w:val="21"/>
                <w:lang w:val="zh-CN"/>
              </w:rPr>
              <w:t>施工组织</w:t>
            </w:r>
            <w:r>
              <w:rPr>
                <w:rFonts w:hint="eastAsia" w:hAnsi="宋体" w:cs="宋体"/>
                <w:b/>
                <w:bCs/>
                <w:sz w:val="21"/>
                <w:szCs w:val="21"/>
                <w:lang w:val="en-US" w:eastAsia="zh-CN"/>
              </w:rPr>
              <w:t>实施方案</w:t>
            </w:r>
          </w:p>
        </w:tc>
        <w:tc>
          <w:tcPr>
            <w:tcW w:w="6818" w:type="dxa"/>
            <w:vAlign w:val="center"/>
          </w:tcPr>
          <w:p w14:paraId="4F4A4CDD">
            <w:pPr>
              <w:numPr>
                <w:ilvl w:val="0"/>
                <w:numId w:val="0"/>
              </w:numPr>
              <w:spacing w:line="360" w:lineRule="auto"/>
              <w:rPr>
                <w:rFonts w:hAnsi="宋体" w:cs="宋体"/>
                <w:sz w:val="21"/>
                <w:szCs w:val="21"/>
                <w:lang w:val="zh-CN"/>
              </w:rPr>
            </w:pPr>
            <w:r>
              <w:rPr>
                <w:rFonts w:hint="eastAsia" w:hAnsi="宋体" w:cs="宋体"/>
                <w:sz w:val="21"/>
                <w:szCs w:val="21"/>
                <w:lang w:val="zh-CN"/>
              </w:rPr>
              <w:t>评委根据供应商提供的施工组织总体设想、方案针对性及施工标段划分的</w:t>
            </w:r>
            <w:r>
              <w:rPr>
                <w:rFonts w:hint="eastAsia" w:hAnsi="宋体" w:cs="宋体"/>
                <w:sz w:val="21"/>
                <w:szCs w:val="21"/>
                <w:lang w:val="en-US" w:eastAsia="zh-CN"/>
              </w:rPr>
              <w:t>方案进行综合评分</w:t>
            </w:r>
            <w:r>
              <w:rPr>
                <w:rFonts w:hint="eastAsia" w:hAnsi="宋体" w:cs="宋体"/>
                <w:sz w:val="21"/>
                <w:szCs w:val="21"/>
                <w:lang w:val="zh-CN"/>
              </w:rPr>
              <w:t>：</w:t>
            </w:r>
          </w:p>
          <w:p w14:paraId="0CDB7DAE">
            <w:pPr>
              <w:spacing w:line="360" w:lineRule="auto"/>
              <w:rPr>
                <w:rFonts w:hAnsi="宋体" w:cs="宋体"/>
                <w:sz w:val="21"/>
                <w:szCs w:val="21"/>
                <w:lang w:val="zh-CN"/>
              </w:rPr>
            </w:pPr>
            <w:r>
              <w:rPr>
                <w:rFonts w:hint="eastAsia" w:hAnsi="宋体" w:cs="宋体"/>
                <w:sz w:val="21"/>
                <w:szCs w:val="21"/>
              </w:rPr>
              <w:t>总体设想完善、方案针对性强、</w:t>
            </w:r>
            <w:r>
              <w:rPr>
                <w:rFonts w:hint="eastAsia" w:hAnsi="宋体" w:cs="宋体"/>
                <w:sz w:val="21"/>
                <w:szCs w:val="21"/>
                <w:lang w:val="zh-CN"/>
              </w:rPr>
              <w:t>施工标段划分</w:t>
            </w:r>
            <w:r>
              <w:rPr>
                <w:rFonts w:hint="eastAsia" w:hAnsi="宋体" w:cs="宋体"/>
                <w:sz w:val="21"/>
                <w:szCs w:val="21"/>
              </w:rPr>
              <w:t>合理的得</w:t>
            </w:r>
            <w:r>
              <w:rPr>
                <w:rFonts w:hint="eastAsia" w:hAnsi="宋体" w:cs="宋体"/>
                <w:sz w:val="21"/>
                <w:szCs w:val="21"/>
                <w:lang w:val="en-US" w:eastAsia="zh-CN"/>
              </w:rPr>
              <w:t>9</w:t>
            </w:r>
            <w:r>
              <w:rPr>
                <w:rFonts w:hint="eastAsia" w:hAnsi="宋体" w:cs="宋体"/>
                <w:sz w:val="21"/>
                <w:szCs w:val="21"/>
              </w:rPr>
              <w:t>分</w:t>
            </w:r>
            <w:r>
              <w:rPr>
                <w:rFonts w:hint="eastAsia" w:hAnsi="宋体" w:cs="宋体"/>
                <w:sz w:val="21"/>
                <w:szCs w:val="21"/>
                <w:lang w:val="zh-CN"/>
              </w:rPr>
              <w:t>；</w:t>
            </w:r>
          </w:p>
          <w:p w14:paraId="43A4DD36">
            <w:pPr>
              <w:spacing w:line="360" w:lineRule="auto"/>
              <w:rPr>
                <w:rFonts w:hAnsi="宋体" w:cs="宋体"/>
                <w:sz w:val="21"/>
                <w:szCs w:val="21"/>
                <w:lang w:val="zh-CN"/>
              </w:rPr>
            </w:pPr>
            <w:r>
              <w:rPr>
                <w:rFonts w:hint="eastAsia" w:hAnsi="宋体" w:cs="宋体"/>
                <w:sz w:val="21"/>
                <w:szCs w:val="21"/>
              </w:rPr>
              <w:t>总体设想模糊、方案针对性一般、施工标段划分较为合理的得</w:t>
            </w:r>
            <w:r>
              <w:rPr>
                <w:rFonts w:hint="eastAsia" w:hAnsi="宋体" w:cs="宋体"/>
                <w:sz w:val="21"/>
                <w:szCs w:val="21"/>
                <w:lang w:val="en-US" w:eastAsia="zh-CN"/>
              </w:rPr>
              <w:t>6</w:t>
            </w:r>
            <w:r>
              <w:rPr>
                <w:rFonts w:hint="eastAsia" w:hAnsi="宋体" w:cs="宋体"/>
                <w:sz w:val="21"/>
                <w:szCs w:val="21"/>
              </w:rPr>
              <w:t>分</w:t>
            </w:r>
            <w:r>
              <w:rPr>
                <w:rFonts w:hint="eastAsia" w:hAnsi="宋体" w:cs="宋体"/>
                <w:sz w:val="21"/>
                <w:szCs w:val="21"/>
                <w:lang w:val="zh-CN"/>
              </w:rPr>
              <w:t>；</w:t>
            </w:r>
          </w:p>
          <w:p w14:paraId="677DD9EB">
            <w:pPr>
              <w:spacing w:line="360" w:lineRule="auto"/>
              <w:rPr>
                <w:rFonts w:hAnsi="宋体" w:cs="宋体"/>
                <w:sz w:val="21"/>
                <w:szCs w:val="21"/>
                <w:lang w:val="zh-CN"/>
              </w:rPr>
            </w:pPr>
            <w:r>
              <w:rPr>
                <w:rFonts w:hint="eastAsia" w:hAnsi="宋体" w:cs="宋体"/>
                <w:sz w:val="21"/>
                <w:szCs w:val="21"/>
              </w:rPr>
              <w:t>总体设想一般、方案不具有针对性的得</w:t>
            </w:r>
            <w:r>
              <w:rPr>
                <w:rFonts w:hint="eastAsia" w:hAnsi="宋体" w:cs="宋体"/>
                <w:sz w:val="21"/>
                <w:szCs w:val="21"/>
                <w:lang w:val="en-US" w:eastAsia="zh-CN"/>
              </w:rPr>
              <w:t>3</w:t>
            </w:r>
            <w:r>
              <w:rPr>
                <w:rFonts w:hint="eastAsia" w:hAnsi="宋体" w:cs="宋体"/>
                <w:sz w:val="21"/>
                <w:szCs w:val="21"/>
              </w:rPr>
              <w:t>分</w:t>
            </w:r>
            <w:r>
              <w:rPr>
                <w:rFonts w:hint="eastAsia" w:hAnsi="宋体" w:cs="宋体"/>
                <w:sz w:val="21"/>
                <w:szCs w:val="21"/>
                <w:lang w:val="zh-CN"/>
              </w:rPr>
              <w:t>；</w:t>
            </w:r>
          </w:p>
          <w:p w14:paraId="64B3F68C">
            <w:pPr>
              <w:spacing w:line="360" w:lineRule="auto"/>
              <w:ind w:firstLine="420" w:firstLineChars="200"/>
              <w:rPr>
                <w:rFonts w:hint="eastAsia"/>
              </w:rPr>
            </w:pPr>
            <w:r>
              <w:rPr>
                <w:rFonts w:hint="eastAsia" w:hAnsi="宋体" w:cs="宋体"/>
                <w:sz w:val="21"/>
                <w:szCs w:val="21"/>
                <w:lang w:val="zh-CN"/>
              </w:rPr>
              <w:t>未提供相应方案的不得分。</w:t>
            </w:r>
          </w:p>
        </w:tc>
        <w:tc>
          <w:tcPr>
            <w:tcW w:w="731" w:type="dxa"/>
            <w:vAlign w:val="center"/>
          </w:tcPr>
          <w:p w14:paraId="4C2802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9</w:t>
            </w:r>
          </w:p>
        </w:tc>
      </w:tr>
      <w:tr w14:paraId="78D6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89" w:type="dxa"/>
            <w:vAlign w:val="center"/>
          </w:tcPr>
          <w:p w14:paraId="761FDC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lang w:val="en-US" w:eastAsia="zh-CN"/>
              </w:rPr>
            </w:pPr>
            <w:r>
              <w:rPr>
                <w:rFonts w:hint="eastAsia"/>
                <w:b/>
                <w:bCs/>
                <w:lang w:val="en-US" w:eastAsia="zh-CN"/>
              </w:rPr>
              <w:t>2.2</w:t>
            </w:r>
          </w:p>
        </w:tc>
        <w:tc>
          <w:tcPr>
            <w:tcW w:w="1144" w:type="dxa"/>
            <w:vAlign w:val="center"/>
          </w:tcPr>
          <w:p w14:paraId="7C9DA6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lang w:val="en-US" w:eastAsia="zh-CN"/>
              </w:rPr>
            </w:pPr>
          </w:p>
          <w:p w14:paraId="7C4834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安全文明措施</w:t>
            </w:r>
          </w:p>
          <w:p w14:paraId="656752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21"/>
                <w:szCs w:val="21"/>
                <w:lang w:val="en-US" w:eastAsia="zh-CN"/>
              </w:rPr>
            </w:pPr>
          </w:p>
        </w:tc>
        <w:tc>
          <w:tcPr>
            <w:tcW w:w="6818" w:type="dxa"/>
            <w:vAlign w:val="center"/>
          </w:tcPr>
          <w:p w14:paraId="20803674">
            <w:pPr>
              <w:spacing w:line="360" w:lineRule="auto"/>
              <w:ind w:left="0" w:leftChars="0" w:firstLine="0" w:firstLineChars="0"/>
              <w:rPr>
                <w:rFonts w:hAnsi="宋体" w:cs="宋体"/>
                <w:sz w:val="21"/>
                <w:szCs w:val="21"/>
                <w:lang w:val="zh-CN"/>
              </w:rPr>
            </w:pPr>
            <w:r>
              <w:rPr>
                <w:rFonts w:hint="eastAsia" w:hAnsi="宋体" w:cs="宋体"/>
                <w:sz w:val="21"/>
                <w:szCs w:val="21"/>
                <w:lang w:val="zh-CN"/>
              </w:rPr>
              <w:t>评委根据供应商提供的</w:t>
            </w:r>
            <w:r>
              <w:rPr>
                <w:rFonts w:hint="eastAsia" w:hAnsi="宋体" w:cs="宋体"/>
                <w:sz w:val="21"/>
                <w:szCs w:val="21"/>
              </w:rPr>
              <w:t>施工现场</w:t>
            </w:r>
            <w:r>
              <w:rPr>
                <w:rFonts w:hint="eastAsia" w:hAnsi="宋体" w:cs="宋体"/>
                <w:sz w:val="21"/>
                <w:szCs w:val="21"/>
                <w:lang w:val="zh-CN"/>
              </w:rPr>
              <w:t>实施期间的安全文明</w:t>
            </w:r>
            <w:r>
              <w:rPr>
                <w:rFonts w:hint="eastAsia" w:hAnsi="宋体" w:cs="宋体"/>
                <w:sz w:val="21"/>
                <w:szCs w:val="21"/>
                <w:lang w:val="en-US" w:eastAsia="zh-CN"/>
              </w:rPr>
              <w:t>措施进行综合评分</w:t>
            </w:r>
            <w:r>
              <w:rPr>
                <w:rFonts w:hint="eastAsia" w:hAnsi="宋体" w:cs="宋体"/>
                <w:sz w:val="21"/>
                <w:szCs w:val="21"/>
                <w:lang w:val="zh-CN"/>
              </w:rPr>
              <w:t>：</w:t>
            </w:r>
          </w:p>
          <w:p w14:paraId="3EC609C6">
            <w:pPr>
              <w:spacing w:line="360" w:lineRule="auto"/>
              <w:rPr>
                <w:rFonts w:hAnsi="宋体" w:cs="宋体"/>
                <w:sz w:val="21"/>
                <w:szCs w:val="21"/>
                <w:lang w:val="zh-CN"/>
              </w:rPr>
            </w:pPr>
            <w:r>
              <w:rPr>
                <w:rFonts w:hint="eastAsia" w:hAnsi="宋体" w:cs="宋体"/>
                <w:sz w:val="21"/>
                <w:szCs w:val="21"/>
                <w:lang w:val="zh-CN"/>
              </w:rPr>
              <w:t>安全文明措施科学、合理，针对实施期间存在的安全隐患问题分析详细的，得</w:t>
            </w:r>
            <w:r>
              <w:rPr>
                <w:rFonts w:hint="eastAsia" w:hAnsi="宋体" w:cs="宋体"/>
                <w:sz w:val="21"/>
                <w:szCs w:val="21"/>
                <w:lang w:val="en-US" w:eastAsia="zh-CN"/>
              </w:rPr>
              <w:t>9</w:t>
            </w:r>
            <w:r>
              <w:rPr>
                <w:rFonts w:hint="eastAsia" w:hAnsi="宋体" w:cs="宋体"/>
                <w:sz w:val="21"/>
                <w:szCs w:val="21"/>
                <w:lang w:val="zh-CN"/>
              </w:rPr>
              <w:t>分；</w:t>
            </w:r>
          </w:p>
          <w:p w14:paraId="7443EE78">
            <w:pPr>
              <w:spacing w:line="360" w:lineRule="auto"/>
              <w:rPr>
                <w:rFonts w:hAnsi="宋体" w:cs="宋体"/>
                <w:sz w:val="21"/>
                <w:szCs w:val="21"/>
                <w:lang w:val="zh-CN"/>
              </w:rPr>
            </w:pPr>
            <w:r>
              <w:rPr>
                <w:rFonts w:hint="eastAsia" w:hAnsi="宋体" w:cs="宋体"/>
                <w:sz w:val="21"/>
                <w:szCs w:val="21"/>
                <w:lang w:val="zh-CN"/>
              </w:rPr>
              <w:t>安全文明措施较为科学、合理，实施期间安全隐患问题分析较为详细的，得</w:t>
            </w:r>
            <w:r>
              <w:rPr>
                <w:rFonts w:hint="eastAsia" w:hAnsi="宋体" w:cs="宋体"/>
                <w:sz w:val="21"/>
                <w:szCs w:val="21"/>
                <w:lang w:val="en-US" w:eastAsia="zh-CN"/>
              </w:rPr>
              <w:t>6</w:t>
            </w:r>
            <w:r>
              <w:rPr>
                <w:rFonts w:hint="eastAsia" w:hAnsi="宋体" w:cs="宋体"/>
                <w:sz w:val="21"/>
                <w:szCs w:val="21"/>
                <w:lang w:val="zh-CN"/>
              </w:rPr>
              <w:t>分；</w:t>
            </w:r>
          </w:p>
          <w:p w14:paraId="47691007">
            <w:pPr>
              <w:spacing w:line="360" w:lineRule="auto"/>
              <w:rPr>
                <w:rFonts w:hAnsi="宋体" w:cs="宋体"/>
                <w:sz w:val="21"/>
                <w:szCs w:val="21"/>
                <w:lang w:val="zh-CN"/>
              </w:rPr>
            </w:pPr>
            <w:r>
              <w:rPr>
                <w:rFonts w:hint="eastAsia" w:hAnsi="宋体" w:cs="宋体"/>
                <w:sz w:val="21"/>
                <w:szCs w:val="21"/>
                <w:lang w:val="zh-CN"/>
              </w:rPr>
              <w:t>安全文明措施仅满足</w:t>
            </w:r>
            <w:r>
              <w:rPr>
                <w:rFonts w:hint="eastAsia" w:hAnsi="宋体" w:cs="宋体"/>
                <w:sz w:val="21"/>
                <w:szCs w:val="21"/>
              </w:rPr>
              <w:t>甲方</w:t>
            </w:r>
            <w:r>
              <w:rPr>
                <w:rFonts w:hint="eastAsia" w:hAnsi="宋体" w:cs="宋体"/>
                <w:sz w:val="21"/>
                <w:szCs w:val="21"/>
                <w:lang w:val="zh-CN"/>
              </w:rPr>
              <w:t>基本需求，实施期间安全隐患问题分析不到位的，得</w:t>
            </w:r>
            <w:r>
              <w:rPr>
                <w:rFonts w:hint="eastAsia" w:hAnsi="宋体" w:cs="宋体"/>
                <w:sz w:val="21"/>
                <w:szCs w:val="21"/>
                <w:lang w:val="en-US" w:eastAsia="zh-CN"/>
              </w:rPr>
              <w:t>3</w:t>
            </w:r>
            <w:r>
              <w:rPr>
                <w:rFonts w:hint="eastAsia" w:hAnsi="宋体" w:cs="宋体"/>
                <w:sz w:val="21"/>
                <w:szCs w:val="21"/>
                <w:lang w:val="zh-CN"/>
              </w:rPr>
              <w:t>分；</w:t>
            </w:r>
          </w:p>
          <w:p w14:paraId="7699CB52">
            <w:pPr>
              <w:spacing w:line="360" w:lineRule="auto"/>
              <w:ind w:firstLine="420" w:firstLineChars="200"/>
              <w:rPr>
                <w:rStyle w:val="23"/>
                <w:rFonts w:hint="default" w:ascii="宋体" w:hAnsi="宋体" w:eastAsia="宋体" w:cs="Times New Roman"/>
                <w:sz w:val="21"/>
                <w:szCs w:val="21"/>
                <w:lang w:val="en-US" w:eastAsia="zh-CN"/>
              </w:rPr>
            </w:pPr>
            <w:r>
              <w:rPr>
                <w:rFonts w:hint="eastAsia" w:hAnsi="宋体" w:cs="宋体"/>
                <w:sz w:val="21"/>
                <w:szCs w:val="21"/>
                <w:lang w:val="zh-CN"/>
              </w:rPr>
              <w:t>未提供相应方案的不得分。</w:t>
            </w:r>
          </w:p>
        </w:tc>
        <w:tc>
          <w:tcPr>
            <w:tcW w:w="731" w:type="dxa"/>
            <w:vAlign w:val="center"/>
          </w:tcPr>
          <w:p w14:paraId="1B7178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lang w:val="en-US" w:eastAsia="zh-CN"/>
              </w:rPr>
              <w:t>9</w:t>
            </w:r>
          </w:p>
        </w:tc>
      </w:tr>
      <w:tr w14:paraId="3C3C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89" w:type="dxa"/>
            <w:vAlign w:val="center"/>
          </w:tcPr>
          <w:p w14:paraId="4EA466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b/>
                <w:bCs/>
                <w:lang w:val="en-US" w:eastAsia="zh-CN"/>
              </w:rPr>
            </w:pPr>
            <w:r>
              <w:rPr>
                <w:rFonts w:hint="eastAsia"/>
                <w:b/>
                <w:bCs/>
                <w:lang w:val="en-US" w:eastAsia="zh-CN"/>
              </w:rPr>
              <w:t>2.3</w:t>
            </w:r>
          </w:p>
        </w:tc>
        <w:tc>
          <w:tcPr>
            <w:tcW w:w="1144" w:type="dxa"/>
            <w:vAlign w:val="center"/>
          </w:tcPr>
          <w:p w14:paraId="00892F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lang w:val="en-US" w:eastAsia="zh-CN"/>
              </w:rPr>
            </w:pPr>
          </w:p>
          <w:p w14:paraId="707C8E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进度保证措施</w:t>
            </w:r>
          </w:p>
          <w:p w14:paraId="33C262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lang w:val="en-US" w:eastAsia="zh-CN"/>
              </w:rPr>
            </w:pPr>
          </w:p>
        </w:tc>
        <w:tc>
          <w:tcPr>
            <w:tcW w:w="6818" w:type="dxa"/>
            <w:vAlign w:val="center"/>
          </w:tcPr>
          <w:p w14:paraId="0A172E6C">
            <w:pPr>
              <w:spacing w:line="360" w:lineRule="auto"/>
              <w:ind w:left="0" w:leftChars="0" w:firstLine="0" w:firstLineChars="0"/>
              <w:rPr>
                <w:rFonts w:hAnsi="宋体" w:cs="宋体"/>
                <w:sz w:val="21"/>
                <w:szCs w:val="21"/>
                <w:lang w:val="zh-CN"/>
              </w:rPr>
            </w:pPr>
            <w:r>
              <w:rPr>
                <w:rFonts w:hint="eastAsia" w:hAnsi="宋体" w:cs="宋体"/>
                <w:sz w:val="21"/>
                <w:szCs w:val="21"/>
                <w:lang w:val="zh-CN"/>
              </w:rPr>
              <w:t>评委根据供应商提供的施工进度计划和各阶段进度的保证措施</w:t>
            </w:r>
            <w:r>
              <w:rPr>
                <w:rFonts w:hint="eastAsia" w:hAnsi="宋体" w:cs="宋体"/>
                <w:sz w:val="21"/>
                <w:szCs w:val="21"/>
                <w:lang w:val="en-US" w:eastAsia="zh-CN"/>
              </w:rPr>
              <w:t>进行综合评分</w:t>
            </w:r>
            <w:r>
              <w:rPr>
                <w:rFonts w:hint="eastAsia" w:hAnsi="宋体" w:cs="宋体"/>
                <w:sz w:val="21"/>
                <w:szCs w:val="21"/>
                <w:lang w:val="zh-CN"/>
              </w:rPr>
              <w:t>：</w:t>
            </w:r>
          </w:p>
          <w:p w14:paraId="7A695EA5">
            <w:pPr>
              <w:spacing w:line="360" w:lineRule="auto"/>
              <w:rPr>
                <w:rFonts w:hAnsi="宋体" w:cs="宋体"/>
                <w:sz w:val="21"/>
                <w:szCs w:val="21"/>
                <w:lang w:val="zh-CN"/>
              </w:rPr>
            </w:pPr>
            <w:r>
              <w:rPr>
                <w:rFonts w:hint="eastAsia" w:hAnsi="宋体" w:cs="宋体"/>
                <w:sz w:val="21"/>
                <w:szCs w:val="21"/>
                <w:lang w:val="zh-CN"/>
              </w:rPr>
              <w:t>施工进度</w:t>
            </w:r>
            <w:r>
              <w:rPr>
                <w:rFonts w:hint="eastAsia" w:hAnsi="宋体" w:cs="宋体"/>
                <w:sz w:val="21"/>
                <w:szCs w:val="21"/>
              </w:rPr>
              <w:t>计划</w:t>
            </w:r>
            <w:r>
              <w:rPr>
                <w:rFonts w:hint="eastAsia" w:hAnsi="宋体" w:cs="宋体"/>
                <w:sz w:val="21"/>
                <w:szCs w:val="21"/>
                <w:lang w:val="zh-CN"/>
              </w:rPr>
              <w:t>可靠且具备针对性的得</w:t>
            </w:r>
            <w:r>
              <w:rPr>
                <w:rFonts w:hint="eastAsia" w:hAnsi="宋体" w:cs="宋体"/>
                <w:sz w:val="21"/>
                <w:szCs w:val="21"/>
                <w:lang w:val="en-US" w:eastAsia="zh-CN"/>
              </w:rPr>
              <w:t>9</w:t>
            </w:r>
            <w:r>
              <w:rPr>
                <w:rFonts w:hint="eastAsia" w:hAnsi="宋体" w:cs="宋体"/>
                <w:sz w:val="21"/>
                <w:szCs w:val="21"/>
                <w:lang w:val="zh-CN"/>
              </w:rPr>
              <w:t>分；</w:t>
            </w:r>
          </w:p>
          <w:p w14:paraId="100173ED">
            <w:pPr>
              <w:spacing w:line="360" w:lineRule="auto"/>
              <w:rPr>
                <w:rFonts w:hAnsi="宋体" w:cs="宋体"/>
                <w:sz w:val="21"/>
                <w:szCs w:val="21"/>
                <w:lang w:val="zh-CN"/>
              </w:rPr>
            </w:pPr>
            <w:r>
              <w:rPr>
                <w:rFonts w:hint="eastAsia" w:hAnsi="宋体" w:cs="宋体"/>
                <w:sz w:val="21"/>
                <w:szCs w:val="21"/>
                <w:lang w:val="zh-CN"/>
              </w:rPr>
              <w:t>施工进度保障基本可靠且基本具备针对性的得</w:t>
            </w:r>
            <w:r>
              <w:rPr>
                <w:rFonts w:hint="eastAsia" w:hAnsi="宋体" w:cs="宋体"/>
                <w:sz w:val="21"/>
                <w:szCs w:val="21"/>
                <w:lang w:val="en-US" w:eastAsia="zh-CN"/>
              </w:rPr>
              <w:t>6</w:t>
            </w:r>
            <w:r>
              <w:rPr>
                <w:rFonts w:hint="eastAsia" w:hAnsi="宋体" w:cs="宋体"/>
                <w:sz w:val="21"/>
                <w:szCs w:val="21"/>
                <w:lang w:val="zh-CN"/>
              </w:rPr>
              <w:t>分；</w:t>
            </w:r>
          </w:p>
          <w:p w14:paraId="121503F6">
            <w:pPr>
              <w:spacing w:line="360" w:lineRule="auto"/>
              <w:rPr>
                <w:rFonts w:hAnsi="宋体" w:cs="宋体"/>
                <w:sz w:val="21"/>
                <w:szCs w:val="21"/>
                <w:lang w:val="zh-CN"/>
              </w:rPr>
            </w:pPr>
            <w:r>
              <w:rPr>
                <w:rFonts w:hint="eastAsia" w:hAnsi="宋体" w:cs="宋体"/>
                <w:sz w:val="21"/>
                <w:szCs w:val="21"/>
                <w:lang w:val="zh-CN"/>
              </w:rPr>
              <w:t>施工进度保障不可靠且不具备针对性的得</w:t>
            </w:r>
            <w:r>
              <w:rPr>
                <w:rFonts w:hint="eastAsia" w:hAnsi="宋体" w:cs="宋体"/>
                <w:sz w:val="21"/>
                <w:szCs w:val="21"/>
                <w:lang w:val="en-US" w:eastAsia="zh-CN"/>
              </w:rPr>
              <w:t>3</w:t>
            </w:r>
            <w:r>
              <w:rPr>
                <w:rFonts w:hint="eastAsia" w:hAnsi="宋体" w:cs="宋体"/>
                <w:sz w:val="21"/>
                <w:szCs w:val="21"/>
                <w:lang w:val="zh-CN"/>
              </w:rPr>
              <w:t>分；</w:t>
            </w:r>
          </w:p>
          <w:p w14:paraId="6F61F4F5">
            <w:pPr>
              <w:spacing w:line="360" w:lineRule="auto"/>
              <w:ind w:firstLine="420" w:firstLineChars="200"/>
              <w:rPr>
                <w:rFonts w:hint="eastAsia"/>
              </w:rPr>
            </w:pPr>
            <w:r>
              <w:rPr>
                <w:rFonts w:hint="eastAsia" w:hAnsi="宋体" w:cs="宋体"/>
                <w:sz w:val="21"/>
                <w:szCs w:val="21"/>
                <w:lang w:val="zh-CN"/>
              </w:rPr>
              <w:t>未提供相应方案的不得分。</w:t>
            </w:r>
          </w:p>
        </w:tc>
        <w:tc>
          <w:tcPr>
            <w:tcW w:w="731" w:type="dxa"/>
            <w:vAlign w:val="center"/>
          </w:tcPr>
          <w:p w14:paraId="4CAEC4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9</w:t>
            </w:r>
          </w:p>
        </w:tc>
      </w:tr>
      <w:tr w14:paraId="6751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89" w:type="dxa"/>
            <w:vAlign w:val="center"/>
          </w:tcPr>
          <w:p w14:paraId="437AE9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lang w:val="en-US" w:eastAsia="zh-CN"/>
              </w:rPr>
              <w:t>2.4</w:t>
            </w:r>
          </w:p>
        </w:tc>
        <w:tc>
          <w:tcPr>
            <w:tcW w:w="1144" w:type="dxa"/>
            <w:vAlign w:val="center"/>
          </w:tcPr>
          <w:p w14:paraId="2E4E87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lang w:val="en-US" w:eastAsia="zh-CN"/>
              </w:rPr>
            </w:pPr>
          </w:p>
          <w:p w14:paraId="4B172B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投入计划</w:t>
            </w:r>
          </w:p>
          <w:p w14:paraId="623DD0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21"/>
                <w:szCs w:val="21"/>
                <w:lang w:val="en-US" w:eastAsia="zh-CN"/>
              </w:rPr>
            </w:pPr>
          </w:p>
        </w:tc>
        <w:tc>
          <w:tcPr>
            <w:tcW w:w="6818" w:type="dxa"/>
            <w:vAlign w:val="center"/>
          </w:tcPr>
          <w:p w14:paraId="6342BBEC">
            <w:pPr>
              <w:spacing w:line="360" w:lineRule="auto"/>
              <w:ind w:left="0" w:leftChars="0" w:firstLine="0" w:firstLineChars="0"/>
              <w:rPr>
                <w:rFonts w:hAnsi="宋体" w:cs="宋体"/>
                <w:sz w:val="21"/>
                <w:szCs w:val="21"/>
                <w:lang w:val="zh-CN"/>
              </w:rPr>
            </w:pPr>
            <w:r>
              <w:rPr>
                <w:rFonts w:hint="eastAsia" w:hAnsi="宋体" w:cs="宋体"/>
                <w:sz w:val="21"/>
                <w:szCs w:val="21"/>
                <w:lang w:val="zh-CN"/>
              </w:rPr>
              <w:t>评委根据供应商提供的</w:t>
            </w:r>
            <w:r>
              <w:rPr>
                <w:rFonts w:hint="eastAsia" w:hAnsi="宋体" w:cs="宋体"/>
                <w:sz w:val="21"/>
                <w:szCs w:val="21"/>
                <w:lang w:val="en-US" w:eastAsia="zh-CN"/>
              </w:rPr>
              <w:t>关于本项目</w:t>
            </w:r>
            <w:r>
              <w:rPr>
                <w:rFonts w:hint="eastAsia" w:hAnsi="宋体" w:cs="宋体"/>
                <w:sz w:val="21"/>
                <w:szCs w:val="21"/>
                <w:lang w:val="zh-CN"/>
              </w:rPr>
              <w:t>劳动力、机械设备和材料投入计划</w:t>
            </w:r>
            <w:r>
              <w:rPr>
                <w:rFonts w:hint="eastAsia" w:hAnsi="宋体" w:cs="宋体"/>
                <w:sz w:val="21"/>
                <w:szCs w:val="21"/>
                <w:lang w:val="en-US" w:eastAsia="zh-CN"/>
              </w:rPr>
              <w:t>进行综合评分</w:t>
            </w:r>
            <w:r>
              <w:rPr>
                <w:rFonts w:hint="eastAsia" w:hAnsi="宋体" w:cs="宋体"/>
                <w:sz w:val="21"/>
                <w:szCs w:val="21"/>
                <w:lang w:val="zh-CN"/>
              </w:rPr>
              <w:t>：</w:t>
            </w:r>
          </w:p>
          <w:p w14:paraId="2EA35BF7">
            <w:pPr>
              <w:spacing w:line="360" w:lineRule="auto"/>
              <w:rPr>
                <w:rFonts w:hAnsi="宋体" w:cs="宋体"/>
                <w:sz w:val="21"/>
                <w:szCs w:val="21"/>
              </w:rPr>
            </w:pPr>
            <w:r>
              <w:rPr>
                <w:rFonts w:hint="eastAsia" w:hAnsi="宋体" w:cs="宋体"/>
                <w:sz w:val="21"/>
                <w:szCs w:val="21"/>
              </w:rPr>
              <w:t>主要材料供应计划、机械设备计划、进度计划、劳动力计划，能满足</w:t>
            </w:r>
            <w:r>
              <w:rPr>
                <w:rFonts w:hint="eastAsia" w:hAnsi="宋体" w:cs="宋体"/>
                <w:sz w:val="21"/>
                <w:szCs w:val="21"/>
                <w:lang w:val="en-US" w:eastAsia="zh-CN"/>
              </w:rPr>
              <w:t>采购人</w:t>
            </w:r>
            <w:r>
              <w:rPr>
                <w:rFonts w:hint="eastAsia" w:hAnsi="宋体" w:cs="宋体"/>
                <w:sz w:val="21"/>
                <w:szCs w:val="21"/>
              </w:rPr>
              <w:t>施工要求的得</w:t>
            </w:r>
            <w:r>
              <w:rPr>
                <w:rFonts w:hint="eastAsia" w:hAnsi="宋体" w:cs="宋体"/>
                <w:sz w:val="21"/>
                <w:szCs w:val="21"/>
                <w:lang w:val="en-US" w:eastAsia="zh-CN"/>
              </w:rPr>
              <w:t>9</w:t>
            </w:r>
            <w:r>
              <w:rPr>
                <w:rFonts w:hint="eastAsia" w:hAnsi="宋体" w:cs="宋体"/>
                <w:sz w:val="21"/>
                <w:szCs w:val="21"/>
              </w:rPr>
              <w:t>分；</w:t>
            </w:r>
          </w:p>
          <w:p w14:paraId="22BCCEDC">
            <w:pPr>
              <w:spacing w:line="360" w:lineRule="auto"/>
              <w:rPr>
                <w:rFonts w:hAnsi="宋体" w:cs="宋体"/>
                <w:sz w:val="21"/>
                <w:szCs w:val="21"/>
              </w:rPr>
            </w:pPr>
            <w:r>
              <w:rPr>
                <w:rFonts w:hint="eastAsia" w:hAnsi="宋体" w:cs="宋体"/>
                <w:sz w:val="21"/>
                <w:szCs w:val="21"/>
              </w:rPr>
              <w:t>主要材料供应计划、机械设备计划、进度计划、劳动力计划，基本满足</w:t>
            </w:r>
            <w:r>
              <w:rPr>
                <w:rFonts w:hint="eastAsia" w:hAnsi="宋体" w:cs="宋体"/>
                <w:sz w:val="21"/>
                <w:szCs w:val="21"/>
                <w:lang w:val="en-US" w:eastAsia="zh-CN"/>
              </w:rPr>
              <w:t>采购人</w:t>
            </w:r>
            <w:r>
              <w:rPr>
                <w:rFonts w:hint="eastAsia" w:hAnsi="宋体" w:cs="宋体"/>
                <w:sz w:val="21"/>
                <w:szCs w:val="21"/>
              </w:rPr>
              <w:t>施工要求的得</w:t>
            </w:r>
            <w:r>
              <w:rPr>
                <w:rFonts w:hint="eastAsia" w:hAnsi="宋体" w:cs="宋体"/>
                <w:sz w:val="21"/>
                <w:szCs w:val="21"/>
                <w:lang w:val="en-US" w:eastAsia="zh-CN"/>
              </w:rPr>
              <w:t>6</w:t>
            </w:r>
            <w:r>
              <w:rPr>
                <w:rFonts w:hint="eastAsia" w:hAnsi="宋体" w:cs="宋体"/>
                <w:sz w:val="21"/>
                <w:szCs w:val="21"/>
              </w:rPr>
              <w:t>分；</w:t>
            </w:r>
          </w:p>
          <w:p w14:paraId="1D5F0402">
            <w:pPr>
              <w:spacing w:line="360" w:lineRule="auto"/>
              <w:rPr>
                <w:rFonts w:hAnsi="宋体" w:cs="宋体"/>
                <w:sz w:val="21"/>
                <w:szCs w:val="21"/>
              </w:rPr>
            </w:pPr>
            <w:r>
              <w:rPr>
                <w:rFonts w:hint="eastAsia" w:hAnsi="宋体" w:cs="宋体"/>
                <w:sz w:val="21"/>
                <w:szCs w:val="21"/>
              </w:rPr>
              <w:t>主要材料供应计划、机械设备计划、进度计划、劳动力计划，与</w:t>
            </w:r>
            <w:r>
              <w:rPr>
                <w:rFonts w:hint="eastAsia" w:hAnsi="宋体" w:cs="宋体"/>
                <w:sz w:val="21"/>
                <w:szCs w:val="21"/>
                <w:lang w:val="en-US" w:eastAsia="zh-CN"/>
              </w:rPr>
              <w:t>采购人</w:t>
            </w:r>
            <w:r>
              <w:rPr>
                <w:rFonts w:hint="eastAsia" w:hAnsi="宋体" w:cs="宋体"/>
                <w:sz w:val="21"/>
                <w:szCs w:val="21"/>
              </w:rPr>
              <w:t>施工要求偏离的得</w:t>
            </w:r>
            <w:r>
              <w:rPr>
                <w:rFonts w:hint="eastAsia" w:hAnsi="宋体" w:cs="宋体"/>
                <w:sz w:val="21"/>
                <w:szCs w:val="21"/>
                <w:lang w:val="en-US" w:eastAsia="zh-CN"/>
              </w:rPr>
              <w:t>3</w:t>
            </w:r>
            <w:r>
              <w:rPr>
                <w:rFonts w:hint="eastAsia" w:hAnsi="宋体" w:cs="宋体"/>
                <w:sz w:val="21"/>
                <w:szCs w:val="21"/>
              </w:rPr>
              <w:t>分；</w:t>
            </w:r>
          </w:p>
          <w:p w14:paraId="4E278F99">
            <w:pPr>
              <w:spacing w:line="360" w:lineRule="auto"/>
              <w:ind w:firstLine="420" w:firstLineChars="200"/>
              <w:rPr>
                <w:rFonts w:hint="default"/>
                <w:lang w:val="en-US" w:eastAsia="zh-CN"/>
              </w:rPr>
            </w:pPr>
            <w:r>
              <w:rPr>
                <w:rFonts w:hint="eastAsia" w:hAnsi="宋体" w:cs="宋体"/>
                <w:sz w:val="21"/>
                <w:szCs w:val="21"/>
              </w:rPr>
              <w:t>未提供相应方案的不得分。</w:t>
            </w:r>
          </w:p>
        </w:tc>
        <w:tc>
          <w:tcPr>
            <w:tcW w:w="731" w:type="dxa"/>
            <w:vAlign w:val="center"/>
          </w:tcPr>
          <w:p w14:paraId="293935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9</w:t>
            </w:r>
          </w:p>
        </w:tc>
      </w:tr>
      <w:tr w14:paraId="6DB0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89" w:type="dxa"/>
            <w:vAlign w:val="center"/>
          </w:tcPr>
          <w:p w14:paraId="7EA9CB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lang w:val="en-US" w:eastAsia="zh-CN"/>
              </w:rPr>
              <w:t>2.5</w:t>
            </w:r>
          </w:p>
        </w:tc>
        <w:tc>
          <w:tcPr>
            <w:tcW w:w="1144" w:type="dxa"/>
            <w:vAlign w:val="center"/>
          </w:tcPr>
          <w:p w14:paraId="7AC8C8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lang w:val="en-US" w:eastAsia="zh-CN"/>
              </w:rPr>
            </w:pPr>
          </w:p>
          <w:p w14:paraId="413C3D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重难点及解决方案</w:t>
            </w:r>
          </w:p>
          <w:p w14:paraId="1175AC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21"/>
                <w:szCs w:val="21"/>
                <w:lang w:val="en-US" w:eastAsia="zh-CN"/>
              </w:rPr>
            </w:pPr>
          </w:p>
        </w:tc>
        <w:tc>
          <w:tcPr>
            <w:tcW w:w="6818" w:type="dxa"/>
            <w:shd w:val="clear" w:color="auto" w:fill="auto"/>
            <w:vAlign w:val="center"/>
          </w:tcPr>
          <w:p w14:paraId="09BF75EA">
            <w:pPr>
              <w:spacing w:line="360" w:lineRule="auto"/>
              <w:ind w:left="0" w:leftChars="0" w:firstLine="0" w:firstLineChars="0"/>
              <w:rPr>
                <w:rFonts w:hAnsi="宋体" w:cs="宋体"/>
                <w:sz w:val="21"/>
                <w:szCs w:val="21"/>
                <w:lang w:val="zh-CN"/>
              </w:rPr>
            </w:pPr>
            <w:r>
              <w:rPr>
                <w:rFonts w:hint="eastAsia" w:hAnsi="宋体" w:cs="宋体"/>
                <w:sz w:val="21"/>
                <w:szCs w:val="21"/>
                <w:lang w:val="zh-CN"/>
              </w:rPr>
              <w:t>评委根据供应商提供的</w:t>
            </w:r>
            <w:r>
              <w:rPr>
                <w:rFonts w:hint="eastAsia" w:hAnsi="宋体" w:cs="宋体"/>
                <w:sz w:val="21"/>
                <w:szCs w:val="21"/>
                <w:lang w:val="en-US" w:eastAsia="zh-CN"/>
              </w:rPr>
              <w:t>关于本项目的</w:t>
            </w:r>
            <w:r>
              <w:rPr>
                <w:rFonts w:hint="eastAsia" w:hAnsi="宋体" w:cs="宋体"/>
                <w:sz w:val="21"/>
                <w:szCs w:val="21"/>
                <w:lang w:val="zh-CN"/>
              </w:rPr>
              <w:t>关键施工技术、工艺及工程项目实施的重点、难点和解决方案，</w:t>
            </w:r>
            <w:r>
              <w:rPr>
                <w:rFonts w:hint="eastAsia" w:hAnsi="宋体" w:cs="宋体"/>
                <w:sz w:val="21"/>
                <w:szCs w:val="21"/>
                <w:lang w:val="en-US" w:eastAsia="zh-CN"/>
              </w:rPr>
              <w:t>进行综合评分</w:t>
            </w:r>
            <w:r>
              <w:rPr>
                <w:rFonts w:hint="eastAsia" w:hAnsi="宋体" w:cs="宋体"/>
                <w:sz w:val="21"/>
                <w:szCs w:val="21"/>
                <w:lang w:val="zh-CN"/>
              </w:rPr>
              <w:t>：</w:t>
            </w:r>
          </w:p>
          <w:p w14:paraId="3A8A24DF">
            <w:pPr>
              <w:spacing w:line="360" w:lineRule="auto"/>
              <w:rPr>
                <w:rFonts w:hAnsi="宋体" w:cs="宋体"/>
                <w:sz w:val="21"/>
                <w:szCs w:val="21"/>
              </w:rPr>
            </w:pPr>
            <w:r>
              <w:rPr>
                <w:rFonts w:hint="eastAsia" w:hAnsi="宋体" w:cs="宋体"/>
                <w:sz w:val="21"/>
                <w:szCs w:val="21"/>
              </w:rPr>
              <w:t>重难点方案有针对性且方案切实可行的得</w:t>
            </w:r>
            <w:r>
              <w:rPr>
                <w:rFonts w:hint="eastAsia" w:hAnsi="宋体" w:cs="宋体"/>
                <w:sz w:val="21"/>
                <w:szCs w:val="21"/>
                <w:lang w:val="en-US" w:eastAsia="zh-CN"/>
              </w:rPr>
              <w:t>9</w:t>
            </w:r>
            <w:r>
              <w:rPr>
                <w:rFonts w:hint="eastAsia" w:hAnsi="宋体" w:cs="宋体"/>
                <w:sz w:val="21"/>
                <w:szCs w:val="21"/>
              </w:rPr>
              <w:t>分；</w:t>
            </w:r>
          </w:p>
          <w:p w14:paraId="118581BD">
            <w:pPr>
              <w:spacing w:line="360" w:lineRule="auto"/>
              <w:rPr>
                <w:rFonts w:hAnsi="宋体" w:cs="宋体"/>
                <w:sz w:val="21"/>
                <w:szCs w:val="21"/>
              </w:rPr>
            </w:pPr>
            <w:r>
              <w:rPr>
                <w:rFonts w:hint="eastAsia" w:hAnsi="宋体" w:cs="宋体"/>
                <w:sz w:val="21"/>
                <w:szCs w:val="21"/>
              </w:rPr>
              <w:t>重难点方案模糊、实际实施可行性一般的得</w:t>
            </w:r>
            <w:r>
              <w:rPr>
                <w:rFonts w:hint="eastAsia" w:hAnsi="宋体" w:cs="宋体"/>
                <w:sz w:val="21"/>
                <w:szCs w:val="21"/>
                <w:lang w:val="en-US" w:eastAsia="zh-CN"/>
              </w:rPr>
              <w:t>6</w:t>
            </w:r>
            <w:r>
              <w:rPr>
                <w:rFonts w:hint="eastAsia" w:hAnsi="宋体" w:cs="宋体"/>
                <w:sz w:val="21"/>
                <w:szCs w:val="21"/>
              </w:rPr>
              <w:t>分；</w:t>
            </w:r>
          </w:p>
          <w:p w14:paraId="4A2DC1A2">
            <w:pPr>
              <w:spacing w:line="360" w:lineRule="auto"/>
              <w:rPr>
                <w:rFonts w:hAnsi="宋体" w:cs="宋体"/>
                <w:sz w:val="21"/>
                <w:szCs w:val="21"/>
              </w:rPr>
            </w:pPr>
            <w:r>
              <w:rPr>
                <w:rFonts w:hint="eastAsia" w:hAnsi="宋体" w:cs="宋体"/>
                <w:sz w:val="21"/>
                <w:szCs w:val="21"/>
              </w:rPr>
              <w:t>重难点方案与本项目偏离，不具有可行性的得</w:t>
            </w:r>
            <w:r>
              <w:rPr>
                <w:rFonts w:hint="eastAsia" w:hAnsi="宋体" w:cs="宋体"/>
                <w:sz w:val="21"/>
                <w:szCs w:val="21"/>
                <w:lang w:val="en-US" w:eastAsia="zh-CN"/>
              </w:rPr>
              <w:t>3</w:t>
            </w:r>
            <w:r>
              <w:rPr>
                <w:rFonts w:hint="eastAsia" w:hAnsi="宋体" w:cs="宋体"/>
                <w:sz w:val="21"/>
                <w:szCs w:val="21"/>
              </w:rPr>
              <w:t>分；</w:t>
            </w:r>
          </w:p>
          <w:p w14:paraId="28494C41">
            <w:pPr>
              <w:spacing w:line="360" w:lineRule="auto"/>
              <w:ind w:firstLine="420" w:firstLineChars="200"/>
              <w:rPr>
                <w:rFonts w:hint="default"/>
                <w:lang w:val="en-US" w:eastAsia="zh-CN"/>
              </w:rPr>
            </w:pPr>
            <w:r>
              <w:rPr>
                <w:rFonts w:hint="eastAsia" w:hAnsi="宋体" w:cs="宋体"/>
                <w:sz w:val="21"/>
                <w:szCs w:val="21"/>
              </w:rPr>
              <w:t>未提供相应方案的不得分。</w:t>
            </w:r>
          </w:p>
        </w:tc>
        <w:tc>
          <w:tcPr>
            <w:tcW w:w="731" w:type="dxa"/>
            <w:vAlign w:val="center"/>
          </w:tcPr>
          <w:p w14:paraId="1E3599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9</w:t>
            </w:r>
          </w:p>
        </w:tc>
      </w:tr>
      <w:tr w14:paraId="6281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282" w:type="dxa"/>
            <w:gridSpan w:val="4"/>
            <w:vAlign w:val="center"/>
          </w:tcPr>
          <w:p w14:paraId="7E29C5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b/>
                <w:bCs/>
                <w:lang w:val="en-US" w:eastAsia="zh-CN"/>
              </w:rPr>
            </w:pPr>
            <w:r>
              <w:rPr>
                <w:rFonts w:hint="eastAsia"/>
                <w:b/>
                <w:bCs/>
                <w:lang w:val="en-US" w:eastAsia="zh-CN"/>
              </w:rPr>
              <w:t>3、商务部分（25分）</w:t>
            </w:r>
          </w:p>
        </w:tc>
      </w:tr>
      <w:tr w14:paraId="1E8D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89" w:type="dxa"/>
            <w:vMerge w:val="restart"/>
            <w:vAlign w:val="center"/>
          </w:tcPr>
          <w:p w14:paraId="1AB16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lang w:val="en-US" w:eastAsia="zh-CN"/>
              </w:rPr>
              <w:t>3.1</w:t>
            </w:r>
          </w:p>
        </w:tc>
        <w:tc>
          <w:tcPr>
            <w:tcW w:w="1144" w:type="dxa"/>
            <w:vMerge w:val="restart"/>
            <w:vAlign w:val="center"/>
          </w:tcPr>
          <w:p w14:paraId="2BF3B7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default" w:ascii="宋体" w:hAnsi="宋体" w:cs="Times New Roman"/>
                <w:b/>
                <w:sz w:val="22"/>
                <w:szCs w:val="22"/>
                <w:lang w:val="en-US" w:eastAsia="zh-CN"/>
              </w:rPr>
            </w:pPr>
            <w:r>
              <w:rPr>
                <w:rStyle w:val="40"/>
                <w:rFonts w:hint="default" w:ascii="宋体" w:hAnsi="宋体" w:cs="Times New Roman"/>
                <w:b/>
                <w:sz w:val="22"/>
                <w:szCs w:val="22"/>
                <w:lang w:val="en-US" w:eastAsia="zh-CN"/>
              </w:rPr>
              <w:t>项目人员</w:t>
            </w:r>
          </w:p>
        </w:tc>
        <w:tc>
          <w:tcPr>
            <w:tcW w:w="6818" w:type="dxa"/>
            <w:vAlign w:val="center"/>
          </w:tcPr>
          <w:p w14:paraId="006FF912">
            <w:pPr>
              <w:spacing w:line="360" w:lineRule="auto"/>
              <w:ind w:firstLine="420" w:firstLineChars="200"/>
              <w:rPr>
                <w:rFonts w:hint="default"/>
                <w:lang w:val="en-US" w:eastAsia="zh-CN"/>
              </w:rPr>
            </w:pPr>
            <w:r>
              <w:rPr>
                <w:rFonts w:hint="eastAsia" w:hAnsi="宋体" w:cs="宋体"/>
                <w:sz w:val="21"/>
                <w:szCs w:val="21"/>
              </w:rPr>
              <w:t>拟</w:t>
            </w:r>
            <w:r>
              <w:rPr>
                <w:rFonts w:hint="eastAsia" w:hAnsi="宋体" w:cs="宋体"/>
                <w:sz w:val="21"/>
                <w:szCs w:val="21"/>
                <w:lang w:val="en-US" w:eastAsia="zh-CN"/>
              </w:rPr>
              <w:t>投入本项目</w:t>
            </w:r>
            <w:r>
              <w:rPr>
                <w:rFonts w:hint="eastAsia" w:hAnsi="宋体" w:cs="宋体"/>
                <w:sz w:val="21"/>
                <w:szCs w:val="21"/>
              </w:rPr>
              <w:t>的项目负责人具有建设工程建设类中级及以上技术职称的得</w:t>
            </w:r>
            <w:r>
              <w:rPr>
                <w:rFonts w:hint="eastAsia" w:hAnsi="宋体" w:cs="宋体"/>
                <w:sz w:val="21"/>
                <w:szCs w:val="21"/>
                <w:lang w:val="en-US" w:eastAsia="zh-CN"/>
              </w:rPr>
              <w:t>3</w:t>
            </w:r>
            <w:r>
              <w:rPr>
                <w:rFonts w:hint="eastAsia" w:hAnsi="宋体" w:cs="宋体"/>
                <w:sz w:val="21"/>
                <w:szCs w:val="21"/>
              </w:rPr>
              <w:t>分。（提供相关有效证书复印件并加盖公章</w:t>
            </w:r>
            <w:r>
              <w:rPr>
                <w:rFonts w:hint="eastAsia" w:hAnsi="宋体" w:cs="宋体"/>
                <w:sz w:val="21"/>
                <w:szCs w:val="21"/>
                <w:lang w:eastAsia="zh-CN"/>
              </w:rPr>
              <w:t>，</w:t>
            </w:r>
            <w:r>
              <w:rPr>
                <w:rFonts w:hint="eastAsia" w:hAnsi="宋体" w:cs="宋体"/>
                <w:sz w:val="21"/>
                <w:szCs w:val="21"/>
                <w:lang w:val="en-US" w:eastAsia="zh-CN"/>
              </w:rPr>
              <w:t>以及</w:t>
            </w:r>
            <w:r>
              <w:rPr>
                <w:rFonts w:hint="eastAsia" w:hAnsi="宋体" w:cs="宋体"/>
                <w:sz w:val="21"/>
                <w:szCs w:val="21"/>
              </w:rPr>
              <w:t>社保机构出具的近</w:t>
            </w:r>
            <w:r>
              <w:rPr>
                <w:rFonts w:hint="eastAsia" w:hAnsi="宋体" w:cs="宋体"/>
                <w:sz w:val="21"/>
                <w:szCs w:val="21"/>
                <w:lang w:val="en-US" w:eastAsia="zh-CN"/>
              </w:rPr>
              <w:t>半年内任意一个月</w:t>
            </w:r>
            <w:r>
              <w:rPr>
                <w:rFonts w:hint="eastAsia" w:hAnsi="宋体" w:cs="宋体"/>
                <w:sz w:val="21"/>
                <w:szCs w:val="21"/>
              </w:rPr>
              <w:t>供应商为其缴纳的社保缴费证明【加盖社保公章或具有可验证的二维码（或验证码）】并加盖公章，未提供不得分；证明材料必须能够反映相关</w:t>
            </w:r>
            <w:r>
              <w:rPr>
                <w:rFonts w:hint="eastAsia" w:hAnsi="宋体" w:cs="宋体"/>
                <w:sz w:val="21"/>
                <w:szCs w:val="21"/>
                <w:lang w:val="en-US" w:eastAsia="zh-CN"/>
              </w:rPr>
              <w:t>信息</w:t>
            </w:r>
            <w:r>
              <w:rPr>
                <w:rFonts w:hint="eastAsia" w:hAnsi="宋体" w:cs="宋体"/>
                <w:sz w:val="21"/>
                <w:szCs w:val="21"/>
              </w:rPr>
              <w:t>数据，否则视作未提供。）</w:t>
            </w:r>
          </w:p>
        </w:tc>
        <w:tc>
          <w:tcPr>
            <w:tcW w:w="731" w:type="dxa"/>
            <w:vAlign w:val="center"/>
          </w:tcPr>
          <w:p w14:paraId="7E28DC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3</w:t>
            </w:r>
          </w:p>
        </w:tc>
      </w:tr>
      <w:tr w14:paraId="32FD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89" w:type="dxa"/>
            <w:vMerge w:val="continue"/>
            <w:vAlign w:val="center"/>
          </w:tcPr>
          <w:p w14:paraId="7BA755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lang w:val="en-US" w:eastAsia="zh-CN"/>
              </w:rPr>
            </w:pPr>
          </w:p>
        </w:tc>
        <w:tc>
          <w:tcPr>
            <w:tcW w:w="1144" w:type="dxa"/>
            <w:vMerge w:val="continue"/>
            <w:vAlign w:val="center"/>
          </w:tcPr>
          <w:p w14:paraId="2CD613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eastAsia" w:ascii="宋体" w:hAnsi="宋体" w:cs="Times New Roman"/>
                <w:b/>
                <w:sz w:val="22"/>
                <w:szCs w:val="22"/>
                <w:lang w:val="en-US" w:eastAsia="zh-CN"/>
              </w:rPr>
            </w:pPr>
          </w:p>
        </w:tc>
        <w:tc>
          <w:tcPr>
            <w:tcW w:w="6818" w:type="dxa"/>
            <w:vAlign w:val="center"/>
          </w:tcPr>
          <w:p w14:paraId="0B114AFF">
            <w:pPr>
              <w:spacing w:line="360" w:lineRule="auto"/>
              <w:ind w:firstLine="420" w:firstLineChars="200"/>
              <w:rPr>
                <w:rFonts w:hint="eastAsia"/>
                <w:lang w:val="en-US" w:eastAsia="zh-CN"/>
              </w:rPr>
            </w:pPr>
            <w:r>
              <w:rPr>
                <w:rFonts w:hint="eastAsia" w:hAnsi="宋体" w:cs="宋体"/>
                <w:sz w:val="21"/>
                <w:szCs w:val="21"/>
              </w:rPr>
              <w:t>拟投入项目组成员中（项目负责人除外）具有施工员、质检（质量）员、安全员、资料员</w:t>
            </w:r>
            <w:r>
              <w:rPr>
                <w:rFonts w:hint="eastAsia" w:hAnsi="宋体" w:cs="宋体"/>
                <w:sz w:val="21"/>
                <w:szCs w:val="21"/>
                <w:lang w:eastAsia="zh-CN"/>
              </w:rPr>
              <w:t>、</w:t>
            </w:r>
            <w:r>
              <w:rPr>
                <w:rFonts w:hint="eastAsia" w:hAnsi="宋体" w:cs="宋体"/>
                <w:sz w:val="21"/>
                <w:szCs w:val="21"/>
                <w:lang w:val="en-US" w:eastAsia="zh-CN"/>
              </w:rPr>
              <w:t>材料员</w:t>
            </w:r>
            <w:r>
              <w:rPr>
                <w:rFonts w:hint="eastAsia" w:hAnsi="宋体" w:cs="宋体"/>
                <w:sz w:val="21"/>
                <w:szCs w:val="21"/>
              </w:rPr>
              <w:t>的得10分，每缺少一人的扣2分，扣完为止。(提供相应岗位证书复印件加盖供应商公章。以上人员均须提供社保机构出具的近</w:t>
            </w:r>
            <w:r>
              <w:rPr>
                <w:rFonts w:hint="eastAsia" w:hAnsi="宋体" w:cs="宋体"/>
                <w:sz w:val="21"/>
                <w:szCs w:val="21"/>
                <w:lang w:val="en-US" w:eastAsia="zh-CN"/>
              </w:rPr>
              <w:t>半年内任意一个月</w:t>
            </w:r>
            <w:r>
              <w:rPr>
                <w:rFonts w:hint="eastAsia" w:hAnsi="宋体" w:cs="宋体"/>
                <w:sz w:val="21"/>
                <w:szCs w:val="21"/>
              </w:rPr>
              <w:t>供应商为其缴纳的社保缴费证明【加盖社保公章或具有可验证的二维码（或验证码）】并加盖公章，未提供不得分</w:t>
            </w:r>
            <w:r>
              <w:rPr>
                <w:rFonts w:hint="eastAsia" w:hAnsi="宋体" w:cs="宋体"/>
                <w:sz w:val="21"/>
                <w:szCs w:val="21"/>
                <w:lang w:eastAsia="zh-CN"/>
              </w:rPr>
              <w:t>；</w:t>
            </w:r>
            <w:r>
              <w:rPr>
                <w:rFonts w:hint="eastAsia" w:hAnsi="宋体" w:cs="宋体"/>
                <w:sz w:val="21"/>
                <w:szCs w:val="21"/>
              </w:rPr>
              <w:t>证明材料必须能够反映相关</w:t>
            </w:r>
            <w:r>
              <w:rPr>
                <w:rFonts w:hint="eastAsia" w:hAnsi="宋体" w:cs="宋体"/>
                <w:sz w:val="21"/>
                <w:szCs w:val="21"/>
                <w:lang w:val="en-US" w:eastAsia="zh-CN"/>
              </w:rPr>
              <w:t>信息</w:t>
            </w:r>
            <w:r>
              <w:rPr>
                <w:rFonts w:hint="eastAsia" w:hAnsi="宋体" w:cs="宋体"/>
                <w:sz w:val="21"/>
                <w:szCs w:val="21"/>
              </w:rPr>
              <w:t>数据，否则视作未提供。每人最多只计取一次分数）。</w:t>
            </w:r>
          </w:p>
        </w:tc>
        <w:tc>
          <w:tcPr>
            <w:tcW w:w="731" w:type="dxa"/>
            <w:vAlign w:val="center"/>
          </w:tcPr>
          <w:p w14:paraId="60D45A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10</w:t>
            </w:r>
          </w:p>
        </w:tc>
      </w:tr>
      <w:tr w14:paraId="62E7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 w:type="dxa"/>
            <w:vMerge w:val="restart"/>
            <w:vAlign w:val="center"/>
          </w:tcPr>
          <w:p w14:paraId="7C558B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lang w:val="en-US" w:eastAsia="zh-CN"/>
              </w:rPr>
              <w:t>3.2</w:t>
            </w:r>
          </w:p>
        </w:tc>
        <w:tc>
          <w:tcPr>
            <w:tcW w:w="1144" w:type="dxa"/>
            <w:vMerge w:val="restart"/>
            <w:vAlign w:val="center"/>
          </w:tcPr>
          <w:p w14:paraId="59FDF7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eastAsia" w:ascii="宋体" w:hAnsi="宋体" w:cs="Times New Roman"/>
                <w:b/>
                <w:sz w:val="22"/>
                <w:szCs w:val="22"/>
                <w:lang w:val="en-US" w:eastAsia="zh-CN"/>
              </w:rPr>
            </w:pPr>
            <w:r>
              <w:rPr>
                <w:rStyle w:val="40"/>
                <w:rFonts w:hint="eastAsia" w:ascii="宋体" w:hAnsi="宋体" w:cs="Times New Roman"/>
                <w:b/>
                <w:sz w:val="22"/>
                <w:szCs w:val="22"/>
                <w:lang w:val="en-US" w:eastAsia="zh-CN"/>
              </w:rPr>
              <w:t>业绩</w:t>
            </w:r>
          </w:p>
        </w:tc>
        <w:tc>
          <w:tcPr>
            <w:tcW w:w="6818" w:type="dxa"/>
            <w:vAlign w:val="center"/>
          </w:tcPr>
          <w:p w14:paraId="60A21DDC">
            <w:pPr>
              <w:spacing w:line="360" w:lineRule="auto"/>
              <w:rPr>
                <w:rFonts w:hAnsi="宋体" w:cs="宋体"/>
                <w:sz w:val="21"/>
                <w:szCs w:val="21"/>
                <w:lang w:val="zh-CN"/>
              </w:rPr>
            </w:pPr>
            <w:r>
              <w:rPr>
                <w:rFonts w:hint="eastAsia" w:hAnsi="宋体" w:cs="宋体"/>
                <w:sz w:val="21"/>
                <w:szCs w:val="21"/>
                <w:lang w:val="zh-CN"/>
              </w:rPr>
              <w:t>1、</w:t>
            </w:r>
            <w:r>
              <w:rPr>
                <w:rFonts w:hint="eastAsia" w:hAnsi="宋体" w:cs="宋体"/>
                <w:sz w:val="21"/>
                <w:szCs w:val="21"/>
              </w:rPr>
              <w:t>拟投入本项目的项目负责人，自 20</w:t>
            </w:r>
            <w:r>
              <w:rPr>
                <w:rFonts w:hint="eastAsia" w:hAnsi="宋体" w:cs="宋体"/>
                <w:sz w:val="21"/>
                <w:szCs w:val="21"/>
                <w:lang w:val="en-US" w:eastAsia="zh-CN"/>
              </w:rPr>
              <w:t>22</w:t>
            </w:r>
            <w:r>
              <w:rPr>
                <w:rFonts w:hint="eastAsia" w:hAnsi="宋体" w:cs="宋体"/>
                <w:sz w:val="21"/>
                <w:szCs w:val="21"/>
              </w:rPr>
              <w:t>年</w:t>
            </w:r>
            <w:r>
              <w:rPr>
                <w:rFonts w:hint="eastAsia" w:hAnsi="宋体" w:cs="宋体"/>
                <w:sz w:val="21"/>
                <w:szCs w:val="21"/>
                <w:lang w:val="en-US" w:eastAsia="zh-CN"/>
              </w:rPr>
              <w:t>1</w:t>
            </w:r>
            <w:r>
              <w:rPr>
                <w:rFonts w:hint="eastAsia" w:cs="宋体"/>
                <w:sz w:val="21"/>
                <w:szCs w:val="21"/>
                <w:lang w:val="en-US" w:eastAsia="zh-CN"/>
              </w:rPr>
              <w:t>2</w:t>
            </w:r>
            <w:r>
              <w:rPr>
                <w:rFonts w:hint="eastAsia" w:hAnsi="宋体" w:cs="宋体"/>
                <w:sz w:val="21"/>
                <w:szCs w:val="21"/>
              </w:rPr>
              <w:t>月1日（含）以来承担过</w:t>
            </w:r>
            <w:r>
              <w:rPr>
                <w:rFonts w:hint="eastAsia" w:hAnsi="宋体" w:cs="宋体"/>
                <w:sz w:val="21"/>
                <w:szCs w:val="21"/>
                <w:lang w:val="en-US" w:eastAsia="zh-CN"/>
              </w:rPr>
              <w:t>并已完成</w:t>
            </w:r>
            <w:r>
              <w:rPr>
                <w:rFonts w:hint="eastAsia" w:hAnsi="宋体" w:cs="宋体"/>
                <w:sz w:val="21"/>
                <w:szCs w:val="21"/>
              </w:rPr>
              <w:t>类似</w:t>
            </w:r>
            <w:r>
              <w:rPr>
                <w:rFonts w:hint="eastAsia" w:hAnsi="宋体" w:cs="宋体"/>
                <w:sz w:val="21"/>
                <w:szCs w:val="21"/>
                <w:lang w:val="en-US" w:eastAsia="zh-CN"/>
              </w:rPr>
              <w:t>改造项目</w:t>
            </w:r>
            <w:r>
              <w:rPr>
                <w:rFonts w:hint="eastAsia" w:hAnsi="宋体" w:cs="宋体"/>
                <w:sz w:val="21"/>
                <w:szCs w:val="21"/>
              </w:rPr>
              <w:t>业绩的，每提供一个得</w:t>
            </w:r>
            <w:r>
              <w:rPr>
                <w:rFonts w:hint="eastAsia" w:hAnsi="宋体" w:cs="宋体"/>
                <w:sz w:val="21"/>
                <w:szCs w:val="21"/>
                <w:lang w:val="en-US" w:eastAsia="zh-CN"/>
              </w:rPr>
              <w:t>3</w:t>
            </w:r>
            <w:r>
              <w:rPr>
                <w:rFonts w:hint="eastAsia" w:hAnsi="宋体" w:cs="宋体"/>
                <w:sz w:val="21"/>
                <w:szCs w:val="21"/>
              </w:rPr>
              <w:t>分，满分</w:t>
            </w:r>
            <w:r>
              <w:rPr>
                <w:rFonts w:hint="eastAsia" w:hAnsi="宋体" w:cs="宋体"/>
                <w:sz w:val="21"/>
                <w:szCs w:val="21"/>
                <w:lang w:val="en-US" w:eastAsia="zh-CN"/>
              </w:rPr>
              <w:t>3</w:t>
            </w:r>
            <w:r>
              <w:rPr>
                <w:rFonts w:hint="eastAsia" w:hAnsi="宋体" w:cs="宋体"/>
                <w:sz w:val="21"/>
                <w:szCs w:val="21"/>
              </w:rPr>
              <w:t>分。</w:t>
            </w:r>
          </w:p>
          <w:p w14:paraId="3D71B83F">
            <w:pPr>
              <w:spacing w:line="360" w:lineRule="auto"/>
              <w:ind w:firstLine="420" w:firstLineChars="200"/>
              <w:rPr>
                <w:rFonts w:hint="default" w:eastAsia="宋体"/>
                <w:lang w:val="en-US" w:eastAsia="zh-CN"/>
              </w:rPr>
            </w:pPr>
            <w:r>
              <w:rPr>
                <w:rFonts w:hint="eastAsia" w:hAnsi="宋体" w:cs="宋体"/>
                <w:sz w:val="21"/>
                <w:szCs w:val="21"/>
              </w:rPr>
              <w:t>（提供成交通知书或中标通知书、施工合同和竣工验收证明材料复印件并加盖公章，三者缺一不可，时间以竣工验收证明时间为准；以上证明材料必须能够反映相关数据，否则视作未提供。项目负责人业绩与企业业绩不可兼得。）</w:t>
            </w:r>
          </w:p>
        </w:tc>
        <w:tc>
          <w:tcPr>
            <w:tcW w:w="731" w:type="dxa"/>
            <w:vAlign w:val="center"/>
          </w:tcPr>
          <w:p w14:paraId="3BAF39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3</w:t>
            </w:r>
          </w:p>
        </w:tc>
      </w:tr>
      <w:tr w14:paraId="7F55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89" w:type="dxa"/>
            <w:vMerge w:val="continue"/>
            <w:vAlign w:val="center"/>
          </w:tcPr>
          <w:p w14:paraId="7256F8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p>
        </w:tc>
        <w:tc>
          <w:tcPr>
            <w:tcW w:w="1144" w:type="dxa"/>
            <w:vMerge w:val="continue"/>
            <w:vAlign w:val="center"/>
          </w:tcPr>
          <w:p w14:paraId="7365A4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default" w:ascii="宋体" w:hAnsi="宋体" w:cs="Times New Roman"/>
                <w:b/>
                <w:sz w:val="22"/>
                <w:szCs w:val="22"/>
                <w:lang w:val="en-US" w:eastAsia="zh-CN"/>
              </w:rPr>
            </w:pPr>
          </w:p>
        </w:tc>
        <w:tc>
          <w:tcPr>
            <w:tcW w:w="6818" w:type="dxa"/>
            <w:vAlign w:val="center"/>
          </w:tcPr>
          <w:p w14:paraId="52F8BB54">
            <w:pPr>
              <w:spacing w:line="360" w:lineRule="auto"/>
              <w:rPr>
                <w:rFonts w:hAnsi="宋体" w:cs="宋体"/>
                <w:sz w:val="21"/>
                <w:szCs w:val="21"/>
              </w:rPr>
            </w:pPr>
            <w:r>
              <w:rPr>
                <w:rFonts w:hint="eastAsia" w:hAnsi="宋体" w:cs="宋体"/>
                <w:sz w:val="21"/>
                <w:szCs w:val="21"/>
                <w:lang w:val="zh-CN"/>
              </w:rPr>
              <w:t>2、</w:t>
            </w:r>
            <w:r>
              <w:rPr>
                <w:rFonts w:hint="eastAsia" w:hAnsi="宋体" w:cs="宋体"/>
                <w:sz w:val="21"/>
                <w:szCs w:val="21"/>
              </w:rPr>
              <w:t>供应商自20</w:t>
            </w:r>
            <w:r>
              <w:rPr>
                <w:rFonts w:hint="eastAsia" w:hAnsi="宋体" w:cs="宋体"/>
                <w:sz w:val="21"/>
                <w:szCs w:val="21"/>
                <w:lang w:val="en-US" w:eastAsia="zh-CN"/>
              </w:rPr>
              <w:t>22</w:t>
            </w:r>
            <w:r>
              <w:rPr>
                <w:rFonts w:hint="eastAsia" w:hAnsi="宋体" w:cs="宋体"/>
                <w:sz w:val="21"/>
                <w:szCs w:val="21"/>
              </w:rPr>
              <w:t>年</w:t>
            </w:r>
            <w:r>
              <w:rPr>
                <w:rFonts w:hint="eastAsia" w:hAnsi="宋体" w:cs="宋体"/>
                <w:sz w:val="21"/>
                <w:szCs w:val="21"/>
                <w:lang w:val="en-US" w:eastAsia="zh-CN"/>
              </w:rPr>
              <w:t>1</w:t>
            </w:r>
            <w:r>
              <w:rPr>
                <w:rFonts w:hint="eastAsia" w:cs="宋体"/>
                <w:sz w:val="21"/>
                <w:szCs w:val="21"/>
                <w:lang w:val="en-US" w:eastAsia="zh-CN"/>
              </w:rPr>
              <w:t>2</w:t>
            </w:r>
            <w:r>
              <w:rPr>
                <w:rFonts w:hint="eastAsia" w:hAnsi="宋体" w:cs="宋体"/>
                <w:sz w:val="21"/>
                <w:szCs w:val="21"/>
              </w:rPr>
              <w:t>月1日（含）以来承担过</w:t>
            </w:r>
            <w:r>
              <w:rPr>
                <w:rFonts w:hint="eastAsia" w:hAnsi="宋体" w:cs="宋体"/>
                <w:sz w:val="21"/>
                <w:szCs w:val="21"/>
                <w:lang w:val="en-US" w:eastAsia="zh-CN"/>
              </w:rPr>
              <w:t>并已完成</w:t>
            </w:r>
            <w:r>
              <w:rPr>
                <w:rFonts w:hint="eastAsia" w:hAnsi="宋体" w:cs="宋体"/>
                <w:sz w:val="21"/>
                <w:szCs w:val="21"/>
              </w:rPr>
              <w:t>类似</w:t>
            </w:r>
            <w:r>
              <w:rPr>
                <w:rFonts w:hint="eastAsia" w:hAnsi="宋体" w:cs="宋体"/>
                <w:sz w:val="21"/>
                <w:szCs w:val="21"/>
                <w:lang w:val="en-US" w:eastAsia="zh-CN"/>
              </w:rPr>
              <w:t>改造项目</w:t>
            </w:r>
            <w:r>
              <w:rPr>
                <w:rFonts w:hint="eastAsia" w:hAnsi="宋体" w:cs="宋体"/>
                <w:sz w:val="21"/>
                <w:szCs w:val="21"/>
              </w:rPr>
              <w:t>业绩的，每提供一个得</w:t>
            </w:r>
            <w:r>
              <w:rPr>
                <w:rFonts w:hint="eastAsia" w:hAnsi="宋体" w:cs="宋体"/>
                <w:sz w:val="21"/>
                <w:szCs w:val="21"/>
                <w:lang w:val="en-US" w:eastAsia="zh-CN"/>
              </w:rPr>
              <w:t>3</w:t>
            </w:r>
            <w:r>
              <w:rPr>
                <w:rFonts w:hint="eastAsia" w:hAnsi="宋体" w:cs="宋体"/>
                <w:sz w:val="21"/>
                <w:szCs w:val="21"/>
              </w:rPr>
              <w:t>分，满分</w:t>
            </w:r>
            <w:r>
              <w:rPr>
                <w:rFonts w:hint="eastAsia" w:hAnsi="宋体" w:cs="宋体"/>
                <w:sz w:val="21"/>
                <w:szCs w:val="21"/>
                <w:lang w:val="en-US" w:eastAsia="zh-CN"/>
              </w:rPr>
              <w:t>9</w:t>
            </w:r>
            <w:r>
              <w:rPr>
                <w:rFonts w:hint="eastAsia" w:hAnsi="宋体" w:cs="宋体"/>
                <w:sz w:val="21"/>
                <w:szCs w:val="21"/>
              </w:rPr>
              <w:t>分。</w:t>
            </w:r>
          </w:p>
          <w:p w14:paraId="19137ED5">
            <w:pPr>
              <w:spacing w:line="360" w:lineRule="auto"/>
              <w:ind w:firstLine="420" w:firstLineChars="200"/>
              <w:rPr>
                <w:rFonts w:hint="default" w:eastAsia="宋体"/>
                <w:lang w:val="en-US" w:eastAsia="zh-CN"/>
              </w:rPr>
            </w:pPr>
            <w:r>
              <w:rPr>
                <w:rFonts w:hint="eastAsia" w:hAnsi="宋体" w:cs="宋体"/>
                <w:sz w:val="21"/>
                <w:szCs w:val="21"/>
              </w:rPr>
              <w:t>（提供成交通知书或中标通知书、施工合同和竣工验收证明材料复印件并加盖公章，三者缺一不可，时间以竣工验收证明时间为准；以上证明材料必须能够反映相关数据，否则视作未提供。项目负责人业绩与企业业绩不可兼得。）</w:t>
            </w:r>
          </w:p>
        </w:tc>
        <w:tc>
          <w:tcPr>
            <w:tcW w:w="731" w:type="dxa"/>
            <w:vAlign w:val="center"/>
          </w:tcPr>
          <w:p w14:paraId="4B10F9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9</w:t>
            </w:r>
          </w:p>
        </w:tc>
      </w:tr>
      <w:tr w14:paraId="42BE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551" w:type="dxa"/>
            <w:gridSpan w:val="3"/>
            <w:vAlign w:val="center"/>
          </w:tcPr>
          <w:p w14:paraId="091920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合计</w:t>
            </w:r>
          </w:p>
        </w:tc>
        <w:tc>
          <w:tcPr>
            <w:tcW w:w="731" w:type="dxa"/>
            <w:vAlign w:val="center"/>
          </w:tcPr>
          <w:p w14:paraId="29E70C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100</w:t>
            </w:r>
          </w:p>
        </w:tc>
      </w:tr>
    </w:tbl>
    <w:p w14:paraId="5BBFE534">
      <w:pPr>
        <w:snapToGrid w:val="0"/>
        <w:spacing w:line="360" w:lineRule="auto"/>
        <w:ind w:left="0" w:leftChars="0" w:firstLine="0" w:firstLineChars="0"/>
        <w:rPr>
          <w:rFonts w:hint="eastAsia" w:ascii="宋体" w:hAnsi="宋体" w:eastAsia="宋体" w:cs="宋体"/>
        </w:rPr>
      </w:pPr>
      <w:r>
        <w:rPr>
          <w:rFonts w:hint="eastAsia" w:ascii="宋体" w:hAnsi="宋体" w:eastAsia="宋体" w:cs="宋体"/>
        </w:rPr>
        <w:t>说明：</w:t>
      </w:r>
      <w:bookmarkStart w:id="5" w:name="_Toc137059434"/>
      <w:bookmarkStart w:id="6" w:name="_Toc137059253"/>
      <w:r>
        <w:rPr>
          <w:rFonts w:hint="eastAsia" w:ascii="宋体" w:hAnsi="宋体" w:eastAsia="宋体" w:cs="宋体"/>
        </w:rPr>
        <w:t>1.所有证明文件均需提供有效的复印件（扫描件）。</w:t>
      </w:r>
      <w:bookmarkEnd w:id="5"/>
      <w:bookmarkEnd w:id="6"/>
    </w:p>
    <w:p w14:paraId="4596D806">
      <w:pPr>
        <w:snapToGrid w:val="0"/>
        <w:spacing w:line="360" w:lineRule="auto"/>
        <w:ind w:firstLine="630" w:firstLineChars="300"/>
        <w:rPr>
          <w:rFonts w:hint="eastAsia" w:ascii="宋体" w:hAnsi="宋体" w:eastAsia="宋体" w:cs="宋体"/>
        </w:rPr>
      </w:pPr>
      <w:bookmarkStart w:id="7" w:name="_Toc137059435"/>
      <w:bookmarkStart w:id="8" w:name="_Toc137059254"/>
      <w:r>
        <w:rPr>
          <w:rFonts w:hint="eastAsia" w:ascii="宋体" w:hAnsi="宋体" w:eastAsia="宋体" w:cs="宋体"/>
        </w:rPr>
        <w:t>2.小微企业价格扣除</w:t>
      </w:r>
      <w:bookmarkEnd w:id="7"/>
      <w:bookmarkEnd w:id="8"/>
    </w:p>
    <w:p w14:paraId="1A20D52E">
      <w:pPr>
        <w:snapToGrid w:val="0"/>
        <w:spacing w:line="360" w:lineRule="auto"/>
        <w:ind w:firstLine="630" w:firstLineChars="300"/>
        <w:rPr>
          <w:rFonts w:hint="eastAsia" w:ascii="宋体" w:hAnsi="宋体" w:eastAsia="宋体" w:cs="宋体"/>
        </w:rPr>
      </w:pPr>
      <w:bookmarkStart w:id="9" w:name="_Toc137059255"/>
      <w:bookmarkStart w:id="10" w:name="_Toc137059436"/>
      <w:r>
        <w:rPr>
          <w:rFonts w:hint="eastAsia" w:ascii="宋体" w:hAnsi="宋体" w:eastAsia="宋体" w:cs="宋体"/>
        </w:rPr>
        <w:t>2.1对于专门面向中小企业或小型、微型企业的项目，只面向中小企业或小型、微型企业采购。不执行价格评审优惠的扶持政策。</w:t>
      </w:r>
    </w:p>
    <w:p w14:paraId="773FB254">
      <w:pPr>
        <w:snapToGrid w:val="0"/>
        <w:spacing w:line="360" w:lineRule="auto"/>
        <w:ind w:firstLine="630" w:firstLineChars="300"/>
        <w:rPr>
          <w:rFonts w:hint="eastAsia" w:ascii="宋体" w:hAnsi="宋体" w:eastAsia="宋体" w:cs="宋体"/>
        </w:rPr>
      </w:pPr>
      <w:r>
        <w:rPr>
          <w:rFonts w:hint="eastAsia" w:ascii="宋体" w:hAnsi="宋体" w:eastAsia="宋体" w:cs="宋体"/>
        </w:rPr>
        <w:t>对于非专门面向中小企业的项目，对小型和微型企业的价格给予10%的扣除，用扣除后的价格参与评审。</w:t>
      </w:r>
      <w:bookmarkEnd w:id="9"/>
      <w:bookmarkEnd w:id="10"/>
    </w:p>
    <w:p w14:paraId="73F41E01">
      <w:pPr>
        <w:snapToGrid w:val="0"/>
        <w:spacing w:line="360" w:lineRule="auto"/>
        <w:ind w:firstLine="630" w:firstLineChars="300"/>
        <w:rPr>
          <w:rFonts w:hint="eastAsia" w:ascii="宋体" w:hAnsi="宋体" w:eastAsia="宋体" w:cs="宋体"/>
        </w:rPr>
      </w:pPr>
      <w:bookmarkStart w:id="11" w:name="_Toc137059437"/>
      <w:bookmarkStart w:id="12" w:name="_Toc137059256"/>
      <w:r>
        <w:rPr>
          <w:rFonts w:hint="eastAsia" w:ascii="宋体" w:hAnsi="宋体" w:eastAsia="宋体" w:cs="宋体"/>
        </w:rPr>
        <w:t>2.2大中型企业和其他自然人、法人或者其他组织与小型、微型企业组成联合体共同参加，如果联合协议中约定，小型、微型企业的协议合同金额占到联合体协议合同总金额30%以上的，给予联合体2%的价格扣除。联合体各方均为小型、微型企业的，联合体视同为小型、微型企业给予10%价格扣除，用扣除后的价格参与评审。组成联合体的大中型企业和其他自然人、法人或者其他组织，与小型、微型企业之间不得存在投资关系。</w:t>
      </w:r>
      <w:bookmarkEnd w:id="11"/>
      <w:bookmarkEnd w:id="12"/>
    </w:p>
    <w:p w14:paraId="3EABFCE6">
      <w:pPr>
        <w:snapToGrid w:val="0"/>
        <w:spacing w:line="360" w:lineRule="auto"/>
        <w:ind w:firstLine="630" w:firstLineChars="300"/>
        <w:rPr>
          <w:rFonts w:hint="eastAsia" w:ascii="宋体" w:hAnsi="宋体" w:eastAsia="宋体" w:cs="宋体"/>
        </w:rPr>
      </w:pPr>
      <w:bookmarkStart w:id="13" w:name="_Toc137059257"/>
      <w:bookmarkStart w:id="14" w:name="_Toc137059438"/>
      <w:r>
        <w:rPr>
          <w:rFonts w:hint="eastAsia" w:ascii="宋体" w:hAnsi="宋体" w:eastAsia="宋体" w:cs="宋体"/>
        </w:rPr>
        <w:t>3.监狱和戒毒企业的价格扣除</w:t>
      </w:r>
      <w:bookmarkEnd w:id="13"/>
      <w:bookmarkEnd w:id="14"/>
    </w:p>
    <w:p w14:paraId="6EC0E4B9">
      <w:pPr>
        <w:snapToGrid w:val="0"/>
        <w:spacing w:line="360" w:lineRule="auto"/>
        <w:ind w:firstLine="630" w:firstLineChars="300"/>
        <w:rPr>
          <w:rFonts w:hint="eastAsia" w:ascii="宋体" w:hAnsi="宋体" w:eastAsia="宋体" w:cs="宋体"/>
        </w:rPr>
      </w:pPr>
      <w:bookmarkStart w:id="15" w:name="_Toc137059439"/>
      <w:bookmarkStart w:id="16" w:name="_Toc137059258"/>
      <w:r>
        <w:rPr>
          <w:rFonts w:hint="eastAsia" w:ascii="宋体" w:hAnsi="宋体" w:eastAsia="宋体" w:cs="宋体"/>
        </w:rPr>
        <w:t>3.1 本项目对监狱和戒毒企业，给予10%的价格扣除，用扣除后的价格参与评审。</w:t>
      </w:r>
      <w:bookmarkEnd w:id="15"/>
      <w:bookmarkEnd w:id="16"/>
    </w:p>
    <w:p w14:paraId="192FD319">
      <w:pPr>
        <w:snapToGrid w:val="0"/>
        <w:spacing w:line="360" w:lineRule="auto"/>
        <w:ind w:firstLine="630" w:firstLineChars="300"/>
        <w:rPr>
          <w:rFonts w:hint="eastAsia" w:ascii="宋体" w:hAnsi="宋体" w:eastAsia="宋体" w:cs="宋体"/>
        </w:rPr>
      </w:pPr>
      <w:bookmarkStart w:id="17" w:name="_Toc137059259"/>
      <w:bookmarkStart w:id="18" w:name="_Toc137059440"/>
      <w:r>
        <w:rPr>
          <w:rFonts w:hint="eastAsia" w:ascii="宋体" w:hAnsi="宋体" w:eastAsia="宋体" w:cs="宋体"/>
        </w:rPr>
        <w:t>3.2 监狱企业需提供由省级以上监狱管理局、戒毒管理局（含新疆生产建设兵团）出具的属于监狱企业的证明文件。</w:t>
      </w:r>
      <w:bookmarkEnd w:id="17"/>
      <w:bookmarkEnd w:id="18"/>
    </w:p>
    <w:p w14:paraId="3E171D7E">
      <w:pPr>
        <w:snapToGrid w:val="0"/>
        <w:spacing w:line="360" w:lineRule="auto"/>
        <w:ind w:firstLine="630" w:firstLineChars="300"/>
        <w:rPr>
          <w:rFonts w:hint="eastAsia" w:ascii="宋体" w:hAnsi="宋体" w:eastAsia="宋体" w:cs="宋体"/>
        </w:rPr>
      </w:pPr>
      <w:bookmarkStart w:id="19" w:name="_Toc137059441"/>
      <w:bookmarkStart w:id="20" w:name="_Toc137059260"/>
      <w:r>
        <w:rPr>
          <w:rFonts w:hint="eastAsia" w:ascii="宋体" w:hAnsi="宋体" w:eastAsia="宋体" w:cs="宋体"/>
        </w:rPr>
        <w:t>3.3 监狱企业标准请参照《关于政府采购支持监狱企业发展有关问题的通知》（财库〔2014〕68号）。</w:t>
      </w:r>
      <w:bookmarkEnd w:id="19"/>
      <w:bookmarkEnd w:id="20"/>
    </w:p>
    <w:p w14:paraId="329A369C">
      <w:pPr>
        <w:snapToGrid w:val="0"/>
        <w:spacing w:line="360" w:lineRule="auto"/>
        <w:ind w:firstLine="630" w:firstLineChars="300"/>
        <w:rPr>
          <w:rFonts w:hint="eastAsia" w:ascii="宋体" w:hAnsi="宋体" w:eastAsia="宋体" w:cs="宋体"/>
        </w:rPr>
      </w:pPr>
      <w:bookmarkStart w:id="21" w:name="_Toc137059442"/>
      <w:bookmarkStart w:id="22" w:name="_Toc137059261"/>
      <w:r>
        <w:rPr>
          <w:rFonts w:hint="eastAsia" w:ascii="宋体" w:hAnsi="宋体" w:eastAsia="宋体" w:cs="宋体"/>
        </w:rPr>
        <w:t>4.残疾人福利性单位的价格扣除</w:t>
      </w:r>
      <w:bookmarkEnd w:id="21"/>
      <w:bookmarkEnd w:id="22"/>
    </w:p>
    <w:p w14:paraId="7DC3CE29">
      <w:pPr>
        <w:snapToGrid w:val="0"/>
        <w:spacing w:line="360" w:lineRule="auto"/>
        <w:ind w:firstLine="630" w:firstLineChars="300"/>
        <w:rPr>
          <w:rFonts w:hint="eastAsia" w:ascii="宋体" w:hAnsi="宋体" w:eastAsia="宋体" w:cs="宋体"/>
        </w:rPr>
      </w:pPr>
      <w:bookmarkStart w:id="23" w:name="_Toc137059443"/>
      <w:bookmarkStart w:id="24" w:name="_Toc137059262"/>
      <w:r>
        <w:rPr>
          <w:rFonts w:hint="eastAsia" w:ascii="宋体" w:hAnsi="宋体" w:eastAsia="宋体" w:cs="宋体"/>
        </w:rPr>
        <w:t>4.1 本项目对残疾人福利性单位，给予10%的价格扣除，用扣除后的价格参与评审。</w:t>
      </w:r>
      <w:bookmarkEnd w:id="23"/>
      <w:bookmarkEnd w:id="24"/>
    </w:p>
    <w:p w14:paraId="0900ADEE">
      <w:pPr>
        <w:snapToGrid w:val="0"/>
        <w:spacing w:line="360" w:lineRule="auto"/>
        <w:ind w:firstLine="630" w:firstLineChars="300"/>
        <w:rPr>
          <w:rFonts w:hint="eastAsia" w:ascii="宋体" w:hAnsi="宋体" w:eastAsia="宋体" w:cs="宋体"/>
        </w:rPr>
      </w:pPr>
      <w:bookmarkStart w:id="25" w:name="_Toc137059263"/>
      <w:bookmarkStart w:id="26" w:name="_Toc137059444"/>
      <w:r>
        <w:rPr>
          <w:rFonts w:hint="eastAsia" w:ascii="宋体" w:hAnsi="宋体" w:eastAsia="宋体" w:cs="宋体"/>
        </w:rPr>
        <w:t>4.2 残疾人福利性单位需提供《残疾人福利性单位声明函》。</w:t>
      </w:r>
      <w:bookmarkEnd w:id="25"/>
      <w:bookmarkEnd w:id="26"/>
    </w:p>
    <w:p w14:paraId="40EEDFDE">
      <w:pPr>
        <w:snapToGrid w:val="0"/>
        <w:spacing w:line="360" w:lineRule="auto"/>
        <w:ind w:firstLine="630" w:firstLineChars="300"/>
        <w:rPr>
          <w:rFonts w:hint="eastAsia" w:ascii="宋体" w:hAnsi="宋体" w:eastAsia="宋体" w:cs="宋体"/>
        </w:rPr>
      </w:pPr>
      <w:bookmarkStart w:id="27" w:name="_Toc137059445"/>
      <w:bookmarkStart w:id="28" w:name="_Toc137059264"/>
      <w:r>
        <w:rPr>
          <w:rFonts w:hint="eastAsia" w:ascii="宋体" w:hAnsi="宋体" w:eastAsia="宋体" w:cs="宋体"/>
        </w:rPr>
        <w:t>4.3 残疾人福利性单位标准请参照《关于促进残疾人就业政府采购政策的通知》（财库〔2017〕141号）。</w:t>
      </w:r>
      <w:bookmarkEnd w:id="27"/>
      <w:bookmarkEnd w:id="28"/>
    </w:p>
    <w:p w14:paraId="183ED649">
      <w:pPr>
        <w:snapToGrid w:val="0"/>
        <w:spacing w:line="360" w:lineRule="auto"/>
        <w:ind w:firstLine="630" w:firstLineChars="300"/>
        <w:rPr>
          <w:rFonts w:hint="eastAsia" w:ascii="宋体" w:hAnsi="宋体" w:eastAsia="宋体" w:cs="宋体"/>
        </w:rPr>
      </w:pPr>
      <w:bookmarkStart w:id="29" w:name="_Toc137059265"/>
      <w:bookmarkStart w:id="30" w:name="_Toc137059446"/>
      <w:r>
        <w:rPr>
          <w:rFonts w:hint="eastAsia" w:ascii="宋体" w:hAnsi="宋体" w:eastAsia="宋体" w:cs="宋体"/>
        </w:rPr>
        <w:t>5. 监狱企业、残疾人福利性单位属于小型、微型企业的，不重复享受政策。</w:t>
      </w:r>
      <w:bookmarkEnd w:id="29"/>
      <w:bookmarkEnd w:id="30"/>
    </w:p>
    <w:p w14:paraId="73306489">
      <w:pPr>
        <w:snapToGrid w:val="0"/>
        <w:spacing w:line="360" w:lineRule="auto"/>
        <w:ind w:firstLine="630" w:firstLineChars="300"/>
        <w:rPr>
          <w:rFonts w:hint="eastAsia" w:ascii="宋体" w:hAnsi="宋体" w:eastAsia="宋体" w:cs="宋体"/>
        </w:rPr>
      </w:pPr>
      <w:r>
        <w:rPr>
          <w:rFonts w:hint="eastAsia" w:ascii="宋体" w:hAnsi="宋体" w:eastAsia="宋体" w:cs="宋体"/>
        </w:rPr>
        <w:t>6.定标办法:从评标报告中</w:t>
      </w:r>
      <w:r>
        <w:rPr>
          <w:rFonts w:hint="eastAsia" w:ascii="宋体" w:hAnsi="宋体" w:eastAsia="宋体" w:cs="宋体"/>
          <w:lang w:eastAsia="zh-CN"/>
        </w:rPr>
        <w:t>投标文件</w:t>
      </w:r>
      <w:r>
        <w:rPr>
          <w:rFonts w:hint="eastAsia" w:ascii="宋体" w:hAnsi="宋体" w:eastAsia="宋体" w:cs="宋体"/>
        </w:rPr>
        <w:t>满足招标文件全部实质性要求，按“第三章 评标办法与标准” 综合总得分最高的供应商为排名第一;确定排名第一的为成交供应商。如最终综合总得分相同的，按以下方式排序:，</w:t>
      </w:r>
    </w:p>
    <w:p w14:paraId="3F1DCCAA">
      <w:pPr>
        <w:snapToGrid w:val="0"/>
        <w:spacing w:line="360" w:lineRule="auto"/>
        <w:ind w:left="0" w:leftChars="0" w:firstLine="638" w:firstLineChars="304"/>
        <w:rPr>
          <w:rFonts w:hint="eastAsia" w:ascii="宋体" w:hAnsi="宋体" w:eastAsia="宋体" w:cs="宋体"/>
        </w:rPr>
      </w:pPr>
      <w:r>
        <w:rPr>
          <w:rFonts w:hint="eastAsia" w:ascii="宋体" w:hAnsi="宋体" w:eastAsia="宋体" w:cs="宋体"/>
        </w:rPr>
        <w:t>①如综合总得分相同的，按</w:t>
      </w:r>
      <w:r>
        <w:rPr>
          <w:rFonts w:hint="eastAsia" w:ascii="宋体" w:hAnsi="宋体" w:eastAsia="宋体" w:cs="宋体"/>
          <w:lang w:eastAsia="zh-CN"/>
        </w:rPr>
        <w:t>投标</w:t>
      </w:r>
      <w:r>
        <w:rPr>
          <w:rFonts w:hint="eastAsia" w:ascii="宋体" w:hAnsi="宋体" w:eastAsia="宋体" w:cs="宋体"/>
        </w:rPr>
        <w:t>报价得分由高到低排列;，</w:t>
      </w:r>
    </w:p>
    <w:p w14:paraId="12382887">
      <w:pPr>
        <w:snapToGrid w:val="0"/>
        <w:spacing w:line="360" w:lineRule="auto"/>
        <w:ind w:firstLine="630" w:firstLineChars="300"/>
        <w:rPr>
          <w:rFonts w:hint="eastAsia" w:ascii="宋体" w:hAnsi="宋体" w:eastAsia="宋体" w:cs="宋体"/>
        </w:rPr>
      </w:pPr>
      <w:r>
        <w:rPr>
          <w:rFonts w:hint="eastAsia" w:ascii="宋体" w:hAnsi="宋体" w:eastAsia="宋体" w:cs="宋体"/>
        </w:rPr>
        <w:t>②如综合总得分且报价得分相同的，按技术方案部分由高到低排列;</w:t>
      </w:r>
    </w:p>
    <w:p w14:paraId="7B1B6BC0">
      <w:pPr>
        <w:snapToGrid w:val="0"/>
        <w:spacing w:line="360" w:lineRule="auto"/>
        <w:ind w:firstLine="630" w:firstLineChars="300"/>
        <w:rPr>
          <w:rFonts w:hint="eastAsia" w:ascii="宋体" w:hAnsi="宋体" w:eastAsia="宋体" w:cs="宋体"/>
        </w:rPr>
      </w:pPr>
      <w:r>
        <w:rPr>
          <w:rFonts w:hint="eastAsia" w:ascii="宋体" w:hAnsi="宋体" w:eastAsia="宋体" w:cs="宋体"/>
        </w:rPr>
        <w:t>③如综合总得分、报价、技术方案部分均相同的，由评标小组随机抽签决定。</w:t>
      </w:r>
    </w:p>
    <w:p w14:paraId="256C0C22">
      <w:pPr>
        <w:snapToGrid w:val="0"/>
        <w:spacing w:line="360" w:lineRule="auto"/>
        <w:rPr>
          <w:rFonts w:hint="eastAsia" w:ascii="宋体" w:hAnsi="宋体" w:eastAsia="宋体" w:cs="宋体"/>
        </w:rPr>
      </w:pPr>
    </w:p>
    <w:p w14:paraId="7F47F4F1">
      <w:pP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br w:type="page"/>
      </w:r>
    </w:p>
    <w:p w14:paraId="460955F3">
      <w:pPr>
        <w:pStyle w:val="18"/>
        <w:numPr>
          <w:ilvl w:val="0"/>
          <w:numId w:val="2"/>
        </w:numPr>
        <w:rPr>
          <w:rFonts w:hint="eastAsia" w:ascii="宋体" w:hAnsi="宋体" w:eastAsia="宋体" w:cs="宋体"/>
        </w:rPr>
      </w:pPr>
      <w:bookmarkStart w:id="31" w:name="_Toc534273795"/>
      <w:bookmarkEnd w:id="31"/>
      <w:r>
        <w:rPr>
          <w:rFonts w:hint="eastAsia" w:ascii="宋体" w:hAnsi="宋体" w:eastAsia="宋体" w:cs="宋体"/>
        </w:rPr>
        <w:t>采购需求</w:t>
      </w:r>
    </w:p>
    <w:p w14:paraId="000A6588">
      <w:pPr>
        <w:snapToGrid w:val="0"/>
        <w:spacing w:line="360"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一、项目清单：</w:t>
      </w:r>
      <w:r>
        <w:rPr>
          <w:rFonts w:hint="eastAsia" w:ascii="宋体" w:hAnsi="宋体" w:eastAsia="宋体" w:cs="宋体"/>
          <w:szCs w:val="21"/>
          <w:highlight w:val="none"/>
        </w:rPr>
        <w:t>具体以工程量清单为准，详见附件。</w:t>
      </w:r>
    </w:p>
    <w:p w14:paraId="2EEBDF77">
      <w:pPr>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二、商务部分要求：</w:t>
      </w:r>
    </w:p>
    <w:p w14:paraId="613413E0">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（一）交付要求：</w:t>
      </w:r>
    </w:p>
    <w:p w14:paraId="2DE212B1">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1、工期：</w:t>
      </w:r>
      <w:r>
        <w:rPr>
          <w:rFonts w:hint="eastAsia" w:ascii="宋体" w:hAnsi="宋体" w:eastAsia="宋体" w:cs="宋体"/>
          <w:sz w:val="21"/>
          <w:szCs w:val="21"/>
        </w:rPr>
        <w:t>自合同签订之日起</w:t>
      </w:r>
      <w:r>
        <w:rPr>
          <w:rFonts w:hint="eastAsia" w:cs="宋体"/>
          <w:sz w:val="21"/>
          <w:szCs w:val="21"/>
          <w:highlight w:val="none"/>
          <w:lang w:val="en-US" w:eastAsia="zh-CN"/>
        </w:rPr>
        <w:t>20</w:t>
      </w:r>
      <w:r>
        <w:rPr>
          <w:rFonts w:hint="eastAsia" w:ascii="宋体" w:hAnsi="宋体" w:eastAsia="宋体" w:cs="宋体"/>
          <w:sz w:val="21"/>
          <w:szCs w:val="21"/>
        </w:rPr>
        <w:t>日历天完成施工并完成相关验收，确保采购人可正常使用；具体施工时间按采购人要求</w:t>
      </w:r>
      <w:r>
        <w:rPr>
          <w:rFonts w:hint="eastAsia" w:ascii="宋体" w:hAnsi="宋体" w:eastAsia="宋体" w:cs="宋体"/>
          <w:spacing w:val="8"/>
          <w:kern w:val="0"/>
          <w:highlight w:val="none"/>
          <w:lang w:val="en-US" w:eastAsia="zh-CN"/>
        </w:rPr>
        <w:t>。</w:t>
      </w:r>
    </w:p>
    <w:p w14:paraId="3F6BA706">
      <w:pPr>
        <w:snapToGrid w:val="0"/>
        <w:spacing w:line="360" w:lineRule="auto"/>
        <w:ind w:firstLine="420" w:firstLineChars="200"/>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pPr>
      <w:r>
        <w:rPr>
          <w:rFonts w:hint="eastAsia" w:ascii="宋体" w:hAnsi="宋体" w:eastAsia="宋体" w:cs="宋体"/>
          <w:szCs w:val="21"/>
          <w:highlight w:val="none"/>
        </w:rPr>
        <w:t>2、施工地点：</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南京市规划与自然资源局南楼，高家酒馆15号1楼。</w:t>
      </w:r>
    </w:p>
    <w:p w14:paraId="3D5514FD">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（二）其他要求：</w:t>
      </w:r>
    </w:p>
    <w:p w14:paraId="5D41F144">
      <w:pPr>
        <w:snapToGrid w:val="0"/>
        <w:spacing w:line="360" w:lineRule="auto"/>
        <w:ind w:firstLine="420" w:firstLineChars="200"/>
        <w:rPr>
          <w:rFonts w:hint="default" w:ascii="宋体" w:hAnsi="宋体" w:eastAsia="宋体" w:cs="宋体"/>
          <w:highlight w:val="none"/>
          <w:lang w:val="en-US" w:eastAsia="zh-CN"/>
        </w:rPr>
      </w:pPr>
      <w:r>
        <w:rPr>
          <w:rFonts w:hint="eastAsia" w:ascii="宋体" w:hAnsi="宋体" w:eastAsia="宋体" w:cs="宋体"/>
          <w:szCs w:val="21"/>
          <w:highlight w:val="none"/>
        </w:rPr>
        <w:t>1、供应商应采取安全措施，确保施工安全。因本项目施工产生的施工人员和相关人员人生安全问题由供应商承担全部责任。</w:t>
      </w:r>
      <w:r>
        <w:rPr>
          <w:rFonts w:hint="eastAsia" w:ascii="宋体" w:hAnsi="宋体" w:eastAsia="宋体" w:cs="宋体"/>
          <w:highlight w:val="none"/>
        </w:rPr>
        <w:t>施工现场需做好安全防护措施，搭建安全围挡、警戒线、摆放指引牌，作业期间安排专职人员看守现场周围。如作业期间发生安全事故</w:t>
      </w:r>
      <w:r>
        <w:rPr>
          <w:rFonts w:hint="eastAsia" w:cs="宋体"/>
          <w:highlight w:val="none"/>
          <w:lang w:val="en-US" w:eastAsia="zh-CN"/>
        </w:rPr>
        <w:t>及人员伤亡</w:t>
      </w:r>
      <w:r>
        <w:rPr>
          <w:rFonts w:hint="eastAsia" w:ascii="宋体" w:hAnsi="宋体" w:eastAsia="宋体" w:cs="宋体"/>
          <w:highlight w:val="none"/>
        </w:rPr>
        <w:t>，由供应商承担全部后果并承担相应赔偿。</w:t>
      </w:r>
      <w:r>
        <w:rPr>
          <w:rFonts w:hint="eastAsia" w:cs="宋体"/>
          <w:highlight w:val="none"/>
          <w:lang w:val="en-US" w:eastAsia="zh-CN"/>
        </w:rPr>
        <w:t>施工期间，需服从采购人统一管理。</w:t>
      </w:r>
    </w:p>
    <w:p w14:paraId="7FD3BFA1">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2、其他具体要求及需求以工程量清单及合同为准，采购人有权根据实际情况调整项目的需求。</w:t>
      </w:r>
    </w:p>
    <w:p w14:paraId="272E0FB4">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3、报价应是</w:t>
      </w:r>
      <w:r>
        <w:rPr>
          <w:rFonts w:hint="eastAsia" w:cs="宋体"/>
          <w:szCs w:val="21"/>
          <w:highlight w:val="none"/>
          <w:lang w:val="en-US" w:eastAsia="zh-CN"/>
        </w:rPr>
        <w:t>竞争性磋商</w:t>
      </w:r>
      <w:r>
        <w:rPr>
          <w:rFonts w:hint="eastAsia" w:ascii="宋体" w:hAnsi="宋体" w:eastAsia="宋体" w:cs="宋体"/>
          <w:szCs w:val="21"/>
          <w:highlight w:val="none"/>
        </w:rPr>
        <w:t>文件所确定的采购范围内的全部工作内容的价格体现。单价及合价应包括本次采购范围内全部材料的价格及设备费（含备品备件）、预埋费、成品保护费、人工费、材料费（材料损耗）、机械使用费、包装费、运杂费（运抵买方工地现场及下力费、保险费）、资料费、安装费、调试费、清洁卫生费、垃圾清运费、售后服务及维护费、图纸范围内发生的所有费用以及供应商认为需要的其他费用。在验收过程中，如发现有漏项、缺件，</w:t>
      </w:r>
      <w:r>
        <w:rPr>
          <w:rFonts w:hint="eastAsia" w:cs="宋体"/>
          <w:szCs w:val="21"/>
          <w:highlight w:val="none"/>
          <w:lang w:val="en-US" w:eastAsia="zh-CN"/>
        </w:rPr>
        <w:t>供应商</w:t>
      </w:r>
      <w:r>
        <w:rPr>
          <w:rFonts w:hint="eastAsia" w:ascii="宋体" w:hAnsi="宋体" w:eastAsia="宋体" w:cs="宋体"/>
          <w:szCs w:val="21"/>
          <w:highlight w:val="none"/>
        </w:rPr>
        <w:t>应无条件、无偿补齐，所发生的一切费用视为已包含在</w:t>
      </w:r>
      <w:r>
        <w:rPr>
          <w:rFonts w:hint="eastAsia" w:cs="宋体"/>
          <w:szCs w:val="21"/>
          <w:highlight w:val="none"/>
          <w:lang w:val="en-US" w:eastAsia="zh-CN"/>
        </w:rPr>
        <w:t>供应商</w:t>
      </w:r>
      <w:r>
        <w:rPr>
          <w:rFonts w:hint="eastAsia" w:ascii="宋体" w:hAnsi="宋体" w:eastAsia="宋体" w:cs="宋体"/>
          <w:szCs w:val="21"/>
          <w:highlight w:val="none"/>
        </w:rPr>
        <w:t>的报价之中，且并不因此影响交付</w:t>
      </w:r>
      <w:r>
        <w:rPr>
          <w:rFonts w:hint="eastAsia" w:cs="宋体"/>
          <w:szCs w:val="21"/>
          <w:highlight w:val="none"/>
          <w:lang w:val="en-US" w:eastAsia="zh-CN"/>
        </w:rPr>
        <w:t>采购人</w:t>
      </w:r>
      <w:r>
        <w:rPr>
          <w:rFonts w:hint="eastAsia" w:ascii="宋体" w:hAnsi="宋体" w:eastAsia="宋体" w:cs="宋体"/>
          <w:szCs w:val="21"/>
          <w:highlight w:val="none"/>
        </w:rPr>
        <w:t>使用的时间。</w:t>
      </w:r>
    </w:p>
    <w:p w14:paraId="6F83D027">
      <w:pPr>
        <w:pStyle w:val="6"/>
        <w:spacing w:line="360" w:lineRule="auto"/>
        <w:rPr>
          <w:rFonts w:hint="eastAsia" w:ascii="宋体" w:hAnsi="宋体" w:eastAsia="宋体" w:cs="宋体"/>
          <w:highlight w:val="none"/>
        </w:rPr>
      </w:pPr>
      <w:r>
        <w:rPr>
          <w:rFonts w:hint="eastAsia" w:ascii="宋体" w:hAnsi="宋体" w:eastAsia="宋体" w:cs="宋体"/>
          <w:highlight w:val="none"/>
        </w:rPr>
        <w:t>4、施工期间内，现场所有半成品、施工材料、机械等保护费用均由施工单位自行承担；如出现分期施工，施工方需考虑相关保护措施，此价格需包含在报价中。</w:t>
      </w:r>
    </w:p>
    <w:p w14:paraId="4AA649E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5、缺陷责任期内，</w:t>
      </w:r>
      <w:r>
        <w:rPr>
          <w:rFonts w:hint="eastAsia" w:ascii="宋体" w:hAnsi="宋体" w:cs="宋体"/>
          <w:szCs w:val="21"/>
          <w:highlight w:val="none"/>
        </w:rPr>
        <w:t>接到</w:t>
      </w:r>
      <w:r>
        <w:rPr>
          <w:rFonts w:hint="eastAsia" w:ascii="宋体" w:hAnsi="宋体" w:cs="宋体"/>
          <w:szCs w:val="21"/>
          <w:highlight w:val="none"/>
          <w:lang w:val="en-US" w:eastAsia="zh-CN"/>
        </w:rPr>
        <w:t>采购人</w:t>
      </w:r>
      <w:r>
        <w:rPr>
          <w:rFonts w:hint="eastAsia" w:ascii="宋体" w:hAnsi="宋体" w:cs="宋体"/>
          <w:szCs w:val="21"/>
          <w:highlight w:val="none"/>
        </w:rPr>
        <w:t>通知，须</w:t>
      </w:r>
      <w:r>
        <w:rPr>
          <w:rFonts w:hint="eastAsia" w:cs="宋体"/>
          <w:szCs w:val="21"/>
          <w:highlight w:val="none"/>
          <w:lang w:val="en-US" w:eastAsia="zh-CN"/>
        </w:rPr>
        <w:t>12</w:t>
      </w:r>
      <w:r>
        <w:rPr>
          <w:rFonts w:hint="eastAsia" w:ascii="宋体" w:hAnsi="宋体" w:cs="宋体"/>
          <w:szCs w:val="21"/>
          <w:highlight w:val="none"/>
        </w:rPr>
        <w:t>小时内响应，</w:t>
      </w:r>
      <w:r>
        <w:rPr>
          <w:rFonts w:hint="eastAsia" w:cs="宋体"/>
          <w:szCs w:val="21"/>
          <w:highlight w:val="none"/>
          <w:lang w:val="en-US" w:eastAsia="zh-CN"/>
        </w:rPr>
        <w:t>24</w:t>
      </w:r>
      <w:r>
        <w:rPr>
          <w:rFonts w:hint="eastAsia" w:ascii="宋体" w:hAnsi="宋体" w:cs="宋体"/>
          <w:szCs w:val="21"/>
          <w:highlight w:val="none"/>
        </w:rPr>
        <w:t>小时内维修。如未按上述时间、响应，采购人有权自行处理，相关费用从</w:t>
      </w:r>
      <w:r>
        <w:rPr>
          <w:rFonts w:ascii="宋体" w:hAnsi="宋体" w:cs="宋体"/>
          <w:color w:val="000000"/>
          <w:highlight w:val="none"/>
        </w:rPr>
        <w:t>工程尾款</w:t>
      </w:r>
      <w:r>
        <w:rPr>
          <w:rFonts w:hint="eastAsia" w:ascii="宋体" w:hAnsi="宋体" w:cs="宋体"/>
          <w:color w:val="000000"/>
          <w:highlight w:val="none"/>
        </w:rPr>
        <w:t>中扣除。</w:t>
      </w:r>
    </w:p>
    <w:p w14:paraId="6AC32D77">
      <w:pPr>
        <w:pStyle w:val="6"/>
        <w:spacing w:line="360" w:lineRule="auto"/>
        <w:rPr>
          <w:rFonts w:hint="eastAsia" w:ascii="宋体" w:hAnsi="宋体" w:eastAsia="宋体" w:cs="宋体"/>
          <w:b/>
          <w:highlight w:val="none"/>
        </w:rPr>
      </w:pPr>
      <w:r>
        <w:rPr>
          <w:rFonts w:hint="eastAsia" w:ascii="宋体" w:hAnsi="宋体" w:eastAsia="宋体" w:cs="宋体"/>
          <w:b/>
          <w:highlight w:val="none"/>
        </w:rPr>
        <w:t>三、其他说明</w:t>
      </w:r>
    </w:p>
    <w:p w14:paraId="63F233BF">
      <w:pPr>
        <w:pStyle w:val="6"/>
        <w:spacing w:line="360" w:lineRule="auto"/>
        <w:rPr>
          <w:rFonts w:hint="eastAsia" w:ascii="宋体" w:hAnsi="宋体" w:eastAsia="宋体" w:cs="宋体"/>
          <w:highlight w:val="none"/>
        </w:rPr>
      </w:pPr>
      <w:r>
        <w:rPr>
          <w:rFonts w:hint="eastAsia" w:ascii="宋体" w:hAnsi="宋体" w:eastAsia="宋体" w:cs="宋体"/>
          <w:highlight w:val="none"/>
        </w:rPr>
        <w:t>1、施工现场、交通运输情况及自然地理条件由供应商自行现场勘察，应充分考虑本工程场地现状的特点，可能对工程施工造成的影响并由此增加的费用等，作出考量一并考虑在投标报价中，结算时不予调整。</w:t>
      </w:r>
    </w:p>
    <w:p w14:paraId="2678CBA9">
      <w:pPr>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2、施工单位在施工过程中需对项目施工地点中的原有设施设备进行保护措施，若因施工单位原因导致原有设施设备破坏的，施工单位应进行维修将现场恢复原样并自行承担因此发生的费用。</w:t>
      </w:r>
    </w:p>
    <w:p w14:paraId="376434A2">
      <w:pPr>
        <w:pStyle w:val="6"/>
        <w:spacing w:line="360" w:lineRule="auto"/>
        <w:rPr>
          <w:rFonts w:hint="eastAsia" w:ascii="宋体" w:hAnsi="宋体" w:eastAsia="宋体" w:cs="宋体"/>
          <w:highlight w:val="none"/>
        </w:rPr>
      </w:pPr>
      <w:r>
        <w:rPr>
          <w:rFonts w:hint="eastAsia" w:ascii="宋体" w:hAnsi="宋体" w:eastAsia="宋体" w:cs="宋体"/>
          <w:highlight w:val="none"/>
        </w:rPr>
        <w:t>3、质量保修期：自竣工验收合格之日起两年。</w:t>
      </w:r>
    </w:p>
    <w:p w14:paraId="2F8CD1CE">
      <w:pPr>
        <w:pStyle w:val="6"/>
        <w:spacing w:line="360" w:lineRule="auto"/>
        <w:rPr>
          <w:rFonts w:hint="eastAsia" w:ascii="宋体" w:hAnsi="宋体" w:eastAsia="宋体" w:cs="宋体"/>
          <w:highlight w:val="none"/>
        </w:rPr>
      </w:pPr>
      <w:r>
        <w:rPr>
          <w:rFonts w:hint="eastAsia" w:ascii="宋体" w:hAnsi="宋体" w:eastAsia="宋体" w:cs="宋体"/>
          <w:highlight w:val="none"/>
        </w:rPr>
        <w:t>4、在国家规定的工程合理使用期限内，因供应商原因致使工程在合理使用期限内造成人身和财产损害的，应承担损害赔偿责任。</w:t>
      </w:r>
    </w:p>
    <w:p w14:paraId="1AB47E34">
      <w:pPr>
        <w:pStyle w:val="6"/>
        <w:spacing w:line="360" w:lineRule="auto"/>
        <w:rPr>
          <w:rFonts w:hint="eastAsia" w:ascii="宋体" w:hAnsi="宋体" w:eastAsia="宋体" w:cs="宋体"/>
          <w:highlight w:val="none"/>
        </w:rPr>
      </w:pPr>
      <w:r>
        <w:rPr>
          <w:rFonts w:hint="eastAsia" w:ascii="宋体" w:hAnsi="宋体" w:cs="宋体"/>
          <w:b/>
          <w:bCs/>
          <w:highlight w:val="none"/>
          <w:lang w:val="en-US" w:eastAsia="zh-CN"/>
        </w:rPr>
        <w:t>四</w:t>
      </w:r>
      <w:r>
        <w:rPr>
          <w:rFonts w:hint="eastAsia" w:ascii="宋体" w:hAnsi="宋体" w:eastAsia="宋体" w:cs="宋体"/>
          <w:b/>
          <w:bCs/>
          <w:highlight w:val="none"/>
        </w:rPr>
        <w:t>、履约保证金</w:t>
      </w:r>
    </w:p>
    <w:p w14:paraId="40A59B5C">
      <w:pPr>
        <w:pStyle w:val="6"/>
        <w:spacing w:line="360" w:lineRule="auto"/>
        <w:rPr>
          <w:rFonts w:hint="eastAsia" w:ascii="宋体" w:hAnsi="宋体" w:cs="宋体"/>
          <w:highlight w:val="none"/>
          <w:lang w:val="en-US" w:eastAsia="zh-CN"/>
        </w:rPr>
      </w:pPr>
      <w:r>
        <w:rPr>
          <w:rFonts w:hint="eastAsia" w:ascii="宋体" w:hAnsi="宋体" w:cs="宋体"/>
          <w:highlight w:val="none"/>
          <w:lang w:val="en-US" w:eastAsia="zh-CN"/>
        </w:rPr>
        <w:t>无</w:t>
      </w:r>
    </w:p>
    <w:p w14:paraId="4F204268">
      <w:pPr>
        <w:pStyle w:val="6"/>
        <w:spacing w:line="360" w:lineRule="auto"/>
        <w:rPr>
          <w:rFonts w:hint="eastAsia" w:ascii="宋体" w:hAnsi="宋体" w:eastAsia="宋体" w:cs="宋体"/>
          <w:b/>
          <w:bCs/>
          <w:highlight w:val="none"/>
        </w:rPr>
      </w:pPr>
      <w:r>
        <w:rPr>
          <w:rFonts w:hint="eastAsia" w:ascii="宋体" w:hAnsi="宋体" w:cs="宋体"/>
          <w:b/>
          <w:bCs/>
          <w:highlight w:val="none"/>
          <w:lang w:val="en-US" w:eastAsia="zh-CN"/>
        </w:rPr>
        <w:t>五</w:t>
      </w:r>
      <w:r>
        <w:rPr>
          <w:rFonts w:hint="eastAsia" w:ascii="宋体" w:hAnsi="宋体" w:eastAsia="宋体" w:cs="宋体"/>
          <w:b/>
          <w:bCs/>
          <w:highlight w:val="none"/>
        </w:rPr>
        <w:t>、付款方式</w:t>
      </w:r>
    </w:p>
    <w:p w14:paraId="4B497FFE">
      <w:pPr>
        <w:widowControl/>
        <w:spacing w:line="360" w:lineRule="auto"/>
        <w:ind w:firstLine="210" w:firstLineChars="100"/>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w:t>
      </w:r>
      <w:r>
        <w:rPr>
          <w:rFonts w:hint="eastAsia" w:cs="宋体"/>
          <w:b w:val="0"/>
          <w:bCs w:val="0"/>
          <w:kern w:val="0"/>
          <w:szCs w:val="21"/>
          <w:highlight w:val="none"/>
          <w:lang w:val="en-US" w:eastAsia="zh-CN"/>
        </w:rPr>
        <w:t>1</w:t>
      </w:r>
      <w:r>
        <w:rPr>
          <w:rFonts w:hint="eastAsia" w:ascii="宋体" w:hAnsi="宋体" w:eastAsia="宋体" w:cs="宋体"/>
          <w:b w:val="0"/>
          <w:bCs w:val="0"/>
          <w:kern w:val="0"/>
          <w:szCs w:val="21"/>
          <w:highlight w:val="none"/>
        </w:rPr>
        <w:t>）工程竣工验收合格，发包人支付至本合同价的</w:t>
      </w:r>
      <w:r>
        <w:rPr>
          <w:rFonts w:hint="eastAsia" w:cs="宋体"/>
          <w:b w:val="0"/>
          <w:bCs w:val="0"/>
          <w:kern w:val="0"/>
          <w:szCs w:val="21"/>
          <w:highlight w:val="none"/>
          <w:lang w:val="en-US" w:eastAsia="zh-CN"/>
        </w:rPr>
        <w:t>70</w:t>
      </w:r>
      <w:r>
        <w:rPr>
          <w:rFonts w:hint="eastAsia" w:ascii="宋体" w:hAnsi="宋体" w:eastAsia="宋体" w:cs="宋体"/>
          <w:b w:val="0"/>
          <w:bCs w:val="0"/>
          <w:kern w:val="0"/>
          <w:szCs w:val="21"/>
          <w:highlight w:val="none"/>
        </w:rPr>
        <w:t>%；</w:t>
      </w:r>
    </w:p>
    <w:p w14:paraId="387EFB90">
      <w:pPr>
        <w:widowControl/>
        <w:spacing w:line="360" w:lineRule="auto"/>
        <w:ind w:firstLine="210" w:firstLineChars="100"/>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w:t>
      </w:r>
      <w:r>
        <w:rPr>
          <w:rFonts w:hint="eastAsia" w:cs="宋体"/>
          <w:b w:val="0"/>
          <w:bCs w:val="0"/>
          <w:kern w:val="0"/>
          <w:szCs w:val="21"/>
          <w:highlight w:val="none"/>
          <w:lang w:val="en-US" w:eastAsia="zh-CN"/>
        </w:rPr>
        <w:t>2</w:t>
      </w:r>
      <w:r>
        <w:rPr>
          <w:rFonts w:hint="eastAsia" w:ascii="宋体" w:hAnsi="宋体" w:eastAsia="宋体" w:cs="宋体"/>
          <w:b w:val="0"/>
          <w:bCs w:val="0"/>
          <w:kern w:val="0"/>
          <w:szCs w:val="21"/>
          <w:highlight w:val="none"/>
        </w:rPr>
        <w:t>）经审计结束后，发包人支付至审计结算价的97%；</w:t>
      </w:r>
    </w:p>
    <w:p w14:paraId="572E6A4F">
      <w:pPr>
        <w:pStyle w:val="6"/>
        <w:spacing w:line="360" w:lineRule="auto"/>
        <w:ind w:firstLine="210" w:firstLineChars="100"/>
        <w:jc w:val="center"/>
        <w:rPr>
          <w:rFonts w:hint="eastAsia" w:ascii="宋体" w:hAnsi="宋体" w:eastAsia="宋体" w:cs="宋体"/>
          <w:b w:val="0"/>
          <w:bCs w:val="0"/>
          <w:highlight w:val="none"/>
          <w:lang w:eastAsia="zh-CN"/>
        </w:rPr>
        <w:sectPr>
          <w:footerReference r:id="rId7" w:type="default"/>
          <w:pgSz w:w="11906" w:h="16838"/>
          <w:pgMar w:top="1440" w:right="1080" w:bottom="1440" w:left="1080" w:header="851" w:footer="680" w:gutter="0"/>
          <w:pgNumType w:fmt="decimal" w:start="1"/>
          <w:cols w:space="720" w:num="1"/>
          <w:docGrid w:linePitch="290" w:charSpace="0"/>
        </w:sectPr>
      </w:pPr>
      <w:r>
        <w:rPr>
          <w:rFonts w:hint="eastAsia" w:ascii="宋体" w:hAnsi="宋体" w:eastAsia="宋体" w:cs="宋体"/>
          <w:b w:val="0"/>
          <w:bCs w:val="0"/>
          <w:kern w:val="0"/>
          <w:szCs w:val="21"/>
          <w:highlight w:val="none"/>
        </w:rPr>
        <w:t>（</w:t>
      </w:r>
      <w:r>
        <w:rPr>
          <w:rFonts w:hint="eastAsia" w:cs="宋体"/>
          <w:b w:val="0"/>
          <w:bCs w:val="0"/>
          <w:kern w:val="0"/>
          <w:szCs w:val="21"/>
          <w:highlight w:val="none"/>
          <w:lang w:val="en-US" w:eastAsia="zh-CN"/>
        </w:rPr>
        <w:t>3</w:t>
      </w:r>
      <w:r>
        <w:rPr>
          <w:rFonts w:hint="eastAsia" w:ascii="宋体" w:hAnsi="宋体" w:eastAsia="宋体" w:cs="宋体"/>
          <w:b w:val="0"/>
          <w:bCs w:val="0"/>
          <w:kern w:val="0"/>
          <w:szCs w:val="21"/>
          <w:highlight w:val="none"/>
        </w:rPr>
        <w:t>）剩余3%为工程质量保修，待质保期（两年）满后，由承包人提出申请，发包人付清（不计利息</w:t>
      </w:r>
      <w:r>
        <w:rPr>
          <w:rFonts w:hint="eastAsia" w:ascii="宋体" w:hAnsi="宋体" w:eastAsia="宋体" w:cs="宋体"/>
          <w:b w:val="0"/>
          <w:bCs w:val="0"/>
          <w:kern w:val="0"/>
          <w:szCs w:val="21"/>
          <w:highlight w:val="none"/>
          <w:lang w:eastAsia="zh-CN"/>
        </w:rPr>
        <w:t>）。</w:t>
      </w:r>
    </w:p>
    <w:p w14:paraId="5670863D">
      <w:pPr>
        <w:pStyle w:val="18"/>
        <w:ind w:left="0" w:leftChars="0" w:firstLine="0" w:firstLineChars="0"/>
        <w:jc w:val="center"/>
        <w:rPr>
          <w:rFonts w:hint="eastAsia" w:ascii="宋体" w:hAnsi="宋体" w:eastAsia="宋体" w:cs="宋体"/>
        </w:rPr>
      </w:pPr>
      <w:bookmarkStart w:id="32" w:name="_Toc534273796"/>
      <w:bookmarkEnd w:id="32"/>
      <w:r>
        <w:rPr>
          <w:rFonts w:hint="eastAsia" w:ascii="宋体" w:hAnsi="宋体" w:eastAsia="宋体" w:cs="宋体"/>
        </w:rPr>
        <w:t>第五章 合同主要条款</w:t>
      </w:r>
      <w:bookmarkStart w:id="33" w:name="_Toc513029243"/>
      <w:bookmarkEnd w:id="33"/>
      <w:bookmarkStart w:id="34" w:name="_Toc20823315"/>
      <w:bookmarkEnd w:id="34"/>
      <w:bookmarkStart w:id="35" w:name="_Toc16938559"/>
      <w:bookmarkEnd w:id="35"/>
    </w:p>
    <w:p w14:paraId="33B555E0">
      <w:pPr>
        <w:spacing w:line="360" w:lineRule="auto"/>
        <w:ind w:firstLine="482" w:firstLineChars="200"/>
        <w:jc w:val="left"/>
        <w:rPr>
          <w:rFonts w:hint="eastAsia" w:ascii="宋体" w:hAnsi="宋体" w:eastAsia="宋体" w:cs="宋体"/>
          <w:b/>
          <w:bCs/>
          <w:sz w:val="24"/>
          <w:highlight w:val="none"/>
        </w:rPr>
      </w:pPr>
      <w:bookmarkStart w:id="36" w:name="_Toc534273675"/>
      <w:r>
        <w:rPr>
          <w:rFonts w:hint="eastAsia" w:ascii="宋体" w:hAnsi="宋体" w:eastAsia="宋体" w:cs="宋体"/>
          <w:b/>
          <w:bCs/>
          <w:sz w:val="24"/>
          <w:highlight w:val="none"/>
        </w:rPr>
        <w:t>注：本合同仅为合同的参考文本，若与项目需求书内容有冲突，以采购需求为准，合同签订双方可根据项目的具体要求进行修订。</w:t>
      </w:r>
    </w:p>
    <w:p w14:paraId="7424AE33">
      <w:pPr>
        <w:pStyle w:val="49"/>
        <w:ind w:firstLine="422"/>
        <w:rPr>
          <w:rFonts w:hint="eastAsia" w:ascii="宋体" w:hAnsi="宋体" w:eastAsia="宋体" w:cs="宋体"/>
          <w:b/>
          <w:bCs/>
          <w:highlight w:val="none"/>
          <w:lang w:val="zh-CN"/>
        </w:rPr>
      </w:pPr>
    </w:p>
    <w:p w14:paraId="0CD442C0">
      <w:pPr>
        <w:pStyle w:val="49"/>
        <w:rPr>
          <w:rFonts w:hint="eastAsia" w:ascii="宋体" w:hAnsi="宋体" w:eastAsia="宋体" w:cs="宋体"/>
          <w:highlight w:val="none"/>
          <w:lang w:val="zh-CN"/>
        </w:rPr>
      </w:pPr>
    </w:p>
    <w:p w14:paraId="11C3EF5D">
      <w:pPr>
        <w:pStyle w:val="49"/>
        <w:rPr>
          <w:rFonts w:hint="eastAsia" w:ascii="宋体" w:hAnsi="宋体" w:eastAsia="宋体" w:cs="宋体"/>
          <w:highlight w:val="none"/>
          <w:lang w:val="zh-CN"/>
        </w:rPr>
      </w:pPr>
    </w:p>
    <w:p w14:paraId="6A25A7B6">
      <w:pPr>
        <w:spacing w:line="360" w:lineRule="auto"/>
        <w:jc w:val="center"/>
        <w:rPr>
          <w:rFonts w:hint="eastAsia" w:ascii="宋体" w:hAnsi="宋体" w:eastAsia="宋体" w:cs="宋体"/>
          <w:b/>
          <w:szCs w:val="21"/>
          <w:highlight w:val="none"/>
        </w:rPr>
      </w:pPr>
      <w:r>
        <w:rPr>
          <w:rFonts w:hint="eastAsia" w:ascii="宋体" w:hAnsi="宋体" w:eastAsia="宋体" w:cs="宋体"/>
          <w:sz w:val="52"/>
          <w:highlight w:val="none"/>
        </w:rPr>
        <w:br w:type="page"/>
      </w:r>
      <w:bookmarkStart w:id="37" w:name="_Toc40574221"/>
      <w:bookmarkStart w:id="38" w:name="_Toc22934"/>
      <w:bookmarkStart w:id="39" w:name="_Toc40577189"/>
      <w:bookmarkStart w:id="40" w:name="_Toc48917788"/>
      <w:bookmarkStart w:id="41" w:name="_Toc137"/>
      <w:bookmarkStart w:id="42" w:name="_Toc25888"/>
      <w:bookmarkStart w:id="43" w:name="_Toc532565231"/>
      <w:r>
        <w:rPr>
          <w:rFonts w:hint="eastAsia" w:ascii="宋体" w:hAnsi="宋体" w:eastAsia="宋体" w:cs="宋体"/>
          <w:b/>
          <w:szCs w:val="21"/>
          <w:highlight w:val="none"/>
        </w:rPr>
        <w:t>第一部分  合同协议书</w:t>
      </w:r>
      <w:bookmarkEnd w:id="37"/>
      <w:bookmarkEnd w:id="38"/>
      <w:bookmarkEnd w:id="39"/>
      <w:bookmarkEnd w:id="40"/>
      <w:bookmarkEnd w:id="41"/>
      <w:bookmarkEnd w:id="42"/>
    </w:p>
    <w:p w14:paraId="3A41DC69">
      <w:pPr>
        <w:widowControl/>
        <w:spacing w:line="360" w:lineRule="auto"/>
        <w:jc w:val="left"/>
        <w:rPr>
          <w:rFonts w:hint="eastAsia" w:ascii="宋体" w:hAnsi="宋体" w:eastAsia="宋体" w:cs="宋体"/>
          <w:b/>
          <w:kern w:val="0"/>
          <w:szCs w:val="21"/>
          <w:highlight w:val="none"/>
        </w:rPr>
      </w:pPr>
    </w:p>
    <w:p w14:paraId="69F65BAB">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发包人甲方（全称）：</w:t>
      </w:r>
      <w:r>
        <w:rPr>
          <w:rFonts w:hint="eastAsia" w:cs="宋体"/>
          <w:b/>
          <w:kern w:val="0"/>
          <w:szCs w:val="21"/>
          <w:highlight w:val="none"/>
          <w:lang w:val="en-US" w:eastAsia="zh-CN"/>
        </w:rPr>
        <w:t>南京市规划和自然资源局</w:t>
      </w:r>
      <w:r>
        <w:rPr>
          <w:rFonts w:hint="eastAsia" w:ascii="宋体" w:hAnsi="宋体" w:eastAsia="宋体" w:cs="宋体"/>
          <w:b/>
          <w:kern w:val="0"/>
          <w:szCs w:val="21"/>
          <w:highlight w:val="none"/>
        </w:rPr>
        <w:t xml:space="preserve"> </w:t>
      </w:r>
    </w:p>
    <w:p w14:paraId="5EFE1DEE">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承包人乙方（全称）：</w:t>
      </w:r>
    </w:p>
    <w:p w14:paraId="694F17F1">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根据《中华人民共和国民法典》、《中华人民共和国建筑法》及有关法律规定，遵循平等、自愿、公平和诚实信用的原则，双方就</w:t>
      </w:r>
      <w:r>
        <w:rPr>
          <w:rFonts w:hint="eastAsia" w:asciiTheme="majorEastAsia" w:hAnsiTheme="majorEastAsia" w:eastAsiaTheme="majorEastAsia" w:cstheme="majorEastAsia"/>
          <w:color w:val="000000" w:themeColor="text1"/>
          <w:szCs w:val="21"/>
          <w:highlight w:val="none"/>
          <w:u w:val="single"/>
          <w:lang w:val="en-US" w:eastAsia="zh-CN"/>
          <w14:textFill>
            <w14:solidFill>
              <w14:schemeClr w14:val="tx1"/>
            </w14:solidFill>
          </w14:textFill>
        </w:rPr>
        <w:t>南京市规划和自然资源局信访及12345用房改造项目</w:t>
      </w:r>
      <w:r>
        <w:rPr>
          <w:rFonts w:hint="eastAsia" w:ascii="宋体" w:hAnsi="宋体" w:eastAsia="宋体" w:cs="宋体"/>
          <w:kern w:val="0"/>
          <w:szCs w:val="21"/>
          <w:highlight w:val="none"/>
        </w:rPr>
        <w:t>及有关事项协商一致，共同达成如下协议：</w:t>
      </w:r>
      <w:bookmarkStart w:id="44" w:name="_Toc11840"/>
      <w:bookmarkStart w:id="45" w:name="_Toc351203481"/>
      <w:bookmarkStart w:id="46" w:name="_Toc112"/>
      <w:bookmarkStart w:id="47" w:name="_Toc15366"/>
    </w:p>
    <w:p w14:paraId="656CFDAE">
      <w:pPr>
        <w:widowControl/>
        <w:spacing w:line="360" w:lineRule="auto"/>
        <w:jc w:val="left"/>
        <w:rPr>
          <w:rFonts w:hint="eastAsia" w:ascii="宋体" w:hAnsi="宋体" w:eastAsia="宋体" w:cs="宋体"/>
          <w:bCs/>
          <w:kern w:val="0"/>
          <w:szCs w:val="21"/>
          <w:highlight w:val="none"/>
          <w:lang w:val="en-US" w:eastAsia="zh-CN"/>
        </w:rPr>
      </w:pPr>
      <w:r>
        <w:rPr>
          <w:rFonts w:hint="eastAsia" w:ascii="宋体" w:hAnsi="宋体" w:eastAsia="宋体" w:cs="宋体"/>
          <w:kern w:val="0"/>
          <w:szCs w:val="21"/>
          <w:highlight w:val="none"/>
        </w:rPr>
        <w:t>一、工程概况</w:t>
      </w:r>
      <w:bookmarkEnd w:id="44"/>
      <w:bookmarkEnd w:id="45"/>
      <w:bookmarkEnd w:id="46"/>
      <w:bookmarkEnd w:id="47"/>
      <w:r>
        <w:rPr>
          <w:rFonts w:hint="eastAsia" w:cs="宋体"/>
          <w:kern w:val="0"/>
          <w:szCs w:val="21"/>
          <w:highlight w:val="none"/>
          <w:lang w:val="en-US" w:eastAsia="zh-CN"/>
        </w:rPr>
        <w:t>2</w:t>
      </w:r>
    </w:p>
    <w:p w14:paraId="1CEEE995">
      <w:pPr>
        <w:widowControl/>
        <w:spacing w:line="360" w:lineRule="auto"/>
        <w:jc w:val="left"/>
        <w:rPr>
          <w:rFonts w:hint="eastAsia" w:ascii="宋体" w:hAnsi="宋体" w:eastAsia="宋体" w:cs="宋体"/>
          <w:kern w:val="0"/>
          <w:szCs w:val="21"/>
          <w:highlight w:val="none"/>
          <w:lang w:eastAsia="zh-CN"/>
        </w:rPr>
      </w:pPr>
      <w:r>
        <w:rPr>
          <w:rFonts w:hint="eastAsia" w:ascii="宋体" w:hAnsi="宋体" w:eastAsia="宋体" w:cs="宋体"/>
          <w:bCs/>
          <w:kern w:val="0"/>
          <w:szCs w:val="21"/>
          <w:highlight w:val="none"/>
        </w:rPr>
        <w:t>1．工程名称</w:t>
      </w:r>
      <w:r>
        <w:rPr>
          <w:rFonts w:hint="eastAsia" w:ascii="宋体" w:hAnsi="宋体" w:eastAsia="宋体" w:cs="宋体"/>
          <w:kern w:val="0"/>
          <w:szCs w:val="21"/>
          <w:highlight w:val="none"/>
        </w:rPr>
        <w:t>：</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南京市规划和自然资源局办公用房改造</w:t>
      </w:r>
    </w:p>
    <w:p w14:paraId="06E280F2">
      <w:pPr>
        <w:widowControl/>
        <w:spacing w:line="360" w:lineRule="auto"/>
        <w:jc w:val="left"/>
        <w:rPr>
          <w:rFonts w:hint="default" w:ascii="宋体" w:hAnsi="宋体" w:eastAsia="宋体" w:cs="宋体"/>
          <w:b/>
          <w:bCs/>
          <w:kern w:val="0"/>
          <w:szCs w:val="21"/>
          <w:highlight w:val="none"/>
          <w:lang w:val="en-US" w:eastAsia="zh-CN"/>
        </w:rPr>
      </w:pPr>
      <w:r>
        <w:rPr>
          <w:rFonts w:hint="eastAsia" w:ascii="宋体" w:hAnsi="宋体" w:eastAsia="宋体" w:cs="宋体"/>
          <w:bCs/>
          <w:kern w:val="0"/>
          <w:szCs w:val="21"/>
          <w:highlight w:val="none"/>
        </w:rPr>
        <w:t>2．工程地点：</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南京市规划和自然资源局</w:t>
      </w:r>
    </w:p>
    <w:p w14:paraId="353F418C">
      <w:pPr>
        <w:widowControl/>
        <w:spacing w:line="360" w:lineRule="auto"/>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3．工程立项批准文号：</w:t>
      </w:r>
      <w:r>
        <w:rPr>
          <w:rFonts w:hint="eastAsia" w:ascii="宋体" w:hAnsi="宋体" w:eastAsia="宋体" w:cs="宋体"/>
          <w:kern w:val="0"/>
          <w:szCs w:val="21"/>
          <w:highlight w:val="none"/>
        </w:rPr>
        <w:t>/</w:t>
      </w:r>
    </w:p>
    <w:p w14:paraId="1E1C7F69">
      <w:pPr>
        <w:widowControl/>
        <w:spacing w:line="360" w:lineRule="auto"/>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4．资金来源：</w:t>
      </w:r>
      <w:r>
        <w:rPr>
          <w:rFonts w:hint="eastAsia" w:cs="宋体"/>
          <w:kern w:val="0"/>
          <w:szCs w:val="21"/>
          <w:highlight w:val="none"/>
          <w:lang w:val="en-US" w:eastAsia="zh-CN"/>
        </w:rPr>
        <w:t>财政资金</w:t>
      </w:r>
      <w:r>
        <w:rPr>
          <w:rFonts w:hint="eastAsia" w:ascii="宋体" w:hAnsi="宋体" w:eastAsia="宋体" w:cs="宋体"/>
          <w:kern w:val="0"/>
          <w:szCs w:val="21"/>
          <w:highlight w:val="none"/>
        </w:rPr>
        <w:t>。</w:t>
      </w:r>
    </w:p>
    <w:p w14:paraId="70EB0C48">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5．工程内容：详见工程量清单内容及图纸</w:t>
      </w:r>
    </w:p>
    <w:p w14:paraId="1A61899B">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6．工程承包范围：</w:t>
      </w:r>
      <w:bookmarkStart w:id="48" w:name="_Toc11688"/>
      <w:bookmarkStart w:id="49" w:name="_Toc2975"/>
      <w:bookmarkStart w:id="50" w:name="_Toc351203482"/>
      <w:bookmarkStart w:id="51" w:name="_Toc22629"/>
      <w:r>
        <w:rPr>
          <w:rFonts w:hint="eastAsia" w:ascii="宋体" w:hAnsi="宋体" w:eastAsia="宋体" w:cs="宋体"/>
          <w:bCs/>
          <w:kern w:val="0"/>
          <w:szCs w:val="21"/>
          <w:highlight w:val="none"/>
        </w:rPr>
        <w:t>详见工程量清单内容及图纸</w:t>
      </w:r>
    </w:p>
    <w:p w14:paraId="25305651">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二、合同工期</w:t>
      </w:r>
      <w:bookmarkEnd w:id="48"/>
      <w:bookmarkEnd w:id="49"/>
      <w:bookmarkEnd w:id="50"/>
      <w:bookmarkEnd w:id="51"/>
    </w:p>
    <w:p w14:paraId="6ED62E5F">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计划开工日期：202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  月  日</w:t>
      </w:r>
    </w:p>
    <w:p w14:paraId="7A10C5F7">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计划竣工日期：202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  月  日</w:t>
      </w:r>
    </w:p>
    <w:p w14:paraId="729CAD87">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工期总日历天数：</w:t>
      </w:r>
      <w:r>
        <w:rPr>
          <w:rFonts w:hint="eastAsia" w:ascii="宋体" w:hAnsi="宋体" w:cs="宋体"/>
          <w:kern w:val="0"/>
          <w:szCs w:val="21"/>
          <w:highlight w:val="none"/>
          <w:lang w:val="en-US" w:eastAsia="zh-CN"/>
        </w:rPr>
        <w:t xml:space="preserve">  </w:t>
      </w:r>
      <w:r>
        <w:rPr>
          <w:rFonts w:hint="eastAsia" w:ascii="宋体" w:hAnsi="宋体" w:eastAsia="宋体" w:cs="宋体"/>
          <w:kern w:val="0"/>
          <w:szCs w:val="21"/>
          <w:highlight w:val="none"/>
        </w:rPr>
        <w:t>日历天</w:t>
      </w:r>
    </w:p>
    <w:p w14:paraId="40B7050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工期总日历天数与根据前述计划开竣工日期计算的工期天数不一致的，以工期总日历天数为准。实际开工日期起算时间以甲方书面通知时间为准。</w:t>
      </w:r>
    </w:p>
    <w:p w14:paraId="127E71D3">
      <w:pPr>
        <w:widowControl/>
        <w:spacing w:line="360" w:lineRule="auto"/>
        <w:jc w:val="left"/>
        <w:rPr>
          <w:rFonts w:hint="eastAsia" w:ascii="宋体" w:hAnsi="宋体" w:eastAsia="宋体" w:cs="宋体"/>
          <w:kern w:val="0"/>
          <w:szCs w:val="21"/>
          <w:highlight w:val="none"/>
        </w:rPr>
      </w:pPr>
      <w:bookmarkStart w:id="52" w:name="_Toc13894"/>
      <w:bookmarkStart w:id="53" w:name="_Toc351203483"/>
      <w:bookmarkStart w:id="54" w:name="_Toc7220"/>
      <w:bookmarkStart w:id="55" w:name="_Toc5257"/>
      <w:r>
        <w:rPr>
          <w:rFonts w:hint="eastAsia" w:ascii="宋体" w:hAnsi="宋体" w:eastAsia="宋体" w:cs="宋体"/>
          <w:kern w:val="0"/>
          <w:szCs w:val="21"/>
          <w:highlight w:val="none"/>
        </w:rPr>
        <w:t>三、质量标准</w:t>
      </w:r>
      <w:bookmarkEnd w:id="52"/>
      <w:bookmarkEnd w:id="53"/>
      <w:bookmarkEnd w:id="54"/>
      <w:bookmarkEnd w:id="55"/>
    </w:p>
    <w:p w14:paraId="5E2EB753">
      <w:pPr>
        <w:widowControl/>
        <w:spacing w:line="360" w:lineRule="auto"/>
        <w:jc w:val="left"/>
        <w:rPr>
          <w:rFonts w:hint="eastAsia" w:ascii="宋体" w:hAnsi="宋体" w:eastAsia="宋体" w:cs="宋体"/>
          <w:kern w:val="0"/>
          <w:szCs w:val="21"/>
          <w:highlight w:val="none"/>
        </w:rPr>
      </w:pPr>
      <w:bookmarkStart w:id="56" w:name="_Toc12137"/>
      <w:bookmarkStart w:id="57" w:name="_Toc3847"/>
      <w:bookmarkStart w:id="58" w:name="_Toc351203484"/>
      <w:bookmarkStart w:id="59" w:name="_Toc14069"/>
      <w:r>
        <w:rPr>
          <w:rFonts w:hint="eastAsia" w:ascii="宋体" w:hAnsi="宋体" w:eastAsia="宋体" w:cs="宋体"/>
          <w:kern w:val="0"/>
          <w:szCs w:val="21"/>
          <w:highlight w:val="none"/>
        </w:rPr>
        <w:t>工程质量符合：国家质量验收标准。</w:t>
      </w:r>
    </w:p>
    <w:p w14:paraId="0DF9AF34">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四、签约合同价与合同价格形式</w:t>
      </w:r>
      <w:bookmarkEnd w:id="56"/>
      <w:bookmarkEnd w:id="57"/>
      <w:bookmarkEnd w:id="58"/>
      <w:bookmarkEnd w:id="59"/>
      <w:r>
        <w:rPr>
          <w:rFonts w:hint="eastAsia" w:ascii="宋体" w:hAnsi="宋体" w:eastAsia="宋体" w:cs="宋体"/>
          <w:kern w:val="0"/>
          <w:szCs w:val="21"/>
          <w:highlight w:val="none"/>
        </w:rPr>
        <w:tab/>
      </w:r>
    </w:p>
    <w:p w14:paraId="4D929BDF">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1.签约合同价为：</w:t>
      </w:r>
    </w:p>
    <w:p w14:paraId="6E8BF42C">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人民币（大写）(¥元)；</w:t>
      </w:r>
    </w:p>
    <w:p w14:paraId="5BF5ED34">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其中：</w:t>
      </w:r>
    </w:p>
    <w:p w14:paraId="1B15FE3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（1）安全文明施工费：</w:t>
      </w:r>
    </w:p>
    <w:p w14:paraId="59796A25">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人民币（大写） (¥元)；</w:t>
      </w:r>
    </w:p>
    <w:p w14:paraId="2C2B509E">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（2）材料和工程设备暂估价金额：</w:t>
      </w:r>
    </w:p>
    <w:p w14:paraId="161E5BA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人民币（大写） (¥元)；</w:t>
      </w:r>
    </w:p>
    <w:p w14:paraId="21A94DE5">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（3）专业工程暂估价金额：</w:t>
      </w:r>
    </w:p>
    <w:p w14:paraId="7E7D277A">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人民币（大写） (¥元)；</w:t>
      </w:r>
    </w:p>
    <w:p w14:paraId="653E19D0">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（4）暂列金额：</w:t>
      </w:r>
    </w:p>
    <w:p w14:paraId="7C5CBC5B">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人民币（大写） (¥元)。</w:t>
      </w:r>
    </w:p>
    <w:p w14:paraId="1D8AC586">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2．合同价格形式：固定</w:t>
      </w:r>
      <w:r>
        <w:rPr>
          <w:rFonts w:hint="eastAsia" w:cs="宋体"/>
          <w:kern w:val="0"/>
          <w:szCs w:val="21"/>
          <w:highlight w:val="none"/>
          <w:lang w:val="en-US" w:eastAsia="zh-CN"/>
        </w:rPr>
        <w:t>总价</w:t>
      </w:r>
      <w:r>
        <w:rPr>
          <w:rFonts w:hint="eastAsia" w:ascii="宋体" w:hAnsi="宋体" w:eastAsia="宋体" w:cs="宋体"/>
          <w:kern w:val="0"/>
          <w:szCs w:val="21"/>
          <w:highlight w:val="none"/>
        </w:rPr>
        <w:t>合同。</w:t>
      </w:r>
      <w:bookmarkStart w:id="60" w:name="_Toc351203485"/>
      <w:bookmarkStart w:id="61" w:name="_Toc18537"/>
      <w:bookmarkStart w:id="62" w:name="_Toc28019"/>
      <w:bookmarkStart w:id="63" w:name="_Toc25085"/>
    </w:p>
    <w:p w14:paraId="7BEF12C7">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五、</w:t>
      </w:r>
      <w:bookmarkEnd w:id="60"/>
      <w:r>
        <w:rPr>
          <w:rFonts w:hint="eastAsia" w:ascii="宋体" w:hAnsi="宋体" w:eastAsia="宋体" w:cs="宋体"/>
          <w:kern w:val="0"/>
          <w:szCs w:val="21"/>
          <w:highlight w:val="none"/>
        </w:rPr>
        <w:t>项目经理</w:t>
      </w:r>
      <w:bookmarkEnd w:id="61"/>
      <w:bookmarkEnd w:id="62"/>
      <w:bookmarkEnd w:id="63"/>
    </w:p>
    <w:p w14:paraId="2D61E6B9">
      <w:pPr>
        <w:widowControl/>
        <w:spacing w:line="360" w:lineRule="auto"/>
        <w:jc w:val="left"/>
        <w:rPr>
          <w:rFonts w:hint="eastAsia" w:ascii="宋体" w:hAnsi="宋体" w:eastAsia="宋体" w:cs="宋体"/>
          <w:kern w:val="0"/>
          <w:szCs w:val="21"/>
          <w:highlight w:val="none"/>
        </w:rPr>
      </w:pPr>
      <w:permStart w:id="0" w:edGrp="everyone"/>
      <w:r>
        <w:rPr>
          <w:rFonts w:hint="eastAsia" w:ascii="宋体" w:hAnsi="宋体" w:eastAsia="宋体" w:cs="宋体"/>
          <w:kern w:val="0"/>
          <w:szCs w:val="21"/>
          <w:highlight w:val="none"/>
        </w:rPr>
        <w:t>承包人项目经理：     。</w:t>
      </w:r>
    </w:p>
    <w:p w14:paraId="47321057">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身份证号码：         。</w:t>
      </w:r>
    </w:p>
    <w:p w14:paraId="70F0FFD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注册号：             。</w:t>
      </w:r>
    </w:p>
    <w:p w14:paraId="1C2554BA">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联系电话：             </w:t>
      </w:r>
    </w:p>
    <w:permEnd w:id="0"/>
    <w:p w14:paraId="773A6D1F">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六、合同文件构成</w:t>
      </w:r>
    </w:p>
    <w:p w14:paraId="24D545C3">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本协议书与下列文件一起构成合同文件：</w:t>
      </w:r>
    </w:p>
    <w:p w14:paraId="266D021E">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（1）成交通知书（如果有）；</w:t>
      </w:r>
    </w:p>
    <w:p w14:paraId="7B528F76">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（2）投标函及其附录（如果有）； </w:t>
      </w:r>
    </w:p>
    <w:p w14:paraId="77E4E0E6">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（3）专用合同条款及其附件；</w:t>
      </w:r>
    </w:p>
    <w:p w14:paraId="6C3C64E8">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（4）通用合同条款；</w:t>
      </w:r>
    </w:p>
    <w:p w14:paraId="0CF54174">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（5）技术标准和要求；</w:t>
      </w:r>
    </w:p>
    <w:p w14:paraId="19DC4C29">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（6）图纸；</w:t>
      </w:r>
    </w:p>
    <w:p w14:paraId="72D8E464">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（7）已标价工程量清单或预算书；</w:t>
      </w:r>
    </w:p>
    <w:p w14:paraId="20F00864">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（8）其他合同文件。</w:t>
      </w:r>
    </w:p>
    <w:p w14:paraId="58D840F4">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在合同订立及履行过程中形成的与合同有关的文件均构成合同文件组成部分。</w:t>
      </w:r>
    </w:p>
    <w:p w14:paraId="04B8D3AC">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上述各项合同文件包括合同当事人就该项合同文件所作出的补充和修改，属于同一类内容的文件，应以最新签署的为准。专用合同条款及其附件须经合同当事人签字或盖章。</w:t>
      </w:r>
    </w:p>
    <w:p w14:paraId="7001BB5A">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七、承诺</w:t>
      </w:r>
    </w:p>
    <w:p w14:paraId="0A3EC739">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1.发包人承诺按照法律规定履行项目审批手续、筹集工程建设资金并按照合同约定的期限和方式支付合同价款。</w:t>
      </w:r>
    </w:p>
    <w:p w14:paraId="1D559614">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2.承包人承诺按照法律规定及合同约定组织完成工程施工，确保工程质量和安全，不进行转包及违法分包，并在缺陷责任期及保修期内承担相应的工程维修责任。</w:t>
      </w:r>
    </w:p>
    <w:p w14:paraId="79CDEC02">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3.发包人和承包人通过招投标形式签订合同的，双方理解并承诺不再就同一工程另行签订与合同实质性内容相背离的协议。</w:t>
      </w:r>
    </w:p>
    <w:p w14:paraId="403B0C8B">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八、词语含义</w:t>
      </w:r>
    </w:p>
    <w:p w14:paraId="00798285">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本协议书中词语含义与第二部分通用合同条款中赋予的含义相同。</w:t>
      </w:r>
    </w:p>
    <w:p w14:paraId="444085CF">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九、签订时间</w:t>
      </w:r>
    </w:p>
    <w:p w14:paraId="491AC9D2">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本合同于     年   月   日签订。</w:t>
      </w:r>
    </w:p>
    <w:p w14:paraId="68C0BC28">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十、签订地点</w:t>
      </w:r>
    </w:p>
    <w:p w14:paraId="0107FBE0">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本合同在</w:t>
      </w:r>
      <w:r>
        <w:rPr>
          <w:rFonts w:hint="eastAsia" w:cs="宋体"/>
          <w:kern w:val="0"/>
          <w:szCs w:val="21"/>
          <w:highlight w:val="none"/>
          <w:lang w:val="en-US" w:eastAsia="zh-CN"/>
        </w:rPr>
        <w:t>南京市规划和自然资源局内</w:t>
      </w:r>
      <w:r>
        <w:rPr>
          <w:rFonts w:hint="eastAsia" w:ascii="宋体" w:hAnsi="宋体" w:eastAsia="宋体" w:cs="宋体"/>
          <w:kern w:val="0"/>
          <w:szCs w:val="21"/>
          <w:highlight w:val="none"/>
        </w:rPr>
        <w:t>签订。</w:t>
      </w:r>
    </w:p>
    <w:p w14:paraId="044D62D7">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十一、补充协议</w:t>
      </w:r>
    </w:p>
    <w:p w14:paraId="5669C8AC">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合同未尽事宜，合同当事人另行签订补充协议，补充协议是合同的组成部分。</w:t>
      </w:r>
    </w:p>
    <w:p w14:paraId="6BA1476D">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十二、合同生效</w:t>
      </w:r>
    </w:p>
    <w:p w14:paraId="051FE273">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本合同自生效。</w:t>
      </w:r>
    </w:p>
    <w:p w14:paraId="5CF006AB">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十三、合同份数</w:t>
      </w:r>
    </w:p>
    <w:p w14:paraId="387A4D4B">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本合同一式</w:t>
      </w:r>
      <w:r>
        <w:rPr>
          <w:rFonts w:hint="eastAsia" w:ascii="宋体" w:hAnsi="宋体" w:cs="宋体"/>
          <w:kern w:val="0"/>
          <w:szCs w:val="21"/>
          <w:highlight w:val="none"/>
          <w:lang w:val="en-US" w:eastAsia="zh-CN"/>
        </w:rPr>
        <w:t>陆</w:t>
      </w:r>
      <w:r>
        <w:rPr>
          <w:rFonts w:hint="eastAsia" w:ascii="宋体" w:hAnsi="宋体" w:eastAsia="宋体" w:cs="宋体"/>
          <w:kern w:val="0"/>
          <w:szCs w:val="21"/>
          <w:highlight w:val="none"/>
        </w:rPr>
        <w:t>份，均具有同等法律效力，发包人执</w:t>
      </w:r>
      <w:r>
        <w:rPr>
          <w:rFonts w:hint="eastAsia" w:ascii="宋体" w:hAnsi="宋体" w:cs="宋体"/>
          <w:kern w:val="0"/>
          <w:szCs w:val="21"/>
          <w:highlight w:val="none"/>
          <w:lang w:val="en-US" w:eastAsia="zh-CN"/>
        </w:rPr>
        <w:t>肆</w:t>
      </w:r>
      <w:r>
        <w:rPr>
          <w:rFonts w:hint="eastAsia" w:ascii="宋体" w:hAnsi="宋体" w:eastAsia="宋体" w:cs="宋体"/>
          <w:kern w:val="0"/>
          <w:szCs w:val="21"/>
          <w:highlight w:val="none"/>
        </w:rPr>
        <w:t>份，承包人执</w:t>
      </w:r>
      <w:r>
        <w:rPr>
          <w:rFonts w:hint="eastAsia" w:ascii="宋体" w:hAnsi="宋体" w:cs="宋体"/>
          <w:kern w:val="0"/>
          <w:szCs w:val="21"/>
          <w:highlight w:val="none"/>
          <w:lang w:val="en-US" w:eastAsia="zh-CN"/>
        </w:rPr>
        <w:t>贰</w:t>
      </w:r>
      <w:r>
        <w:rPr>
          <w:rFonts w:hint="eastAsia" w:ascii="宋体" w:hAnsi="宋体" w:eastAsia="宋体" w:cs="宋体"/>
          <w:kern w:val="0"/>
          <w:szCs w:val="21"/>
          <w:highlight w:val="none"/>
        </w:rPr>
        <w:t>份。</w:t>
      </w:r>
    </w:p>
    <w:p w14:paraId="097E9FC7">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247B2E98">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发包人：  (公章)                   承包人：  (公章)</w:t>
      </w:r>
    </w:p>
    <w:p w14:paraId="0AA2E7BB">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03B91731">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法定代表人或其委托代理人：        法定代表人或其委托代理人：</w:t>
      </w:r>
    </w:p>
    <w:p w14:paraId="1D289D3A">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（签字）                          （签字）</w:t>
      </w:r>
    </w:p>
    <w:p w14:paraId="136C6DCD">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127BCAA4">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组织机构代码：                         组织机构代码：</w:t>
      </w:r>
    </w:p>
    <w:p w14:paraId="2C6A6FC8">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地  址：                               地  址：</w:t>
      </w:r>
    </w:p>
    <w:p w14:paraId="2CA973F5">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邮政编码：                             邮政编码：</w:t>
      </w:r>
    </w:p>
    <w:p w14:paraId="50F96297">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                           法定代表人：</w:t>
      </w:r>
    </w:p>
    <w:p w14:paraId="0E4DAC76">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委托代理人：                           委托代理人：</w:t>
      </w:r>
    </w:p>
    <w:p w14:paraId="36151253">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电  话：                               电  话：</w:t>
      </w:r>
    </w:p>
    <w:p w14:paraId="1A2AA33E">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传  真：                               传  真：</w:t>
      </w:r>
    </w:p>
    <w:p w14:paraId="32B30D63">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电子信箱：                             电子信箱：</w:t>
      </w:r>
    </w:p>
    <w:p w14:paraId="6BB2F804">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开户银行：                             开户银行：</w:t>
      </w:r>
    </w:p>
    <w:p w14:paraId="69FC65FF">
      <w:pPr>
        <w:spacing w:line="360" w:lineRule="auto"/>
        <w:rPr>
          <w:rFonts w:hint="eastAsia" w:ascii="宋体" w:hAnsi="宋体" w:eastAsia="宋体" w:cs="宋体"/>
          <w:szCs w:val="21"/>
          <w:highlight w:val="none"/>
        </w:rPr>
      </w:pPr>
      <w:r>
        <w:rPr>
          <w:rFonts w:hint="eastAsia" w:ascii="宋体" w:hAnsi="宋体" w:eastAsia="宋体" w:cs="宋体"/>
          <w:kern w:val="0"/>
          <w:szCs w:val="21"/>
          <w:highlight w:val="none"/>
        </w:rPr>
        <w:t>账  号：                               账 号：</w:t>
      </w:r>
    </w:p>
    <w:p w14:paraId="387EC0ED">
      <w:pPr>
        <w:spacing w:line="360" w:lineRule="auto"/>
        <w:rPr>
          <w:rFonts w:hint="eastAsia" w:ascii="宋体" w:hAnsi="宋体" w:eastAsia="宋体" w:cs="宋体"/>
          <w:highlight w:val="none"/>
        </w:rPr>
      </w:pPr>
    </w:p>
    <w:p w14:paraId="63E98527">
      <w:pPr>
        <w:spacing w:line="360" w:lineRule="auto"/>
        <w:rPr>
          <w:rFonts w:hint="eastAsia" w:ascii="宋体" w:hAnsi="宋体" w:eastAsia="宋体" w:cs="宋体"/>
          <w:highlight w:val="none"/>
        </w:rPr>
      </w:pPr>
    </w:p>
    <w:p w14:paraId="47941459">
      <w:pPr>
        <w:widowControl/>
        <w:spacing w:line="360" w:lineRule="auto"/>
        <w:ind w:left="0" w:leftChars="0" w:firstLine="0" w:firstLineChars="0"/>
        <w:jc w:val="center"/>
        <w:rPr>
          <w:rFonts w:hint="eastAsia" w:ascii="宋体" w:hAnsi="宋体" w:eastAsia="宋体" w:cs="宋体"/>
          <w:szCs w:val="21"/>
          <w:highlight w:val="none"/>
        </w:rPr>
      </w:pPr>
      <w:bookmarkStart w:id="64" w:name="_Toc48917789"/>
      <w:r>
        <w:rPr>
          <w:rFonts w:hint="eastAsia" w:ascii="宋体" w:hAnsi="宋体" w:eastAsia="宋体" w:cs="宋体"/>
          <w:szCs w:val="21"/>
          <w:highlight w:val="none"/>
        </w:rPr>
        <w:t>第二部分  通用合同条款</w:t>
      </w:r>
      <w:bookmarkEnd w:id="43"/>
      <w:bookmarkEnd w:id="64"/>
    </w:p>
    <w:p w14:paraId="72E4323B">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通用合同条款直接引用住房建设部制定的《建设工程施工合同（GF—2017—0201）第二部分“通用合同条款”</w:t>
      </w:r>
      <w:bookmarkStart w:id="65" w:name="_Toc532565232"/>
      <w:bookmarkStart w:id="66" w:name="_Toc48917790"/>
      <w:r>
        <w:rPr>
          <w:rFonts w:hint="eastAsia" w:ascii="宋体" w:hAnsi="宋体" w:eastAsia="宋体" w:cs="宋体"/>
          <w:szCs w:val="21"/>
          <w:highlight w:val="none"/>
        </w:rPr>
        <w:t>第三部分  专用合同条款</w:t>
      </w:r>
      <w:bookmarkEnd w:id="65"/>
      <w:bookmarkEnd w:id="66"/>
    </w:p>
    <w:p w14:paraId="44391B58">
      <w:pPr>
        <w:keepNext/>
        <w:keepLines/>
        <w:spacing w:line="360" w:lineRule="auto"/>
        <w:outlineLvl w:val="1"/>
        <w:rPr>
          <w:rFonts w:hint="eastAsia" w:ascii="宋体" w:hAnsi="宋体" w:eastAsia="宋体" w:cs="宋体"/>
          <w:b/>
          <w:szCs w:val="21"/>
          <w:highlight w:val="none"/>
        </w:rPr>
      </w:pPr>
      <w:bookmarkStart w:id="67" w:name="_Toc20576"/>
      <w:bookmarkStart w:id="68" w:name="_Toc40574225"/>
      <w:bookmarkStart w:id="69" w:name="_Toc40577193"/>
      <w:bookmarkStart w:id="70" w:name="_Toc5633"/>
      <w:bookmarkStart w:id="71" w:name="_Toc24436"/>
      <w:bookmarkStart w:id="72" w:name="_Toc43798979"/>
      <w:bookmarkStart w:id="73" w:name="_Toc48917791"/>
      <w:bookmarkStart w:id="74" w:name="_Toc40575076"/>
      <w:bookmarkStart w:id="75" w:name="_Toc43799200"/>
      <w:bookmarkStart w:id="76" w:name="_Toc351203632"/>
      <w:bookmarkStart w:id="77" w:name="_Toc357501848"/>
      <w:r>
        <w:rPr>
          <w:rFonts w:hint="eastAsia" w:ascii="宋体" w:hAnsi="宋体" w:eastAsia="宋体" w:cs="宋体"/>
          <w:b/>
          <w:szCs w:val="21"/>
          <w:highlight w:val="none"/>
        </w:rPr>
        <w:t>1</w:t>
      </w:r>
      <w:bookmarkStart w:id="78" w:name="_Toc296503156"/>
      <w:bookmarkStart w:id="79" w:name="_Toc296944495"/>
      <w:bookmarkStart w:id="80" w:name="_Toc297120456"/>
      <w:bookmarkStart w:id="81" w:name="_Toc296347155"/>
      <w:bookmarkStart w:id="82" w:name="_Toc296346657"/>
      <w:bookmarkStart w:id="83" w:name="_Toc296891196"/>
      <w:bookmarkStart w:id="84" w:name="_Toc292559866"/>
      <w:bookmarkStart w:id="85" w:name="_Toc297048342"/>
      <w:bookmarkStart w:id="86" w:name="_Toc296890984"/>
      <w:bookmarkStart w:id="87" w:name="_Toc292559361"/>
      <w:r>
        <w:rPr>
          <w:rFonts w:hint="eastAsia" w:ascii="宋体" w:hAnsi="宋体" w:eastAsia="宋体" w:cs="宋体"/>
          <w:b/>
          <w:szCs w:val="21"/>
          <w:highlight w:val="none"/>
        </w:rPr>
        <w:t>. 一般约定</w:t>
      </w:r>
      <w:bookmarkEnd w:id="67"/>
      <w:bookmarkEnd w:id="68"/>
      <w:bookmarkEnd w:id="69"/>
      <w:bookmarkEnd w:id="70"/>
      <w:bookmarkEnd w:id="71"/>
      <w:bookmarkEnd w:id="72"/>
      <w:bookmarkEnd w:id="73"/>
      <w:bookmarkEnd w:id="74"/>
      <w:bookmarkEnd w:id="75"/>
    </w:p>
    <w:bookmarkEnd w:id="78"/>
    <w:bookmarkEnd w:id="79"/>
    <w:bookmarkEnd w:id="80"/>
    <w:bookmarkEnd w:id="81"/>
    <w:bookmarkEnd w:id="82"/>
    <w:bookmarkEnd w:id="83"/>
    <w:bookmarkEnd w:id="84"/>
    <w:bookmarkEnd w:id="85"/>
    <w:bookmarkEnd w:id="86"/>
    <w:bookmarkEnd w:id="87"/>
    <w:p w14:paraId="4C73CED2">
      <w:pPr>
        <w:keepNext/>
        <w:keepLines/>
        <w:spacing w:line="360" w:lineRule="auto"/>
        <w:outlineLvl w:val="1"/>
        <w:rPr>
          <w:rFonts w:hint="eastAsia" w:ascii="宋体" w:hAnsi="宋体" w:eastAsia="宋体" w:cs="宋体"/>
          <w:b/>
          <w:szCs w:val="21"/>
          <w:highlight w:val="none"/>
        </w:rPr>
      </w:pPr>
      <w:bookmarkStart w:id="88" w:name="_Toc40577194"/>
      <w:bookmarkStart w:id="89" w:name="_Toc9048"/>
      <w:bookmarkStart w:id="90" w:name="_Toc40574226"/>
      <w:bookmarkStart w:id="91" w:name="_Toc16148"/>
      <w:bookmarkStart w:id="92" w:name="_Toc43799201"/>
      <w:bookmarkStart w:id="93" w:name="_Toc43798980"/>
      <w:bookmarkStart w:id="94" w:name="_Toc48917792"/>
      <w:bookmarkStart w:id="95" w:name="_Toc40575077"/>
      <w:bookmarkStart w:id="96" w:name="_Toc6419"/>
      <w:r>
        <w:rPr>
          <w:rFonts w:hint="eastAsia" w:ascii="宋体" w:hAnsi="宋体" w:eastAsia="宋体" w:cs="宋体"/>
          <w:b/>
          <w:szCs w:val="21"/>
          <w:highlight w:val="none"/>
        </w:rPr>
        <w:t>1.1 词语定义</w:t>
      </w:r>
      <w:bookmarkEnd w:id="88"/>
      <w:bookmarkEnd w:id="89"/>
      <w:bookmarkEnd w:id="90"/>
      <w:bookmarkEnd w:id="91"/>
      <w:bookmarkEnd w:id="92"/>
      <w:bookmarkEnd w:id="93"/>
      <w:bookmarkEnd w:id="94"/>
      <w:bookmarkEnd w:id="95"/>
      <w:bookmarkEnd w:id="96"/>
    </w:p>
    <w:p w14:paraId="515C4A84">
      <w:pPr>
        <w:keepNext/>
        <w:keepLines/>
        <w:tabs>
          <w:tab w:val="left" w:pos="1134"/>
        </w:tabs>
        <w:spacing w:line="360" w:lineRule="auto"/>
        <w:outlineLvl w:val="2"/>
        <w:rPr>
          <w:rFonts w:hint="eastAsia" w:ascii="宋体" w:hAnsi="宋体" w:eastAsia="宋体" w:cs="宋体"/>
          <w:b/>
          <w:szCs w:val="21"/>
          <w:highlight w:val="none"/>
        </w:rPr>
      </w:pPr>
      <w:bookmarkStart w:id="97" w:name="_Toc40575078"/>
      <w:bookmarkStart w:id="98" w:name="_Toc48917793"/>
      <w:bookmarkStart w:id="99" w:name="_Toc43799202"/>
      <w:bookmarkStart w:id="100" w:name="_Toc43798981"/>
      <w:bookmarkStart w:id="101" w:name="_Toc9664"/>
      <w:bookmarkStart w:id="102" w:name="_Toc40577195"/>
      <w:bookmarkStart w:id="103" w:name="_Toc27986"/>
      <w:bookmarkStart w:id="104" w:name="_Toc40574227"/>
      <w:bookmarkStart w:id="105" w:name="_Toc19803"/>
      <w:r>
        <w:rPr>
          <w:rFonts w:hint="eastAsia" w:ascii="宋体" w:hAnsi="宋体" w:eastAsia="宋体" w:cs="宋体"/>
          <w:b/>
          <w:kern w:val="0"/>
          <w:szCs w:val="21"/>
          <w:highlight w:val="none"/>
        </w:rPr>
        <w:t>1.1.1合同</w:t>
      </w:r>
      <w:bookmarkEnd w:id="97"/>
      <w:bookmarkEnd w:id="98"/>
      <w:bookmarkEnd w:id="99"/>
      <w:bookmarkEnd w:id="100"/>
      <w:bookmarkEnd w:id="101"/>
      <w:bookmarkEnd w:id="102"/>
      <w:bookmarkEnd w:id="103"/>
      <w:bookmarkEnd w:id="104"/>
      <w:bookmarkEnd w:id="105"/>
    </w:p>
    <w:p w14:paraId="75F02F99">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1.1.1.10</w:t>
      </w:r>
      <w:r>
        <w:rPr>
          <w:rFonts w:hint="eastAsia" w:ascii="宋体" w:hAnsi="宋体" w:eastAsia="宋体" w:cs="宋体"/>
          <w:kern w:val="0"/>
          <w:szCs w:val="21"/>
          <w:highlight w:val="none"/>
        </w:rPr>
        <w:t>其他合同文件包括：</w:t>
      </w:r>
      <w:r>
        <w:rPr>
          <w:rFonts w:hint="eastAsia" w:cs="宋体"/>
          <w:szCs w:val="21"/>
          <w:highlight w:val="none"/>
          <w:lang w:val="en-US" w:eastAsia="zh-CN"/>
        </w:rPr>
        <w:t>竞争性磋商</w:t>
      </w:r>
      <w:r>
        <w:rPr>
          <w:rFonts w:hint="eastAsia" w:ascii="宋体" w:hAnsi="宋体" w:eastAsia="宋体" w:cs="宋体"/>
          <w:szCs w:val="21"/>
          <w:highlight w:val="none"/>
        </w:rPr>
        <w:t>文件、响应性文件、其他有关书面协议。</w:t>
      </w:r>
    </w:p>
    <w:p w14:paraId="40AED1F1">
      <w:pPr>
        <w:spacing w:line="360" w:lineRule="auto"/>
        <w:rPr>
          <w:rFonts w:hint="eastAsia" w:ascii="宋体" w:hAnsi="宋体" w:eastAsia="宋体" w:cs="宋体"/>
          <w:b/>
          <w:kern w:val="0"/>
          <w:szCs w:val="21"/>
          <w:highlight w:val="none"/>
        </w:rPr>
      </w:pPr>
      <w:bookmarkStart w:id="106" w:name="_Toc43798982"/>
      <w:bookmarkStart w:id="107" w:name="_Toc43799203"/>
      <w:bookmarkStart w:id="108" w:name="_Toc48917794"/>
      <w:bookmarkStart w:id="109" w:name="_Toc40577196"/>
      <w:bookmarkStart w:id="110" w:name="_Toc40574228"/>
      <w:bookmarkStart w:id="111" w:name="_Toc23109"/>
      <w:bookmarkStart w:id="112" w:name="_Toc28480"/>
      <w:bookmarkStart w:id="113" w:name="_Toc25004"/>
      <w:bookmarkStart w:id="114" w:name="_Toc40575079"/>
      <w:r>
        <w:rPr>
          <w:rFonts w:hint="eastAsia" w:ascii="宋体" w:hAnsi="宋体" w:eastAsia="宋体" w:cs="宋体"/>
          <w:b/>
          <w:kern w:val="0"/>
          <w:szCs w:val="21"/>
          <w:highlight w:val="none"/>
        </w:rPr>
        <w:t>1.1.2 合同当事人及其他相关方</w:t>
      </w:r>
      <w:bookmarkEnd w:id="106"/>
      <w:bookmarkEnd w:id="107"/>
      <w:bookmarkEnd w:id="108"/>
      <w:bookmarkEnd w:id="109"/>
      <w:bookmarkEnd w:id="110"/>
      <w:bookmarkEnd w:id="111"/>
      <w:bookmarkEnd w:id="112"/>
      <w:bookmarkEnd w:id="113"/>
      <w:bookmarkEnd w:id="114"/>
    </w:p>
    <w:p w14:paraId="76258E5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1.1.2.4监理人：</w:t>
      </w:r>
    </w:p>
    <w:p w14:paraId="2940F6F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名    称：；</w:t>
      </w:r>
    </w:p>
    <w:p w14:paraId="10C26D5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资质类别和等级：；</w:t>
      </w:r>
    </w:p>
    <w:p w14:paraId="2CC2E14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联系电话：；</w:t>
      </w:r>
    </w:p>
    <w:p w14:paraId="7EC98B5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电子信箱：；</w:t>
      </w:r>
    </w:p>
    <w:p w14:paraId="2226EBD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通信地址：。</w:t>
      </w:r>
    </w:p>
    <w:p w14:paraId="0EDC7F5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1.1.2.5 设计人：</w:t>
      </w:r>
    </w:p>
    <w:p w14:paraId="2A8BFF9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名    称：；</w:t>
      </w:r>
    </w:p>
    <w:p w14:paraId="389F25D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资质类别和等级：；</w:t>
      </w:r>
    </w:p>
    <w:p w14:paraId="0C7E495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联系电话：；</w:t>
      </w:r>
    </w:p>
    <w:p w14:paraId="171902D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电子信箱：；</w:t>
      </w:r>
    </w:p>
    <w:p w14:paraId="40B7E8E3">
      <w:pPr>
        <w:tabs>
          <w:tab w:val="left" w:pos="1134"/>
        </w:tabs>
        <w:spacing w:line="360" w:lineRule="auto"/>
        <w:outlineLvl w:val="2"/>
        <w:rPr>
          <w:rFonts w:hint="eastAsia" w:ascii="宋体" w:hAnsi="宋体" w:eastAsia="宋体" w:cs="宋体"/>
          <w:b/>
          <w:kern w:val="0"/>
          <w:szCs w:val="21"/>
          <w:highlight w:val="none"/>
        </w:rPr>
      </w:pPr>
      <w:r>
        <w:rPr>
          <w:rFonts w:hint="eastAsia" w:ascii="宋体" w:hAnsi="宋体" w:eastAsia="宋体" w:cs="宋体"/>
          <w:szCs w:val="21"/>
          <w:highlight w:val="none"/>
        </w:rPr>
        <w:t>通信地址：。</w:t>
      </w:r>
    </w:p>
    <w:p w14:paraId="06881BAA">
      <w:pPr>
        <w:keepNext/>
        <w:keepLines/>
        <w:tabs>
          <w:tab w:val="left" w:pos="1134"/>
        </w:tabs>
        <w:spacing w:line="360" w:lineRule="auto"/>
        <w:outlineLvl w:val="2"/>
        <w:rPr>
          <w:rFonts w:hint="eastAsia" w:ascii="宋体" w:hAnsi="宋体" w:eastAsia="宋体" w:cs="宋体"/>
          <w:b/>
          <w:kern w:val="0"/>
          <w:szCs w:val="21"/>
          <w:highlight w:val="none"/>
        </w:rPr>
      </w:pPr>
      <w:bookmarkStart w:id="115" w:name="_Toc43799204"/>
      <w:bookmarkStart w:id="116" w:name="_Toc40577197"/>
      <w:bookmarkStart w:id="117" w:name="_Toc40574229"/>
      <w:bookmarkStart w:id="118" w:name="_Toc5212"/>
      <w:bookmarkStart w:id="119" w:name="_Toc22408"/>
      <w:bookmarkStart w:id="120" w:name="_Toc43798983"/>
      <w:bookmarkStart w:id="121" w:name="_Toc48917795"/>
      <w:bookmarkStart w:id="122" w:name="_Toc4195"/>
      <w:bookmarkStart w:id="123" w:name="_Toc40575080"/>
      <w:r>
        <w:rPr>
          <w:rFonts w:hint="eastAsia" w:ascii="宋体" w:hAnsi="宋体" w:eastAsia="宋体" w:cs="宋体"/>
          <w:b/>
          <w:kern w:val="0"/>
          <w:szCs w:val="21"/>
          <w:highlight w:val="none"/>
        </w:rPr>
        <w:t>1.1.3 工程和设备</w:t>
      </w:r>
      <w:bookmarkEnd w:id="115"/>
      <w:bookmarkEnd w:id="116"/>
      <w:bookmarkEnd w:id="117"/>
      <w:bookmarkEnd w:id="118"/>
      <w:bookmarkEnd w:id="119"/>
      <w:bookmarkEnd w:id="120"/>
      <w:bookmarkEnd w:id="121"/>
      <w:bookmarkEnd w:id="122"/>
      <w:bookmarkEnd w:id="123"/>
    </w:p>
    <w:p w14:paraId="2A00A2D9">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1.1.3.7 作为施工现场组成部分的其他场所包括：       /    。</w:t>
      </w:r>
    </w:p>
    <w:p w14:paraId="13267F35">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1.1.3.9 永久占地包括：       /   。</w:t>
      </w:r>
    </w:p>
    <w:p w14:paraId="5DAB5735">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1.1.3.10 临时占地包括：       /  。</w:t>
      </w:r>
    </w:p>
    <w:p w14:paraId="13BE0294">
      <w:pPr>
        <w:keepNext/>
        <w:keepLines/>
        <w:spacing w:line="360" w:lineRule="auto"/>
        <w:outlineLvl w:val="1"/>
        <w:rPr>
          <w:rFonts w:hint="eastAsia" w:ascii="宋体" w:hAnsi="宋体" w:eastAsia="宋体" w:cs="宋体"/>
          <w:b/>
          <w:szCs w:val="21"/>
          <w:highlight w:val="none"/>
        </w:rPr>
      </w:pPr>
      <w:bookmarkStart w:id="124" w:name="_Toc31061"/>
      <w:bookmarkStart w:id="125" w:name="_Toc48917796"/>
      <w:bookmarkStart w:id="126" w:name="_Toc40575081"/>
      <w:bookmarkStart w:id="127" w:name="_Toc40574230"/>
      <w:bookmarkStart w:id="128" w:name="_Toc20989"/>
      <w:bookmarkStart w:id="129" w:name="_Toc43798984"/>
      <w:bookmarkStart w:id="130" w:name="_Toc43799205"/>
      <w:bookmarkStart w:id="131" w:name="_Toc40577198"/>
      <w:r>
        <w:rPr>
          <w:rFonts w:hint="eastAsia" w:ascii="宋体" w:hAnsi="宋体" w:eastAsia="宋体" w:cs="宋体"/>
          <w:b/>
          <w:szCs w:val="21"/>
          <w:highlight w:val="none"/>
        </w:rPr>
        <w:t>1.3法律</w:t>
      </w:r>
      <w:bookmarkEnd w:id="124"/>
      <w:bookmarkEnd w:id="125"/>
      <w:bookmarkEnd w:id="126"/>
      <w:bookmarkEnd w:id="127"/>
      <w:bookmarkEnd w:id="128"/>
      <w:bookmarkEnd w:id="129"/>
      <w:bookmarkEnd w:id="130"/>
      <w:bookmarkEnd w:id="131"/>
    </w:p>
    <w:p w14:paraId="1C91FB24">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适用于合同的其他规范性文件：《中华人民共和国民法典》、《中华人民共和国建筑法》、《中华人民共和国招标投标法》、《中华人民共和国招标投标法实施条例》《建设工程质量管理条例》、《中华人民共和国增值税条例及实施细则》及建设部、江苏省、南京市颁布的有关法律、法规、条例、规范性文件等。</w:t>
      </w:r>
    </w:p>
    <w:p w14:paraId="02B2DD19">
      <w:pPr>
        <w:keepNext/>
        <w:keepLines/>
        <w:spacing w:line="360" w:lineRule="auto"/>
        <w:outlineLvl w:val="1"/>
        <w:rPr>
          <w:rFonts w:hint="eastAsia" w:ascii="宋体" w:hAnsi="宋体" w:eastAsia="宋体" w:cs="宋体"/>
          <w:b/>
          <w:szCs w:val="21"/>
          <w:highlight w:val="none"/>
        </w:rPr>
      </w:pPr>
      <w:bookmarkStart w:id="132" w:name="_Toc43799206"/>
      <w:bookmarkStart w:id="133" w:name="_Toc40574231"/>
      <w:bookmarkStart w:id="134" w:name="_Toc981"/>
      <w:bookmarkStart w:id="135" w:name="_Toc43798985"/>
      <w:bookmarkStart w:id="136" w:name="_Toc40577199"/>
      <w:bookmarkStart w:id="137" w:name="_Toc12159"/>
      <w:bookmarkStart w:id="138" w:name="_Toc40575082"/>
      <w:bookmarkStart w:id="139" w:name="_Toc9607"/>
      <w:bookmarkStart w:id="140" w:name="_Toc48917797"/>
      <w:r>
        <w:rPr>
          <w:rFonts w:hint="eastAsia" w:ascii="宋体" w:hAnsi="宋体" w:eastAsia="宋体" w:cs="宋体"/>
          <w:b/>
          <w:szCs w:val="21"/>
          <w:highlight w:val="none"/>
        </w:rPr>
        <w:t>1.4 标准和规范</w:t>
      </w:r>
      <w:bookmarkEnd w:id="132"/>
      <w:bookmarkEnd w:id="133"/>
      <w:bookmarkEnd w:id="134"/>
      <w:bookmarkEnd w:id="135"/>
      <w:bookmarkEnd w:id="136"/>
      <w:bookmarkEnd w:id="137"/>
      <w:bookmarkEnd w:id="138"/>
      <w:bookmarkEnd w:id="139"/>
      <w:bookmarkEnd w:id="140"/>
    </w:p>
    <w:p w14:paraId="408F2BC9">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1.4.1适用于工程的标准规范包括</w:t>
      </w:r>
      <w:r>
        <w:rPr>
          <w:rFonts w:hint="eastAsia" w:ascii="宋体" w:hAnsi="宋体" w:eastAsia="宋体" w:cs="宋体"/>
          <w:kern w:val="0"/>
          <w:szCs w:val="21"/>
          <w:highlight w:val="none"/>
        </w:rPr>
        <w:t>：国家颁发的有关规范、标准及省、市有关规定。</w:t>
      </w:r>
    </w:p>
    <w:p w14:paraId="7252B440">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1.4.2 发包人提供国外标准、规范的名称</w:t>
      </w:r>
      <w:r>
        <w:rPr>
          <w:rFonts w:hint="eastAsia" w:ascii="宋体" w:hAnsi="宋体" w:eastAsia="宋体" w:cs="宋体"/>
          <w:kern w:val="0"/>
          <w:szCs w:val="21"/>
          <w:highlight w:val="none"/>
        </w:rPr>
        <w:t>：/；</w:t>
      </w:r>
    </w:p>
    <w:p w14:paraId="2A36DB37">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(1)发包人提供国外标准、规范的份数：/；</w:t>
      </w:r>
    </w:p>
    <w:p w14:paraId="5D0762C0">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(2)发包人提供国外标准、规范的名称：/。</w:t>
      </w:r>
    </w:p>
    <w:p w14:paraId="31913E5E">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1.4.3发包人对工程的技术标准和功能要求的特殊要求</w:t>
      </w:r>
      <w:r>
        <w:rPr>
          <w:rFonts w:hint="eastAsia" w:ascii="宋体" w:hAnsi="宋体" w:eastAsia="宋体" w:cs="宋体"/>
          <w:kern w:val="0"/>
          <w:szCs w:val="21"/>
          <w:highlight w:val="none"/>
        </w:rPr>
        <w:t>：/。</w:t>
      </w:r>
    </w:p>
    <w:p w14:paraId="3B8578F4">
      <w:pPr>
        <w:keepNext/>
        <w:keepLines/>
        <w:spacing w:line="360" w:lineRule="auto"/>
        <w:outlineLvl w:val="1"/>
        <w:rPr>
          <w:rFonts w:hint="eastAsia" w:ascii="宋体" w:hAnsi="宋体" w:eastAsia="宋体" w:cs="宋体"/>
          <w:b/>
          <w:szCs w:val="21"/>
          <w:highlight w:val="none"/>
        </w:rPr>
      </w:pPr>
      <w:bookmarkStart w:id="141" w:name="_Toc40575083"/>
      <w:bookmarkStart w:id="142" w:name="_Toc43799207"/>
      <w:bookmarkStart w:id="143" w:name="_Toc25300"/>
      <w:bookmarkStart w:id="144" w:name="_Toc48917798"/>
      <w:bookmarkStart w:id="145" w:name="_Toc40577200"/>
      <w:bookmarkStart w:id="146" w:name="_Toc43798986"/>
      <w:bookmarkStart w:id="147" w:name="_Toc40574232"/>
      <w:bookmarkStart w:id="148" w:name="_Toc2356"/>
      <w:r>
        <w:rPr>
          <w:rFonts w:hint="eastAsia" w:ascii="宋体" w:hAnsi="宋体" w:eastAsia="宋体" w:cs="宋体"/>
          <w:b/>
          <w:szCs w:val="21"/>
          <w:highlight w:val="none"/>
        </w:rPr>
        <w:t>1.5 合同文件的优先顺序</w:t>
      </w:r>
      <w:bookmarkEnd w:id="141"/>
      <w:bookmarkEnd w:id="142"/>
      <w:bookmarkEnd w:id="143"/>
      <w:bookmarkEnd w:id="144"/>
      <w:bookmarkEnd w:id="145"/>
      <w:bookmarkEnd w:id="146"/>
      <w:bookmarkEnd w:id="147"/>
      <w:bookmarkEnd w:id="148"/>
    </w:p>
    <w:p w14:paraId="7E264860">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合同文件组成及优先顺序为：</w:t>
      </w:r>
      <w:r>
        <w:rPr>
          <w:rFonts w:hint="eastAsia" w:ascii="宋体" w:hAnsi="宋体" w:eastAsia="宋体" w:cs="宋体"/>
          <w:szCs w:val="21"/>
          <w:highlight w:val="none"/>
        </w:rPr>
        <w:t>合同协议书、成交通知书（如果有）、投标函及其附录（如果有）、专用合同条款及其附件、通用合同条款、技术标准和要求、图纸、</w:t>
      </w:r>
      <w:r>
        <w:rPr>
          <w:rFonts w:hint="eastAsia" w:cs="宋体"/>
          <w:szCs w:val="21"/>
          <w:highlight w:val="none"/>
          <w:lang w:val="en-US" w:eastAsia="zh-CN"/>
        </w:rPr>
        <w:t>竞争性磋商</w:t>
      </w:r>
      <w:r>
        <w:rPr>
          <w:rFonts w:hint="eastAsia" w:ascii="宋体" w:hAnsi="宋体" w:eastAsia="宋体" w:cs="宋体"/>
          <w:szCs w:val="21"/>
          <w:highlight w:val="none"/>
        </w:rPr>
        <w:t>文件及已标价工程量清单或预算书以及其他合同文件。</w:t>
      </w:r>
    </w:p>
    <w:p w14:paraId="22740F94">
      <w:pPr>
        <w:keepNext/>
        <w:keepLines/>
        <w:spacing w:line="360" w:lineRule="auto"/>
        <w:outlineLvl w:val="1"/>
        <w:rPr>
          <w:rFonts w:hint="eastAsia" w:ascii="宋体" w:hAnsi="宋体" w:eastAsia="宋体" w:cs="宋体"/>
          <w:b/>
          <w:szCs w:val="21"/>
          <w:highlight w:val="none"/>
        </w:rPr>
      </w:pPr>
      <w:bookmarkStart w:id="149" w:name="_Toc40575084"/>
      <w:bookmarkStart w:id="150" w:name="_Toc40574233"/>
      <w:bookmarkStart w:id="151" w:name="_Toc48917799"/>
      <w:bookmarkStart w:id="152" w:name="_Toc43798987"/>
      <w:bookmarkStart w:id="153" w:name="_Toc8113"/>
      <w:bookmarkStart w:id="154" w:name="_Toc17706"/>
      <w:bookmarkStart w:id="155" w:name="_Toc1121"/>
      <w:bookmarkStart w:id="156" w:name="_Toc40577201"/>
      <w:bookmarkStart w:id="157" w:name="_Toc43799208"/>
      <w:r>
        <w:rPr>
          <w:rFonts w:hint="eastAsia" w:ascii="宋体" w:hAnsi="宋体" w:eastAsia="宋体" w:cs="宋体"/>
          <w:b/>
          <w:szCs w:val="21"/>
          <w:highlight w:val="none"/>
        </w:rPr>
        <w:t>1.6 图纸和承包人文件</w:t>
      </w:r>
      <w:bookmarkEnd w:id="149"/>
      <w:bookmarkEnd w:id="150"/>
      <w:bookmarkEnd w:id="151"/>
      <w:bookmarkEnd w:id="152"/>
      <w:bookmarkEnd w:id="153"/>
      <w:bookmarkEnd w:id="154"/>
      <w:bookmarkEnd w:id="155"/>
      <w:bookmarkEnd w:id="156"/>
      <w:bookmarkEnd w:id="157"/>
    </w:p>
    <w:p w14:paraId="5D109410">
      <w:pPr>
        <w:keepNext/>
        <w:keepLines/>
        <w:tabs>
          <w:tab w:val="left" w:pos="1134"/>
        </w:tabs>
        <w:spacing w:line="360" w:lineRule="auto"/>
        <w:outlineLvl w:val="2"/>
        <w:rPr>
          <w:rFonts w:hint="eastAsia" w:ascii="宋体" w:hAnsi="宋体" w:eastAsia="宋体" w:cs="宋体"/>
          <w:b/>
          <w:kern w:val="0"/>
          <w:szCs w:val="21"/>
          <w:highlight w:val="none"/>
        </w:rPr>
      </w:pPr>
      <w:bookmarkStart w:id="158" w:name="_Toc43798988"/>
      <w:bookmarkStart w:id="159" w:name="_Toc40577202"/>
      <w:bookmarkStart w:id="160" w:name="_Toc8980"/>
      <w:bookmarkStart w:id="161" w:name="_Toc30012"/>
      <w:bookmarkStart w:id="162" w:name="_Toc48917800"/>
      <w:bookmarkStart w:id="163" w:name="_Toc15608"/>
      <w:bookmarkStart w:id="164" w:name="_Toc40575085"/>
      <w:bookmarkStart w:id="165" w:name="_Toc43799209"/>
      <w:bookmarkStart w:id="166" w:name="_Toc40574234"/>
      <w:r>
        <w:rPr>
          <w:rFonts w:hint="eastAsia" w:ascii="宋体" w:hAnsi="宋体" w:eastAsia="宋体" w:cs="宋体"/>
          <w:b/>
          <w:kern w:val="0"/>
          <w:szCs w:val="21"/>
          <w:highlight w:val="none"/>
        </w:rPr>
        <w:t>1.6.1 图纸的提供</w:t>
      </w:r>
      <w:bookmarkEnd w:id="158"/>
      <w:bookmarkEnd w:id="159"/>
      <w:bookmarkEnd w:id="160"/>
      <w:bookmarkEnd w:id="161"/>
      <w:bookmarkEnd w:id="162"/>
      <w:bookmarkEnd w:id="163"/>
      <w:bookmarkEnd w:id="164"/>
      <w:bookmarkEnd w:id="165"/>
      <w:bookmarkEnd w:id="166"/>
    </w:p>
    <w:p w14:paraId="0ED7B501">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发包人向承包人提供图纸的期限：开工前7天；</w:t>
      </w:r>
    </w:p>
    <w:p w14:paraId="6C3DD667">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发包人向承包人提供图纸的数量：壹套；</w:t>
      </w:r>
    </w:p>
    <w:p w14:paraId="03FA8EB9">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发包人向承包人提供图纸的内容：本项目施工图。</w:t>
      </w:r>
    </w:p>
    <w:p w14:paraId="3E201ADB">
      <w:pPr>
        <w:keepNext/>
        <w:keepLines/>
        <w:tabs>
          <w:tab w:val="left" w:pos="1134"/>
        </w:tabs>
        <w:spacing w:line="360" w:lineRule="auto"/>
        <w:outlineLvl w:val="2"/>
        <w:rPr>
          <w:rFonts w:hint="eastAsia" w:ascii="宋体" w:hAnsi="宋体" w:eastAsia="宋体" w:cs="宋体"/>
          <w:b/>
          <w:kern w:val="0"/>
          <w:szCs w:val="21"/>
          <w:highlight w:val="none"/>
        </w:rPr>
      </w:pPr>
      <w:bookmarkStart w:id="167" w:name="_Toc48917801"/>
      <w:bookmarkStart w:id="168" w:name="_Toc40574235"/>
      <w:bookmarkStart w:id="169" w:name="_Toc40575086"/>
      <w:bookmarkStart w:id="170" w:name="_Toc43798989"/>
      <w:bookmarkStart w:id="171" w:name="_Toc40577203"/>
      <w:bookmarkStart w:id="172" w:name="_Toc32170"/>
      <w:bookmarkStart w:id="173" w:name="_Toc19913"/>
      <w:bookmarkStart w:id="174" w:name="_Toc43799210"/>
      <w:bookmarkStart w:id="175" w:name="_Toc17194"/>
      <w:r>
        <w:rPr>
          <w:rFonts w:hint="eastAsia" w:ascii="宋体" w:hAnsi="宋体" w:eastAsia="宋体" w:cs="宋体"/>
          <w:b/>
          <w:kern w:val="0"/>
          <w:szCs w:val="21"/>
          <w:highlight w:val="none"/>
        </w:rPr>
        <w:t>1.6.4 承包人文件</w:t>
      </w:r>
      <w:bookmarkEnd w:id="167"/>
      <w:bookmarkEnd w:id="168"/>
      <w:bookmarkEnd w:id="169"/>
      <w:bookmarkEnd w:id="170"/>
      <w:bookmarkEnd w:id="171"/>
      <w:bookmarkEnd w:id="172"/>
      <w:bookmarkEnd w:id="173"/>
      <w:bookmarkEnd w:id="174"/>
      <w:bookmarkEnd w:id="175"/>
    </w:p>
    <w:p w14:paraId="00ED1DBD">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需要由承包人提供的文件，包括：施工组织设计（含施工总进度计划和材料、机械设备、人员进场总计划、现场平面布置图），专项施工方案、机械设备合格证书及相应检测报告、承包人行为资料、项目经理和安全员等管理人员行为资料、机械设备操作人员上岗证、进场施工人员名单和身份证（复印件）、开工报告等资料；</w:t>
      </w:r>
    </w:p>
    <w:p w14:paraId="1BB65D11">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承包人提供的文件的期限为：开工前7天；</w:t>
      </w:r>
    </w:p>
    <w:p w14:paraId="3BC7D201">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承包人提供的文件的数量为：发包人、监理人、跟踪审计（如有）各1份；</w:t>
      </w:r>
    </w:p>
    <w:p w14:paraId="6B968AF4">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承包人提供的文件的形式为：纸质文件，当面送达；</w:t>
      </w:r>
    </w:p>
    <w:p w14:paraId="7B469E2F">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发包人审批承包人文件的期限：收到文件件后7天内。</w:t>
      </w:r>
    </w:p>
    <w:p w14:paraId="21D9C5B0">
      <w:pPr>
        <w:keepNext/>
        <w:keepLines/>
        <w:tabs>
          <w:tab w:val="left" w:pos="1134"/>
        </w:tabs>
        <w:spacing w:line="360" w:lineRule="auto"/>
        <w:outlineLvl w:val="2"/>
        <w:rPr>
          <w:rFonts w:hint="eastAsia" w:ascii="宋体" w:hAnsi="宋体" w:eastAsia="宋体" w:cs="宋体"/>
          <w:b/>
          <w:kern w:val="0"/>
          <w:szCs w:val="21"/>
          <w:highlight w:val="none"/>
        </w:rPr>
      </w:pPr>
      <w:bookmarkStart w:id="176" w:name="_Toc40577204"/>
      <w:bookmarkStart w:id="177" w:name="_Toc430"/>
      <w:bookmarkStart w:id="178" w:name="_Toc48917802"/>
      <w:bookmarkStart w:id="179" w:name="_Toc43798990"/>
      <w:bookmarkStart w:id="180" w:name="_Toc40575087"/>
      <w:bookmarkStart w:id="181" w:name="_Toc240"/>
      <w:bookmarkStart w:id="182" w:name="_Toc40574236"/>
      <w:bookmarkStart w:id="183" w:name="_Toc21728"/>
      <w:bookmarkStart w:id="184" w:name="_Toc43799211"/>
      <w:r>
        <w:rPr>
          <w:rFonts w:hint="eastAsia" w:ascii="宋体" w:hAnsi="宋体" w:eastAsia="宋体" w:cs="宋体"/>
          <w:b/>
          <w:kern w:val="0"/>
          <w:szCs w:val="21"/>
          <w:highlight w:val="none"/>
        </w:rPr>
        <w:t>1.6.5 现场图纸准备</w:t>
      </w:r>
      <w:bookmarkEnd w:id="176"/>
      <w:bookmarkEnd w:id="177"/>
      <w:bookmarkEnd w:id="178"/>
      <w:bookmarkEnd w:id="179"/>
      <w:bookmarkEnd w:id="180"/>
      <w:bookmarkEnd w:id="181"/>
      <w:bookmarkEnd w:id="182"/>
      <w:bookmarkEnd w:id="183"/>
      <w:bookmarkEnd w:id="184"/>
    </w:p>
    <w:p w14:paraId="4D0F5E03">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关于现场图纸准备的约定：/。</w:t>
      </w:r>
    </w:p>
    <w:p w14:paraId="71DB0FBC">
      <w:pPr>
        <w:keepNext/>
        <w:keepLines/>
        <w:spacing w:line="360" w:lineRule="auto"/>
        <w:outlineLvl w:val="1"/>
        <w:rPr>
          <w:rFonts w:hint="eastAsia" w:ascii="宋体" w:hAnsi="宋体" w:eastAsia="宋体" w:cs="宋体"/>
          <w:b/>
          <w:szCs w:val="21"/>
          <w:highlight w:val="none"/>
        </w:rPr>
      </w:pPr>
      <w:bookmarkStart w:id="185" w:name="_Toc40574237"/>
      <w:bookmarkStart w:id="186" w:name="_Toc40575088"/>
      <w:bookmarkStart w:id="187" w:name="_Toc40577205"/>
      <w:bookmarkStart w:id="188" w:name="_Toc13978"/>
      <w:bookmarkStart w:id="189" w:name="_Toc43798991"/>
      <w:bookmarkStart w:id="190" w:name="_Toc14253"/>
      <w:bookmarkStart w:id="191" w:name="_Toc48917803"/>
      <w:bookmarkStart w:id="192" w:name="_Toc43799212"/>
      <w:bookmarkStart w:id="193" w:name="_Toc10247"/>
      <w:r>
        <w:rPr>
          <w:rFonts w:hint="eastAsia" w:ascii="宋体" w:hAnsi="宋体" w:eastAsia="宋体" w:cs="宋体"/>
          <w:b/>
          <w:szCs w:val="21"/>
          <w:highlight w:val="none"/>
        </w:rPr>
        <w:t>1.7 联络</w:t>
      </w:r>
      <w:bookmarkEnd w:id="185"/>
      <w:bookmarkEnd w:id="186"/>
      <w:bookmarkEnd w:id="187"/>
      <w:bookmarkEnd w:id="188"/>
      <w:bookmarkEnd w:id="189"/>
      <w:bookmarkEnd w:id="190"/>
      <w:bookmarkEnd w:id="191"/>
      <w:bookmarkEnd w:id="192"/>
      <w:bookmarkEnd w:id="193"/>
    </w:p>
    <w:p w14:paraId="51C489D4">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1.7.1</w:t>
      </w:r>
      <w:r>
        <w:rPr>
          <w:rFonts w:hint="eastAsia" w:ascii="宋体" w:hAnsi="宋体" w:eastAsia="宋体" w:cs="宋体"/>
          <w:kern w:val="0"/>
          <w:szCs w:val="21"/>
          <w:highlight w:val="none"/>
        </w:rPr>
        <w:t>发包人和承包人应当在叁天内将与合同有关的通知、批准、证明、证书、指示、指令、要求、请求、同意、意见、确定和决定等书面函件送达对方当事人。</w:t>
      </w:r>
    </w:p>
    <w:p w14:paraId="3C1A0A73">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 xml:space="preserve">1.7.2 </w:t>
      </w:r>
      <w:r>
        <w:rPr>
          <w:rFonts w:hint="eastAsia" w:ascii="宋体" w:hAnsi="宋体" w:eastAsia="宋体" w:cs="宋体"/>
          <w:kern w:val="0"/>
          <w:szCs w:val="21"/>
          <w:highlight w:val="none"/>
        </w:rPr>
        <w:t>发包人接收文件的地点：</w:t>
      </w:r>
      <w:permStart w:id="1" w:edGrp="everyone"/>
      <w:r>
        <w:rPr>
          <w:rFonts w:hint="eastAsia" w:ascii="宋体" w:hAnsi="宋体" w:eastAsia="宋体" w:cs="宋体"/>
          <w:kern w:val="0"/>
          <w:szCs w:val="21"/>
          <w:highlight w:val="none"/>
        </w:rPr>
        <w:t>项目现场办公地点；</w:t>
      </w:r>
    </w:p>
    <w:permEnd w:id="1"/>
    <w:p w14:paraId="62AF3FC8">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发包人指定的接收人为：</w:t>
      </w:r>
      <w:permStart w:id="2" w:edGrp="everyone"/>
      <w:r>
        <w:rPr>
          <w:rFonts w:hint="eastAsia" w:ascii="宋体" w:hAnsi="宋体" w:eastAsia="宋体" w:cs="宋体"/>
          <w:kern w:val="0"/>
          <w:szCs w:val="21"/>
          <w:highlight w:val="none"/>
        </w:rPr>
        <w:t xml:space="preserve"> 发包人代表  </w:t>
      </w:r>
    </w:p>
    <w:permEnd w:id="2"/>
    <w:p w14:paraId="343F8390">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全过程咨询接收文件的地点：</w:t>
      </w:r>
      <w:permStart w:id="3" w:edGrp="everyone"/>
      <w:r>
        <w:rPr>
          <w:rFonts w:hint="eastAsia" w:ascii="宋体" w:hAnsi="宋体" w:eastAsia="宋体" w:cs="宋体"/>
          <w:kern w:val="0"/>
          <w:szCs w:val="21"/>
          <w:highlight w:val="none"/>
        </w:rPr>
        <w:t>项目现场办公地点；</w:t>
      </w:r>
    </w:p>
    <w:permEnd w:id="3"/>
    <w:p w14:paraId="08D95664">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全过程咨询指定的接收人为：</w:t>
      </w:r>
      <w:permStart w:id="4" w:edGrp="everyone"/>
      <w:r>
        <w:rPr>
          <w:rFonts w:hint="eastAsia" w:ascii="宋体" w:hAnsi="宋体" w:eastAsia="宋体" w:cs="宋体"/>
          <w:kern w:val="0"/>
          <w:szCs w:val="21"/>
          <w:highlight w:val="none"/>
        </w:rPr>
        <w:t xml:space="preserve"> 全过程咨询现场代表 </w:t>
      </w:r>
    </w:p>
    <w:permEnd w:id="4"/>
    <w:p w14:paraId="74366855">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承包人接收文件的地点：</w:t>
      </w:r>
      <w:permStart w:id="5" w:edGrp="everyone"/>
      <w:r>
        <w:rPr>
          <w:rFonts w:hint="eastAsia" w:ascii="宋体" w:hAnsi="宋体" w:eastAsia="宋体" w:cs="宋体"/>
          <w:kern w:val="0"/>
          <w:szCs w:val="21"/>
          <w:highlight w:val="none"/>
        </w:rPr>
        <w:t>项目现场办公地点；</w:t>
      </w:r>
    </w:p>
    <w:permEnd w:id="5"/>
    <w:p w14:paraId="39DDA729">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承包人指定的接收人为：</w:t>
      </w:r>
      <w:permStart w:id="6" w:edGrp="everyone"/>
      <w:r>
        <w:rPr>
          <w:rFonts w:hint="eastAsia" w:ascii="宋体" w:hAnsi="宋体" w:eastAsia="宋体" w:cs="宋体"/>
          <w:kern w:val="0"/>
          <w:szCs w:val="21"/>
          <w:highlight w:val="none"/>
        </w:rPr>
        <w:t xml:space="preserve"> 项目经理  </w:t>
      </w:r>
    </w:p>
    <w:permEnd w:id="6"/>
    <w:p w14:paraId="3DD69D26">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监理人接收文件的地点：</w:t>
      </w:r>
      <w:permStart w:id="7" w:edGrp="everyone"/>
      <w:r>
        <w:rPr>
          <w:rFonts w:hint="eastAsia" w:ascii="宋体" w:hAnsi="宋体" w:eastAsia="宋体" w:cs="宋体"/>
          <w:kern w:val="0"/>
          <w:szCs w:val="21"/>
          <w:highlight w:val="none"/>
        </w:rPr>
        <w:t>监理项目部；</w:t>
      </w:r>
    </w:p>
    <w:permEnd w:id="7"/>
    <w:p w14:paraId="6852F9CA">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监理人指定的接收人为：总监理工程师</w:t>
      </w:r>
    </w:p>
    <w:p w14:paraId="110700D8">
      <w:pPr>
        <w:keepNext/>
        <w:keepLines/>
        <w:spacing w:line="360" w:lineRule="auto"/>
        <w:outlineLvl w:val="1"/>
        <w:rPr>
          <w:rFonts w:hint="eastAsia" w:ascii="宋体" w:hAnsi="宋体" w:eastAsia="宋体" w:cs="宋体"/>
          <w:b/>
          <w:szCs w:val="21"/>
          <w:highlight w:val="none"/>
        </w:rPr>
      </w:pPr>
      <w:bookmarkStart w:id="194" w:name="_Toc20416"/>
      <w:bookmarkStart w:id="195" w:name="_Toc40577206"/>
      <w:bookmarkStart w:id="196" w:name="_Toc48917804"/>
      <w:bookmarkStart w:id="197" w:name="_Toc43799213"/>
      <w:bookmarkStart w:id="198" w:name="_Toc40574238"/>
      <w:bookmarkStart w:id="199" w:name="_Toc43798992"/>
      <w:bookmarkStart w:id="200" w:name="_Toc26661"/>
      <w:bookmarkStart w:id="201" w:name="_Toc11630"/>
      <w:bookmarkStart w:id="202" w:name="_Toc40575089"/>
      <w:r>
        <w:rPr>
          <w:rFonts w:hint="eastAsia" w:ascii="宋体" w:hAnsi="宋体" w:eastAsia="宋体" w:cs="宋体"/>
          <w:b/>
          <w:szCs w:val="21"/>
          <w:highlight w:val="none"/>
        </w:rPr>
        <w:t>1.10 交通运输</w:t>
      </w:r>
      <w:bookmarkEnd w:id="194"/>
      <w:bookmarkEnd w:id="195"/>
      <w:bookmarkEnd w:id="196"/>
      <w:bookmarkEnd w:id="197"/>
      <w:bookmarkEnd w:id="198"/>
      <w:bookmarkEnd w:id="199"/>
      <w:bookmarkEnd w:id="200"/>
      <w:bookmarkEnd w:id="201"/>
      <w:bookmarkEnd w:id="202"/>
    </w:p>
    <w:p w14:paraId="6008FC5D">
      <w:pPr>
        <w:keepNext/>
        <w:keepLines/>
        <w:tabs>
          <w:tab w:val="left" w:pos="1134"/>
        </w:tabs>
        <w:spacing w:line="360" w:lineRule="auto"/>
        <w:outlineLvl w:val="2"/>
        <w:rPr>
          <w:rFonts w:hint="eastAsia" w:ascii="宋体" w:hAnsi="宋体" w:eastAsia="宋体" w:cs="宋体"/>
          <w:b/>
          <w:kern w:val="0"/>
          <w:szCs w:val="21"/>
          <w:highlight w:val="none"/>
        </w:rPr>
      </w:pPr>
      <w:bookmarkStart w:id="203" w:name="_Toc40574239"/>
      <w:bookmarkStart w:id="204" w:name="_Toc12781"/>
      <w:bookmarkStart w:id="205" w:name="_Toc10768"/>
      <w:bookmarkStart w:id="206" w:name="_Toc40575090"/>
      <w:bookmarkStart w:id="207" w:name="_Toc12920"/>
      <w:bookmarkStart w:id="208" w:name="_Toc43799214"/>
      <w:bookmarkStart w:id="209" w:name="_Toc43798993"/>
      <w:bookmarkStart w:id="210" w:name="_Toc48917805"/>
      <w:bookmarkStart w:id="211" w:name="_Toc40577207"/>
      <w:r>
        <w:rPr>
          <w:rFonts w:hint="eastAsia" w:ascii="宋体" w:hAnsi="宋体" w:eastAsia="宋体" w:cs="宋体"/>
          <w:b/>
          <w:kern w:val="0"/>
          <w:szCs w:val="21"/>
          <w:highlight w:val="none"/>
        </w:rPr>
        <w:t>1</w:t>
      </w:r>
      <w:bookmarkStart w:id="212" w:name="_Toc318581155"/>
      <w:bookmarkStart w:id="213" w:name="_Toc304295521"/>
      <w:bookmarkStart w:id="214" w:name="_Toc312677986"/>
      <w:bookmarkStart w:id="215" w:name="_Toc303539100"/>
      <w:bookmarkStart w:id="216" w:name="_Toc300934943"/>
      <w:r>
        <w:rPr>
          <w:rFonts w:hint="eastAsia" w:ascii="宋体" w:hAnsi="宋体" w:eastAsia="宋体" w:cs="宋体"/>
          <w:b/>
          <w:kern w:val="0"/>
          <w:szCs w:val="21"/>
          <w:highlight w:val="none"/>
        </w:rPr>
        <w:t>.10.1 出入现场的权利</w:t>
      </w:r>
      <w:bookmarkEnd w:id="203"/>
      <w:bookmarkEnd w:id="204"/>
      <w:bookmarkEnd w:id="205"/>
      <w:bookmarkEnd w:id="206"/>
      <w:bookmarkEnd w:id="207"/>
      <w:bookmarkEnd w:id="208"/>
      <w:bookmarkEnd w:id="209"/>
      <w:bookmarkEnd w:id="210"/>
      <w:bookmarkEnd w:id="211"/>
    </w:p>
    <w:p w14:paraId="67120BA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关于出入现场的权利的约定：承包人根据现场场地条件自行负责场内临时道路及交通设施，并在竣工后恢复原状（发包人要求保留的除外），费用含在投标报价。</w:t>
      </w:r>
    </w:p>
    <w:bookmarkEnd w:id="212"/>
    <w:bookmarkEnd w:id="213"/>
    <w:bookmarkEnd w:id="214"/>
    <w:bookmarkEnd w:id="215"/>
    <w:bookmarkEnd w:id="216"/>
    <w:p w14:paraId="26FD6CF5">
      <w:pPr>
        <w:keepNext/>
        <w:keepLines/>
        <w:tabs>
          <w:tab w:val="left" w:pos="1134"/>
        </w:tabs>
        <w:spacing w:line="360" w:lineRule="auto"/>
        <w:outlineLvl w:val="2"/>
        <w:rPr>
          <w:rFonts w:hint="eastAsia" w:ascii="宋体" w:hAnsi="宋体" w:eastAsia="宋体" w:cs="宋体"/>
          <w:b/>
          <w:kern w:val="0"/>
          <w:szCs w:val="21"/>
          <w:highlight w:val="none"/>
        </w:rPr>
      </w:pPr>
      <w:bookmarkStart w:id="217" w:name="_Toc40574240"/>
      <w:bookmarkStart w:id="218" w:name="_Toc4228"/>
      <w:bookmarkStart w:id="219" w:name="_Toc6188"/>
      <w:bookmarkStart w:id="220" w:name="_Toc48917806"/>
      <w:bookmarkStart w:id="221" w:name="_Toc43799215"/>
      <w:bookmarkStart w:id="222" w:name="_Toc40577208"/>
      <w:bookmarkStart w:id="223" w:name="_Toc15898"/>
      <w:bookmarkStart w:id="224" w:name="_Toc40575091"/>
      <w:bookmarkStart w:id="225" w:name="_Toc43798994"/>
      <w:r>
        <w:rPr>
          <w:rFonts w:hint="eastAsia" w:ascii="宋体" w:hAnsi="宋体" w:eastAsia="宋体" w:cs="宋体"/>
          <w:b/>
          <w:kern w:val="0"/>
          <w:szCs w:val="21"/>
          <w:highlight w:val="none"/>
        </w:rPr>
        <w:t>1</w:t>
      </w:r>
      <w:bookmarkStart w:id="226" w:name="_Toc304295522"/>
      <w:bookmarkStart w:id="227" w:name="_Toc318581156"/>
      <w:bookmarkStart w:id="228" w:name="_Toc303539101"/>
      <w:bookmarkStart w:id="229" w:name="_Toc300934944"/>
      <w:bookmarkStart w:id="230" w:name="_Toc312677987"/>
      <w:r>
        <w:rPr>
          <w:rFonts w:hint="eastAsia" w:ascii="宋体" w:hAnsi="宋体" w:eastAsia="宋体" w:cs="宋体"/>
          <w:b/>
          <w:kern w:val="0"/>
          <w:szCs w:val="21"/>
          <w:highlight w:val="none"/>
        </w:rPr>
        <w:t>.10.3 场内交通</w:t>
      </w:r>
      <w:bookmarkEnd w:id="217"/>
      <w:bookmarkEnd w:id="218"/>
      <w:bookmarkEnd w:id="219"/>
      <w:bookmarkEnd w:id="220"/>
      <w:bookmarkEnd w:id="221"/>
      <w:bookmarkEnd w:id="222"/>
      <w:bookmarkEnd w:id="223"/>
      <w:bookmarkEnd w:id="224"/>
      <w:bookmarkEnd w:id="225"/>
    </w:p>
    <w:p w14:paraId="5B22FA54">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关于场外交通和场内交通的边界的约定：规划红线。</w:t>
      </w:r>
    </w:p>
    <w:p w14:paraId="72B3C325">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关于发包人向承包人免费提供满足工程施工需要的场内道路和交通设施的约定：</w:t>
      </w:r>
      <w:bookmarkEnd w:id="226"/>
      <w:bookmarkEnd w:id="227"/>
      <w:bookmarkEnd w:id="228"/>
      <w:bookmarkEnd w:id="229"/>
      <w:bookmarkEnd w:id="230"/>
      <w:bookmarkStart w:id="231" w:name="_Toc318581157"/>
      <w:r>
        <w:rPr>
          <w:rFonts w:hint="eastAsia" w:ascii="宋体" w:hAnsi="宋体" w:eastAsia="宋体" w:cs="宋体"/>
          <w:kern w:val="0"/>
          <w:szCs w:val="21"/>
          <w:highlight w:val="none"/>
        </w:rPr>
        <w:t>由承包人完成并负责维修、保养和管理工作及竣工结束后的拆除等，费用含在投标报价中。</w:t>
      </w:r>
    </w:p>
    <w:p w14:paraId="4367D0F8">
      <w:pPr>
        <w:keepNext/>
        <w:keepLines/>
        <w:tabs>
          <w:tab w:val="left" w:pos="1134"/>
        </w:tabs>
        <w:spacing w:line="360" w:lineRule="auto"/>
        <w:outlineLvl w:val="2"/>
        <w:rPr>
          <w:rFonts w:hint="eastAsia" w:ascii="宋体" w:hAnsi="宋体" w:eastAsia="宋体" w:cs="宋体"/>
          <w:b/>
          <w:kern w:val="0"/>
          <w:szCs w:val="21"/>
          <w:highlight w:val="none"/>
        </w:rPr>
      </w:pPr>
      <w:bookmarkStart w:id="232" w:name="_Toc40575092"/>
      <w:bookmarkStart w:id="233" w:name="_Toc15913"/>
      <w:bookmarkStart w:id="234" w:name="_Toc40577209"/>
      <w:bookmarkStart w:id="235" w:name="_Toc31618"/>
      <w:bookmarkStart w:id="236" w:name="_Toc40574241"/>
      <w:bookmarkStart w:id="237" w:name="_Toc43799216"/>
      <w:bookmarkStart w:id="238" w:name="_Toc43798995"/>
      <w:bookmarkStart w:id="239" w:name="_Toc48917807"/>
      <w:bookmarkStart w:id="240" w:name="_Toc9723"/>
      <w:r>
        <w:rPr>
          <w:rFonts w:hint="eastAsia" w:ascii="宋体" w:hAnsi="宋体" w:eastAsia="宋体" w:cs="宋体"/>
          <w:b/>
          <w:kern w:val="0"/>
          <w:szCs w:val="21"/>
          <w:highlight w:val="none"/>
        </w:rPr>
        <w:t>1.10.4超大件和超重件的运输</w:t>
      </w:r>
      <w:bookmarkEnd w:id="232"/>
      <w:bookmarkEnd w:id="233"/>
      <w:bookmarkEnd w:id="234"/>
      <w:bookmarkEnd w:id="235"/>
      <w:bookmarkEnd w:id="236"/>
      <w:bookmarkEnd w:id="237"/>
      <w:bookmarkEnd w:id="238"/>
      <w:bookmarkEnd w:id="239"/>
      <w:bookmarkEnd w:id="240"/>
    </w:p>
    <w:p w14:paraId="7C338B03">
      <w:pPr>
        <w:widowControl/>
        <w:spacing w:line="360" w:lineRule="auto"/>
        <w:jc w:val="left"/>
        <w:rPr>
          <w:rFonts w:hint="eastAsia" w:ascii="宋体" w:hAnsi="宋体" w:eastAsia="宋体" w:cs="宋体"/>
          <w:kern w:val="0"/>
          <w:sz w:val="18"/>
          <w:szCs w:val="18"/>
          <w:highlight w:val="none"/>
        </w:rPr>
      </w:pPr>
      <w:r>
        <w:rPr>
          <w:rFonts w:hint="eastAsia" w:ascii="宋体" w:hAnsi="宋体" w:eastAsia="宋体" w:cs="宋体"/>
          <w:kern w:val="0"/>
          <w:szCs w:val="21"/>
          <w:highlight w:val="none"/>
        </w:rPr>
        <w:t>运输超大件或超重件所需的道路和桥梁临时加固改造费用和其他有关费用由承包人承担</w:t>
      </w:r>
      <w:r>
        <w:rPr>
          <w:rFonts w:hint="eastAsia" w:ascii="宋体" w:hAnsi="宋体" w:eastAsia="宋体" w:cs="宋体"/>
          <w:kern w:val="0"/>
          <w:sz w:val="18"/>
          <w:szCs w:val="18"/>
          <w:highlight w:val="none"/>
        </w:rPr>
        <w:t>。</w:t>
      </w:r>
    </w:p>
    <w:bookmarkEnd w:id="231"/>
    <w:p w14:paraId="68036572">
      <w:pPr>
        <w:keepNext/>
        <w:keepLines/>
        <w:spacing w:line="360" w:lineRule="auto"/>
        <w:outlineLvl w:val="1"/>
        <w:rPr>
          <w:rFonts w:hint="eastAsia" w:ascii="宋体" w:hAnsi="宋体" w:eastAsia="宋体" w:cs="宋体"/>
          <w:b/>
          <w:szCs w:val="21"/>
          <w:highlight w:val="none"/>
        </w:rPr>
      </w:pPr>
      <w:bookmarkStart w:id="241" w:name="_Toc40575093"/>
      <w:bookmarkStart w:id="242" w:name="_Toc48917808"/>
      <w:bookmarkStart w:id="243" w:name="_Toc26161"/>
      <w:bookmarkStart w:id="244" w:name="_Toc25296"/>
      <w:bookmarkStart w:id="245" w:name="_Toc28496"/>
      <w:bookmarkStart w:id="246" w:name="_Toc43799217"/>
      <w:bookmarkStart w:id="247" w:name="_Toc40574242"/>
      <w:bookmarkStart w:id="248" w:name="_Toc40577210"/>
      <w:bookmarkStart w:id="249" w:name="_Toc43798996"/>
      <w:r>
        <w:rPr>
          <w:rFonts w:hint="eastAsia" w:ascii="宋体" w:hAnsi="宋体" w:eastAsia="宋体" w:cs="宋体"/>
          <w:b/>
          <w:szCs w:val="21"/>
          <w:highlight w:val="none"/>
        </w:rPr>
        <w:t>1.11 知识产权</w:t>
      </w:r>
      <w:bookmarkEnd w:id="241"/>
      <w:bookmarkEnd w:id="242"/>
      <w:bookmarkEnd w:id="243"/>
      <w:bookmarkEnd w:id="244"/>
      <w:bookmarkEnd w:id="245"/>
      <w:bookmarkEnd w:id="246"/>
      <w:bookmarkEnd w:id="247"/>
      <w:bookmarkEnd w:id="248"/>
      <w:bookmarkEnd w:id="249"/>
    </w:p>
    <w:p w14:paraId="79962971">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1.11.1</w:t>
      </w:r>
      <w:r>
        <w:rPr>
          <w:rFonts w:hint="eastAsia" w:ascii="宋体" w:hAnsi="宋体" w:eastAsia="宋体" w:cs="宋体"/>
          <w:kern w:val="0"/>
          <w:szCs w:val="21"/>
          <w:highlight w:val="none"/>
        </w:rPr>
        <w:t>关于发包人提供给承包人的图纸、发包人为实施工程自行编制或委托编制的技术规范以及反映发包人关于合同要求或其他类似性质的文件的著作权的归属：归发包人所有。</w:t>
      </w:r>
    </w:p>
    <w:p w14:paraId="3E2D00DB">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提供的上述文件的使用限制的要求：承包人可以为实现合同目的而复制、使用此类文件，但不能用于与合同无关的其他事项。未经发包人书面同意，承包人不得为了合同以外的目的而复制、使用上述文件或将之提供给任何第三方。</w:t>
      </w:r>
    </w:p>
    <w:p w14:paraId="18A49CE7">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 xml:space="preserve">1.11.2 </w:t>
      </w:r>
      <w:r>
        <w:rPr>
          <w:rFonts w:hint="eastAsia" w:ascii="宋体" w:hAnsi="宋体" w:eastAsia="宋体" w:cs="宋体"/>
          <w:kern w:val="0"/>
          <w:szCs w:val="21"/>
          <w:highlight w:val="none"/>
        </w:rPr>
        <w:t>关于承包人为实施工程所编制文件的著作权的归属：除署名权以外的著作权属于发包人。</w:t>
      </w:r>
    </w:p>
    <w:p w14:paraId="5A74F2AC">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承包人提供的上述文件的使用限制的要求：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361DAAB">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1.11.4</w:t>
      </w:r>
      <w:r>
        <w:rPr>
          <w:rFonts w:hint="eastAsia" w:ascii="宋体" w:hAnsi="宋体" w:eastAsia="宋体" w:cs="宋体"/>
          <w:kern w:val="0"/>
          <w:szCs w:val="21"/>
          <w:highlight w:val="none"/>
        </w:rPr>
        <w:t xml:space="preserve"> 承包人在施工过程中所采用的专利、专有技术、技术秘密的使用费的承担方式：已含在合同价款中。</w:t>
      </w:r>
    </w:p>
    <w:p w14:paraId="412B1CFE">
      <w:pPr>
        <w:keepNext/>
        <w:keepLines/>
        <w:spacing w:line="360" w:lineRule="auto"/>
        <w:outlineLvl w:val="1"/>
        <w:rPr>
          <w:rFonts w:hint="eastAsia" w:ascii="宋体" w:hAnsi="宋体" w:eastAsia="宋体" w:cs="宋体"/>
          <w:b/>
          <w:szCs w:val="21"/>
          <w:highlight w:val="none"/>
        </w:rPr>
      </w:pPr>
      <w:bookmarkStart w:id="250" w:name="_Toc40574243"/>
      <w:bookmarkStart w:id="251" w:name="_Toc40575094"/>
      <w:bookmarkStart w:id="252" w:name="_Toc29584"/>
      <w:bookmarkStart w:id="253" w:name="_Toc40577211"/>
      <w:bookmarkStart w:id="254" w:name="_Toc48917809"/>
      <w:bookmarkStart w:id="255" w:name="_Toc43799218"/>
      <w:bookmarkStart w:id="256" w:name="_Toc26886"/>
      <w:bookmarkStart w:id="257" w:name="_Toc28051"/>
      <w:bookmarkStart w:id="258" w:name="_Toc43798997"/>
      <w:r>
        <w:rPr>
          <w:rFonts w:hint="eastAsia" w:ascii="宋体" w:hAnsi="宋体" w:eastAsia="宋体" w:cs="宋体"/>
          <w:b/>
          <w:szCs w:val="21"/>
          <w:highlight w:val="none"/>
        </w:rPr>
        <w:t>1.13工程量清单错误的修正</w:t>
      </w:r>
      <w:bookmarkEnd w:id="250"/>
      <w:bookmarkEnd w:id="251"/>
      <w:bookmarkEnd w:id="252"/>
      <w:bookmarkEnd w:id="253"/>
      <w:bookmarkEnd w:id="254"/>
      <w:bookmarkEnd w:id="255"/>
      <w:bookmarkEnd w:id="256"/>
      <w:bookmarkEnd w:id="257"/>
      <w:bookmarkEnd w:id="258"/>
    </w:p>
    <w:p w14:paraId="70C1887B">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出现工程量清单错误时，是否调整合同价格：否，在竣工结算时调整最终结算价</w:t>
      </w:r>
    </w:p>
    <w:p w14:paraId="1EEF3CFF">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允许调整合同价格的工程量偏差范围：出现工程量清单错误时，是否调整合同价格：参照《建设工程工程量清单计价规范》GB50500-2013)规范中相应规定执行、工程量清单编制说明。</w:t>
      </w:r>
    </w:p>
    <w:p w14:paraId="2C07CA0B">
      <w:pPr>
        <w:keepNext/>
        <w:keepLines/>
        <w:spacing w:line="360" w:lineRule="auto"/>
        <w:outlineLvl w:val="1"/>
        <w:rPr>
          <w:rFonts w:hint="eastAsia" w:ascii="宋体" w:hAnsi="宋体" w:eastAsia="宋体" w:cs="宋体"/>
          <w:b/>
          <w:szCs w:val="21"/>
          <w:highlight w:val="none"/>
        </w:rPr>
      </w:pPr>
      <w:bookmarkStart w:id="259" w:name="_Toc43798998"/>
      <w:bookmarkStart w:id="260" w:name="_Toc43799219"/>
      <w:bookmarkStart w:id="261" w:name="_Toc40575095"/>
      <w:bookmarkStart w:id="262" w:name="_Toc12525"/>
      <w:bookmarkStart w:id="263" w:name="_Toc40577212"/>
      <w:bookmarkStart w:id="264" w:name="_Toc48917810"/>
      <w:bookmarkStart w:id="265" w:name="_Toc194"/>
      <w:bookmarkStart w:id="266" w:name="_Toc7856"/>
      <w:bookmarkStart w:id="267" w:name="_Toc40574244"/>
      <w:r>
        <w:rPr>
          <w:rFonts w:hint="eastAsia" w:ascii="宋体" w:hAnsi="宋体" w:eastAsia="宋体" w:cs="宋体"/>
          <w:b/>
          <w:szCs w:val="21"/>
          <w:highlight w:val="none"/>
        </w:rPr>
        <w:t>2. 发包人</w:t>
      </w:r>
      <w:bookmarkEnd w:id="259"/>
      <w:bookmarkEnd w:id="260"/>
      <w:bookmarkEnd w:id="261"/>
      <w:bookmarkEnd w:id="262"/>
      <w:bookmarkEnd w:id="263"/>
      <w:bookmarkEnd w:id="264"/>
      <w:bookmarkEnd w:id="265"/>
      <w:bookmarkEnd w:id="266"/>
      <w:bookmarkEnd w:id="267"/>
    </w:p>
    <w:p w14:paraId="12BE4AA4">
      <w:pPr>
        <w:keepNext/>
        <w:keepLines/>
        <w:spacing w:line="360" w:lineRule="auto"/>
        <w:outlineLvl w:val="1"/>
        <w:rPr>
          <w:rFonts w:hint="eastAsia" w:ascii="宋体" w:hAnsi="宋体" w:eastAsia="宋体" w:cs="宋体"/>
          <w:b/>
          <w:szCs w:val="21"/>
          <w:highlight w:val="none"/>
        </w:rPr>
      </w:pPr>
      <w:bookmarkStart w:id="268" w:name="_Toc40577213"/>
      <w:bookmarkStart w:id="269" w:name="_Toc23758"/>
      <w:bookmarkStart w:id="270" w:name="_Toc40575096"/>
      <w:bookmarkStart w:id="271" w:name="_Toc43798999"/>
      <w:bookmarkStart w:id="272" w:name="_Toc6043"/>
      <w:bookmarkStart w:id="273" w:name="_Toc40574245"/>
      <w:bookmarkStart w:id="274" w:name="_Toc43799220"/>
      <w:bookmarkStart w:id="275" w:name="_Toc48917811"/>
      <w:bookmarkStart w:id="276" w:name="_Toc10285"/>
      <w:r>
        <w:rPr>
          <w:rFonts w:hint="eastAsia" w:ascii="宋体" w:hAnsi="宋体" w:eastAsia="宋体" w:cs="宋体"/>
          <w:b/>
          <w:szCs w:val="21"/>
          <w:highlight w:val="none"/>
        </w:rPr>
        <w:t>2.2 发包人代表</w:t>
      </w:r>
      <w:bookmarkEnd w:id="268"/>
      <w:bookmarkEnd w:id="269"/>
      <w:bookmarkEnd w:id="270"/>
      <w:bookmarkEnd w:id="271"/>
      <w:bookmarkEnd w:id="272"/>
      <w:bookmarkEnd w:id="273"/>
      <w:bookmarkEnd w:id="274"/>
      <w:bookmarkEnd w:id="275"/>
      <w:bookmarkEnd w:id="276"/>
    </w:p>
    <w:p w14:paraId="050C471D">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发包人代表：</w:t>
      </w:r>
    </w:p>
    <w:p w14:paraId="3646E86C">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姓    名：</w:t>
      </w:r>
      <w:permStart w:id="8" w:edGrp="everyone"/>
    </w:p>
    <w:permEnd w:id="8"/>
    <w:p w14:paraId="38FFCDD4">
      <w:pPr>
        <w:widowControl/>
        <w:tabs>
          <w:tab w:val="left" w:pos="5805"/>
        </w:tabs>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身份证号：</w:t>
      </w:r>
      <w:permStart w:id="9" w:edGrp="everyone"/>
      <w:r>
        <w:rPr>
          <w:rFonts w:hint="eastAsia" w:ascii="宋体" w:hAnsi="宋体" w:eastAsia="宋体" w:cs="宋体"/>
          <w:kern w:val="0"/>
          <w:szCs w:val="21"/>
          <w:highlight w:val="none"/>
        </w:rPr>
        <w:t>//；</w:t>
      </w:r>
      <w:permEnd w:id="9"/>
    </w:p>
    <w:p w14:paraId="28397A95">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职    务：</w:t>
      </w:r>
      <w:permStart w:id="10" w:edGrp="everyone"/>
    </w:p>
    <w:permEnd w:id="10"/>
    <w:p w14:paraId="7237076B">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w:t>
      </w:r>
      <w:permStart w:id="11" w:edGrp="everyone"/>
      <w:r>
        <w:rPr>
          <w:rFonts w:hint="eastAsia" w:ascii="宋体" w:hAnsi="宋体" w:eastAsia="宋体" w:cs="宋体"/>
          <w:kern w:val="0"/>
          <w:szCs w:val="21"/>
          <w:highlight w:val="none"/>
        </w:rPr>
        <w:t>///；</w:t>
      </w:r>
    </w:p>
    <w:permEnd w:id="11"/>
    <w:p w14:paraId="698C63FF">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电子信箱：///；</w:t>
      </w:r>
    </w:p>
    <w:p w14:paraId="1126330F">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通信地址：     </w:t>
      </w:r>
    </w:p>
    <w:p w14:paraId="392110B0">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rPr>
        <w:t>发包人对发包人代表的授权范围如下：</w:t>
      </w:r>
      <w:r>
        <w:rPr>
          <w:rFonts w:hint="eastAsia" w:ascii="宋体" w:hAnsi="宋体" w:eastAsia="宋体" w:cs="宋体"/>
          <w:szCs w:val="21"/>
          <w:highlight w:val="none"/>
        </w:rPr>
        <w:t>负责处理合同履行过程中与发包人有关的具体事宜。发包人代表在授权范围内的行为由发包人承担法律责任。发包人更换发包人代表的，应提前7天书面通知承包人。本合同实施过程中，所有应由承包人负责又需发包人派驻代表/监理审批或确认的事情均不能免除或减轻承包人应负的合同责任。</w:t>
      </w:r>
    </w:p>
    <w:p w14:paraId="45079FFE">
      <w:pPr>
        <w:keepNext/>
        <w:keepLines/>
        <w:spacing w:line="360" w:lineRule="auto"/>
        <w:outlineLvl w:val="1"/>
        <w:rPr>
          <w:rFonts w:hint="eastAsia" w:ascii="宋体" w:hAnsi="宋体" w:eastAsia="宋体" w:cs="宋体"/>
          <w:b/>
          <w:szCs w:val="21"/>
          <w:highlight w:val="none"/>
        </w:rPr>
      </w:pPr>
      <w:bookmarkStart w:id="277" w:name="_Toc40575097"/>
      <w:bookmarkStart w:id="278" w:name="_Toc43799221"/>
      <w:bookmarkStart w:id="279" w:name="_Toc40574246"/>
      <w:bookmarkStart w:id="280" w:name="_Toc40577214"/>
      <w:bookmarkStart w:id="281" w:name="_Toc43799000"/>
      <w:bookmarkStart w:id="282" w:name="_Toc14357"/>
      <w:bookmarkStart w:id="283" w:name="_Toc9822"/>
      <w:bookmarkStart w:id="284" w:name="_Toc18122"/>
      <w:bookmarkStart w:id="285" w:name="_Toc48917812"/>
      <w:r>
        <w:rPr>
          <w:rFonts w:hint="eastAsia" w:ascii="宋体" w:hAnsi="宋体" w:eastAsia="宋体" w:cs="宋体"/>
          <w:b/>
          <w:szCs w:val="21"/>
          <w:highlight w:val="none"/>
        </w:rPr>
        <w:t>2.4 施工现场、施工条件和基础资料的提供</w:t>
      </w:r>
      <w:bookmarkEnd w:id="277"/>
      <w:bookmarkEnd w:id="278"/>
      <w:bookmarkEnd w:id="279"/>
      <w:bookmarkEnd w:id="280"/>
      <w:bookmarkEnd w:id="281"/>
      <w:bookmarkEnd w:id="282"/>
      <w:bookmarkEnd w:id="283"/>
      <w:bookmarkEnd w:id="284"/>
      <w:bookmarkEnd w:id="285"/>
    </w:p>
    <w:p w14:paraId="47C7DC68">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2.4.1 提供施工现场</w:t>
      </w:r>
    </w:p>
    <w:p w14:paraId="5FCF6025">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关于发包人移交施工现场的期限要求：开工前。</w:t>
      </w:r>
    </w:p>
    <w:p w14:paraId="1E8DB7D8">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2.4.2 提供施工条件</w:t>
      </w:r>
    </w:p>
    <w:p w14:paraId="55961A41">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关于发包人应负责提供施工所需要的条件，包括：/。</w:t>
      </w:r>
    </w:p>
    <w:p w14:paraId="404FFD88">
      <w:pPr>
        <w:keepNext/>
        <w:keepLines/>
        <w:spacing w:line="360" w:lineRule="auto"/>
        <w:outlineLvl w:val="1"/>
        <w:rPr>
          <w:rFonts w:hint="eastAsia" w:ascii="宋体" w:hAnsi="宋体" w:eastAsia="宋体" w:cs="宋体"/>
          <w:b/>
          <w:szCs w:val="21"/>
          <w:highlight w:val="none"/>
        </w:rPr>
      </w:pPr>
      <w:bookmarkStart w:id="286" w:name="_Toc23640"/>
      <w:bookmarkStart w:id="287" w:name="_Toc43799001"/>
      <w:bookmarkStart w:id="288" w:name="_Toc43799222"/>
      <w:bookmarkStart w:id="289" w:name="_Toc6733"/>
      <w:bookmarkStart w:id="290" w:name="_Toc40577215"/>
      <w:bookmarkStart w:id="291" w:name="_Toc28507"/>
      <w:bookmarkStart w:id="292" w:name="_Toc48917813"/>
      <w:bookmarkStart w:id="293" w:name="_Toc40575098"/>
      <w:bookmarkStart w:id="294" w:name="_Toc40574247"/>
      <w:r>
        <w:rPr>
          <w:rFonts w:hint="eastAsia" w:ascii="宋体" w:hAnsi="宋体" w:eastAsia="宋体" w:cs="宋体"/>
          <w:b/>
          <w:szCs w:val="21"/>
          <w:highlight w:val="none"/>
        </w:rPr>
        <w:t>2.5 资金来源证明及支付担保</w:t>
      </w:r>
      <w:bookmarkEnd w:id="286"/>
      <w:bookmarkEnd w:id="287"/>
      <w:bookmarkEnd w:id="288"/>
      <w:bookmarkEnd w:id="289"/>
      <w:bookmarkEnd w:id="290"/>
      <w:bookmarkEnd w:id="291"/>
      <w:bookmarkEnd w:id="292"/>
      <w:bookmarkEnd w:id="293"/>
      <w:bookmarkEnd w:id="294"/>
    </w:p>
    <w:p w14:paraId="074F7D80">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发包人提供资金来源证明的期限要求：/。</w:t>
      </w:r>
    </w:p>
    <w:p w14:paraId="38B37FEB">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发包人是否提供支付担保：</w:t>
      </w:r>
      <w:r>
        <w:rPr>
          <w:rFonts w:hint="eastAsia" w:ascii="宋体" w:hAnsi="宋体" w:eastAsia="宋体" w:cs="宋体"/>
          <w:szCs w:val="21"/>
          <w:highlight w:val="none"/>
        </w:rPr>
        <w:t>/</w:t>
      </w:r>
      <w:r>
        <w:rPr>
          <w:rFonts w:hint="eastAsia" w:ascii="宋体" w:hAnsi="宋体" w:eastAsia="宋体" w:cs="宋体"/>
          <w:kern w:val="0"/>
          <w:szCs w:val="21"/>
          <w:highlight w:val="none"/>
        </w:rPr>
        <w:t>。</w:t>
      </w:r>
    </w:p>
    <w:p w14:paraId="474AB61F">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发包人提供支付担保的形式：/</w:t>
      </w:r>
    </w:p>
    <w:p w14:paraId="3022BB2B">
      <w:pPr>
        <w:keepNext/>
        <w:keepLines/>
        <w:spacing w:line="360" w:lineRule="auto"/>
        <w:outlineLvl w:val="1"/>
        <w:rPr>
          <w:rFonts w:hint="eastAsia" w:ascii="宋体" w:hAnsi="宋体" w:eastAsia="宋体" w:cs="宋体"/>
          <w:b/>
          <w:szCs w:val="21"/>
          <w:highlight w:val="none"/>
        </w:rPr>
      </w:pPr>
      <w:bookmarkStart w:id="295" w:name="_Toc76"/>
      <w:bookmarkStart w:id="296" w:name="_Toc25618"/>
      <w:bookmarkStart w:id="297" w:name="_Toc40577216"/>
      <w:bookmarkStart w:id="298" w:name="_Toc48917814"/>
      <w:bookmarkStart w:id="299" w:name="_Toc1915"/>
      <w:bookmarkStart w:id="300" w:name="_Toc40574248"/>
      <w:bookmarkStart w:id="301" w:name="_Toc43799002"/>
      <w:bookmarkStart w:id="302" w:name="_Toc40575099"/>
      <w:bookmarkStart w:id="303" w:name="_Toc43799223"/>
      <w:r>
        <w:rPr>
          <w:rFonts w:hint="eastAsia" w:ascii="宋体" w:hAnsi="宋体" w:eastAsia="宋体" w:cs="宋体"/>
          <w:b/>
          <w:szCs w:val="21"/>
          <w:highlight w:val="none"/>
        </w:rPr>
        <w:t>3. 承包人</w:t>
      </w:r>
      <w:bookmarkEnd w:id="295"/>
      <w:bookmarkEnd w:id="296"/>
      <w:bookmarkEnd w:id="297"/>
      <w:bookmarkEnd w:id="298"/>
      <w:bookmarkEnd w:id="299"/>
      <w:bookmarkEnd w:id="300"/>
      <w:bookmarkEnd w:id="301"/>
      <w:bookmarkEnd w:id="302"/>
      <w:bookmarkEnd w:id="303"/>
    </w:p>
    <w:p w14:paraId="3DE980DF">
      <w:pPr>
        <w:keepNext/>
        <w:keepLines/>
        <w:spacing w:line="360" w:lineRule="auto"/>
        <w:outlineLvl w:val="1"/>
        <w:rPr>
          <w:rFonts w:hint="eastAsia" w:ascii="宋体" w:hAnsi="宋体" w:eastAsia="宋体" w:cs="宋体"/>
          <w:b/>
          <w:szCs w:val="21"/>
          <w:highlight w:val="none"/>
        </w:rPr>
      </w:pPr>
      <w:bookmarkStart w:id="304" w:name="_Toc43799003"/>
      <w:bookmarkStart w:id="305" w:name="_Toc48917815"/>
      <w:bookmarkStart w:id="306" w:name="_Toc11541"/>
      <w:bookmarkStart w:id="307" w:name="_Toc43799224"/>
      <w:bookmarkStart w:id="308" w:name="_Toc4026"/>
      <w:bookmarkStart w:id="309" w:name="_Toc40575100"/>
      <w:bookmarkStart w:id="310" w:name="_Toc40574249"/>
      <w:bookmarkStart w:id="311" w:name="_Toc40577217"/>
      <w:bookmarkStart w:id="312" w:name="_Toc31783"/>
      <w:r>
        <w:rPr>
          <w:rFonts w:hint="eastAsia" w:ascii="宋体" w:hAnsi="宋体" w:eastAsia="宋体" w:cs="宋体"/>
          <w:b/>
          <w:szCs w:val="21"/>
          <w:highlight w:val="none"/>
        </w:rPr>
        <w:t>3.1 承包人的一般义务</w:t>
      </w:r>
      <w:bookmarkEnd w:id="304"/>
      <w:bookmarkEnd w:id="305"/>
      <w:bookmarkEnd w:id="306"/>
      <w:bookmarkEnd w:id="307"/>
      <w:bookmarkEnd w:id="308"/>
      <w:bookmarkEnd w:id="309"/>
      <w:bookmarkEnd w:id="310"/>
      <w:bookmarkEnd w:id="311"/>
      <w:bookmarkEnd w:id="312"/>
    </w:p>
    <w:p w14:paraId="1A647974">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承包人提交的竣工资料的内容：根据国家、省、市、区相关规定提交工程竣工验收资料和工程竣工结算资料，在提交过程中发包人配合,因承包人的原因而无法备案的,造成的损失由承包人承担 。</w:t>
      </w:r>
    </w:p>
    <w:p w14:paraId="5B8527BC">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承包人需要提交的竣工资料套数：叁套（含电子竣工图）。</w:t>
      </w:r>
    </w:p>
    <w:p w14:paraId="6BD08E51">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承包人提交的竣工资料的费用承担：竣工图及竣工档案的编制费用由承包人在投标时列入投标报价之中，发包方不再另行支付。。</w:t>
      </w:r>
    </w:p>
    <w:p w14:paraId="1E9EB2B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承包人提交的竣工资料移交时间：竣工验收合格后28天内。</w:t>
      </w:r>
    </w:p>
    <w:p w14:paraId="59978C1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承包人提交的竣工资料形式要求：工程竣工验收资料和结算资料全部为纸质文件，结算资料还必须提供电子文本，所有工程资料必须符合工程验收和档案管理及工程结算审计要求。</w:t>
      </w:r>
    </w:p>
    <w:p w14:paraId="7A3B1917">
      <w:pPr>
        <w:widowControl/>
        <w:spacing w:line="360" w:lineRule="auto"/>
        <w:jc w:val="left"/>
        <w:rPr>
          <w:rFonts w:hint="eastAsia" w:ascii="宋体" w:hAnsi="宋体" w:eastAsia="宋体" w:cs="宋体"/>
          <w:kern w:val="0"/>
          <w:sz w:val="18"/>
          <w:szCs w:val="18"/>
          <w:highlight w:val="none"/>
        </w:rPr>
      </w:pPr>
      <w:r>
        <w:rPr>
          <w:rFonts w:hint="eastAsia" w:ascii="宋体" w:hAnsi="宋体" w:eastAsia="宋体" w:cs="宋体"/>
          <w:kern w:val="0"/>
          <w:szCs w:val="21"/>
          <w:highlight w:val="none"/>
        </w:rPr>
        <w:t>（6）承包人应履行的其他义务：/</w:t>
      </w:r>
    </w:p>
    <w:p w14:paraId="74FA1F85">
      <w:pPr>
        <w:keepNext/>
        <w:keepLines/>
        <w:spacing w:line="360" w:lineRule="auto"/>
        <w:outlineLvl w:val="1"/>
        <w:rPr>
          <w:rFonts w:hint="eastAsia" w:ascii="宋体" w:hAnsi="宋体" w:eastAsia="宋体" w:cs="宋体"/>
          <w:b/>
          <w:szCs w:val="18"/>
          <w:highlight w:val="none"/>
        </w:rPr>
      </w:pPr>
      <w:bookmarkStart w:id="313" w:name="_Toc40575101"/>
      <w:bookmarkStart w:id="314" w:name="_Toc43799225"/>
      <w:bookmarkStart w:id="315" w:name="_Toc40577218"/>
      <w:bookmarkStart w:id="316" w:name="_Toc17314"/>
      <w:bookmarkStart w:id="317" w:name="_Toc17611"/>
      <w:bookmarkStart w:id="318" w:name="_Toc43799004"/>
      <w:bookmarkStart w:id="319" w:name="_Toc18442"/>
      <w:bookmarkStart w:id="320" w:name="_Toc40574250"/>
      <w:bookmarkStart w:id="321" w:name="_Toc48917816"/>
      <w:r>
        <w:rPr>
          <w:rFonts w:hint="eastAsia" w:ascii="宋体" w:hAnsi="宋体" w:eastAsia="宋体" w:cs="宋体"/>
          <w:b/>
          <w:szCs w:val="18"/>
          <w:highlight w:val="none"/>
        </w:rPr>
        <w:t>3.2 项目经理</w:t>
      </w:r>
      <w:bookmarkEnd w:id="313"/>
      <w:bookmarkEnd w:id="314"/>
      <w:bookmarkEnd w:id="315"/>
      <w:bookmarkEnd w:id="316"/>
      <w:bookmarkEnd w:id="317"/>
      <w:bookmarkEnd w:id="318"/>
      <w:bookmarkEnd w:id="319"/>
      <w:bookmarkEnd w:id="320"/>
      <w:bookmarkEnd w:id="321"/>
    </w:p>
    <w:p w14:paraId="23CC7BF6">
      <w:pPr>
        <w:widowControl/>
        <w:spacing w:line="360" w:lineRule="auto"/>
        <w:jc w:val="left"/>
        <w:rPr>
          <w:rFonts w:hint="eastAsia" w:ascii="宋体" w:hAnsi="宋体" w:eastAsia="宋体" w:cs="宋体"/>
          <w:b/>
          <w:kern w:val="0"/>
          <w:szCs w:val="18"/>
          <w:highlight w:val="none"/>
        </w:rPr>
      </w:pPr>
      <w:r>
        <w:rPr>
          <w:rFonts w:hint="eastAsia" w:ascii="宋体" w:hAnsi="宋体" w:eastAsia="宋体" w:cs="宋体"/>
          <w:b/>
          <w:kern w:val="0"/>
          <w:szCs w:val="18"/>
          <w:highlight w:val="none"/>
        </w:rPr>
        <w:t>3.2.1 项目经理：</w:t>
      </w:r>
    </w:p>
    <w:p w14:paraId="434BD32A">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姓    名：</w:t>
      </w:r>
      <w:permStart w:id="12" w:edGrp="everyone"/>
      <w:r>
        <w:rPr>
          <w:rFonts w:hint="eastAsia" w:ascii="宋体" w:hAnsi="宋体" w:eastAsia="宋体" w:cs="宋体"/>
          <w:kern w:val="0"/>
          <w:szCs w:val="18"/>
          <w:highlight w:val="none"/>
        </w:rPr>
        <w:t>；</w:t>
      </w:r>
    </w:p>
    <w:permEnd w:id="12"/>
    <w:p w14:paraId="24B54385">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身份证号：</w:t>
      </w:r>
      <w:permStart w:id="13" w:edGrp="everyone"/>
    </w:p>
    <w:permEnd w:id="13"/>
    <w:p w14:paraId="188E8AC7">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建造师执业资格等级：</w:t>
      </w:r>
      <w:permStart w:id="14" w:edGrp="everyone"/>
      <w:r>
        <w:rPr>
          <w:rFonts w:hint="eastAsia" w:ascii="宋体" w:hAnsi="宋体" w:eastAsia="宋体" w:cs="宋体"/>
          <w:kern w:val="0"/>
          <w:szCs w:val="18"/>
          <w:highlight w:val="none"/>
        </w:rPr>
        <w:t>///；</w:t>
      </w:r>
    </w:p>
    <w:permEnd w:id="14"/>
    <w:p w14:paraId="05D3F78A">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建造师注册证书号：</w:t>
      </w:r>
      <w:permStart w:id="15" w:edGrp="everyone"/>
    </w:p>
    <w:permEnd w:id="15"/>
    <w:p w14:paraId="19B32383">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建造师执业印章号：</w:t>
      </w:r>
      <w:permStart w:id="16" w:edGrp="everyone"/>
      <w:r>
        <w:rPr>
          <w:rFonts w:hint="eastAsia" w:ascii="宋体" w:hAnsi="宋体" w:eastAsia="宋体" w:cs="宋体"/>
          <w:kern w:val="0"/>
          <w:szCs w:val="18"/>
          <w:highlight w:val="none"/>
        </w:rPr>
        <w:t>///；</w:t>
      </w:r>
    </w:p>
    <w:permEnd w:id="16"/>
    <w:p w14:paraId="0A1AA6EC">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安全生产考核合格证书号：</w:t>
      </w:r>
      <w:permStart w:id="17" w:edGrp="everyone"/>
    </w:p>
    <w:permEnd w:id="17"/>
    <w:p w14:paraId="54A258DF">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联系电话：</w:t>
      </w:r>
      <w:permStart w:id="18" w:edGrp="everyone"/>
      <w:r>
        <w:rPr>
          <w:rFonts w:hint="eastAsia" w:ascii="宋体" w:hAnsi="宋体" w:eastAsia="宋体" w:cs="宋体"/>
          <w:kern w:val="0"/>
          <w:szCs w:val="18"/>
          <w:highlight w:val="none"/>
        </w:rPr>
        <w:t>///</w:t>
      </w:r>
      <w:permEnd w:id="18"/>
      <w:r>
        <w:rPr>
          <w:rFonts w:hint="eastAsia" w:ascii="宋体" w:hAnsi="宋体" w:eastAsia="宋体" w:cs="宋体"/>
          <w:kern w:val="0"/>
          <w:szCs w:val="18"/>
          <w:highlight w:val="none"/>
        </w:rPr>
        <w:t>；</w:t>
      </w:r>
    </w:p>
    <w:p w14:paraId="30AD8634">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电子信箱：</w:t>
      </w:r>
      <w:permStart w:id="19" w:edGrp="everyone"/>
      <w:r>
        <w:rPr>
          <w:rFonts w:hint="eastAsia" w:ascii="宋体" w:hAnsi="宋体" w:eastAsia="宋体" w:cs="宋体"/>
          <w:kern w:val="0"/>
          <w:szCs w:val="18"/>
          <w:highlight w:val="none"/>
        </w:rPr>
        <w:t xml:space="preserve">                /；</w:t>
      </w:r>
      <w:permEnd w:id="19"/>
    </w:p>
    <w:p w14:paraId="43469ED6">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通信地址：</w:t>
      </w:r>
      <w:permStart w:id="20" w:edGrp="everyone"/>
      <w:permEnd w:id="20"/>
    </w:p>
    <w:p w14:paraId="145D6781">
      <w:pPr>
        <w:autoSpaceDE w:val="0"/>
        <w:autoSpaceDN w:val="0"/>
        <w:adjustRightInd w:val="0"/>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承包人对项目经理的授权范围如下：</w:t>
      </w:r>
    </w:p>
    <w:p w14:paraId="1D1BF609">
      <w:pPr>
        <w:autoSpaceDE w:val="0"/>
        <w:autoSpaceDN w:val="0"/>
        <w:adjustRightInd w:val="0"/>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关于项目负责人每周在施工现场的时间要求：</w:t>
      </w:r>
    </w:p>
    <w:p w14:paraId="110C3AA9">
      <w:pPr>
        <w:autoSpaceDE w:val="0"/>
        <w:autoSpaceDN w:val="0"/>
        <w:adjustRightInd w:val="0"/>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施工单位项目负责人必须保证每周不少于6天、每天不少于8小时（不含夜间）在施工现场组织、安排施工，重大分部分项并有特殊安全要求的施工项目，项目负责人必须在现场。项目负责人每天到岗情况必须向建设单位现场管理人员报告和登记，建设单位现场管理人员对施工单位项目负责人在岗情况进行实时记录，发现施工单位项目负责人应在现场而不在现场的行为，施工单位需向建设单位支付违约金1000元人民币/次。</w:t>
      </w:r>
    </w:p>
    <w:p w14:paraId="661E598F">
      <w:pPr>
        <w:autoSpaceDE w:val="0"/>
        <w:autoSpaceDN w:val="0"/>
        <w:adjustRightInd w:val="0"/>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项目负责人未经批准，擅自离开施工现场的违约责任：</w:t>
      </w:r>
    </w:p>
    <w:p w14:paraId="7BF3CB10">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承包人未提交劳动合同，以及没有为项目经理缴纳社会保险证明的违约责任：发包人将处承包人1000元的违约金，同时发包人有权要求更换项目经理，由此增加的费用和（或）延误的工期由承包人承担。</w:t>
      </w:r>
    </w:p>
    <w:p w14:paraId="6E9E294A">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项目经理未经批准，擅自离开施工现场的违约责任：项目负责人未经批准，擅自离开施工现场后，发生各种事故，影响工程施工，对工程造成损失的，施工单位需承担因此造成的经济损失及相关法律责任。</w:t>
      </w:r>
    </w:p>
    <w:p w14:paraId="491E38EF">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b/>
          <w:kern w:val="0"/>
          <w:szCs w:val="18"/>
          <w:highlight w:val="none"/>
        </w:rPr>
        <w:t>3.2.3 承包人擅自更换项目经理的违约责任</w:t>
      </w:r>
      <w:r>
        <w:rPr>
          <w:rFonts w:hint="eastAsia" w:ascii="宋体" w:hAnsi="宋体" w:eastAsia="宋体" w:cs="宋体"/>
          <w:kern w:val="0"/>
          <w:szCs w:val="18"/>
          <w:highlight w:val="none"/>
        </w:rPr>
        <w:t>：施工单位变更备案合同中的项目负责人，必须经建设方同意，同时施工单位需向建设单位支付违约金1000元人民币/次，承包人擅自更换项目负责人，发包人将对施工单位追加1000元的违约处罚。对于不符合项目施工要求的项目负责人，发包人有权解除合同，由此产生的相关费用、给发包人造成的损失由承包人承担 。</w:t>
      </w:r>
    </w:p>
    <w:p w14:paraId="63C9FDBD">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3.2.4 承包人无正当理由拒绝更换项目经理的违约责任：项目经理因刑事犯罪、伤病丧失工作能力等确属不能履行职责需要变更的，须经监理工程师和发包人批准更换，其接替人员的资格、业绩和信誉不得低于被替换人员，发包人将给予1000元的违约金扣除，同时发包人有权解除合同，由此产生的相关费用、给发包人造成的损失由承包人承担。上述该罚款在工程结算时直接扣除。上述该违约金在工程结算时直接扣除。</w:t>
      </w:r>
    </w:p>
    <w:p w14:paraId="71CBAC4A">
      <w:pPr>
        <w:keepNext/>
        <w:keepLines/>
        <w:spacing w:line="360" w:lineRule="auto"/>
        <w:outlineLvl w:val="1"/>
        <w:rPr>
          <w:rFonts w:hint="eastAsia" w:ascii="宋体" w:hAnsi="宋体" w:eastAsia="宋体" w:cs="宋体"/>
          <w:b/>
          <w:szCs w:val="18"/>
          <w:highlight w:val="none"/>
        </w:rPr>
      </w:pPr>
      <w:bookmarkStart w:id="322" w:name="_Toc9597"/>
      <w:bookmarkStart w:id="323" w:name="_Toc48917817"/>
      <w:bookmarkStart w:id="324" w:name="_Toc4816"/>
      <w:bookmarkStart w:id="325" w:name="_Toc43799226"/>
      <w:bookmarkStart w:id="326" w:name="_Toc40574251"/>
      <w:bookmarkStart w:id="327" w:name="_Toc17582"/>
      <w:bookmarkStart w:id="328" w:name="_Toc40575102"/>
      <w:bookmarkStart w:id="329" w:name="_Toc40577219"/>
      <w:bookmarkStart w:id="330" w:name="_Toc43799005"/>
      <w:r>
        <w:rPr>
          <w:rFonts w:hint="eastAsia" w:ascii="宋体" w:hAnsi="宋体" w:eastAsia="宋体" w:cs="宋体"/>
          <w:b/>
          <w:szCs w:val="18"/>
          <w:highlight w:val="none"/>
        </w:rPr>
        <w:t>3.3 承包人人员</w:t>
      </w:r>
      <w:bookmarkEnd w:id="322"/>
      <w:bookmarkEnd w:id="323"/>
      <w:bookmarkEnd w:id="324"/>
      <w:bookmarkEnd w:id="325"/>
      <w:bookmarkEnd w:id="326"/>
      <w:bookmarkEnd w:id="327"/>
      <w:bookmarkEnd w:id="328"/>
      <w:bookmarkEnd w:id="329"/>
      <w:bookmarkEnd w:id="330"/>
    </w:p>
    <w:p w14:paraId="456CB165">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b/>
          <w:kern w:val="0"/>
          <w:szCs w:val="18"/>
          <w:highlight w:val="none"/>
        </w:rPr>
        <w:t xml:space="preserve">3.3.1 </w:t>
      </w:r>
      <w:r>
        <w:rPr>
          <w:rFonts w:hint="eastAsia" w:ascii="宋体" w:hAnsi="宋体" w:eastAsia="宋体" w:cs="宋体"/>
          <w:kern w:val="0"/>
          <w:szCs w:val="18"/>
          <w:highlight w:val="none"/>
        </w:rPr>
        <w:t>承包人提交项目管理机构及施工现场管理人员安排报告的期限：开工前7天。承包人进场前应向建设单位现场负责人提交项目主要施工管理人员名单，同时提交其岗位安排、注册执业资格、与承包人之间的劳动关系证明和缴纳社会保险的有效证明。主要施工管理人员包括：项目负责人、项目副经理（如果有）、技术负责人、造价员、质量员、安全员、材料员、资料员等人员。</w:t>
      </w:r>
    </w:p>
    <w:p w14:paraId="4556123E">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b/>
          <w:kern w:val="0"/>
          <w:szCs w:val="18"/>
          <w:highlight w:val="none"/>
        </w:rPr>
        <w:t xml:space="preserve">3.3.3 </w:t>
      </w:r>
      <w:r>
        <w:rPr>
          <w:rFonts w:hint="eastAsia" w:ascii="宋体" w:hAnsi="宋体" w:eastAsia="宋体" w:cs="宋体"/>
          <w:kern w:val="0"/>
          <w:szCs w:val="18"/>
          <w:highlight w:val="none"/>
        </w:rPr>
        <w:t>承包人无正当理由拒绝撤换主要施工管理人员的违约责任：发包人将处以1000元/人的违约金 ，并有权解除合同，由此产生的相关费用、给发包人造成的损失由承包人承担。</w:t>
      </w:r>
    </w:p>
    <w:p w14:paraId="08538844">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b/>
          <w:kern w:val="0"/>
          <w:szCs w:val="18"/>
          <w:highlight w:val="none"/>
        </w:rPr>
        <w:t xml:space="preserve">3.3.4 </w:t>
      </w:r>
      <w:r>
        <w:rPr>
          <w:rFonts w:hint="eastAsia" w:ascii="宋体" w:hAnsi="宋体" w:eastAsia="宋体" w:cs="宋体"/>
          <w:kern w:val="0"/>
          <w:szCs w:val="18"/>
          <w:highlight w:val="none"/>
        </w:rPr>
        <w:t>承包人主要施工管理人员离开施工现场的批准要求：</w:t>
      </w:r>
      <w:r>
        <w:rPr>
          <w:rFonts w:hint="eastAsia" w:ascii="宋体" w:hAnsi="宋体" w:eastAsia="宋体" w:cs="宋体"/>
          <w:szCs w:val="18"/>
          <w:highlight w:val="none"/>
        </w:rPr>
        <w:t>施工单位关键岗位（施工员、安全员、技术负责人、质检员）执证上岗人员，必须保证在施工期间在岗履职每周不少于6天、平均每天不少于8小时（不含夜间），重大分部分项并有特殊安全要求的施工项目，必须在现场负责各施工环节。施工单位关键岗位执证上岗人员，必须每天向建设单位现场管理人员报告和登记，发现执证上岗人员应在岗位而不在岗位的行为，施工单位需向建设单位支付违约金1000元人民币/次。施工单位变更备案合同中的项目经理，必须经建设方同意，同时施工单位需向建设单位支付违约金1000元人民币/次，变更施工员、安全员、技术负责人、质检员的，施工单位需向建设单位支付违约金1000元人民币/次。</w:t>
      </w:r>
    </w:p>
    <w:p w14:paraId="4BBFE7A3">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b/>
          <w:kern w:val="0"/>
          <w:szCs w:val="18"/>
          <w:highlight w:val="none"/>
        </w:rPr>
        <w:t>3.3.5</w:t>
      </w:r>
      <w:r>
        <w:rPr>
          <w:rFonts w:hint="eastAsia" w:ascii="宋体" w:hAnsi="宋体" w:eastAsia="宋体" w:cs="宋体"/>
          <w:kern w:val="0"/>
          <w:szCs w:val="18"/>
          <w:highlight w:val="none"/>
        </w:rPr>
        <w:t>承包人擅自更换主要施工管理人员的违约责任：</w:t>
      </w:r>
      <w:r>
        <w:rPr>
          <w:rFonts w:hint="eastAsia" w:ascii="宋体" w:hAnsi="宋体" w:eastAsia="宋体" w:cs="宋体"/>
          <w:kern w:val="0"/>
          <w:szCs w:val="18"/>
          <w:highlight w:val="none"/>
          <w:lang w:bidi="ar"/>
        </w:rPr>
        <w:t>施工单位变更施工员、安全员、技术负责人、质检员的，需经建设方同意，同时施工单位需向建设单位支付违约金1000元人民币/次。施工单位擅自变更响应性文件中明确的施工员、质检员、安全员、材料员、资料员发包人将追加1000元/人的经济处罚，并有权解除合同，由此产生的相关费用、给发包人造成的损失由承包人承担。承包人主要施工管理人员擅自离开施工现场的违约责任：主要施工管理人员未经批准，擅自离开施工现场后，施工现场发生各种事故，影响工程施工，对工程造成损失的，施工单位需承担因此造成的经济损失及相关法律责任。</w:t>
      </w:r>
    </w:p>
    <w:p w14:paraId="56E1F520">
      <w:pPr>
        <w:keepNext/>
        <w:keepLines/>
        <w:spacing w:line="360" w:lineRule="auto"/>
        <w:outlineLvl w:val="1"/>
        <w:rPr>
          <w:rFonts w:hint="eastAsia" w:ascii="宋体" w:hAnsi="宋体" w:eastAsia="宋体" w:cs="宋体"/>
          <w:b/>
          <w:szCs w:val="18"/>
          <w:highlight w:val="none"/>
        </w:rPr>
      </w:pPr>
      <w:bookmarkStart w:id="331" w:name="_Toc43799227"/>
      <w:bookmarkStart w:id="332" w:name="_Toc21039"/>
      <w:bookmarkStart w:id="333" w:name="_Toc23221"/>
      <w:bookmarkStart w:id="334" w:name="_Toc40577220"/>
      <w:bookmarkStart w:id="335" w:name="_Toc25274"/>
      <w:bookmarkStart w:id="336" w:name="_Toc48917818"/>
      <w:bookmarkStart w:id="337" w:name="_Toc43799006"/>
      <w:bookmarkStart w:id="338" w:name="_Toc40574252"/>
      <w:bookmarkStart w:id="339" w:name="_Toc40575103"/>
      <w:r>
        <w:rPr>
          <w:rFonts w:hint="eastAsia" w:ascii="宋体" w:hAnsi="宋体" w:eastAsia="宋体" w:cs="宋体"/>
          <w:b/>
          <w:szCs w:val="18"/>
          <w:highlight w:val="none"/>
        </w:rPr>
        <w:t>3.5 分包</w:t>
      </w:r>
      <w:bookmarkEnd w:id="331"/>
      <w:bookmarkEnd w:id="332"/>
      <w:bookmarkEnd w:id="333"/>
      <w:bookmarkEnd w:id="334"/>
      <w:bookmarkEnd w:id="335"/>
      <w:bookmarkEnd w:id="336"/>
      <w:bookmarkEnd w:id="337"/>
      <w:bookmarkEnd w:id="338"/>
      <w:bookmarkEnd w:id="339"/>
    </w:p>
    <w:p w14:paraId="300F087C">
      <w:pPr>
        <w:widowControl/>
        <w:spacing w:line="360" w:lineRule="auto"/>
        <w:jc w:val="left"/>
        <w:rPr>
          <w:rFonts w:hint="eastAsia" w:ascii="宋体" w:hAnsi="宋体" w:eastAsia="宋体" w:cs="宋体"/>
          <w:b/>
          <w:kern w:val="0"/>
          <w:szCs w:val="18"/>
          <w:highlight w:val="none"/>
        </w:rPr>
      </w:pPr>
      <w:r>
        <w:rPr>
          <w:rFonts w:hint="eastAsia" w:ascii="宋体" w:hAnsi="宋体" w:eastAsia="宋体" w:cs="宋体"/>
          <w:b/>
          <w:kern w:val="0"/>
          <w:szCs w:val="18"/>
          <w:highlight w:val="none"/>
        </w:rPr>
        <w:t>3.5.1 分包的一般约定</w:t>
      </w:r>
    </w:p>
    <w:p w14:paraId="550AE8F9">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禁止分包的工程包括：全部工程。</w:t>
      </w:r>
    </w:p>
    <w:p w14:paraId="2E2D7F1C">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主体结构、关键性工作的范围：/。</w:t>
      </w:r>
    </w:p>
    <w:p w14:paraId="4692E793">
      <w:pPr>
        <w:widowControl/>
        <w:spacing w:line="360" w:lineRule="auto"/>
        <w:jc w:val="left"/>
        <w:rPr>
          <w:rFonts w:hint="eastAsia" w:ascii="宋体" w:hAnsi="宋体" w:eastAsia="宋体" w:cs="宋体"/>
          <w:b/>
          <w:kern w:val="0"/>
          <w:szCs w:val="18"/>
          <w:highlight w:val="none"/>
        </w:rPr>
      </w:pPr>
      <w:r>
        <w:rPr>
          <w:rFonts w:hint="eastAsia" w:ascii="宋体" w:hAnsi="宋体" w:eastAsia="宋体" w:cs="宋体"/>
          <w:b/>
          <w:kern w:val="0"/>
          <w:szCs w:val="18"/>
          <w:highlight w:val="none"/>
        </w:rPr>
        <w:t>3.5.2分包的确定</w:t>
      </w:r>
    </w:p>
    <w:p w14:paraId="7C2D2181">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允许分包的专业工程包括：不允许分包。</w:t>
      </w:r>
    </w:p>
    <w:p w14:paraId="50B00578">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其他关于分包的约定：/</w:t>
      </w:r>
    </w:p>
    <w:p w14:paraId="6BF2E7D4">
      <w:pPr>
        <w:widowControl/>
        <w:spacing w:line="360" w:lineRule="auto"/>
        <w:jc w:val="left"/>
        <w:rPr>
          <w:rFonts w:hint="eastAsia" w:ascii="宋体" w:hAnsi="宋体" w:eastAsia="宋体" w:cs="宋体"/>
          <w:b/>
          <w:kern w:val="0"/>
          <w:szCs w:val="18"/>
          <w:highlight w:val="none"/>
        </w:rPr>
      </w:pPr>
      <w:r>
        <w:rPr>
          <w:rFonts w:hint="eastAsia" w:ascii="宋体" w:hAnsi="宋体" w:eastAsia="宋体" w:cs="宋体"/>
          <w:b/>
          <w:kern w:val="0"/>
          <w:szCs w:val="18"/>
          <w:highlight w:val="none"/>
        </w:rPr>
        <w:t>3.5.4 分包合同价款</w:t>
      </w:r>
    </w:p>
    <w:p w14:paraId="05E95CC8">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关于分包合同价款支付的约定：/。</w:t>
      </w:r>
      <w:bookmarkStart w:id="340" w:name="_Toc6332"/>
      <w:bookmarkStart w:id="341" w:name="_Toc40577221"/>
      <w:bookmarkStart w:id="342" w:name="_Toc738"/>
      <w:bookmarkStart w:id="343" w:name="_Toc48917819"/>
      <w:bookmarkStart w:id="344" w:name="_Toc43799228"/>
      <w:bookmarkStart w:id="345" w:name="_Toc40575104"/>
      <w:bookmarkStart w:id="346" w:name="_Toc43799007"/>
      <w:bookmarkStart w:id="347" w:name="_Toc24483"/>
      <w:bookmarkStart w:id="348" w:name="_Toc40574253"/>
    </w:p>
    <w:p w14:paraId="3F32F670">
      <w:pPr>
        <w:widowControl/>
        <w:spacing w:line="360" w:lineRule="auto"/>
        <w:jc w:val="left"/>
        <w:rPr>
          <w:rFonts w:hint="eastAsia" w:ascii="宋体" w:hAnsi="宋体" w:eastAsia="宋体" w:cs="宋体"/>
          <w:b/>
          <w:szCs w:val="18"/>
          <w:highlight w:val="none"/>
        </w:rPr>
      </w:pPr>
      <w:r>
        <w:rPr>
          <w:rFonts w:hint="eastAsia" w:ascii="宋体" w:hAnsi="宋体" w:eastAsia="宋体" w:cs="宋体"/>
          <w:b/>
          <w:szCs w:val="18"/>
          <w:highlight w:val="none"/>
        </w:rPr>
        <w:t>3.6工程照管与成品、半成品保护</w:t>
      </w:r>
      <w:bookmarkEnd w:id="340"/>
      <w:bookmarkEnd w:id="341"/>
      <w:bookmarkEnd w:id="342"/>
      <w:bookmarkEnd w:id="343"/>
      <w:bookmarkEnd w:id="344"/>
      <w:bookmarkEnd w:id="345"/>
      <w:bookmarkEnd w:id="346"/>
      <w:bookmarkEnd w:id="347"/>
      <w:bookmarkEnd w:id="348"/>
    </w:p>
    <w:p w14:paraId="572E656D">
      <w:pPr>
        <w:spacing w:line="360" w:lineRule="auto"/>
        <w:outlineLvl w:val="1"/>
        <w:rPr>
          <w:rFonts w:hint="eastAsia" w:ascii="宋体" w:hAnsi="宋体" w:eastAsia="宋体" w:cs="宋体"/>
          <w:kern w:val="0"/>
          <w:szCs w:val="18"/>
          <w:highlight w:val="none"/>
        </w:rPr>
      </w:pPr>
      <w:bookmarkStart w:id="349" w:name="_Toc40575105"/>
      <w:bookmarkStart w:id="350" w:name="_Toc40574254"/>
      <w:bookmarkStart w:id="351" w:name="_Toc48917820"/>
      <w:bookmarkStart w:id="352" w:name="_Toc40577222"/>
      <w:bookmarkStart w:id="353" w:name="_Toc43799229"/>
      <w:bookmarkStart w:id="354" w:name="_Toc43799008"/>
      <w:bookmarkStart w:id="355" w:name="_Toc1094"/>
      <w:bookmarkStart w:id="356" w:name="_Toc8979"/>
      <w:bookmarkStart w:id="357" w:name="_Toc8743"/>
      <w:r>
        <w:rPr>
          <w:rFonts w:hint="eastAsia" w:ascii="宋体" w:hAnsi="宋体" w:eastAsia="宋体" w:cs="宋体"/>
          <w:kern w:val="0"/>
          <w:szCs w:val="18"/>
          <w:highlight w:val="none"/>
        </w:rPr>
        <w:t>承包人负责照管工程及工程相关的材料、工程设备的起始时间：自发包人向承包人移交施工现场之日起，本合同所涉工程项目相关的全部财产安全、工程安全管理、全部材料设备等即由承包人全部承担，直至承包人完成本合同约定的承包工作并且通过竣工验收后将工程成果交付给发包人，并需配合发包人相应的交接交付事宜，承包人对其承包的所有工程内容（包括分包单位的施工内容）负责成品保护，并不得损坏其它承包人所承担的施工内容。这种保护可能是多次的，成品保护的费用由承包人承担。如因承包人原因发生损坏，承包人负责赔偿并承担修复或更换费用。竣工交付前承包人必须对施工区域内的所有成品（含发包人确定的本项目其他承包人或供货商专业承包的成品）进行保护、并做好防盗工作，费用包含在合同价。</w:t>
      </w:r>
    </w:p>
    <w:p w14:paraId="6A1C730D">
      <w:pPr>
        <w:keepNext/>
        <w:keepLines/>
        <w:spacing w:line="360" w:lineRule="auto"/>
        <w:outlineLvl w:val="1"/>
        <w:rPr>
          <w:rFonts w:hint="eastAsia" w:ascii="宋体" w:hAnsi="宋体" w:eastAsia="宋体" w:cs="宋体"/>
          <w:b/>
          <w:szCs w:val="18"/>
          <w:highlight w:val="none"/>
        </w:rPr>
      </w:pPr>
      <w:r>
        <w:rPr>
          <w:rFonts w:hint="eastAsia" w:ascii="宋体" w:hAnsi="宋体" w:eastAsia="宋体" w:cs="宋体"/>
          <w:b/>
          <w:szCs w:val="18"/>
          <w:highlight w:val="none"/>
        </w:rPr>
        <w:t>3.7 履约担保</w:t>
      </w:r>
      <w:bookmarkEnd w:id="349"/>
      <w:bookmarkEnd w:id="350"/>
      <w:bookmarkEnd w:id="351"/>
      <w:bookmarkEnd w:id="352"/>
      <w:bookmarkEnd w:id="353"/>
      <w:bookmarkEnd w:id="354"/>
      <w:bookmarkEnd w:id="355"/>
      <w:bookmarkEnd w:id="356"/>
      <w:bookmarkEnd w:id="357"/>
    </w:p>
    <w:p w14:paraId="4CC8C147">
      <w:pPr>
        <w:widowControl/>
        <w:spacing w:line="360" w:lineRule="auto"/>
        <w:jc w:val="left"/>
        <w:rPr>
          <w:rFonts w:hint="eastAsia" w:ascii="宋体" w:hAnsi="宋体" w:eastAsia="宋体" w:cs="宋体"/>
          <w:szCs w:val="18"/>
          <w:highlight w:val="none"/>
        </w:rPr>
      </w:pPr>
      <w:r>
        <w:rPr>
          <w:rFonts w:hint="eastAsia" w:ascii="宋体" w:hAnsi="宋体" w:eastAsia="宋体" w:cs="宋体"/>
          <w:kern w:val="0"/>
          <w:szCs w:val="18"/>
          <w:highlight w:val="none"/>
        </w:rPr>
        <w:t>承包人是否提供履约担保</w:t>
      </w:r>
      <w:permStart w:id="21" w:edGrp="everyone"/>
      <w:r>
        <w:rPr>
          <w:rFonts w:hint="eastAsia" w:ascii="宋体" w:hAnsi="宋体" w:eastAsia="宋体" w:cs="宋体"/>
          <w:szCs w:val="18"/>
          <w:highlight w:val="none"/>
        </w:rPr>
        <w:t>：否</w:t>
      </w:r>
    </w:p>
    <w:permEnd w:id="21"/>
    <w:p w14:paraId="5637A4A7">
      <w:pPr>
        <w:spacing w:line="360" w:lineRule="auto"/>
        <w:rPr>
          <w:rFonts w:hint="eastAsia" w:ascii="宋体" w:hAnsi="宋体" w:eastAsia="宋体" w:cs="宋体"/>
          <w:szCs w:val="18"/>
          <w:highlight w:val="none"/>
        </w:rPr>
      </w:pPr>
      <w:r>
        <w:rPr>
          <w:rFonts w:hint="eastAsia" w:ascii="宋体" w:hAnsi="宋体" w:eastAsia="宋体" w:cs="宋体"/>
          <w:szCs w:val="18"/>
          <w:highlight w:val="none"/>
        </w:rPr>
        <w:t>承包人履约担保的形式为：</w:t>
      </w:r>
      <w:r>
        <w:rPr>
          <w:rFonts w:hint="eastAsia" w:ascii="宋体" w:hAnsi="宋体" w:eastAsia="宋体" w:cs="宋体"/>
          <w:kern w:val="0"/>
          <w:szCs w:val="18"/>
          <w:highlight w:val="none"/>
        </w:rPr>
        <w:t>/</w:t>
      </w:r>
      <w:r>
        <w:rPr>
          <w:rFonts w:hint="eastAsia" w:ascii="宋体" w:hAnsi="宋体" w:eastAsia="宋体" w:cs="宋体"/>
          <w:szCs w:val="18"/>
          <w:highlight w:val="none"/>
        </w:rPr>
        <w:t>；</w:t>
      </w:r>
    </w:p>
    <w:p w14:paraId="49142B75">
      <w:pPr>
        <w:spacing w:line="360" w:lineRule="auto"/>
        <w:rPr>
          <w:rFonts w:hint="eastAsia" w:ascii="宋体" w:hAnsi="宋体" w:eastAsia="宋体" w:cs="宋体"/>
          <w:szCs w:val="18"/>
          <w:highlight w:val="none"/>
        </w:rPr>
      </w:pPr>
      <w:r>
        <w:rPr>
          <w:rFonts w:hint="eastAsia" w:ascii="宋体" w:hAnsi="宋体" w:eastAsia="宋体" w:cs="宋体"/>
          <w:szCs w:val="18"/>
          <w:highlight w:val="none"/>
        </w:rPr>
        <w:t>承包人履约担保的金额为：/；</w:t>
      </w:r>
    </w:p>
    <w:p w14:paraId="3CBABA84">
      <w:pPr>
        <w:spacing w:line="360" w:lineRule="auto"/>
        <w:rPr>
          <w:rFonts w:hint="eastAsia" w:ascii="宋体" w:hAnsi="宋体" w:eastAsia="宋体" w:cs="宋体"/>
          <w:kern w:val="0"/>
          <w:szCs w:val="18"/>
          <w:highlight w:val="none"/>
        </w:rPr>
      </w:pPr>
      <w:r>
        <w:rPr>
          <w:rFonts w:hint="eastAsia" w:ascii="宋体" w:hAnsi="宋体" w:eastAsia="宋体" w:cs="宋体"/>
          <w:szCs w:val="18"/>
          <w:highlight w:val="none"/>
        </w:rPr>
        <w:t>承包人履约担保的期限为</w:t>
      </w:r>
      <w:bookmarkStart w:id="358" w:name="OLE_LINK5"/>
      <w:bookmarkStart w:id="359" w:name="OLE_LINK3"/>
      <w:r>
        <w:rPr>
          <w:rFonts w:hint="eastAsia" w:ascii="宋体" w:hAnsi="宋体" w:eastAsia="宋体" w:cs="宋体"/>
          <w:szCs w:val="18"/>
          <w:highlight w:val="none"/>
        </w:rPr>
        <w:t>：</w:t>
      </w:r>
      <w:bookmarkEnd w:id="358"/>
      <w:bookmarkEnd w:id="359"/>
      <w:r>
        <w:rPr>
          <w:rFonts w:hint="eastAsia" w:ascii="宋体" w:hAnsi="宋体" w:eastAsia="宋体" w:cs="宋体"/>
          <w:kern w:val="0"/>
          <w:szCs w:val="18"/>
          <w:highlight w:val="none"/>
        </w:rPr>
        <w:t>/。</w:t>
      </w:r>
    </w:p>
    <w:p w14:paraId="3A46123A">
      <w:pPr>
        <w:spacing w:line="360" w:lineRule="auto"/>
        <w:rPr>
          <w:rFonts w:hint="eastAsia" w:ascii="宋体" w:hAnsi="宋体" w:eastAsia="宋体" w:cs="宋体"/>
          <w:kern w:val="0"/>
          <w:szCs w:val="18"/>
          <w:highlight w:val="none"/>
        </w:rPr>
      </w:pPr>
      <w:r>
        <w:rPr>
          <w:rFonts w:hint="eastAsia" w:ascii="宋体" w:hAnsi="宋体" w:eastAsia="宋体" w:cs="宋体"/>
          <w:kern w:val="0"/>
          <w:szCs w:val="18"/>
          <w:highlight w:val="none"/>
        </w:rPr>
        <w:t>退还时间及方式:/</w:t>
      </w:r>
    </w:p>
    <w:p w14:paraId="21E960D1">
      <w:pPr>
        <w:keepNext/>
        <w:keepLines/>
        <w:spacing w:line="360" w:lineRule="auto"/>
        <w:outlineLvl w:val="1"/>
        <w:rPr>
          <w:rFonts w:hint="eastAsia" w:ascii="宋体" w:hAnsi="宋体" w:eastAsia="宋体" w:cs="宋体"/>
          <w:b/>
          <w:szCs w:val="18"/>
          <w:highlight w:val="none"/>
        </w:rPr>
      </w:pPr>
      <w:bookmarkStart w:id="360" w:name="_Toc40575106"/>
      <w:bookmarkStart w:id="361" w:name="_Toc43799230"/>
      <w:bookmarkStart w:id="362" w:name="_Toc48917821"/>
      <w:bookmarkStart w:id="363" w:name="_Toc12749"/>
      <w:bookmarkStart w:id="364" w:name="_Toc22664"/>
      <w:bookmarkStart w:id="365" w:name="_Toc40574255"/>
      <w:bookmarkStart w:id="366" w:name="_Toc40577223"/>
      <w:bookmarkStart w:id="367" w:name="_Toc43799009"/>
      <w:bookmarkStart w:id="368" w:name="_Toc28034"/>
      <w:r>
        <w:rPr>
          <w:rFonts w:hint="eastAsia" w:ascii="宋体" w:hAnsi="宋体" w:eastAsia="宋体" w:cs="宋体"/>
          <w:b/>
          <w:szCs w:val="18"/>
          <w:highlight w:val="none"/>
        </w:rPr>
        <w:t>4. 监理人</w:t>
      </w:r>
      <w:bookmarkEnd w:id="360"/>
      <w:bookmarkEnd w:id="361"/>
      <w:bookmarkEnd w:id="362"/>
      <w:bookmarkEnd w:id="363"/>
      <w:bookmarkEnd w:id="364"/>
      <w:bookmarkEnd w:id="365"/>
      <w:bookmarkEnd w:id="366"/>
      <w:bookmarkEnd w:id="367"/>
      <w:bookmarkEnd w:id="368"/>
    </w:p>
    <w:p w14:paraId="2AC574FC">
      <w:pPr>
        <w:keepNext/>
        <w:keepLines/>
        <w:spacing w:line="360" w:lineRule="auto"/>
        <w:outlineLvl w:val="1"/>
        <w:rPr>
          <w:rFonts w:hint="eastAsia" w:ascii="宋体" w:hAnsi="宋体" w:eastAsia="宋体" w:cs="宋体"/>
          <w:b/>
          <w:szCs w:val="18"/>
          <w:highlight w:val="none"/>
        </w:rPr>
      </w:pPr>
      <w:bookmarkStart w:id="369" w:name="_Toc22225"/>
      <w:bookmarkStart w:id="370" w:name="_Toc43799231"/>
      <w:bookmarkStart w:id="371" w:name="_Toc16368"/>
      <w:bookmarkStart w:id="372" w:name="_Toc40575107"/>
      <w:bookmarkStart w:id="373" w:name="_Toc25897"/>
      <w:bookmarkStart w:id="374" w:name="_Toc48917822"/>
      <w:bookmarkStart w:id="375" w:name="_Toc40577224"/>
      <w:bookmarkStart w:id="376" w:name="_Toc43799010"/>
      <w:bookmarkStart w:id="377" w:name="_Toc40574256"/>
      <w:r>
        <w:rPr>
          <w:rFonts w:hint="eastAsia" w:ascii="宋体" w:hAnsi="宋体" w:eastAsia="宋体" w:cs="宋体"/>
          <w:b/>
          <w:szCs w:val="18"/>
          <w:highlight w:val="none"/>
        </w:rPr>
        <w:t>4.1监理人的一般规定</w:t>
      </w:r>
      <w:bookmarkEnd w:id="369"/>
      <w:bookmarkEnd w:id="370"/>
      <w:bookmarkEnd w:id="371"/>
      <w:bookmarkEnd w:id="372"/>
      <w:bookmarkEnd w:id="373"/>
      <w:bookmarkEnd w:id="374"/>
      <w:bookmarkEnd w:id="375"/>
      <w:bookmarkEnd w:id="376"/>
      <w:bookmarkEnd w:id="377"/>
    </w:p>
    <w:p w14:paraId="73A1F50B">
      <w:pPr>
        <w:widowControl/>
        <w:spacing w:line="360" w:lineRule="auto"/>
        <w:jc w:val="left"/>
        <w:rPr>
          <w:rFonts w:hint="eastAsia" w:ascii="宋体" w:hAnsi="宋体" w:eastAsia="宋体" w:cs="宋体"/>
          <w:kern w:val="0"/>
          <w:szCs w:val="18"/>
          <w:highlight w:val="none"/>
        </w:rPr>
      </w:pPr>
      <w:r>
        <w:rPr>
          <w:rFonts w:hint="eastAsia" w:ascii="宋体" w:hAnsi="宋体" w:eastAsia="宋体" w:cs="宋体"/>
          <w:kern w:val="0"/>
          <w:szCs w:val="18"/>
          <w:highlight w:val="none"/>
        </w:rPr>
        <w:t>关于监理人的监理内容：详见监理合同</w:t>
      </w:r>
    </w:p>
    <w:p w14:paraId="32F05C6E">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18"/>
          <w:highlight w:val="none"/>
        </w:rPr>
        <w:t>关于监</w:t>
      </w:r>
      <w:r>
        <w:rPr>
          <w:rFonts w:hint="eastAsia" w:ascii="宋体" w:hAnsi="宋体" w:eastAsia="宋体" w:cs="宋体"/>
          <w:kern w:val="0"/>
          <w:szCs w:val="21"/>
          <w:highlight w:val="none"/>
        </w:rPr>
        <w:t xml:space="preserve">理人的监理权限：负责本工程施工阶段工程质量、工程进度、造价控制；信息、合同管理；安全文明施工；现场协调，详见监理合同。需要取得发包人批准才能行使的职权： </w:t>
      </w:r>
    </w:p>
    <w:p w14:paraId="07861177">
      <w:pPr>
        <w:keepNext/>
        <w:keepLines/>
        <w:spacing w:line="360" w:lineRule="auto"/>
        <w:outlineLvl w:val="1"/>
        <w:rPr>
          <w:rFonts w:hint="eastAsia" w:ascii="宋体" w:hAnsi="宋体" w:eastAsia="宋体" w:cs="宋体"/>
          <w:b/>
          <w:szCs w:val="21"/>
          <w:highlight w:val="none"/>
        </w:rPr>
      </w:pPr>
      <w:bookmarkStart w:id="378" w:name="_Toc40574257"/>
      <w:bookmarkStart w:id="379" w:name="_Toc40575108"/>
      <w:bookmarkStart w:id="380" w:name="_Toc43799011"/>
      <w:bookmarkStart w:id="381" w:name="_Toc29236"/>
      <w:bookmarkStart w:id="382" w:name="_Toc7451"/>
      <w:bookmarkStart w:id="383" w:name="_Toc48917823"/>
      <w:bookmarkStart w:id="384" w:name="_Toc43799232"/>
      <w:bookmarkStart w:id="385" w:name="_Toc25639"/>
      <w:bookmarkStart w:id="386" w:name="_Toc40577225"/>
      <w:r>
        <w:rPr>
          <w:rFonts w:hint="eastAsia" w:ascii="宋体" w:hAnsi="宋体" w:eastAsia="宋体" w:cs="宋体"/>
          <w:b/>
          <w:szCs w:val="21"/>
          <w:highlight w:val="none"/>
        </w:rPr>
        <w:t>4.2 监理人员</w:t>
      </w:r>
      <w:bookmarkEnd w:id="378"/>
      <w:bookmarkEnd w:id="379"/>
      <w:bookmarkEnd w:id="380"/>
      <w:bookmarkEnd w:id="381"/>
      <w:bookmarkEnd w:id="382"/>
      <w:bookmarkEnd w:id="383"/>
      <w:bookmarkEnd w:id="384"/>
      <w:bookmarkEnd w:id="385"/>
      <w:bookmarkEnd w:id="386"/>
    </w:p>
    <w:p w14:paraId="000139C0">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总监理工程师：</w:t>
      </w:r>
    </w:p>
    <w:p w14:paraId="6BEEAD0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姓    名：</w:t>
      </w:r>
      <w:permStart w:id="22" w:edGrp="everyone"/>
      <w:r>
        <w:rPr>
          <w:rFonts w:hint="eastAsia" w:ascii="宋体" w:hAnsi="宋体" w:eastAsia="宋体" w:cs="宋体"/>
          <w:kern w:val="0"/>
          <w:szCs w:val="21"/>
          <w:highlight w:val="none"/>
        </w:rPr>
        <w:t>///；</w:t>
      </w:r>
    </w:p>
    <w:permEnd w:id="22"/>
    <w:p w14:paraId="0DABC941">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职    务：</w:t>
      </w:r>
      <w:permStart w:id="23" w:edGrp="everyone"/>
      <w:r>
        <w:rPr>
          <w:rFonts w:hint="eastAsia" w:ascii="宋体" w:hAnsi="宋体" w:eastAsia="宋体" w:cs="宋体"/>
          <w:kern w:val="0"/>
          <w:szCs w:val="21"/>
          <w:highlight w:val="none"/>
        </w:rPr>
        <w:t>///</w:t>
      </w:r>
    </w:p>
    <w:permEnd w:id="23"/>
    <w:p w14:paraId="1910118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身份证号码：</w:t>
      </w:r>
      <w:permStart w:id="24" w:edGrp="everyone"/>
      <w:r>
        <w:rPr>
          <w:rFonts w:hint="eastAsia" w:ascii="宋体" w:hAnsi="宋体" w:eastAsia="宋体" w:cs="宋体"/>
          <w:kern w:val="0"/>
          <w:szCs w:val="21"/>
          <w:highlight w:val="none"/>
        </w:rPr>
        <w:t>///</w:t>
      </w:r>
    </w:p>
    <w:permEnd w:id="24"/>
    <w:p w14:paraId="305B9C59">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w:t>
      </w:r>
      <w:permStart w:id="25" w:edGrp="everyone"/>
      <w:r>
        <w:rPr>
          <w:rFonts w:hint="eastAsia" w:ascii="宋体" w:hAnsi="宋体" w:eastAsia="宋体" w:cs="宋体"/>
          <w:kern w:val="0"/>
          <w:szCs w:val="21"/>
          <w:highlight w:val="none"/>
        </w:rPr>
        <w:t>///；</w:t>
      </w:r>
    </w:p>
    <w:permEnd w:id="25"/>
    <w:p w14:paraId="61655E7F">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电子信箱：</w:t>
      </w:r>
      <w:permStart w:id="26" w:edGrp="everyone"/>
      <w:r>
        <w:rPr>
          <w:rFonts w:hint="eastAsia" w:ascii="宋体" w:hAnsi="宋体" w:eastAsia="宋体" w:cs="宋体"/>
          <w:kern w:val="0"/>
          <w:szCs w:val="21"/>
          <w:highlight w:val="none"/>
        </w:rPr>
        <w:t>；</w:t>
      </w:r>
    </w:p>
    <w:permEnd w:id="26"/>
    <w:p w14:paraId="239406FB">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通信地址：</w:t>
      </w:r>
      <w:permStart w:id="27" w:edGrp="everyone"/>
      <w:r>
        <w:rPr>
          <w:rFonts w:hint="eastAsia" w:ascii="宋体" w:hAnsi="宋体" w:eastAsia="宋体" w:cs="宋体"/>
          <w:kern w:val="0"/>
          <w:szCs w:val="21"/>
          <w:highlight w:val="none"/>
        </w:rPr>
        <w:t>///；</w:t>
      </w:r>
    </w:p>
    <w:permEnd w:id="27"/>
    <w:p w14:paraId="087553F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关于监理人的其他约定：</w:t>
      </w:r>
      <w:permStart w:id="28" w:edGrp="everyone"/>
      <w:r>
        <w:rPr>
          <w:rFonts w:hint="eastAsia" w:ascii="宋体" w:hAnsi="宋体" w:eastAsia="宋体" w:cs="宋体"/>
          <w:kern w:val="0"/>
          <w:szCs w:val="21"/>
          <w:highlight w:val="none"/>
        </w:rPr>
        <w:t xml:space="preserve">  /   </w:t>
      </w:r>
    </w:p>
    <w:permEnd w:id="28"/>
    <w:p w14:paraId="4ABAF05D">
      <w:pPr>
        <w:keepNext/>
        <w:keepLines/>
        <w:spacing w:line="360" w:lineRule="auto"/>
        <w:outlineLvl w:val="1"/>
        <w:rPr>
          <w:rFonts w:hint="eastAsia" w:ascii="宋体" w:hAnsi="宋体" w:eastAsia="宋体" w:cs="宋体"/>
          <w:b/>
          <w:szCs w:val="21"/>
          <w:highlight w:val="none"/>
        </w:rPr>
      </w:pPr>
      <w:bookmarkStart w:id="387" w:name="_Toc19365"/>
      <w:bookmarkStart w:id="388" w:name="_Toc11720"/>
      <w:bookmarkStart w:id="389" w:name="_Toc40575109"/>
      <w:bookmarkStart w:id="390" w:name="_Toc40577226"/>
      <w:bookmarkStart w:id="391" w:name="_Toc13544"/>
      <w:bookmarkStart w:id="392" w:name="_Toc43799012"/>
      <w:bookmarkStart w:id="393" w:name="_Toc40574258"/>
      <w:bookmarkStart w:id="394" w:name="_Toc48917824"/>
      <w:bookmarkStart w:id="395" w:name="_Toc43799233"/>
      <w:r>
        <w:rPr>
          <w:rFonts w:hint="eastAsia" w:ascii="宋体" w:hAnsi="宋体" w:eastAsia="宋体" w:cs="宋体"/>
          <w:b/>
          <w:szCs w:val="21"/>
          <w:highlight w:val="none"/>
        </w:rPr>
        <w:t>4.4 商定或确定</w:t>
      </w:r>
      <w:bookmarkEnd w:id="387"/>
      <w:bookmarkEnd w:id="388"/>
      <w:bookmarkEnd w:id="389"/>
      <w:bookmarkEnd w:id="390"/>
      <w:bookmarkEnd w:id="391"/>
      <w:bookmarkEnd w:id="392"/>
      <w:bookmarkEnd w:id="393"/>
      <w:bookmarkEnd w:id="394"/>
      <w:bookmarkEnd w:id="395"/>
    </w:p>
    <w:p w14:paraId="3DF9FCEC">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在发包人和承包人不能通过协商达成一致意见时，发包人授权监理人对以下事项进行确定：按照监理合同执行；</w:t>
      </w:r>
    </w:p>
    <w:p w14:paraId="7FF4CBE0">
      <w:pPr>
        <w:keepNext/>
        <w:keepLines/>
        <w:spacing w:line="360" w:lineRule="auto"/>
        <w:outlineLvl w:val="1"/>
        <w:rPr>
          <w:rFonts w:hint="eastAsia" w:ascii="宋体" w:hAnsi="宋体" w:eastAsia="宋体" w:cs="宋体"/>
          <w:b/>
          <w:szCs w:val="21"/>
          <w:highlight w:val="none"/>
        </w:rPr>
      </w:pPr>
      <w:bookmarkStart w:id="396" w:name="_Toc48917825"/>
      <w:bookmarkStart w:id="397" w:name="_Toc43799013"/>
      <w:bookmarkStart w:id="398" w:name="_Toc22215"/>
      <w:bookmarkStart w:id="399" w:name="_Toc40574259"/>
      <w:bookmarkStart w:id="400" w:name="_Toc11611"/>
      <w:bookmarkStart w:id="401" w:name="_Toc40575110"/>
      <w:bookmarkStart w:id="402" w:name="_Toc43799234"/>
      <w:bookmarkStart w:id="403" w:name="_Toc20131"/>
      <w:bookmarkStart w:id="404" w:name="_Toc40577227"/>
      <w:r>
        <w:rPr>
          <w:rFonts w:hint="eastAsia" w:ascii="宋体" w:hAnsi="宋体" w:eastAsia="宋体" w:cs="宋体"/>
          <w:b/>
          <w:szCs w:val="21"/>
          <w:highlight w:val="none"/>
        </w:rPr>
        <w:t>5. 工程质量</w:t>
      </w:r>
      <w:bookmarkEnd w:id="396"/>
      <w:bookmarkEnd w:id="397"/>
      <w:bookmarkEnd w:id="398"/>
      <w:bookmarkEnd w:id="399"/>
      <w:bookmarkEnd w:id="400"/>
      <w:bookmarkEnd w:id="401"/>
      <w:bookmarkEnd w:id="402"/>
      <w:bookmarkEnd w:id="403"/>
      <w:bookmarkEnd w:id="404"/>
    </w:p>
    <w:p w14:paraId="02916383">
      <w:pPr>
        <w:keepNext/>
        <w:keepLines/>
        <w:spacing w:line="360" w:lineRule="auto"/>
        <w:outlineLvl w:val="1"/>
        <w:rPr>
          <w:rFonts w:hint="eastAsia" w:ascii="宋体" w:hAnsi="宋体" w:eastAsia="宋体" w:cs="宋体"/>
          <w:b/>
          <w:szCs w:val="21"/>
          <w:highlight w:val="none"/>
        </w:rPr>
      </w:pPr>
      <w:bookmarkStart w:id="405" w:name="_Toc43799014"/>
      <w:bookmarkStart w:id="406" w:name="_Toc40574260"/>
      <w:bookmarkStart w:id="407" w:name="_Toc15850"/>
      <w:bookmarkStart w:id="408" w:name="_Toc48917826"/>
      <w:bookmarkStart w:id="409" w:name="_Toc16874"/>
      <w:bookmarkStart w:id="410" w:name="_Toc40577228"/>
      <w:bookmarkStart w:id="411" w:name="_Toc31177"/>
      <w:bookmarkStart w:id="412" w:name="_Toc43799235"/>
      <w:bookmarkStart w:id="413" w:name="_Toc40575111"/>
      <w:r>
        <w:rPr>
          <w:rFonts w:hint="eastAsia" w:ascii="宋体" w:hAnsi="宋体" w:eastAsia="宋体" w:cs="宋体"/>
          <w:b/>
          <w:szCs w:val="21"/>
          <w:highlight w:val="none"/>
        </w:rPr>
        <w:t>5.1 质量要求</w:t>
      </w:r>
      <w:bookmarkEnd w:id="405"/>
      <w:bookmarkEnd w:id="406"/>
      <w:bookmarkEnd w:id="407"/>
      <w:bookmarkEnd w:id="408"/>
      <w:bookmarkEnd w:id="409"/>
      <w:bookmarkEnd w:id="410"/>
      <w:bookmarkEnd w:id="411"/>
      <w:bookmarkEnd w:id="412"/>
      <w:bookmarkEnd w:id="413"/>
    </w:p>
    <w:p w14:paraId="3AF0E90E">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5.1.1 特殊质量标准和要求</w:t>
      </w:r>
      <w:r>
        <w:rPr>
          <w:rFonts w:hint="eastAsia" w:ascii="宋体" w:hAnsi="宋体" w:eastAsia="宋体" w:cs="宋体"/>
          <w:kern w:val="0"/>
          <w:szCs w:val="21"/>
          <w:highlight w:val="none"/>
        </w:rPr>
        <w:t>：符合国家质量验收合格标准。</w:t>
      </w:r>
    </w:p>
    <w:p w14:paraId="60C99BAB">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关于工程奖项的约定：无。</w:t>
      </w:r>
    </w:p>
    <w:p w14:paraId="754CD806">
      <w:pPr>
        <w:keepNext/>
        <w:keepLines/>
        <w:spacing w:line="360" w:lineRule="auto"/>
        <w:outlineLvl w:val="1"/>
        <w:rPr>
          <w:rFonts w:hint="eastAsia" w:ascii="宋体" w:hAnsi="宋体" w:eastAsia="宋体" w:cs="宋体"/>
          <w:b/>
          <w:szCs w:val="21"/>
          <w:highlight w:val="none"/>
        </w:rPr>
      </w:pPr>
      <w:bookmarkStart w:id="414" w:name="_Toc25394"/>
      <w:bookmarkStart w:id="415" w:name="_Toc4632"/>
      <w:bookmarkStart w:id="416" w:name="_Toc48917827"/>
      <w:bookmarkStart w:id="417" w:name="_Toc43799015"/>
      <w:bookmarkStart w:id="418" w:name="_Toc40574261"/>
      <w:bookmarkStart w:id="419" w:name="_Toc40577229"/>
      <w:bookmarkStart w:id="420" w:name="_Toc40575112"/>
      <w:bookmarkStart w:id="421" w:name="_Toc22878"/>
      <w:bookmarkStart w:id="422" w:name="_Toc43799236"/>
      <w:r>
        <w:rPr>
          <w:rFonts w:hint="eastAsia" w:ascii="宋体" w:hAnsi="宋体" w:eastAsia="宋体" w:cs="宋体"/>
          <w:b/>
          <w:szCs w:val="21"/>
          <w:highlight w:val="none"/>
        </w:rPr>
        <w:t>5.3 隐蔽工程检查</w:t>
      </w:r>
      <w:bookmarkEnd w:id="414"/>
      <w:bookmarkEnd w:id="415"/>
      <w:bookmarkEnd w:id="416"/>
      <w:bookmarkEnd w:id="417"/>
      <w:bookmarkEnd w:id="418"/>
      <w:bookmarkEnd w:id="419"/>
      <w:bookmarkEnd w:id="420"/>
      <w:bookmarkEnd w:id="421"/>
      <w:bookmarkEnd w:id="422"/>
    </w:p>
    <w:p w14:paraId="7C245860">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5.3.2承包人提前通知监理人隐蔽工程检查的期限的约定：</w:t>
      </w:r>
      <w:r>
        <w:rPr>
          <w:rFonts w:hint="eastAsia" w:ascii="宋体" w:hAnsi="宋体" w:eastAsia="宋体" w:cs="宋体"/>
          <w:kern w:val="0"/>
          <w:szCs w:val="21"/>
          <w:highlight w:val="none"/>
        </w:rPr>
        <w:t>共同检查前48小时书面通知监理人。除国家和质监部门明确中间验收的部位外，发包人有权要求对本工程任何部位进行验收。</w:t>
      </w:r>
    </w:p>
    <w:p w14:paraId="284B8CF8">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监理人不能按时进行检查时，应提前24小时提交书面延期要求。</w:t>
      </w:r>
    </w:p>
    <w:p w14:paraId="7A4BF211">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关于延期最长不得超过：48小时。</w:t>
      </w:r>
    </w:p>
    <w:p w14:paraId="4F9A0293">
      <w:pPr>
        <w:keepNext/>
        <w:keepLines/>
        <w:spacing w:line="360" w:lineRule="auto"/>
        <w:outlineLvl w:val="1"/>
        <w:rPr>
          <w:rFonts w:hint="eastAsia" w:ascii="宋体" w:hAnsi="宋体" w:eastAsia="宋体" w:cs="宋体"/>
          <w:b/>
          <w:szCs w:val="21"/>
          <w:highlight w:val="none"/>
        </w:rPr>
      </w:pPr>
      <w:bookmarkStart w:id="423" w:name="_Toc43799016"/>
      <w:bookmarkStart w:id="424" w:name="_Toc40574262"/>
      <w:bookmarkStart w:id="425" w:name="_Toc27227"/>
      <w:bookmarkStart w:id="426" w:name="_Toc1840"/>
      <w:bookmarkStart w:id="427" w:name="_Toc12058"/>
      <w:bookmarkStart w:id="428" w:name="_Toc48917828"/>
      <w:bookmarkStart w:id="429" w:name="_Toc40575113"/>
      <w:bookmarkStart w:id="430" w:name="_Toc43799237"/>
      <w:bookmarkStart w:id="431" w:name="_Toc40577230"/>
      <w:r>
        <w:rPr>
          <w:rFonts w:hint="eastAsia" w:ascii="宋体" w:hAnsi="宋体" w:eastAsia="宋体" w:cs="宋体"/>
          <w:b/>
          <w:szCs w:val="21"/>
          <w:highlight w:val="none"/>
        </w:rPr>
        <w:t>6. 安全文明施工与环境保护</w:t>
      </w:r>
      <w:bookmarkEnd w:id="423"/>
      <w:bookmarkEnd w:id="424"/>
      <w:bookmarkEnd w:id="425"/>
      <w:bookmarkEnd w:id="426"/>
      <w:bookmarkEnd w:id="427"/>
      <w:bookmarkEnd w:id="428"/>
      <w:bookmarkEnd w:id="429"/>
      <w:bookmarkEnd w:id="430"/>
      <w:bookmarkEnd w:id="431"/>
    </w:p>
    <w:p w14:paraId="3FB9CC8C">
      <w:pPr>
        <w:keepNext/>
        <w:keepLines/>
        <w:spacing w:line="360" w:lineRule="auto"/>
        <w:outlineLvl w:val="1"/>
        <w:rPr>
          <w:rFonts w:hint="eastAsia" w:ascii="宋体" w:hAnsi="宋体" w:eastAsia="宋体" w:cs="宋体"/>
          <w:b/>
          <w:szCs w:val="21"/>
          <w:highlight w:val="none"/>
        </w:rPr>
      </w:pPr>
      <w:bookmarkStart w:id="432" w:name="_Toc40574263"/>
      <w:bookmarkStart w:id="433" w:name="_Toc43799238"/>
      <w:bookmarkStart w:id="434" w:name="_Toc40577231"/>
      <w:bookmarkStart w:id="435" w:name="_Toc18895"/>
      <w:bookmarkStart w:id="436" w:name="_Toc6822"/>
      <w:bookmarkStart w:id="437" w:name="_Toc43799017"/>
      <w:bookmarkStart w:id="438" w:name="_Toc40575114"/>
      <w:bookmarkStart w:id="439" w:name="_Toc48917829"/>
      <w:bookmarkStart w:id="440" w:name="_Toc2418"/>
      <w:r>
        <w:rPr>
          <w:rFonts w:hint="eastAsia" w:ascii="宋体" w:hAnsi="宋体" w:eastAsia="宋体" w:cs="宋体"/>
          <w:b/>
          <w:szCs w:val="21"/>
          <w:highlight w:val="none"/>
        </w:rPr>
        <w:t>6.1安全文明施工</w:t>
      </w:r>
      <w:bookmarkEnd w:id="432"/>
      <w:bookmarkEnd w:id="433"/>
      <w:bookmarkEnd w:id="434"/>
      <w:bookmarkEnd w:id="435"/>
      <w:bookmarkEnd w:id="436"/>
      <w:bookmarkEnd w:id="437"/>
      <w:bookmarkEnd w:id="438"/>
      <w:bookmarkEnd w:id="439"/>
      <w:bookmarkEnd w:id="440"/>
    </w:p>
    <w:p w14:paraId="708712B5">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6.1.1 项目安全生产的达标目标及相应事项的约定</w:t>
      </w:r>
      <w:r>
        <w:rPr>
          <w:rFonts w:hint="eastAsia" w:ascii="宋体" w:hAnsi="宋体" w:eastAsia="宋体" w:cs="宋体"/>
          <w:kern w:val="0"/>
          <w:szCs w:val="21"/>
          <w:highlight w:val="none"/>
        </w:rPr>
        <w:t>：/</w:t>
      </w:r>
    </w:p>
    <w:p w14:paraId="65C40256">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6.1.4 关于治安保卫的特别约定</w:t>
      </w:r>
      <w:r>
        <w:rPr>
          <w:rFonts w:hint="eastAsia" w:ascii="宋体" w:hAnsi="宋体" w:eastAsia="宋体" w:cs="宋体"/>
          <w:kern w:val="0"/>
          <w:szCs w:val="21"/>
          <w:highlight w:val="none"/>
        </w:rPr>
        <w:t>：除执行通用条款的相关规定外，承包人必须按照江苏省、南京市相关文件规定的标准实行文明施工管理，注重安全保障，承包人在施工现场的安全教育和安全事故及因此发生的费用（包括造成发包人工期延误，并由此产生的全部损失）由承包方承担。</w:t>
      </w:r>
    </w:p>
    <w:p w14:paraId="0A1D7EFD">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关于编制施工场地治安管理计划的约定：开工后7天，由承包方制订，发包方协助。</w:t>
      </w:r>
    </w:p>
    <w:p w14:paraId="5E4A0AA7">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6.1.5 文明施工</w:t>
      </w:r>
    </w:p>
    <w:p w14:paraId="5469D9B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合同当事人对文明施工的要求：/。</w:t>
      </w:r>
    </w:p>
    <w:p w14:paraId="42040B43">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6.1.6 关于安全文明施工费支付比例和支付期限的约定</w:t>
      </w:r>
      <w:r>
        <w:rPr>
          <w:rFonts w:hint="eastAsia" w:ascii="宋体" w:hAnsi="宋体" w:eastAsia="宋体" w:cs="宋体"/>
          <w:kern w:val="0"/>
          <w:szCs w:val="21"/>
          <w:highlight w:val="none"/>
        </w:rPr>
        <w:t>：与工程款款同比例支付。</w:t>
      </w:r>
    </w:p>
    <w:p w14:paraId="11957D8D">
      <w:pPr>
        <w:keepNext/>
        <w:keepLines/>
        <w:spacing w:line="360" w:lineRule="auto"/>
        <w:outlineLvl w:val="1"/>
        <w:rPr>
          <w:rFonts w:hint="eastAsia" w:ascii="宋体" w:hAnsi="宋体" w:eastAsia="宋体" w:cs="宋体"/>
          <w:b/>
          <w:szCs w:val="21"/>
          <w:highlight w:val="none"/>
        </w:rPr>
      </w:pPr>
      <w:bookmarkStart w:id="441" w:name="_Toc18595"/>
      <w:bookmarkStart w:id="442" w:name="_Toc43799018"/>
      <w:bookmarkStart w:id="443" w:name="_Toc40575115"/>
      <w:bookmarkStart w:id="444" w:name="_Toc40577232"/>
      <w:bookmarkStart w:id="445" w:name="_Toc18586"/>
      <w:bookmarkStart w:id="446" w:name="_Toc10594"/>
      <w:bookmarkStart w:id="447" w:name="_Toc43799239"/>
      <w:bookmarkStart w:id="448" w:name="_Toc40574264"/>
      <w:bookmarkStart w:id="449" w:name="_Toc48917830"/>
      <w:r>
        <w:rPr>
          <w:rFonts w:hint="eastAsia" w:ascii="宋体" w:hAnsi="宋体" w:eastAsia="宋体" w:cs="宋体"/>
          <w:b/>
          <w:szCs w:val="21"/>
          <w:highlight w:val="none"/>
        </w:rPr>
        <w:t>7. 工期和进度</w:t>
      </w:r>
      <w:bookmarkEnd w:id="441"/>
      <w:bookmarkEnd w:id="442"/>
      <w:bookmarkEnd w:id="443"/>
      <w:bookmarkEnd w:id="444"/>
      <w:bookmarkEnd w:id="445"/>
      <w:bookmarkEnd w:id="446"/>
      <w:bookmarkEnd w:id="447"/>
      <w:bookmarkEnd w:id="448"/>
      <w:bookmarkEnd w:id="449"/>
    </w:p>
    <w:p w14:paraId="029C0F16">
      <w:pPr>
        <w:keepNext/>
        <w:keepLines/>
        <w:spacing w:line="360" w:lineRule="auto"/>
        <w:outlineLvl w:val="1"/>
        <w:rPr>
          <w:rFonts w:hint="eastAsia" w:ascii="宋体" w:hAnsi="宋体" w:eastAsia="宋体" w:cs="宋体"/>
          <w:b/>
          <w:szCs w:val="21"/>
          <w:highlight w:val="none"/>
        </w:rPr>
      </w:pPr>
      <w:bookmarkStart w:id="450" w:name="_Toc48917831"/>
      <w:bookmarkStart w:id="451" w:name="_Toc1017"/>
      <w:bookmarkStart w:id="452" w:name="_Toc4483"/>
      <w:bookmarkStart w:id="453" w:name="_Toc43799019"/>
      <w:bookmarkStart w:id="454" w:name="_Toc40575116"/>
      <w:bookmarkStart w:id="455" w:name="_Toc43799240"/>
      <w:bookmarkStart w:id="456" w:name="_Toc40577233"/>
      <w:bookmarkStart w:id="457" w:name="_Toc40574265"/>
      <w:bookmarkStart w:id="458" w:name="_Toc12613"/>
      <w:r>
        <w:rPr>
          <w:rFonts w:hint="eastAsia" w:ascii="宋体" w:hAnsi="宋体" w:eastAsia="宋体" w:cs="宋体"/>
          <w:b/>
          <w:szCs w:val="21"/>
          <w:highlight w:val="none"/>
        </w:rPr>
        <w:t>7.1 施工组织设计</w:t>
      </w:r>
      <w:bookmarkEnd w:id="450"/>
      <w:bookmarkEnd w:id="451"/>
      <w:bookmarkEnd w:id="452"/>
      <w:bookmarkEnd w:id="453"/>
      <w:bookmarkEnd w:id="454"/>
      <w:bookmarkEnd w:id="455"/>
      <w:bookmarkEnd w:id="456"/>
      <w:bookmarkEnd w:id="457"/>
      <w:bookmarkEnd w:id="458"/>
    </w:p>
    <w:p w14:paraId="17CACAB8">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7.1.1 合同当事人约定的施工组织设计应包括的其他内容：</w:t>
      </w:r>
      <w:r>
        <w:rPr>
          <w:rFonts w:hint="eastAsia" w:ascii="宋体" w:hAnsi="宋体" w:eastAsia="宋体" w:cs="宋体"/>
          <w:kern w:val="0"/>
          <w:szCs w:val="21"/>
          <w:highlight w:val="none"/>
        </w:rPr>
        <w:t>/</w:t>
      </w:r>
    </w:p>
    <w:p w14:paraId="323F80BE">
      <w:pPr>
        <w:widowControl/>
        <w:autoSpaceDE w:val="0"/>
        <w:autoSpaceDN w:val="0"/>
        <w:adjustRightInd w:val="0"/>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7.1.2 施工组织设计的提交和修改</w:t>
      </w:r>
    </w:p>
    <w:p w14:paraId="414B394E">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承包人提交详细施工组织设计的期限的约定：/。</w:t>
      </w:r>
    </w:p>
    <w:p w14:paraId="0620A794">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发包人和监理人在收到详细的施工组织设计后确认或提出修改意见的期限：/。</w:t>
      </w:r>
    </w:p>
    <w:p w14:paraId="42522E6F">
      <w:pPr>
        <w:keepNext/>
        <w:keepLines/>
        <w:spacing w:line="360" w:lineRule="auto"/>
        <w:outlineLvl w:val="1"/>
        <w:rPr>
          <w:rFonts w:hint="eastAsia" w:ascii="宋体" w:hAnsi="宋体" w:eastAsia="宋体" w:cs="宋体"/>
          <w:b/>
          <w:szCs w:val="21"/>
          <w:highlight w:val="none"/>
        </w:rPr>
      </w:pPr>
      <w:bookmarkStart w:id="459" w:name="_Toc1128"/>
      <w:bookmarkStart w:id="460" w:name="_Toc40577234"/>
      <w:bookmarkStart w:id="461" w:name="_Toc48917832"/>
      <w:bookmarkStart w:id="462" w:name="_Toc40574266"/>
      <w:bookmarkStart w:id="463" w:name="_Toc43799241"/>
      <w:bookmarkStart w:id="464" w:name="_Toc17594"/>
      <w:bookmarkStart w:id="465" w:name="_Toc40575117"/>
      <w:bookmarkStart w:id="466" w:name="_Toc20490"/>
      <w:bookmarkStart w:id="467" w:name="_Toc43799020"/>
      <w:r>
        <w:rPr>
          <w:rFonts w:hint="eastAsia" w:ascii="宋体" w:hAnsi="宋体" w:eastAsia="宋体" w:cs="宋体"/>
          <w:b/>
          <w:szCs w:val="21"/>
          <w:highlight w:val="none"/>
        </w:rPr>
        <w:t>7.2 施工进度计划</w:t>
      </w:r>
      <w:bookmarkEnd w:id="459"/>
      <w:bookmarkEnd w:id="460"/>
      <w:bookmarkEnd w:id="461"/>
      <w:bookmarkEnd w:id="462"/>
      <w:bookmarkEnd w:id="463"/>
      <w:bookmarkEnd w:id="464"/>
      <w:bookmarkEnd w:id="465"/>
      <w:bookmarkEnd w:id="466"/>
      <w:bookmarkEnd w:id="467"/>
    </w:p>
    <w:p w14:paraId="489D4490">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7.2.2 施工进度计划的修订</w:t>
      </w:r>
    </w:p>
    <w:p w14:paraId="07B9AC9F">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发包人和监理人在收到修订的施工进度计划后确认或提出修改意见的期限：收到承包方资料一周内予以答复告知确认的时间。工程师对施工组织设计和进度计划的任何确认和修改意见不免除和减轻承包人责任。</w:t>
      </w:r>
    </w:p>
    <w:p w14:paraId="4A88C37B">
      <w:pPr>
        <w:keepNext/>
        <w:keepLines/>
        <w:spacing w:line="360" w:lineRule="auto"/>
        <w:outlineLvl w:val="1"/>
        <w:rPr>
          <w:rFonts w:hint="eastAsia" w:ascii="宋体" w:hAnsi="宋体" w:eastAsia="宋体" w:cs="宋体"/>
          <w:b/>
          <w:szCs w:val="21"/>
          <w:highlight w:val="none"/>
        </w:rPr>
      </w:pPr>
      <w:bookmarkStart w:id="468" w:name="_Toc43799242"/>
      <w:bookmarkStart w:id="469" w:name="_Toc43799021"/>
      <w:bookmarkStart w:id="470" w:name="_Toc40577235"/>
      <w:bookmarkStart w:id="471" w:name="_Toc27693"/>
      <w:bookmarkStart w:id="472" w:name="_Toc21491"/>
      <w:bookmarkStart w:id="473" w:name="_Toc48917833"/>
      <w:bookmarkStart w:id="474" w:name="_Toc40575118"/>
      <w:bookmarkStart w:id="475" w:name="_Toc11046"/>
      <w:bookmarkStart w:id="476" w:name="_Toc40574267"/>
      <w:r>
        <w:rPr>
          <w:rFonts w:hint="eastAsia" w:ascii="宋体" w:hAnsi="宋体" w:eastAsia="宋体" w:cs="宋体"/>
          <w:b/>
          <w:szCs w:val="21"/>
          <w:highlight w:val="none"/>
        </w:rPr>
        <w:t>7.3 开工</w:t>
      </w:r>
      <w:bookmarkEnd w:id="468"/>
      <w:bookmarkEnd w:id="469"/>
      <w:bookmarkEnd w:id="470"/>
      <w:bookmarkEnd w:id="471"/>
      <w:bookmarkEnd w:id="472"/>
      <w:bookmarkEnd w:id="473"/>
      <w:bookmarkEnd w:id="474"/>
      <w:bookmarkEnd w:id="475"/>
      <w:bookmarkEnd w:id="476"/>
    </w:p>
    <w:p w14:paraId="7ED9AB0D">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7.3.1 开工准备</w:t>
      </w:r>
    </w:p>
    <w:p w14:paraId="34839874">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关于承包人提交工程开工报审表的期限：应在合同签订后14天内，但至迟不得晚于开工日期前7天，逾期未提交开工报审表自动开始计算工期。</w:t>
      </w:r>
    </w:p>
    <w:p w14:paraId="7A2BB345">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关于发包人应完成的其他开工准备工作及期限：开工前。</w:t>
      </w:r>
    </w:p>
    <w:p w14:paraId="490493EC">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关于承包人应完成的其他开工准备工作及期限：开工前。</w:t>
      </w:r>
    </w:p>
    <w:p w14:paraId="6B951101">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7.3.2开工通知</w:t>
      </w:r>
    </w:p>
    <w:p w14:paraId="1676B4A3">
      <w:pPr>
        <w:spacing w:line="360" w:lineRule="auto"/>
        <w:outlineLvl w:val="1"/>
        <w:rPr>
          <w:rFonts w:hint="eastAsia" w:ascii="宋体" w:hAnsi="宋体" w:eastAsia="宋体" w:cs="宋体"/>
          <w:kern w:val="0"/>
          <w:szCs w:val="21"/>
          <w:highlight w:val="none"/>
          <w:lang w:bidi="ar"/>
        </w:rPr>
      </w:pPr>
      <w:bookmarkStart w:id="477" w:name="_Toc40577236"/>
      <w:bookmarkStart w:id="478" w:name="_Toc26315"/>
      <w:bookmarkStart w:id="479" w:name="_Toc40574268"/>
      <w:bookmarkStart w:id="480" w:name="_Toc16314"/>
      <w:bookmarkStart w:id="481" w:name="_Toc48917834"/>
      <w:bookmarkStart w:id="482" w:name="_Toc10476"/>
      <w:bookmarkStart w:id="483" w:name="_Toc40575119"/>
      <w:bookmarkStart w:id="484" w:name="_Toc43799243"/>
      <w:bookmarkStart w:id="485" w:name="_Toc43799022"/>
      <w:r>
        <w:rPr>
          <w:rFonts w:hint="eastAsia" w:ascii="宋体" w:hAnsi="宋体" w:eastAsia="宋体" w:cs="宋体"/>
          <w:kern w:val="0"/>
          <w:szCs w:val="21"/>
          <w:highlight w:val="none"/>
          <w:lang w:bidi="ar"/>
        </w:rPr>
        <w:t>因发包人原因造成监理人未能在计划开工日期之日起90天内发出开工通知的，承包人有权提出价格调整要求，或者解除合同</w:t>
      </w:r>
    </w:p>
    <w:p w14:paraId="39124CC3">
      <w:pPr>
        <w:keepNext/>
        <w:keepLines/>
        <w:spacing w:line="360" w:lineRule="auto"/>
        <w:outlineLvl w:val="1"/>
        <w:rPr>
          <w:rFonts w:hint="eastAsia" w:ascii="宋体" w:hAnsi="宋体" w:eastAsia="宋体" w:cs="宋体"/>
          <w:b/>
          <w:szCs w:val="21"/>
          <w:highlight w:val="none"/>
        </w:rPr>
      </w:pPr>
      <w:r>
        <w:rPr>
          <w:rFonts w:hint="eastAsia" w:ascii="宋体" w:hAnsi="宋体" w:eastAsia="宋体" w:cs="宋体"/>
          <w:b/>
          <w:szCs w:val="21"/>
          <w:highlight w:val="none"/>
        </w:rPr>
        <w:t>7.4 测量放线</w:t>
      </w:r>
      <w:bookmarkEnd w:id="477"/>
      <w:bookmarkEnd w:id="478"/>
      <w:bookmarkEnd w:id="479"/>
      <w:bookmarkEnd w:id="480"/>
      <w:bookmarkEnd w:id="481"/>
      <w:bookmarkEnd w:id="482"/>
      <w:bookmarkEnd w:id="483"/>
      <w:bookmarkEnd w:id="484"/>
      <w:bookmarkEnd w:id="485"/>
    </w:p>
    <w:p w14:paraId="3647EE52">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7.4.1</w:t>
      </w:r>
      <w:r>
        <w:rPr>
          <w:rFonts w:hint="eastAsia" w:ascii="宋体" w:hAnsi="宋体" w:eastAsia="宋体" w:cs="宋体"/>
          <w:kern w:val="0"/>
          <w:szCs w:val="21"/>
          <w:highlight w:val="none"/>
        </w:rPr>
        <w:t>发包人通过监理人向承包人提供测量基准点、基准线和水准点及其书面资料的期限：/。</w:t>
      </w:r>
    </w:p>
    <w:p w14:paraId="10497C9C">
      <w:pPr>
        <w:keepNext/>
        <w:keepLines/>
        <w:spacing w:line="360" w:lineRule="auto"/>
        <w:outlineLvl w:val="1"/>
        <w:rPr>
          <w:rFonts w:hint="eastAsia" w:ascii="宋体" w:hAnsi="宋体" w:eastAsia="宋体" w:cs="宋体"/>
          <w:b/>
          <w:szCs w:val="21"/>
          <w:highlight w:val="none"/>
        </w:rPr>
      </w:pPr>
      <w:bookmarkStart w:id="486" w:name="_Toc40577237"/>
      <w:bookmarkStart w:id="487" w:name="_Toc40575120"/>
      <w:bookmarkStart w:id="488" w:name="_Toc27216"/>
      <w:bookmarkStart w:id="489" w:name="_Toc9413"/>
      <w:bookmarkStart w:id="490" w:name="_Toc43799023"/>
      <w:bookmarkStart w:id="491" w:name="_Toc48917835"/>
      <w:bookmarkStart w:id="492" w:name="_Toc8379"/>
      <w:bookmarkStart w:id="493" w:name="_Toc43799244"/>
      <w:bookmarkStart w:id="494" w:name="_Toc40574269"/>
      <w:r>
        <w:rPr>
          <w:rFonts w:hint="eastAsia" w:ascii="宋体" w:hAnsi="宋体" w:eastAsia="宋体" w:cs="宋体"/>
          <w:b/>
          <w:szCs w:val="21"/>
          <w:highlight w:val="none"/>
        </w:rPr>
        <w:t>7.5 工期延误</w:t>
      </w:r>
      <w:bookmarkEnd w:id="486"/>
      <w:bookmarkEnd w:id="487"/>
      <w:bookmarkEnd w:id="488"/>
      <w:bookmarkEnd w:id="489"/>
      <w:bookmarkEnd w:id="490"/>
      <w:bookmarkEnd w:id="491"/>
      <w:bookmarkEnd w:id="492"/>
      <w:bookmarkEnd w:id="493"/>
      <w:bookmarkEnd w:id="494"/>
    </w:p>
    <w:p w14:paraId="72B31126">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7.5.1 因发包人原因导致工期延误</w:t>
      </w:r>
    </w:p>
    <w:p w14:paraId="71493C19">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（7）因发包人原因导致工期延误的其他情形：发包人原因导致工期延误，承包人也必须书面通知发包人，发包人书面批准工期顺延。</w:t>
      </w:r>
    </w:p>
    <w:p w14:paraId="0F0694CD">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7.5.2 因承包人原因导致工期延误</w:t>
      </w:r>
    </w:p>
    <w:p w14:paraId="3517819D">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因承包人原因造成工期延误，逾期竣工违约金的计算方法为：</w:t>
      </w:r>
    </w:p>
    <w:p w14:paraId="4FABD7D0">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因承包人原因，导致进场延迟，每延迟一天，需向建设单位支付违约金1000元；因承包人原因，导致合同工期延误，每延迟一天，需向建设单位支付违约金2000元。</w:t>
      </w:r>
    </w:p>
    <w:p w14:paraId="43B0F85C">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因承包人原因造成工期延误，逾期竣工违约金的上限：</w:t>
      </w:r>
      <w:r>
        <w:rPr>
          <w:rFonts w:hint="eastAsia" w:ascii="宋体" w:hAnsi="宋体" w:eastAsia="宋体" w:cs="宋体"/>
          <w:kern w:val="0"/>
          <w:szCs w:val="21"/>
          <w:highlight w:val="none"/>
          <w:lang w:bidi="ar"/>
        </w:rPr>
        <w:t>合同价款的5%为上限，此款在工程结算时由发包人提供资料给审计部门，在工程结算中扣除</w:t>
      </w:r>
      <w:r>
        <w:rPr>
          <w:rFonts w:hint="eastAsia" w:ascii="宋体" w:hAnsi="宋体" w:eastAsia="宋体" w:cs="宋体"/>
          <w:kern w:val="0"/>
          <w:szCs w:val="21"/>
          <w:highlight w:val="none"/>
        </w:rPr>
        <w:t>。</w:t>
      </w:r>
    </w:p>
    <w:p w14:paraId="5AA87BFE">
      <w:pPr>
        <w:keepNext/>
        <w:keepLines/>
        <w:spacing w:line="360" w:lineRule="auto"/>
        <w:outlineLvl w:val="1"/>
        <w:rPr>
          <w:rFonts w:hint="eastAsia" w:ascii="宋体" w:hAnsi="宋体" w:eastAsia="宋体" w:cs="宋体"/>
          <w:b/>
          <w:szCs w:val="21"/>
          <w:highlight w:val="none"/>
        </w:rPr>
      </w:pPr>
      <w:bookmarkStart w:id="495" w:name="_Toc43799245"/>
      <w:bookmarkStart w:id="496" w:name="_Toc32234"/>
      <w:bookmarkStart w:id="497" w:name="_Toc43799024"/>
      <w:bookmarkStart w:id="498" w:name="_Toc40577238"/>
      <w:bookmarkStart w:id="499" w:name="_Toc48917836"/>
      <w:bookmarkStart w:id="500" w:name="_Toc40574270"/>
      <w:bookmarkStart w:id="501" w:name="_Toc40575121"/>
      <w:bookmarkStart w:id="502" w:name="_Toc16255"/>
      <w:bookmarkStart w:id="503" w:name="_Toc5565"/>
      <w:r>
        <w:rPr>
          <w:rFonts w:hint="eastAsia" w:ascii="宋体" w:hAnsi="宋体" w:eastAsia="宋体" w:cs="宋体"/>
          <w:b/>
          <w:szCs w:val="21"/>
          <w:highlight w:val="none"/>
        </w:rPr>
        <w:t>7.6 不利物质条件</w:t>
      </w:r>
      <w:bookmarkEnd w:id="495"/>
      <w:bookmarkEnd w:id="496"/>
      <w:bookmarkEnd w:id="497"/>
      <w:bookmarkEnd w:id="498"/>
      <w:bookmarkEnd w:id="499"/>
      <w:bookmarkEnd w:id="500"/>
      <w:bookmarkEnd w:id="501"/>
      <w:bookmarkEnd w:id="502"/>
      <w:bookmarkEnd w:id="503"/>
    </w:p>
    <w:p w14:paraId="7B4C3926">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不利物质条件的其他情形和有关约定：按通用条款执行。</w:t>
      </w:r>
    </w:p>
    <w:p w14:paraId="7081690C">
      <w:pPr>
        <w:keepNext/>
        <w:keepLines/>
        <w:spacing w:line="360" w:lineRule="auto"/>
        <w:outlineLvl w:val="1"/>
        <w:rPr>
          <w:rFonts w:hint="eastAsia" w:ascii="宋体" w:hAnsi="宋体" w:eastAsia="宋体" w:cs="宋体"/>
          <w:b/>
          <w:szCs w:val="21"/>
          <w:highlight w:val="none"/>
        </w:rPr>
      </w:pPr>
      <w:bookmarkStart w:id="504" w:name="_Toc24490"/>
      <w:bookmarkStart w:id="505" w:name="_Toc48917837"/>
      <w:bookmarkStart w:id="506" w:name="_Toc2361"/>
      <w:bookmarkStart w:id="507" w:name="_Toc43799246"/>
      <w:bookmarkStart w:id="508" w:name="_Toc40575122"/>
      <w:bookmarkStart w:id="509" w:name="_Toc43799025"/>
      <w:bookmarkStart w:id="510" w:name="_Toc12732"/>
      <w:bookmarkStart w:id="511" w:name="_Toc40574271"/>
      <w:bookmarkStart w:id="512" w:name="_Toc40577239"/>
      <w:r>
        <w:rPr>
          <w:rFonts w:hint="eastAsia" w:ascii="宋体" w:hAnsi="宋体" w:eastAsia="宋体" w:cs="宋体"/>
          <w:b/>
          <w:szCs w:val="21"/>
          <w:highlight w:val="none"/>
        </w:rPr>
        <w:t>7.7异常恶劣的气候条件</w:t>
      </w:r>
      <w:bookmarkEnd w:id="504"/>
      <w:bookmarkEnd w:id="505"/>
      <w:bookmarkEnd w:id="506"/>
      <w:bookmarkEnd w:id="507"/>
      <w:bookmarkEnd w:id="508"/>
      <w:bookmarkEnd w:id="509"/>
      <w:bookmarkEnd w:id="510"/>
      <w:bookmarkEnd w:id="511"/>
      <w:bookmarkEnd w:id="512"/>
    </w:p>
    <w:p w14:paraId="2763352D">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发包人和承包人同意以下情形视为异常恶劣的气候条件：</w:t>
      </w:r>
      <w:bookmarkStart w:id="513" w:name="_Toc9010"/>
      <w:bookmarkStart w:id="514" w:name="_Toc10386"/>
      <w:bookmarkStart w:id="515" w:name="_Toc40574272"/>
      <w:bookmarkStart w:id="516" w:name="_Toc43799247"/>
      <w:bookmarkStart w:id="517" w:name="_Toc43799026"/>
      <w:bookmarkStart w:id="518" w:name="_Toc48917838"/>
      <w:bookmarkStart w:id="519" w:name="_Toc10126"/>
      <w:bookmarkStart w:id="520" w:name="_Toc40575123"/>
      <w:bookmarkStart w:id="521" w:name="_Toc40577240"/>
    </w:p>
    <w:p w14:paraId="4649C08E">
      <w:pPr>
        <w:widowControl/>
        <w:numPr>
          <w:ilvl w:val="0"/>
          <w:numId w:val="3"/>
        </w:num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日降水量50㎜以上持续5天以上并实际影响工程施工的（根据江苏省气象台发布的为准）；</w:t>
      </w:r>
    </w:p>
    <w:p w14:paraId="277120F0">
      <w:pPr>
        <w:widowControl/>
        <w:numPr>
          <w:ilvl w:val="0"/>
          <w:numId w:val="0"/>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（2）10年以上未遇的持续5天的高温或严寒天气并实际影响工程施工的（根据江苏省气象台发布的为准）；</w:t>
      </w:r>
    </w:p>
    <w:p w14:paraId="245519F6">
      <w:pPr>
        <w:widowControl/>
        <w:numPr>
          <w:ilvl w:val="0"/>
          <w:numId w:val="0"/>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5级以上的地震并实际影响工程施工的（根据江苏省气象台发布的为准）。发生异常恶劣的气候条件时，应及时通知监理人和发包人，并在通知中明确描述异常恶劣的气候条件的内容，提供“异常恶劣的气候条件”有关的证据资料（如当地气象资料等），以及自身无法预见的理由，按照监理人发出的指令，采取积极、有效措施继续施工，若承包人未履行减损义务，则无权就损失扩大部分获得任何补偿。另外，发包人无需支付承包人利润的损失 </w:t>
      </w:r>
    </w:p>
    <w:p w14:paraId="2521CEA1">
      <w:pPr>
        <w:keepNext/>
        <w:keepLines/>
        <w:spacing w:line="360" w:lineRule="auto"/>
        <w:outlineLvl w:val="1"/>
        <w:rPr>
          <w:rFonts w:hint="eastAsia" w:ascii="宋体" w:hAnsi="宋体" w:eastAsia="宋体" w:cs="宋体"/>
          <w:b/>
          <w:szCs w:val="21"/>
          <w:highlight w:val="none"/>
        </w:rPr>
      </w:pPr>
      <w:r>
        <w:rPr>
          <w:rFonts w:hint="eastAsia" w:ascii="宋体" w:hAnsi="宋体" w:eastAsia="宋体" w:cs="宋体"/>
          <w:b/>
          <w:szCs w:val="21"/>
          <w:highlight w:val="none"/>
        </w:rPr>
        <w:t>7.9 提前竣工的奖励</w:t>
      </w:r>
      <w:bookmarkEnd w:id="513"/>
      <w:bookmarkEnd w:id="514"/>
      <w:bookmarkEnd w:id="515"/>
      <w:bookmarkEnd w:id="516"/>
      <w:bookmarkEnd w:id="517"/>
      <w:bookmarkEnd w:id="518"/>
      <w:bookmarkEnd w:id="519"/>
      <w:bookmarkEnd w:id="520"/>
      <w:bookmarkEnd w:id="521"/>
    </w:p>
    <w:p w14:paraId="11848683">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7.9.2提前竣工的奖励：/。</w:t>
      </w:r>
    </w:p>
    <w:p w14:paraId="75355BC0">
      <w:pPr>
        <w:keepNext/>
        <w:keepLines/>
        <w:spacing w:line="360" w:lineRule="auto"/>
        <w:outlineLvl w:val="1"/>
        <w:rPr>
          <w:rFonts w:hint="eastAsia" w:ascii="宋体" w:hAnsi="宋体" w:eastAsia="宋体" w:cs="宋体"/>
          <w:b/>
          <w:szCs w:val="21"/>
          <w:highlight w:val="none"/>
        </w:rPr>
      </w:pPr>
      <w:bookmarkStart w:id="522" w:name="_Toc15971"/>
      <w:bookmarkStart w:id="523" w:name="_Toc48917839"/>
      <w:bookmarkStart w:id="524" w:name="_Toc40574273"/>
      <w:bookmarkStart w:id="525" w:name="_Toc43799248"/>
      <w:bookmarkStart w:id="526" w:name="_Toc40575124"/>
      <w:bookmarkStart w:id="527" w:name="_Toc12960"/>
      <w:bookmarkStart w:id="528" w:name="_Toc43799027"/>
      <w:bookmarkStart w:id="529" w:name="_Toc24624"/>
      <w:bookmarkStart w:id="530" w:name="_Toc40577241"/>
      <w:r>
        <w:rPr>
          <w:rFonts w:hint="eastAsia" w:ascii="宋体" w:hAnsi="宋体" w:eastAsia="宋体" w:cs="宋体"/>
          <w:b/>
          <w:szCs w:val="21"/>
          <w:highlight w:val="none"/>
        </w:rPr>
        <w:t>8. 材料与设备</w:t>
      </w:r>
      <w:bookmarkEnd w:id="522"/>
      <w:bookmarkEnd w:id="523"/>
      <w:bookmarkEnd w:id="524"/>
      <w:bookmarkEnd w:id="525"/>
      <w:bookmarkEnd w:id="526"/>
      <w:bookmarkEnd w:id="527"/>
      <w:bookmarkEnd w:id="528"/>
      <w:bookmarkEnd w:id="529"/>
      <w:bookmarkEnd w:id="530"/>
    </w:p>
    <w:p w14:paraId="51877906">
      <w:pPr>
        <w:keepNext/>
        <w:keepLines/>
        <w:spacing w:line="360" w:lineRule="auto"/>
        <w:outlineLvl w:val="1"/>
        <w:rPr>
          <w:rFonts w:hint="eastAsia" w:ascii="宋体" w:hAnsi="宋体" w:eastAsia="宋体" w:cs="宋体"/>
          <w:b/>
          <w:szCs w:val="21"/>
          <w:highlight w:val="none"/>
        </w:rPr>
      </w:pPr>
      <w:bookmarkStart w:id="531" w:name="_Toc6262"/>
      <w:bookmarkStart w:id="532" w:name="_Toc48917840"/>
      <w:bookmarkStart w:id="533" w:name="_Toc40574274"/>
      <w:bookmarkStart w:id="534" w:name="_Toc30568"/>
      <w:bookmarkStart w:id="535" w:name="_Toc40577242"/>
      <w:bookmarkStart w:id="536" w:name="_Toc43799028"/>
      <w:bookmarkStart w:id="537" w:name="_Toc43799249"/>
      <w:bookmarkStart w:id="538" w:name="_Toc20438"/>
      <w:bookmarkStart w:id="539" w:name="_Toc40575125"/>
      <w:r>
        <w:rPr>
          <w:rFonts w:hint="eastAsia" w:ascii="宋体" w:hAnsi="宋体" w:eastAsia="宋体" w:cs="宋体"/>
          <w:b/>
          <w:szCs w:val="21"/>
          <w:highlight w:val="none"/>
        </w:rPr>
        <w:t>8.4材料与工程设备的保管与使用</w:t>
      </w:r>
      <w:bookmarkEnd w:id="531"/>
      <w:bookmarkEnd w:id="532"/>
      <w:bookmarkEnd w:id="533"/>
      <w:bookmarkEnd w:id="534"/>
      <w:bookmarkEnd w:id="535"/>
      <w:bookmarkEnd w:id="536"/>
      <w:bookmarkEnd w:id="537"/>
      <w:bookmarkEnd w:id="538"/>
      <w:bookmarkEnd w:id="539"/>
    </w:p>
    <w:p w14:paraId="06309966">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8.4.1发包人供应的材料设备的保管费用的承担：由承包人承担</w:t>
      </w:r>
    </w:p>
    <w:p w14:paraId="4079B2DF">
      <w:pPr>
        <w:keepNext/>
        <w:keepLines/>
        <w:spacing w:line="360" w:lineRule="auto"/>
        <w:outlineLvl w:val="1"/>
        <w:rPr>
          <w:rFonts w:hint="eastAsia" w:ascii="宋体" w:hAnsi="宋体" w:eastAsia="宋体" w:cs="宋体"/>
          <w:b/>
          <w:szCs w:val="21"/>
          <w:highlight w:val="none"/>
        </w:rPr>
      </w:pPr>
      <w:bookmarkStart w:id="540" w:name="_Toc48917841"/>
      <w:bookmarkStart w:id="541" w:name="_Toc11236"/>
      <w:bookmarkStart w:id="542" w:name="_Toc22355"/>
      <w:bookmarkStart w:id="543" w:name="_Toc40577243"/>
      <w:bookmarkStart w:id="544" w:name="_Toc22615"/>
      <w:bookmarkStart w:id="545" w:name="_Toc43799250"/>
      <w:bookmarkStart w:id="546" w:name="_Toc43799029"/>
      <w:bookmarkStart w:id="547" w:name="_Toc40574275"/>
      <w:bookmarkStart w:id="548" w:name="_Toc40575126"/>
      <w:r>
        <w:rPr>
          <w:rFonts w:hint="eastAsia" w:ascii="宋体" w:hAnsi="宋体" w:eastAsia="宋体" w:cs="宋体"/>
          <w:b/>
          <w:szCs w:val="21"/>
          <w:highlight w:val="none"/>
        </w:rPr>
        <w:t>8.6 样品</w:t>
      </w:r>
      <w:bookmarkEnd w:id="540"/>
      <w:bookmarkEnd w:id="541"/>
      <w:bookmarkEnd w:id="542"/>
      <w:bookmarkEnd w:id="543"/>
      <w:bookmarkEnd w:id="544"/>
      <w:bookmarkEnd w:id="545"/>
      <w:bookmarkEnd w:id="546"/>
      <w:bookmarkEnd w:id="547"/>
      <w:bookmarkEnd w:id="548"/>
    </w:p>
    <w:p w14:paraId="412DBF15">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8.6.1</w:t>
      </w:r>
      <w:r>
        <w:rPr>
          <w:rFonts w:hint="eastAsia" w:ascii="宋体" w:hAnsi="宋体" w:eastAsia="宋体" w:cs="宋体"/>
          <w:b/>
          <w:kern w:val="0"/>
          <w:szCs w:val="21"/>
          <w:highlight w:val="none"/>
        </w:rPr>
        <w:tab/>
      </w:r>
      <w:r>
        <w:rPr>
          <w:rFonts w:hint="eastAsia" w:ascii="宋体" w:hAnsi="宋体" w:eastAsia="宋体" w:cs="宋体"/>
          <w:b/>
          <w:kern w:val="0"/>
          <w:szCs w:val="21"/>
          <w:highlight w:val="none"/>
        </w:rPr>
        <w:t>样品的报送与封存</w:t>
      </w:r>
    </w:p>
    <w:p w14:paraId="165646F1">
      <w:pPr>
        <w:keepNext/>
        <w:keepLines/>
        <w:spacing w:line="360" w:lineRule="auto"/>
        <w:outlineLvl w:val="1"/>
        <w:rPr>
          <w:rFonts w:hint="eastAsia" w:ascii="宋体" w:hAnsi="宋体" w:eastAsia="宋体" w:cs="宋体"/>
          <w:b/>
          <w:szCs w:val="21"/>
          <w:highlight w:val="none"/>
        </w:rPr>
      </w:pPr>
      <w:bookmarkStart w:id="549" w:name="_Toc43799251"/>
      <w:bookmarkStart w:id="550" w:name="_Toc5197"/>
      <w:bookmarkStart w:id="551" w:name="_Toc40574276"/>
      <w:bookmarkStart w:id="552" w:name="_Toc43799030"/>
      <w:bookmarkStart w:id="553" w:name="_Toc40577244"/>
      <w:bookmarkStart w:id="554" w:name="_Toc48917842"/>
      <w:bookmarkStart w:id="555" w:name="_Toc40575127"/>
      <w:bookmarkStart w:id="556" w:name="_Toc28662"/>
      <w:bookmarkStart w:id="557" w:name="_Toc20019"/>
      <w:r>
        <w:rPr>
          <w:rFonts w:hint="eastAsia" w:ascii="宋体" w:hAnsi="宋体" w:eastAsia="宋体" w:cs="宋体"/>
          <w:b/>
          <w:szCs w:val="21"/>
          <w:highlight w:val="none"/>
        </w:rPr>
        <w:t>8.8 施工设备和临时设施</w:t>
      </w:r>
      <w:bookmarkEnd w:id="549"/>
      <w:bookmarkEnd w:id="550"/>
      <w:bookmarkEnd w:id="551"/>
      <w:bookmarkEnd w:id="552"/>
      <w:bookmarkEnd w:id="553"/>
      <w:bookmarkEnd w:id="554"/>
      <w:bookmarkEnd w:id="555"/>
      <w:bookmarkEnd w:id="556"/>
      <w:bookmarkEnd w:id="557"/>
    </w:p>
    <w:p w14:paraId="2980E79D">
      <w:pPr>
        <w:widowControl/>
        <w:spacing w:line="360"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8.8.1 承包人提供的施工设备和临时设施</w:t>
      </w:r>
    </w:p>
    <w:p w14:paraId="3D7199C2">
      <w:pPr>
        <w:widowControl/>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关于修建临时设施费用承担的约定：含在投标报价中。</w:t>
      </w:r>
    </w:p>
    <w:p w14:paraId="06D35779">
      <w:pPr>
        <w:spacing w:line="360" w:lineRule="auto"/>
        <w:rPr>
          <w:rFonts w:hint="eastAsia" w:ascii="宋体" w:hAnsi="宋体" w:eastAsia="宋体" w:cs="宋体"/>
          <w:b/>
          <w:szCs w:val="21"/>
          <w:highlight w:val="none"/>
        </w:rPr>
      </w:pPr>
      <w:bookmarkStart w:id="558" w:name="_Toc267251442"/>
      <w:r>
        <w:rPr>
          <w:rFonts w:hint="eastAsia" w:ascii="宋体" w:hAnsi="宋体" w:eastAsia="宋体" w:cs="宋体"/>
          <w:b/>
          <w:szCs w:val="21"/>
          <w:highlight w:val="none"/>
        </w:rPr>
        <w:t>9. 试验与检验</w:t>
      </w:r>
    </w:p>
    <w:p w14:paraId="4D82AC3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9.1试验设备与试验人员</w:t>
      </w:r>
    </w:p>
    <w:p w14:paraId="1FB3956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9.1.2 试验设备</w:t>
      </w:r>
    </w:p>
    <w:p w14:paraId="0BC32A3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施工现场需要配置的试验场所：承包人按规定和按响应性文件承诺配置。</w:t>
      </w:r>
    </w:p>
    <w:p w14:paraId="50FA78C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施工现场需要配备的试验设备：承包人按规定和按响应性文件承诺配置。</w:t>
      </w:r>
    </w:p>
    <w:p w14:paraId="1A3AC48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施工现场需要具备的其他试验条件：按通用条款执行。</w:t>
      </w:r>
    </w:p>
    <w:p w14:paraId="43AC9C8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9.4 现场工艺试验</w:t>
      </w:r>
    </w:p>
    <w:p w14:paraId="718CBB6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现场工艺试验的有关约定：承包人应按合同约定或监理人指示进行现场工艺试验。对大型的现场工艺试验，监理人认为必要时，承包人应根据监理人提出的工艺试验要求，编制工艺试验措施计划，报送监理人审查。</w:t>
      </w:r>
    </w:p>
    <w:p w14:paraId="03E435B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9.5凡是该项目上涉及到的检验、检测、实验、试验所发生的费用均由承包人承担（还包括各项物理性能检测等）。</w:t>
      </w:r>
    </w:p>
    <w:p w14:paraId="5C3F6E56">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10. 变更</w:t>
      </w:r>
    </w:p>
    <w:p w14:paraId="6EF9EA77">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10.1变更的范围</w:t>
      </w:r>
    </w:p>
    <w:p w14:paraId="17CF979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关于变更的范围的约定：/</w:t>
      </w:r>
    </w:p>
    <w:p w14:paraId="52067C3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10.4 变更估价</w:t>
      </w:r>
    </w:p>
    <w:p w14:paraId="4AE34B6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10.4.1 变更估价原则</w:t>
      </w:r>
    </w:p>
    <w:p w14:paraId="2F4ED1A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关于变更估价的约定: /。</w:t>
      </w:r>
    </w:p>
    <w:p w14:paraId="39753AF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10.5承包人的合理化建议</w:t>
      </w:r>
    </w:p>
    <w:p w14:paraId="7FBE978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监理人审查承包人合理化建议的期限：收到承包人提交的合理化建议后7天内审查完毕。</w:t>
      </w:r>
    </w:p>
    <w:p w14:paraId="431F57F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发包人审批承包人合理化建议的期限：收到监理人报送的合理化建议后7天内审批完毕。</w:t>
      </w:r>
    </w:p>
    <w:p w14:paraId="5CB2DE5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承包人提出的合理化建议降低了合同价格或者提高了工程经济效益的奖励的方法和金额为：/。</w:t>
      </w:r>
    </w:p>
    <w:p w14:paraId="170D62C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10.7 暂估价</w:t>
      </w:r>
    </w:p>
    <w:p w14:paraId="6E4FF7E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暂估价材料和工程设备的明细详见附件11：《暂估价一览表》。</w:t>
      </w:r>
    </w:p>
    <w:p w14:paraId="599D673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10.7.1 依法必须招标的暂估价项目</w:t>
      </w:r>
    </w:p>
    <w:p w14:paraId="4066CAD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对于依法必须招标的暂估价项目的确认和批准采取第2种方式确定。</w:t>
      </w:r>
    </w:p>
    <w:p w14:paraId="60A49A0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10.7.2 不属于依法必须招标的暂估价项目</w:t>
      </w:r>
    </w:p>
    <w:p w14:paraId="456FB6C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对于不属于依法必须招标的暂估价项目的确认和批准采取第2种方式确定。</w:t>
      </w:r>
    </w:p>
    <w:p w14:paraId="2987D62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第3种方式：承包人直接实施的暂估价项目</w:t>
      </w:r>
    </w:p>
    <w:p w14:paraId="10F644B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承包人直接实施的暂估价项目的约定：承包人在实际施工前一个周内向发包人上报暂估价项目的具体采购、施工内容、工程量或材料数量、价格、三个以上品牌、样品等，发包人根据相关规定核定品牌、价格等。</w:t>
      </w:r>
    </w:p>
    <w:p w14:paraId="3C0B456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10.8 暂列金额</w:t>
      </w:r>
    </w:p>
    <w:p w14:paraId="75E5C57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合同当事人关于暂列金额使用的约定：按发包人的要求执行。</w:t>
      </w:r>
    </w:p>
    <w:p w14:paraId="43383B2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11. 价格调整</w:t>
      </w:r>
    </w:p>
    <w:p w14:paraId="7BBF8E8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11.1 市场价格波动引起的调整</w:t>
      </w:r>
    </w:p>
    <w:p w14:paraId="40E77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市场价格波动是否调整合同价格的约定：人工工资单价、主要材料的市场价格调整按江苏省、南京市发布的相关文件执行；施工期内主要材料的市场价格波动调整按照现行相关材料风险政策来执行，如实施期间，建设主管部门颁布新的材料风险政策，按新的政策执行。</w:t>
      </w:r>
    </w:p>
    <w:p w14:paraId="4CF0E5F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因市场价格波动调整合同价格，采用以下第/种方式对合同价格进行调整：</w:t>
      </w:r>
    </w:p>
    <w:p w14:paraId="4D719EE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第1种方式：采用价格指数进行价格调整。</w:t>
      </w:r>
    </w:p>
    <w:p w14:paraId="2A4430D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关于各可调因子、定值和变值权重，以及基本价格指数及其来源的约定：/；  </w:t>
      </w:r>
    </w:p>
    <w:p w14:paraId="05EF709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第2种方式：采用造价信息进行价格调整。</w:t>
      </w:r>
    </w:p>
    <w:p w14:paraId="57BE791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（2）关于基准价格的约定：/。</w:t>
      </w:r>
    </w:p>
    <w:p w14:paraId="7917E6C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2B5794E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715DE7E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③承包人在已标价工程量清单或预算书中载明的材料单价等于基准单价的：专用合同条款合同履行期间材料单价涨跌幅以基准单价为基础超过±/%时，其超过部分据实调整。</w:t>
      </w:r>
    </w:p>
    <w:p w14:paraId="0E1A23A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第3种方式：其他价格调整方式：/。</w:t>
      </w:r>
    </w:p>
    <w:p w14:paraId="3355914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 合同价格、计量与支付</w:t>
      </w:r>
    </w:p>
    <w:p w14:paraId="1555BCB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12.1 合同价格形式</w:t>
      </w:r>
    </w:p>
    <w:p w14:paraId="48D35AB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1、固定单价合同。</w:t>
      </w:r>
    </w:p>
    <w:p w14:paraId="3FD5F62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综合单价包含的风险范围：</w:t>
      </w:r>
    </w:p>
    <w:p w14:paraId="632BF88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1、施工期间承包人提供的材料、机械、设备等全部市场风险及其它各种风险。</w:t>
      </w:r>
    </w:p>
    <w:p w14:paraId="236CAE7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2、</w:t>
      </w:r>
      <w:r>
        <w:rPr>
          <w:rFonts w:hint="eastAsia" w:cs="宋体"/>
          <w:szCs w:val="21"/>
          <w:highlight w:val="none"/>
          <w:lang w:val="en-US" w:eastAsia="zh-CN"/>
        </w:rPr>
        <w:t>竞争性磋商</w:t>
      </w:r>
      <w:r>
        <w:rPr>
          <w:rFonts w:hint="eastAsia" w:ascii="宋体" w:hAnsi="宋体" w:eastAsia="宋体" w:cs="宋体"/>
          <w:szCs w:val="21"/>
          <w:highlight w:val="none"/>
        </w:rPr>
        <w:t>文件（含工程量清单）、合同条款中约定的风险。</w:t>
      </w:r>
    </w:p>
    <w:p w14:paraId="1B5AD6D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3、投标供应商自行踏勘现场及对</w:t>
      </w:r>
      <w:r>
        <w:rPr>
          <w:rFonts w:hint="eastAsia" w:cs="宋体"/>
          <w:szCs w:val="21"/>
          <w:highlight w:val="none"/>
          <w:lang w:val="en-US" w:eastAsia="zh-CN"/>
        </w:rPr>
        <w:t>竞争性磋商</w:t>
      </w:r>
      <w:r>
        <w:rPr>
          <w:rFonts w:hint="eastAsia" w:ascii="宋体" w:hAnsi="宋体" w:eastAsia="宋体" w:cs="宋体"/>
          <w:szCs w:val="21"/>
          <w:highlight w:val="none"/>
        </w:rPr>
        <w:t>文件（含工程量清单）、设计图纸错误理解的风险。</w:t>
      </w:r>
    </w:p>
    <w:p w14:paraId="11D1524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4、作为有丰富经验的承包商应该预见到的风险。</w:t>
      </w:r>
    </w:p>
    <w:p w14:paraId="5C7F4AA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5、对整个项目的进度、质量、安全进行管理及合同约定的承担违约责任的风险。</w:t>
      </w:r>
    </w:p>
    <w:p w14:paraId="07652F5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6、针对天气、场地及地质状况等采取的施工技术措施费用。</w:t>
      </w:r>
    </w:p>
    <w:p w14:paraId="2434668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7、投标报价中错、漏报项目的风险（不包括发包人根据</w:t>
      </w:r>
      <w:r>
        <w:rPr>
          <w:rFonts w:hint="eastAsia" w:cs="宋体"/>
          <w:szCs w:val="21"/>
          <w:highlight w:val="none"/>
          <w:lang w:val="en-US" w:eastAsia="zh-CN"/>
        </w:rPr>
        <w:t>竞争性磋商</w:t>
      </w:r>
      <w:r>
        <w:rPr>
          <w:rFonts w:hint="eastAsia" w:ascii="宋体" w:hAnsi="宋体" w:eastAsia="宋体" w:cs="宋体"/>
          <w:szCs w:val="21"/>
          <w:highlight w:val="none"/>
        </w:rPr>
        <w:t>文件约定调整的不平衡报价部分）。</w:t>
      </w:r>
    </w:p>
    <w:p w14:paraId="75DF844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8、图纸及招标范围明示的、潜在的一切风险。</w:t>
      </w:r>
    </w:p>
    <w:p w14:paraId="4523A5F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9、法律法规中规定的应包含的其它风险。</w:t>
      </w:r>
    </w:p>
    <w:p w14:paraId="6AB2DC7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风险费用的计算方法：以上风险费用已含在合同总价内，不再另行计取。</w:t>
      </w:r>
    </w:p>
    <w:p w14:paraId="5572DB1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风险范围以外合同价格的调整方法：（一）政策性调整和市场价格波动引起的调整：</w:t>
      </w:r>
    </w:p>
    <w:p w14:paraId="58020D2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本工程投标截止日前28天，其后国家的法律、法规、规章和政策发生变化时，应按省级或行业建设主管部门或其授权的工程造价管理机构发布的规定调整合同价格。但承包人对人工费或人工单价的投标报价高于发布价格的除外。</w:t>
      </w:r>
    </w:p>
    <w:p w14:paraId="11D2A69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（二）1、经发包人确认的设计变更、技术核定单、工程签证、图纸会审和技术交底等。以上内容必须由监理工程师、跟踪审计人员、发包人代表及发包单位相关人员签字盖章后方可进入结算。</w:t>
      </w:r>
    </w:p>
    <w:p w14:paraId="607E44B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2、调整方法</w:t>
      </w:r>
    </w:p>
    <w:p w14:paraId="3CC863E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1）若增减项目内容与工程量清单项目内容一致，执行原清单报价；若增减项目内容与工程量清单项目内容相似,执行类似清单报价；若增减项目内容与工程量清单项目内容不同，由承包方提供单价，经监理、跟踪审计审核，发包方确认，作为编制结算审计的依据。   </w:t>
      </w:r>
    </w:p>
    <w:p w14:paraId="58A7020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无投标报价的清单，价格的确定原则：计价方法参考江苏省、南京市颁布的相应定额及相关文件或投标报价所采用的计价方式。人工、机械台班、管理费、利润执行原投标书中的价格和费率，材料价格投标书中有的执行投标价格，投标书中没有的量价较小的材料价格由承包人提出，经监理、跟踪审计审核，发包人确认，作为编制结算审计的依据。</w:t>
      </w:r>
    </w:p>
    <w:p w14:paraId="5FD3D6A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2、总价合同。</w:t>
      </w:r>
    </w:p>
    <w:p w14:paraId="738BD9E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总价包含的风险范围：/。</w:t>
      </w:r>
    </w:p>
    <w:p w14:paraId="27F33B4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风险费用的计算方法：/。</w:t>
      </w:r>
    </w:p>
    <w:p w14:paraId="7FB582D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风险范围以外合同价格的调整方法：/。</w:t>
      </w:r>
    </w:p>
    <w:p w14:paraId="44927F6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3、其他价格方式：/。</w:t>
      </w:r>
    </w:p>
    <w:p w14:paraId="19498B0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12.2 预付款</w:t>
      </w:r>
    </w:p>
    <w:p w14:paraId="1C0205A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12.2.1 预付款的支付</w:t>
      </w:r>
    </w:p>
    <w:p w14:paraId="31AC4FA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预付款支付比例或金额：/。</w:t>
      </w:r>
    </w:p>
    <w:p w14:paraId="76B4BA8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预付款支付期限：/。</w:t>
      </w:r>
    </w:p>
    <w:p w14:paraId="66D28B8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预付款扣回的方式：/。</w:t>
      </w:r>
    </w:p>
    <w:p w14:paraId="1915E29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12.2.2 预付款担保</w:t>
      </w:r>
    </w:p>
    <w:p w14:paraId="34BD038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承包人提交预付款担保的期限：/。</w:t>
      </w:r>
    </w:p>
    <w:p w14:paraId="63C25A7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预付款担保的形式为：/。</w:t>
      </w:r>
    </w:p>
    <w:p w14:paraId="7E12907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12.3 计量</w:t>
      </w:r>
    </w:p>
    <w:p w14:paraId="1CCF722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12.3.1 计量原则</w:t>
      </w:r>
    </w:p>
    <w:p w14:paraId="53DA67A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工程量计算规则：/。</w:t>
      </w:r>
    </w:p>
    <w:p w14:paraId="0C54307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12.3.2 计量周期</w:t>
      </w:r>
    </w:p>
    <w:p w14:paraId="591B738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关于计量周期的约定：按周进行。</w:t>
      </w:r>
    </w:p>
    <w:p w14:paraId="4DD5B44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12.3.3 单价合同的计量</w:t>
      </w:r>
    </w:p>
    <w:p w14:paraId="4BB7A93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单价合同计量的约定：（1）每周提交已完工程量周产值报表（含计算明细）、已完工程进度周报表、下周施工进度计划周报表以及发包人合理要求承包人提交的其他报表，承包人应按时提交并对报表的准确性及完整性负责, 否则承包人将按500元/天支付违约金，发包人并有权不予支付本期工程进度款或推迟付款时间。</w:t>
      </w:r>
    </w:p>
    <w:p w14:paraId="5CB6096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监理人应在收到承包人提交的工程量报告后3天内完成对承包人提交的工程量报表的审核并报送发包人，以确定当周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E07D03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（3）监理人未在收到承包人提交的工程量报表后的3天内完成审核的，承包人报送的工程量报告中的工程量视为承包人实际完成的工程量，据此计算工程价款。</w:t>
      </w:r>
    </w:p>
    <w:p w14:paraId="6804019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12.3.4 总价合同的计量</w:t>
      </w:r>
    </w:p>
    <w:p w14:paraId="2C19B0B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关于总价合同计量的约定：/。</w:t>
      </w:r>
    </w:p>
    <w:p w14:paraId="6F4434E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12.3.5总价合同采用支付分解表计量支付的，是否适用第12.3.4 项〔总价合同的计量〕约定进行计量：/。</w:t>
      </w:r>
    </w:p>
    <w:p w14:paraId="154763B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12.3.6 其他价格形式合同的计量</w:t>
      </w:r>
    </w:p>
    <w:p w14:paraId="7875D75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其他价格形式的计量方式和程序：/。</w:t>
      </w:r>
    </w:p>
    <w:p w14:paraId="4C44D626">
      <w:pPr>
        <w:keepNext/>
        <w:keepLines/>
        <w:spacing w:line="360" w:lineRule="auto"/>
        <w:outlineLvl w:val="1"/>
        <w:rPr>
          <w:rFonts w:hint="eastAsia" w:ascii="宋体" w:hAnsi="宋体" w:eastAsia="宋体" w:cs="宋体"/>
          <w:szCs w:val="21"/>
          <w:highlight w:val="none"/>
        </w:rPr>
      </w:pPr>
      <w:r>
        <w:rPr>
          <w:rFonts w:hint="eastAsia" w:ascii="宋体" w:hAnsi="宋体" w:eastAsia="宋体" w:cs="宋体"/>
          <w:szCs w:val="21"/>
          <w:highlight w:val="none"/>
        </w:rPr>
        <w:t>12.4 工程进度款支付</w:t>
      </w:r>
    </w:p>
    <w:p w14:paraId="005F4DBE">
      <w:pPr>
        <w:widowControl/>
        <w:spacing w:line="360" w:lineRule="auto"/>
        <w:jc w:val="left"/>
        <w:rPr>
          <w:rFonts w:hint="eastAsia" w:ascii="宋体" w:hAnsi="宋体" w:eastAsia="宋体" w:cs="宋体"/>
          <w:b/>
          <w:kern w:val="0"/>
          <w:szCs w:val="21"/>
          <w:highlight w:val="none"/>
        </w:rPr>
      </w:pPr>
      <w:bookmarkStart w:id="559" w:name="_Toc303539163"/>
      <w:bookmarkStart w:id="560" w:name="_Toc297123556"/>
      <w:bookmarkStart w:id="561" w:name="_Toc296944550"/>
      <w:bookmarkStart w:id="562" w:name="_Toc296891251"/>
      <w:bookmarkStart w:id="563" w:name="_Toc297048397"/>
      <w:bookmarkStart w:id="564" w:name="_Toc292559416"/>
      <w:bookmarkStart w:id="565" w:name="_Toc292559921"/>
      <w:bookmarkStart w:id="566" w:name="_Toc300935006"/>
      <w:bookmarkStart w:id="567" w:name="_Toc296346712"/>
      <w:bookmarkStart w:id="568" w:name="_Toc296503211"/>
      <w:bookmarkStart w:id="569" w:name="_Toc297216215"/>
      <w:bookmarkStart w:id="570" w:name="_Toc297120511"/>
      <w:bookmarkStart w:id="571" w:name="_Toc296347210"/>
      <w:bookmarkStart w:id="572" w:name="_Toc296891039"/>
      <w:r>
        <w:rPr>
          <w:rFonts w:hint="eastAsia" w:ascii="宋体" w:hAnsi="宋体" w:eastAsia="宋体" w:cs="宋体"/>
          <w:b/>
          <w:kern w:val="0"/>
          <w:szCs w:val="21"/>
          <w:highlight w:val="none"/>
        </w:rPr>
        <w:t>12.4.1 付款周期</w:t>
      </w:r>
    </w:p>
    <w:p w14:paraId="067486DB">
      <w:pPr>
        <w:widowControl/>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关于付款周期的约定：</w:t>
      </w:r>
    </w:p>
    <w:p w14:paraId="3F824D5F">
      <w:pPr>
        <w:widowControl/>
        <w:spacing w:line="360" w:lineRule="auto"/>
        <w:ind w:firstLine="210" w:firstLineChars="100"/>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w:t>
      </w:r>
      <w:r>
        <w:rPr>
          <w:rFonts w:hint="eastAsia" w:cs="宋体"/>
          <w:b w:val="0"/>
          <w:bCs w:val="0"/>
          <w:kern w:val="0"/>
          <w:szCs w:val="21"/>
          <w:highlight w:val="none"/>
          <w:lang w:val="en-US" w:eastAsia="zh-CN"/>
        </w:rPr>
        <w:t>1</w:t>
      </w:r>
      <w:r>
        <w:rPr>
          <w:rFonts w:hint="eastAsia" w:ascii="宋体" w:hAnsi="宋体" w:eastAsia="宋体" w:cs="宋体"/>
          <w:b w:val="0"/>
          <w:bCs w:val="0"/>
          <w:kern w:val="0"/>
          <w:szCs w:val="21"/>
          <w:highlight w:val="none"/>
        </w:rPr>
        <w:t>）工程竣工验收合格，发包人支付至本合同价的</w:t>
      </w:r>
      <w:r>
        <w:rPr>
          <w:rFonts w:hint="eastAsia" w:cs="宋体"/>
          <w:b w:val="0"/>
          <w:bCs w:val="0"/>
          <w:kern w:val="0"/>
          <w:szCs w:val="21"/>
          <w:highlight w:val="none"/>
          <w:lang w:val="en-US" w:eastAsia="zh-CN"/>
        </w:rPr>
        <w:t>70</w:t>
      </w:r>
      <w:r>
        <w:rPr>
          <w:rFonts w:hint="eastAsia" w:ascii="宋体" w:hAnsi="宋体" w:eastAsia="宋体" w:cs="宋体"/>
          <w:b w:val="0"/>
          <w:bCs w:val="0"/>
          <w:kern w:val="0"/>
          <w:szCs w:val="21"/>
          <w:highlight w:val="none"/>
        </w:rPr>
        <w:t>%；</w:t>
      </w:r>
    </w:p>
    <w:p w14:paraId="7A8BE6D7">
      <w:pPr>
        <w:widowControl/>
        <w:spacing w:line="360" w:lineRule="auto"/>
        <w:ind w:firstLine="210" w:firstLineChars="100"/>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w:t>
      </w:r>
      <w:r>
        <w:rPr>
          <w:rFonts w:hint="eastAsia" w:cs="宋体"/>
          <w:b w:val="0"/>
          <w:bCs w:val="0"/>
          <w:kern w:val="0"/>
          <w:szCs w:val="21"/>
          <w:highlight w:val="none"/>
          <w:lang w:val="en-US" w:eastAsia="zh-CN"/>
        </w:rPr>
        <w:t>2</w:t>
      </w:r>
      <w:r>
        <w:rPr>
          <w:rFonts w:hint="eastAsia" w:ascii="宋体" w:hAnsi="宋体" w:eastAsia="宋体" w:cs="宋体"/>
          <w:b w:val="0"/>
          <w:bCs w:val="0"/>
          <w:kern w:val="0"/>
          <w:szCs w:val="21"/>
          <w:highlight w:val="none"/>
        </w:rPr>
        <w:t>）经审计结束后，发包人支付至审计结算价的97%；</w:t>
      </w:r>
    </w:p>
    <w:p w14:paraId="35CF2FE9">
      <w:pPr>
        <w:pStyle w:val="6"/>
        <w:spacing w:line="360" w:lineRule="auto"/>
        <w:ind w:firstLine="210" w:firstLineChars="100"/>
        <w:rPr>
          <w:rFonts w:hint="eastAsia" w:ascii="宋体" w:hAnsi="宋体" w:eastAsia="宋体" w:cs="宋体"/>
          <w:b/>
          <w:bCs/>
          <w:kern w:val="0"/>
          <w:szCs w:val="21"/>
          <w:highlight w:val="none"/>
        </w:rPr>
      </w:pPr>
      <w:r>
        <w:rPr>
          <w:rFonts w:hint="eastAsia" w:ascii="宋体" w:hAnsi="宋体" w:eastAsia="宋体" w:cs="宋体"/>
          <w:b w:val="0"/>
          <w:bCs w:val="0"/>
          <w:kern w:val="0"/>
          <w:szCs w:val="21"/>
          <w:highlight w:val="none"/>
        </w:rPr>
        <w:t>（</w:t>
      </w:r>
      <w:r>
        <w:rPr>
          <w:rFonts w:hint="eastAsia" w:cs="宋体"/>
          <w:b w:val="0"/>
          <w:bCs w:val="0"/>
          <w:kern w:val="0"/>
          <w:szCs w:val="21"/>
          <w:highlight w:val="none"/>
          <w:lang w:val="en-US" w:eastAsia="zh-CN"/>
        </w:rPr>
        <w:t>3</w:t>
      </w:r>
      <w:r>
        <w:rPr>
          <w:rFonts w:hint="eastAsia" w:ascii="宋体" w:hAnsi="宋体" w:eastAsia="宋体" w:cs="宋体"/>
          <w:b w:val="0"/>
          <w:bCs w:val="0"/>
          <w:kern w:val="0"/>
          <w:szCs w:val="21"/>
          <w:highlight w:val="none"/>
        </w:rPr>
        <w:t>）剩余3%为工程质量保修，待质保期（两年）满后，由承包人提出申请，发包人付清（不计利息</w:t>
      </w:r>
      <w:r>
        <w:rPr>
          <w:rFonts w:hint="eastAsia" w:ascii="宋体" w:hAnsi="宋体" w:eastAsia="宋体" w:cs="宋体"/>
          <w:b w:val="0"/>
          <w:bCs w:val="0"/>
          <w:kern w:val="0"/>
          <w:szCs w:val="21"/>
          <w:highlight w:val="none"/>
          <w:lang w:eastAsia="zh-CN"/>
        </w:rPr>
        <w:t>）</w:t>
      </w:r>
    </w:p>
    <w:bookmarkEnd w:id="76"/>
    <w:bookmarkEnd w:id="7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14:paraId="4E08839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12.4.2 进度付款申请单的编制</w:t>
      </w:r>
    </w:p>
    <w:p w14:paraId="35BE71E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关于进度付款申请单编制的约定：根据付款周期及相关规定编制。</w:t>
      </w:r>
    </w:p>
    <w:p w14:paraId="01C1DEA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12.4.3 进度付款申请单的提交</w:t>
      </w:r>
    </w:p>
    <w:p w14:paraId="14EF13E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（1）单价合同进度付款申请单提交的约定：根据付款周期的约定提交。</w:t>
      </w:r>
    </w:p>
    <w:p w14:paraId="6EC9877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（2）总价合同进度付款申请单提交的约定：/。</w:t>
      </w:r>
    </w:p>
    <w:p w14:paraId="4BFC1ED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（3）其他价格形式合同进度付款申请单提交的约定：/。</w:t>
      </w:r>
    </w:p>
    <w:p w14:paraId="17D1F2C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12.4.4 进度款审核和支付</w:t>
      </w:r>
    </w:p>
    <w:p w14:paraId="15F7A8C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（1）监理人审查并报送发包人的期限：收到承包人进度付款申请单以及相关资料后7天内完成审查并报送发包人。</w:t>
      </w:r>
    </w:p>
    <w:p w14:paraId="5849386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发包人完成审批并签发进度款支付证书的期限：/。</w:t>
      </w:r>
    </w:p>
    <w:p w14:paraId="62BE6EB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（2）发包人支付进度款的期限：/。</w:t>
      </w:r>
    </w:p>
    <w:p w14:paraId="1FCB7A4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发包人逾期支付进度款的违约金的计算方式：/。</w:t>
      </w:r>
    </w:p>
    <w:p w14:paraId="580654A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12.4.6 支付分解表的编制</w:t>
      </w:r>
    </w:p>
    <w:p w14:paraId="3DF1C0C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2、总价合同支付分解表的编制与审批：/。</w:t>
      </w:r>
    </w:p>
    <w:p w14:paraId="1FC519F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3、单价合同的总价项目支付分解表的编制与审批：/。</w:t>
      </w:r>
    </w:p>
    <w:p w14:paraId="1AE4CB5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13.验收和工程试车</w:t>
      </w:r>
    </w:p>
    <w:p w14:paraId="2B20D6B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13.1 分部分项工程验收</w:t>
      </w:r>
    </w:p>
    <w:p w14:paraId="332DADA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13.1.2监理人不能按时进行验收时，应提前24小时提交书面延期要求。</w:t>
      </w:r>
    </w:p>
    <w:p w14:paraId="382BAD1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关于延期最长不得超过：48小时。</w:t>
      </w:r>
    </w:p>
    <w:p w14:paraId="67208D4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13.2 竣工验收</w:t>
      </w:r>
    </w:p>
    <w:p w14:paraId="11835F0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13.2.2竣工验收程序</w:t>
      </w:r>
    </w:p>
    <w:p w14:paraId="417C33B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关于竣工验收程序的约定：/。</w:t>
      </w:r>
    </w:p>
    <w:p w14:paraId="54337F8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发包人不按照本项约定组织竣工验收、颁发工程接收证书的违约金的计算方法：/。</w:t>
      </w:r>
    </w:p>
    <w:p w14:paraId="5836779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13.2.5移交、接收全部与部分工程</w:t>
      </w:r>
    </w:p>
    <w:p w14:paraId="7DAD342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承包人向发包人移交工程的期限：取得工程竣工验收证书后7天内完成工程的移交。</w:t>
      </w:r>
    </w:p>
    <w:p w14:paraId="56E0520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发包人未按本合同约定接收全部或部分工程的，违约金的计算方法为：/。</w:t>
      </w:r>
    </w:p>
    <w:p w14:paraId="79B7374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未按时移交工程的，违约金的计算方法为：除不可抗力与发包人的原因外，工期不得拖延。若承包方原因造成工期延误，则对承包人处以10000元/天的违约金，以合同总价的2%为限，此违约金并不能解除承包人应完成工程的责任或合同及法律规定的其他责任。如承包人累计延误工期达合同工期的30%，则发包人有权解除合同，并追究承包人的违约责任。</w:t>
      </w:r>
    </w:p>
    <w:p w14:paraId="464660F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13.3 工程试车</w:t>
      </w:r>
    </w:p>
    <w:p w14:paraId="0563721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13.3.1 试车程序</w:t>
      </w:r>
    </w:p>
    <w:p w14:paraId="5DB6AF7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工程试车内容：/。</w:t>
      </w:r>
    </w:p>
    <w:p w14:paraId="5A308BF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（1）单机无负荷试车费用由/承担；</w:t>
      </w:r>
    </w:p>
    <w:p w14:paraId="77D00F3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（2）无负荷联动试车费用由/承担。</w:t>
      </w:r>
    </w:p>
    <w:p w14:paraId="427BAF8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13.3.3 投料试车</w:t>
      </w:r>
    </w:p>
    <w:p w14:paraId="12ECE45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关于投料试车相关事项的约定：/。</w:t>
      </w:r>
    </w:p>
    <w:p w14:paraId="578C2B1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13.6 竣工退场</w:t>
      </w:r>
    </w:p>
    <w:p w14:paraId="5FF6D19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13.6.1 竣工退场</w:t>
      </w:r>
    </w:p>
    <w:p w14:paraId="4782727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承包人完成竣工退场的期限：取得工程竣工验收证书后10天内。</w:t>
      </w:r>
    </w:p>
    <w:p w14:paraId="4ABF9A7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A、取得工程竣工验收证书后10天内，对工程本身及施工场地进行全面清理，做到工完场清。竣工清场费用由承包人承担。承包人未按发包人要求清场或者清场未达到合同约定的，发包人有权委托其他人进行清场，所发生的金额从拟支付给承包人的款项中扣除。</w:t>
      </w:r>
    </w:p>
    <w:p w14:paraId="68122E4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B、本工程的所有部位，特别是本工程完成后，承包人须清洁和整理本工程所有项目，除去一切无关标志、污斑、指印和其他的油污和污物等直至发包人验收合格为止。</w:t>
      </w:r>
    </w:p>
    <w:p w14:paraId="539E18F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C、施工场地按以下（包括但不限于）要求进行清理，直至发包人验收合格为止。</w:t>
      </w:r>
    </w:p>
    <w:p w14:paraId="6838C70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a. 施工场地内残留的垃圾已全部清除出场；</w:t>
      </w:r>
    </w:p>
    <w:p w14:paraId="7ED931F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b．临时工程已拆除，场地已按合同要求进行清理、平整或复原；</w:t>
      </w:r>
    </w:p>
    <w:p w14:paraId="3FAA2EF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c．按合同约定应撤离的承包人设备和剩余的材料，包括废弃的施工设备和材料，已按计划撤离施工场地；</w:t>
      </w:r>
    </w:p>
    <w:p w14:paraId="45187F7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d. 工程建筑物周边及其附近道路、河道的施工堆积物，已按发包人指示全部清理。</w:t>
      </w:r>
    </w:p>
    <w:p w14:paraId="6C0FAAE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14. 竣工结算</w:t>
      </w:r>
    </w:p>
    <w:p w14:paraId="3CE6F89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14.1 竣工付款申请</w:t>
      </w:r>
    </w:p>
    <w:p w14:paraId="405527F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承包人提交竣工付款申请单的期限：竣工验收合格后28天内向发包人和监理人提交竣工结算申请单。</w:t>
      </w:r>
    </w:p>
    <w:p w14:paraId="337F919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竣工付款申请单应包括的内容：</w:t>
      </w:r>
    </w:p>
    <w:p w14:paraId="3191C746">
      <w:pPr>
        <w:numPr>
          <w:ilvl w:val="0"/>
          <w:numId w:val="4"/>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提供竣工图纸和竣工资料的约定</w:t>
      </w:r>
    </w:p>
    <w:p w14:paraId="0C2E9A6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工程竣工验收合格后28天内提交叁套完整的竣工图和叁套竣工资料(含原件)及其他相关资料，相关费用包含在投保报价中。所有工程资料必须符合工程验收和档案管理要求,否则停止支付工程款或尾款，每推迟1天，处以承包人违约金10000元/天 ，且承担违约和赔偿责任。</w:t>
      </w:r>
    </w:p>
    <w:p w14:paraId="37F8CD7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2、竣工档案由承包人负责主送，发包人协同报档案馆验收；承包人负责在发包人规定期限内办理出城建档案部门的认可文件（部分需发包人提供的资料，在承包人提出后5日内提供），</w:t>
      </w:r>
    </w:p>
    <w:p w14:paraId="3E938D4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3、工程结算必须在竣工档案通过发包人验收后方可进行。</w:t>
      </w:r>
    </w:p>
    <w:p w14:paraId="4F5D9B0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二、提供竣工结算资料的约定</w:t>
      </w:r>
    </w:p>
    <w:p w14:paraId="7AFC21A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工程竣工验收后28天内，承包人向发包人提交二套完整的工程竣工结算资料（含原件），提交二套简易的工程竣工结算资料（简易的工程竣工结算资料不含签证资料，其余与完整的资料相同），竣工结算资料必须满足审计部门的要求。承包人不能按时提供，其责任由承包人承担。</w:t>
      </w:r>
    </w:p>
    <w:p w14:paraId="520B139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2、造价咨询费承担原则</w:t>
      </w:r>
    </w:p>
    <w:p w14:paraId="746CF91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（1）以结算审定价为计算基数，工程结算审核核减额小于5% 的；审计咨询费由发包人承担；</w:t>
      </w:r>
    </w:p>
    <w:p w14:paraId="1F36E59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（2）以结算审定价为计算基数，工程结算审核核减额大于等于 5% 的，全部审计咨询费由承包人承担。</w:t>
      </w:r>
    </w:p>
    <w:p w14:paraId="167655F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3、竣工结算资料包括但不限于：</w:t>
      </w:r>
    </w:p>
    <w:p w14:paraId="153FB81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（1）施工合同、补充协议及承包人相关承诺（如有）</w:t>
      </w:r>
    </w:p>
    <w:p w14:paraId="306C5EB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（2）成交通知书</w:t>
      </w:r>
    </w:p>
    <w:p w14:paraId="767ADA2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cs="宋体"/>
          <w:szCs w:val="21"/>
          <w:highlight w:val="none"/>
          <w:lang w:val="en-US" w:eastAsia="zh-CN"/>
        </w:rPr>
        <w:t>必选</w:t>
      </w:r>
      <w:r>
        <w:rPr>
          <w:rFonts w:hint="eastAsia" w:ascii="宋体" w:hAnsi="宋体" w:eastAsia="宋体" w:cs="宋体"/>
          <w:szCs w:val="21"/>
          <w:highlight w:val="none"/>
        </w:rPr>
        <w:t>文件、招标答疑、响应性文件（另附电子文件，包括投标的工程量清单）、招标工程量清单</w:t>
      </w:r>
    </w:p>
    <w:p w14:paraId="72BB46C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（4）竣工图纸、图纸会审记录、工程签证、技术核定单、设计变更等</w:t>
      </w:r>
    </w:p>
    <w:p w14:paraId="3BDA01D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（5）开工、竣工报告</w:t>
      </w:r>
    </w:p>
    <w:p w14:paraId="4303CB9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（6）工程影像资料</w:t>
      </w:r>
    </w:p>
    <w:p w14:paraId="2950DBC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（7）现场安全文明施工措施费用考评表</w:t>
      </w:r>
    </w:p>
    <w:p w14:paraId="4F36E35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（8）施工水电费用等</w:t>
      </w:r>
    </w:p>
    <w:p w14:paraId="3FA96F4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（9）各种有关工程质量、安全、工期等奖罚及相关资料</w:t>
      </w:r>
    </w:p>
    <w:p w14:paraId="086C6CE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（10）竣工结算资料（含结算书、工程量计算书、钢筋翻样单）</w:t>
      </w:r>
    </w:p>
    <w:p w14:paraId="289547C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以上资料需装订成册并经甲方审核并加盖公章方为有效，竣工结算报价部分建议采用未来计价软件计价。投标报价、竣工结算书、工程量计算书应提供电子版，并刻录光盘。</w:t>
      </w:r>
    </w:p>
    <w:p w14:paraId="0CD96FA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14.2 竣工结算审核</w:t>
      </w:r>
    </w:p>
    <w:p w14:paraId="5C6E777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审批竣工付款申请单的期限：监理人在收到承包人提交的竣工付款申请单后的14天内核查，提出发包人到期应支付给承包人的价款送发跟踪审计审核。跟踪审计在审核完毕后送发包人审核，发包人应在收到后28天内审核完毕 。</w:t>
      </w:r>
    </w:p>
    <w:p w14:paraId="3BB34E2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发包人完成竣工付款的期限：发包人应在签发竣工付款证书后的28 天内，完成对承包人的竣工付款。</w:t>
      </w:r>
    </w:p>
    <w:p w14:paraId="58B2311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竣工付款证书异议部分复核的方式和程序：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31F1BA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14.4 最终结清</w:t>
      </w:r>
    </w:p>
    <w:p w14:paraId="3E85B20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14.4.1 最终结清申请单</w:t>
      </w:r>
    </w:p>
    <w:p w14:paraId="46FA5D3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承包人提交最终结清申请单的份数：2份。</w:t>
      </w:r>
    </w:p>
    <w:p w14:paraId="4DBA1DE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承包人提交最终结算申请单的期限：在缺陷责任期终止证书颁发后7天内。 </w:t>
      </w:r>
    </w:p>
    <w:p w14:paraId="1191D28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14.4.2 最终结清证书和支付</w:t>
      </w:r>
    </w:p>
    <w:p w14:paraId="3433FC5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（1）发包人完成最终结清申请单的审批并颁发最终结清证书的期限：收到承包人提交的最终结清申请单后14天内完成审批并向承包人颁发最终结清证书。</w:t>
      </w:r>
    </w:p>
    <w:p w14:paraId="1E09638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（2）发包人完成支付的期限：颁发最终结清证书后7天内完成支付。</w:t>
      </w:r>
    </w:p>
    <w:p w14:paraId="66FBE1C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15. 缺陷责任期与保修</w:t>
      </w:r>
    </w:p>
    <w:p w14:paraId="6B1721D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15.2缺陷责任期</w:t>
      </w:r>
    </w:p>
    <w:p w14:paraId="72CAC25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缺陷责任期的具体期限：24个月。</w:t>
      </w:r>
    </w:p>
    <w:p w14:paraId="0573E70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15.3 质量保证金</w:t>
      </w:r>
    </w:p>
    <w:p w14:paraId="2F51ADF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是否扣留质量保证金的约定：工程质量保修金按审计结算价款的3%，2年缺陷责任期满且移交主管部门接收后无息返还。在工程竣工前，承包人按专用合同条款第3.7条提供履约担保的，发包人不得同时预留工程质量保证金。</w:t>
      </w:r>
    </w:p>
    <w:p w14:paraId="0366116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15.3.1 承包人提供质量保证金的方式</w:t>
      </w:r>
    </w:p>
    <w:p w14:paraId="0EC1224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质量保证金采用以下第2种方式：</w:t>
      </w:r>
    </w:p>
    <w:p w14:paraId="6E3D94D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（1）质量保证金保函，保证金额为：/； </w:t>
      </w:r>
    </w:p>
    <w:p w14:paraId="4F76019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（2）审计结算价款3%的工程款；</w:t>
      </w:r>
    </w:p>
    <w:p w14:paraId="328FC38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（3）其他方式:/。</w:t>
      </w:r>
    </w:p>
    <w:p w14:paraId="1EF8E94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15.3.2 质量保证金的扣留 </w:t>
      </w:r>
    </w:p>
    <w:p w14:paraId="6580246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质量保证金的扣留采取以下第2种方式：</w:t>
      </w:r>
    </w:p>
    <w:p w14:paraId="432552A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（1）在支付工程进度款时逐次扣留，在此情形下，质量保证金的计算基数不包括预付款的支付、扣回以及价格调整的金额；</w:t>
      </w:r>
    </w:p>
    <w:p w14:paraId="5C6AF5C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（2）工程竣工结算时一次性扣留质量保证金；</w:t>
      </w:r>
    </w:p>
    <w:p w14:paraId="0D488DA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（3）其他扣留方式:/。</w:t>
      </w:r>
    </w:p>
    <w:p w14:paraId="3CB8E34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关于质量保证金的补充约定：:工程质量保修金在工程竣工验收合格、交付满（两年）后付清（不计息）。</w:t>
      </w:r>
    </w:p>
    <w:p w14:paraId="2A97456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15.4保修</w:t>
      </w:r>
    </w:p>
    <w:p w14:paraId="2DEF6E8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15.4.1 保修责任</w:t>
      </w:r>
    </w:p>
    <w:p w14:paraId="33E60F2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工程保修期为：</w:t>
      </w:r>
    </w:p>
    <w:p w14:paraId="525B1A9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质量保修期从工程实际竣工合格之日算起。分单项竣工验收的工程，按单项工程分别计算质量保修期。</w:t>
      </w:r>
    </w:p>
    <w:p w14:paraId="2B2E520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15.4.3 修复通知</w:t>
      </w:r>
    </w:p>
    <w:p w14:paraId="2CB9340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承包人收到保修通知并到达工程现场的合理时间： /</w:t>
      </w:r>
    </w:p>
    <w:p w14:paraId="7063587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16. 违约</w:t>
      </w:r>
    </w:p>
    <w:p w14:paraId="0D7C479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16.1 发包人违约</w:t>
      </w:r>
    </w:p>
    <w:p w14:paraId="49B32EA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16.1.1发包人违约的情形</w:t>
      </w:r>
    </w:p>
    <w:p w14:paraId="77A6559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发包人违约的其他情形：:双方协商确定。</w:t>
      </w:r>
    </w:p>
    <w:p w14:paraId="31D93B1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16.1.2 发包人违约的责任</w:t>
      </w:r>
    </w:p>
    <w:p w14:paraId="75C5D87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发包人违约责任的承担方式和计算方法：</w:t>
      </w:r>
    </w:p>
    <w:p w14:paraId="13ED7EC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（1）因发包人原因未能在计划开工日期前7天内下达开工通知的违约责任：:工期顺延，并赔偿承包人由此造成的损失，但对于承包人放任损失扩大的部分不予计算。</w:t>
      </w:r>
    </w:p>
    <w:p w14:paraId="055CB56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（2）因发包人原因未能按合同约定支付合同价款的违约责任：:双方协商。</w:t>
      </w:r>
    </w:p>
    <w:p w14:paraId="475650C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（3）发包人违反第10.1款〔变更的范围〕第（2）项约定，自行实施被取消的工作或转由他人实施的违约责任：:双方协商。</w:t>
      </w:r>
    </w:p>
    <w:p w14:paraId="0F7CDAC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（4）发包人提供的材料、工程设备的规格、数量或质量不符合合同约定，或因发包人原因导致交货日期延误或交货地点变更等情况的违约责任：:双方协商。</w:t>
      </w:r>
    </w:p>
    <w:p w14:paraId="0686824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（5）因发包人违反合同约定造成暂停施工的违约责任：:工期顺延，承担承包人由此造</w:t>
      </w:r>
      <w:r>
        <w:rPr>
          <w:rFonts w:hint="eastAsia" w:cs="宋体"/>
          <w:szCs w:val="21"/>
          <w:highlight w:val="none"/>
          <w:lang w:val="en-US" w:eastAsia="zh-CN"/>
        </w:rPr>
        <w:t>6</w:t>
      </w:r>
      <w:r>
        <w:rPr>
          <w:rFonts w:hint="eastAsia" w:ascii="宋体" w:hAnsi="宋体" w:eastAsia="宋体" w:cs="宋体"/>
          <w:szCs w:val="21"/>
          <w:highlight w:val="none"/>
        </w:rPr>
        <w:t>成的损失，但对于承包人放任损失扩大的部分不予计算。</w:t>
      </w:r>
    </w:p>
    <w:p w14:paraId="381F5CB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（6）发包人无正当理由没有在约定期限内发出复工指示，导致承包人无法复工的违约责任：:工期顺延，承担承包人由此造成的损失，但对于承包人放任损失扩大的部分不予计算。</w:t>
      </w:r>
    </w:p>
    <w:p w14:paraId="2BE13C3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（7）其他：/。</w:t>
      </w:r>
    </w:p>
    <w:p w14:paraId="1AAB0D3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16.1.3 因发包人违约解除合同</w:t>
      </w:r>
    </w:p>
    <w:p w14:paraId="050E7EB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承包人按16.1.1项〔发包人违约的情形〕约定暂停施工满28天后发包人仍不纠正其违约行为并致使合同目的不能实现的，承包人有权解除合同。</w:t>
      </w:r>
    </w:p>
    <w:p w14:paraId="71836FE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16.2 承包人违约</w:t>
      </w:r>
    </w:p>
    <w:p w14:paraId="3BCE6A7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16.2.1 承包人违约的情形</w:t>
      </w:r>
    </w:p>
    <w:p w14:paraId="3E649F9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承包人违约的其他情形：</w:t>
      </w:r>
    </w:p>
    <w:p w14:paraId="4C40EA8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承包人承包的工程质量必须符合国家质量验收标准及图纸要求，如不符合国家质量验收标准及图纸要求，所发生的一切返工费用及由此给发包人造成的经济损失均由承包人承担，并按工程结算价款的5%向发包人支付违约金，此项赔偿并不能解除中标单位完成工程的责任及合同规定的其他责任。</w:t>
      </w:r>
    </w:p>
    <w:p w14:paraId="3492E67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如因施工质量导致安全事故，由承包人承担事故处理的一切费用、工程的恢复费用及因此而造成后续工程延误费用。在工序验收中，如复验仍不合格，除必须返工达标外，承包人按每项次2000元人民币向发包人支付违约金。在分项验收中，如复验仍不合格，除必须返工达标外，承包人按每项次3000-30000元人民币向发包人支付违约金。</w:t>
      </w:r>
    </w:p>
    <w:p w14:paraId="1E8692B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材料进场管理的违约责任：所有进入本项目工地的材料即为本工程使用的材料，进入现场后所有权为发包方所有，承包方不得将其他项目的材料设备运入本项目现场，否则视为不合格材料进入现场；进入现场的材料设备，没有经过发包方同意，不得擅自运出现场；承包方须严格执行材料设备进场报验程序，没有经发包方和监理方验收的材料设备进入现场施工，发包方有权要求承包方无条件将该批材料设备退场，并且按违反监理程序向发包方支付3000元/次违约金；承包人不按合同履行应承担的工作，对工程进展造成影响时，发包人有权自行或委托他人完成合同约定承包人该项工作，所产生的费用从承包人应得的款项中获得，不足部分由承包人偿付。</w:t>
      </w:r>
    </w:p>
    <w:p w14:paraId="72132E3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现场必须达到安全文明工地的要求，按照安全文明措施费使用的范围进行实施，如没有达到相关要求，发包方有权安排其他单位代为行使相关义务、责任，有关费用按其他单位报价的1.2倍从工程结算款直接扣除，并且根据情节轻重，向发包方支付安全文明基本费1～5％支付违约金。</w:t>
      </w:r>
    </w:p>
    <w:p w14:paraId="296528D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5）双方约定的承包人其他违约责任：在施工期间承包人如发生重大质量和安全事故，必须承担事故处理的一切费用、工程的恢复费用及因此造成后续工程延期费用（违约金1000元/天），发包人有权勒令其退场，或减少其承包内容，所造成的损失由承包人承担。</w:t>
      </w:r>
    </w:p>
    <w:p w14:paraId="0F1B421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（6）若工程进展不力、明显滞后、不能确保工期目标，或现场组织管理明显欠缺、达不到规定要求的，将要求施工单位法定代表人进驻现场管理。</w:t>
      </w:r>
    </w:p>
    <w:p w14:paraId="1E275C8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（7）施工单位恶意虚报签证工作量的，除按规定核减外，处虚报部分双倍违约金。</w:t>
      </w:r>
    </w:p>
    <w:p w14:paraId="7493297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（8）若承包人转包或违法分包，以及未经许可的第三方进入现场施工，发包人有权要求承包人停工、退场或解除合同，并一律不支付任何工程款，由此造成的一切损失和责任均由承包人承担。</w:t>
      </w:r>
    </w:p>
    <w:p w14:paraId="63CBF0B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（9）因承包人违约解除合同的约定：因承包人严重违约导致合同无法继续履行，发包人有权单方面终止合同、采取其他措施继续完成施工，并处承包人已完工程量10%违约金。</w:t>
      </w:r>
    </w:p>
    <w:p w14:paraId="64EE63E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16.2.2承包人违约的责任</w:t>
      </w:r>
    </w:p>
    <w:p w14:paraId="3BCA50E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承包人违约责任的承担方式和计算方法：发包人将根据相关规定及合同约定向承包人提出赔偿，并在工程款中直接扣除。</w:t>
      </w:r>
    </w:p>
    <w:p w14:paraId="5EE65C6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16.2.3 因承包人违约解除合同</w:t>
      </w:r>
    </w:p>
    <w:p w14:paraId="1E3C90B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关于承包人违约解除合同的特别约定：承包人发生下列情况解除合同，履约保证金不予退还，承包人退场：</w:t>
      </w:r>
    </w:p>
    <w:p w14:paraId="7AC009D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（一）发生挂靠、转包、违法分包；</w:t>
      </w:r>
    </w:p>
    <w:p w14:paraId="7B62700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（二）施工任务、计划工期进度因承包人自身原因延误合同工期30%以上天数或发生重大质量安全事故的；</w:t>
      </w:r>
    </w:p>
    <w:p w14:paraId="550A8EE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（二）连续两个月以上不按法律、法规规定要求发放工人工资或因其造成工地工人群体上访恶性事件的（因被拖欠工程款引发的除外）；</w:t>
      </w:r>
    </w:p>
    <w:p w14:paraId="2526FF9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（三）拒不履行投标承诺及合约职责与义务的。</w:t>
      </w:r>
    </w:p>
    <w:p w14:paraId="3F5D1F4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施工单位中途退场，结算时应按投标单位完成工作量的投标报价结算，不可按实际施工时发生的价格结算。同时建设单位按结算总价的30%作为施工单位违约金，从结算总价中扣除。结算完毕后，建设方可单方解除合同，施工单位需立即清场退出。同时施工单位需赔偿由此给建设单位造成的相关损失。</w:t>
      </w:r>
    </w:p>
    <w:p w14:paraId="23A574E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发包人继续使用承包人在施工现场的材料、设备、临时工程、承包人文件和由承包人或以其名义编制的其他文件的费用承担方式：双方协商。</w:t>
      </w:r>
    </w:p>
    <w:p w14:paraId="61A9172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17. 不可抗力</w:t>
      </w:r>
    </w:p>
    <w:p w14:paraId="1D179D6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17.1 不可抗力的确认</w:t>
      </w:r>
    </w:p>
    <w:p w14:paraId="4F020A8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除通用合同条款约定的不可抗力事件之外，视为不可抗力的其他情形： 双方协商。</w:t>
      </w:r>
    </w:p>
    <w:p w14:paraId="74EC578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17.4 因不可抗力解除合同</w:t>
      </w:r>
    </w:p>
    <w:p w14:paraId="239C7CD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合同解除后，发包人应在商定或确定发包人应支付款项后28天内完成款项的支付。</w:t>
      </w:r>
    </w:p>
    <w:p w14:paraId="0A1171F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18. 保险</w:t>
      </w:r>
    </w:p>
    <w:p w14:paraId="30F817D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18.1 工程保险</w:t>
      </w:r>
    </w:p>
    <w:p w14:paraId="47D994E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关于工程保险的特别约定：承包人应投保建设工程一切险或安装工程一切险 ，因投保产生的保险费和其他相关费用由承包人承担。</w:t>
      </w:r>
    </w:p>
    <w:p w14:paraId="1E3803D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18.3 其他保险</w:t>
      </w:r>
    </w:p>
    <w:p w14:paraId="639819A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关于其他保险的约定：承包人应为施工现场的全部人员办理意外伤害保险并支付保险费，包括其员工及为履行合同聘请的第三方的人员。</w:t>
      </w:r>
    </w:p>
    <w:p w14:paraId="28C7032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承包人是否应为其施工设备等办理财产保险：是。</w:t>
      </w:r>
    </w:p>
    <w:p w14:paraId="602CA5C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18.7 通知义务</w:t>
      </w:r>
    </w:p>
    <w:p w14:paraId="328A58B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关于变更保险合同时的通知义务的约定：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p>
    <w:p w14:paraId="1F07998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20. 争议解决</w:t>
      </w:r>
    </w:p>
    <w:p w14:paraId="69119E2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20.3 争议评审</w:t>
      </w:r>
    </w:p>
    <w:p w14:paraId="310B8C6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合同当事人是否同意将工程争议提交争议评审小组决定：按通用条款执行。  </w:t>
      </w:r>
    </w:p>
    <w:p w14:paraId="7BDC041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20.3.1 争议评审小组的确定</w:t>
      </w:r>
    </w:p>
    <w:p w14:paraId="69F2BCC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争议评审小组成员的确定：按通用条款执行。</w:t>
      </w:r>
    </w:p>
    <w:p w14:paraId="235A5AC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选定争议评审员的期限：按通用条款执行。</w:t>
      </w:r>
    </w:p>
    <w:p w14:paraId="13DF2D7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争议评审小组成员的报酬承担方式：按通用条款执行。</w:t>
      </w:r>
    </w:p>
    <w:p w14:paraId="42CDF3A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其他事项的约定：按通用条款执行。</w:t>
      </w:r>
    </w:p>
    <w:p w14:paraId="674B20D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20.3.2 争议评审小组的决定</w:t>
      </w:r>
    </w:p>
    <w:p w14:paraId="2D68201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合同当事人关于本项的约定：按通用条款执行。</w:t>
      </w:r>
    </w:p>
    <w:p w14:paraId="5861367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20.4仲裁或诉讼</w:t>
      </w:r>
    </w:p>
    <w:p w14:paraId="009D945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因合同及合同有关事项发生的争议，按下列第2种方式解决：</w:t>
      </w:r>
    </w:p>
    <w:p w14:paraId="1CF13C3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（1）向/仲裁委员会申请仲裁；</w:t>
      </w:r>
    </w:p>
    <w:p w14:paraId="396919D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（2）向工程所在地人民法院起诉。</w:t>
      </w:r>
    </w:p>
    <w:p w14:paraId="0D46EDB1">
      <w:pPr>
        <w:pStyle w:val="6"/>
        <w:ind w:left="0" w:leftChars="0" w:firstLine="0" w:firstLineChars="0"/>
        <w:rPr>
          <w:rFonts w:hint="eastAsia"/>
        </w:rPr>
      </w:pPr>
    </w:p>
    <w:p w14:paraId="7B4B3945">
      <w:pPr>
        <w:pStyle w:val="6"/>
        <w:ind w:left="0" w:leftChars="0" w:firstLine="0" w:firstLineChars="0"/>
        <w:rPr>
          <w:rFonts w:hint="eastAsia"/>
        </w:rPr>
      </w:pPr>
    </w:p>
    <w:p w14:paraId="664614B1">
      <w:pPr>
        <w:pStyle w:val="6"/>
        <w:ind w:left="0" w:leftChars="0" w:firstLine="0" w:firstLineChars="0"/>
        <w:rPr>
          <w:rFonts w:hint="eastAsia"/>
        </w:rPr>
      </w:pPr>
    </w:p>
    <w:p w14:paraId="1E660E54">
      <w:pPr>
        <w:pStyle w:val="6"/>
        <w:ind w:left="0" w:leftChars="0" w:firstLine="0" w:firstLineChars="0"/>
        <w:rPr>
          <w:rFonts w:hint="eastAsia"/>
        </w:rPr>
      </w:pPr>
    </w:p>
    <w:p w14:paraId="30170E09">
      <w:pPr>
        <w:pStyle w:val="6"/>
        <w:ind w:left="0" w:leftChars="0" w:firstLine="0" w:firstLineChars="0"/>
        <w:rPr>
          <w:rFonts w:hint="eastAsia"/>
        </w:rPr>
      </w:pPr>
    </w:p>
    <w:p w14:paraId="53B4171E">
      <w:pPr>
        <w:pStyle w:val="6"/>
        <w:ind w:left="0" w:leftChars="0" w:firstLine="0" w:firstLineChars="0"/>
        <w:rPr>
          <w:rFonts w:hint="eastAsia"/>
        </w:rPr>
      </w:pPr>
    </w:p>
    <w:p w14:paraId="324B6733">
      <w:pPr>
        <w:pStyle w:val="18"/>
        <w:rPr>
          <w:rFonts w:hint="eastAsia" w:ascii="宋体" w:hAnsi="宋体" w:eastAsia="宋体" w:cs="宋体"/>
        </w:rPr>
      </w:pPr>
      <w:r>
        <w:rPr>
          <w:rFonts w:hint="eastAsia" w:ascii="宋体" w:hAnsi="宋体" w:eastAsia="宋体" w:cs="宋体"/>
        </w:rPr>
        <w:t>第六章附件</w:t>
      </w:r>
      <w:bookmarkEnd w:id="36"/>
    </w:p>
    <w:p w14:paraId="6B0C451A">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w:t>
      </w:r>
    </w:p>
    <w:p w14:paraId="1D257ED1">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 xml:space="preserve"> </w:t>
      </w:r>
    </w:p>
    <w:p w14:paraId="3F6C4771">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 xml:space="preserve"> </w:t>
      </w:r>
    </w:p>
    <w:p w14:paraId="0B43B0BB">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w:t>
      </w:r>
    </w:p>
    <w:p w14:paraId="0836651D">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w:t>
      </w:r>
    </w:p>
    <w:p w14:paraId="2A7F049A">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 xml:space="preserve"> </w:t>
      </w:r>
    </w:p>
    <w:p w14:paraId="216AF9F0">
      <w:pPr>
        <w:jc w:val="center"/>
        <w:rPr>
          <w:rFonts w:hint="eastAsia" w:ascii="宋体" w:hAnsi="宋体" w:eastAsia="宋体" w:cs="宋体"/>
          <w:sz w:val="20"/>
          <w:szCs w:val="20"/>
        </w:rPr>
      </w:pPr>
      <w:r>
        <w:rPr>
          <w:rFonts w:hint="eastAsia" w:ascii="宋体" w:hAnsi="宋体" w:eastAsia="宋体" w:cs="宋体"/>
          <w:sz w:val="28"/>
          <w:szCs w:val="28"/>
        </w:rPr>
        <w:t>（项目名称）</w:t>
      </w:r>
    </w:p>
    <w:p w14:paraId="411C55C1">
      <w:pPr>
        <w:jc w:val="center"/>
        <w:rPr>
          <w:rFonts w:hint="eastAsia" w:ascii="宋体" w:hAnsi="宋体" w:eastAsia="宋体" w:cs="宋体"/>
          <w:sz w:val="20"/>
          <w:szCs w:val="20"/>
        </w:rPr>
      </w:pPr>
      <w:r>
        <w:rPr>
          <w:rFonts w:hint="eastAsia" w:ascii="宋体" w:hAnsi="宋体" w:eastAsia="宋体" w:cs="宋体"/>
          <w:sz w:val="20"/>
          <w:szCs w:val="20"/>
        </w:rPr>
        <w:t xml:space="preserve"> </w:t>
      </w:r>
    </w:p>
    <w:p w14:paraId="6D6EFAAE">
      <w:pPr>
        <w:jc w:val="center"/>
        <w:rPr>
          <w:rFonts w:hint="eastAsia" w:ascii="宋体" w:hAnsi="宋体" w:eastAsia="宋体" w:cs="宋体"/>
          <w:sz w:val="20"/>
          <w:szCs w:val="20"/>
        </w:rPr>
      </w:pPr>
      <w:r>
        <w:rPr>
          <w:rFonts w:hint="eastAsia" w:ascii="宋体" w:hAnsi="宋体" w:eastAsia="宋体" w:cs="宋体"/>
          <w:sz w:val="20"/>
          <w:szCs w:val="20"/>
        </w:rPr>
        <w:t xml:space="preserve"> </w:t>
      </w:r>
    </w:p>
    <w:p w14:paraId="4D8E61E2">
      <w:pPr>
        <w:jc w:val="center"/>
        <w:rPr>
          <w:rFonts w:hint="eastAsia" w:ascii="宋体" w:hAnsi="宋体" w:eastAsia="宋体" w:cs="宋体"/>
          <w:sz w:val="44"/>
          <w:szCs w:val="44"/>
        </w:rPr>
      </w:pPr>
      <w:r>
        <w:rPr>
          <w:rFonts w:hint="eastAsia" w:ascii="宋体" w:hAnsi="宋体" w:eastAsia="宋体" w:cs="宋体"/>
          <w:sz w:val="44"/>
          <w:szCs w:val="44"/>
        </w:rPr>
        <w:t>竞争性磋商响应文件</w:t>
      </w:r>
    </w:p>
    <w:p w14:paraId="0A830FAF">
      <w:pPr>
        <w:rPr>
          <w:rFonts w:hint="eastAsia" w:ascii="宋体" w:hAnsi="宋体" w:eastAsia="宋体" w:cs="宋体"/>
          <w:sz w:val="28"/>
          <w:szCs w:val="28"/>
        </w:rPr>
      </w:pPr>
      <w:r>
        <w:rPr>
          <w:rFonts w:hint="eastAsia" w:ascii="宋体" w:hAnsi="宋体" w:eastAsia="宋体" w:cs="宋体"/>
          <w:sz w:val="28"/>
          <w:szCs w:val="28"/>
        </w:rPr>
        <w:t xml:space="preserve"> </w:t>
      </w:r>
    </w:p>
    <w:p w14:paraId="434B1FBE">
      <w:pPr>
        <w:rPr>
          <w:rFonts w:hint="eastAsia" w:ascii="宋体" w:hAnsi="宋体" w:eastAsia="宋体" w:cs="宋体"/>
          <w:sz w:val="28"/>
          <w:szCs w:val="28"/>
        </w:rPr>
      </w:pPr>
      <w:r>
        <w:rPr>
          <w:rFonts w:hint="eastAsia" w:ascii="宋体" w:hAnsi="宋体" w:eastAsia="宋体" w:cs="宋体"/>
          <w:sz w:val="28"/>
          <w:szCs w:val="28"/>
        </w:rPr>
        <w:t xml:space="preserve"> </w:t>
      </w:r>
    </w:p>
    <w:p w14:paraId="1C3DC26F">
      <w:pPr>
        <w:rPr>
          <w:rFonts w:hint="eastAsia" w:ascii="宋体" w:hAnsi="宋体" w:eastAsia="宋体" w:cs="宋体"/>
          <w:sz w:val="28"/>
          <w:szCs w:val="28"/>
        </w:rPr>
      </w:pPr>
      <w:r>
        <w:rPr>
          <w:rFonts w:hint="eastAsia" w:ascii="宋体" w:hAnsi="宋体" w:eastAsia="宋体" w:cs="宋体"/>
          <w:sz w:val="28"/>
          <w:szCs w:val="28"/>
        </w:rPr>
        <w:t xml:space="preserve"> </w:t>
      </w:r>
    </w:p>
    <w:p w14:paraId="2DE3EC5E">
      <w:pPr>
        <w:rPr>
          <w:rFonts w:hint="eastAsia" w:ascii="宋体" w:hAnsi="宋体" w:eastAsia="宋体" w:cs="宋体"/>
          <w:sz w:val="28"/>
          <w:szCs w:val="28"/>
        </w:rPr>
      </w:pPr>
      <w:r>
        <w:rPr>
          <w:rFonts w:hint="eastAsia" w:ascii="宋体" w:hAnsi="宋体" w:eastAsia="宋体" w:cs="宋体"/>
          <w:sz w:val="28"/>
          <w:szCs w:val="28"/>
        </w:rPr>
        <w:t xml:space="preserve"> </w:t>
      </w:r>
    </w:p>
    <w:p w14:paraId="60A47067">
      <w:pPr>
        <w:rPr>
          <w:rFonts w:hint="eastAsia" w:ascii="宋体" w:hAnsi="宋体" w:eastAsia="宋体" w:cs="宋体"/>
          <w:sz w:val="28"/>
          <w:szCs w:val="28"/>
        </w:rPr>
      </w:pPr>
      <w:r>
        <w:rPr>
          <w:rFonts w:hint="eastAsia" w:ascii="宋体" w:hAnsi="宋体" w:eastAsia="宋体" w:cs="宋体"/>
          <w:sz w:val="28"/>
          <w:szCs w:val="28"/>
        </w:rPr>
        <w:t xml:space="preserve"> </w:t>
      </w:r>
    </w:p>
    <w:p w14:paraId="2195B6EB">
      <w:pPr>
        <w:rPr>
          <w:rFonts w:hint="eastAsia" w:ascii="宋体" w:hAnsi="宋体" w:eastAsia="宋体" w:cs="宋体"/>
          <w:sz w:val="28"/>
          <w:szCs w:val="28"/>
        </w:rPr>
      </w:pPr>
      <w:r>
        <w:rPr>
          <w:rFonts w:hint="eastAsia" w:ascii="宋体" w:hAnsi="宋体" w:eastAsia="宋体" w:cs="宋体"/>
          <w:sz w:val="28"/>
          <w:szCs w:val="28"/>
        </w:rPr>
        <w:t xml:space="preserve"> </w:t>
      </w:r>
    </w:p>
    <w:p w14:paraId="7FEB1326">
      <w:pPr>
        <w:rPr>
          <w:rFonts w:hint="eastAsia" w:ascii="宋体" w:hAnsi="宋体" w:eastAsia="宋体" w:cs="宋体"/>
          <w:sz w:val="28"/>
          <w:szCs w:val="28"/>
        </w:rPr>
      </w:pPr>
      <w:r>
        <w:rPr>
          <w:rFonts w:hint="eastAsia" w:ascii="宋体" w:hAnsi="宋体" w:eastAsia="宋体" w:cs="宋体"/>
          <w:sz w:val="28"/>
          <w:szCs w:val="28"/>
        </w:rPr>
        <w:t xml:space="preserve"> </w:t>
      </w:r>
    </w:p>
    <w:p w14:paraId="4BD0991C">
      <w:pPr>
        <w:rPr>
          <w:rFonts w:hint="eastAsia" w:ascii="宋体" w:hAnsi="宋体" w:eastAsia="宋体" w:cs="宋体"/>
          <w:sz w:val="28"/>
          <w:szCs w:val="28"/>
        </w:rPr>
      </w:pPr>
      <w:r>
        <w:rPr>
          <w:rFonts w:hint="eastAsia" w:ascii="宋体" w:hAnsi="宋体" w:eastAsia="宋体" w:cs="宋体"/>
          <w:sz w:val="28"/>
          <w:szCs w:val="28"/>
        </w:rPr>
        <w:t xml:space="preserve"> </w:t>
      </w:r>
    </w:p>
    <w:p w14:paraId="182D5B21">
      <w:pPr>
        <w:rPr>
          <w:rFonts w:hint="eastAsia" w:ascii="宋体" w:hAnsi="宋体" w:eastAsia="宋体" w:cs="宋体"/>
          <w:sz w:val="28"/>
          <w:szCs w:val="28"/>
        </w:rPr>
      </w:pPr>
      <w:r>
        <w:rPr>
          <w:rFonts w:hint="eastAsia" w:ascii="宋体" w:hAnsi="宋体" w:eastAsia="宋体" w:cs="宋体"/>
          <w:sz w:val="28"/>
          <w:szCs w:val="28"/>
        </w:rPr>
        <w:t xml:space="preserve"> </w:t>
      </w:r>
    </w:p>
    <w:p w14:paraId="32E408DD">
      <w:pPr>
        <w:jc w:val="center"/>
        <w:rPr>
          <w:rFonts w:hint="eastAsia" w:ascii="宋体" w:hAnsi="宋体" w:eastAsia="宋体" w:cs="宋体"/>
          <w:sz w:val="28"/>
          <w:szCs w:val="28"/>
          <w:u w:val="single"/>
        </w:rPr>
      </w:pPr>
      <w:r>
        <w:rPr>
          <w:rFonts w:hint="eastAsia" w:ascii="宋体" w:hAnsi="宋体" w:eastAsia="宋体" w:cs="宋体"/>
          <w:sz w:val="28"/>
          <w:szCs w:val="28"/>
        </w:rPr>
        <w:t>供应商：（盖单位章）</w:t>
      </w:r>
    </w:p>
    <w:p w14:paraId="19CE7F62">
      <w:pPr>
        <w:jc w:val="center"/>
        <w:rPr>
          <w:rFonts w:hint="eastAsia" w:ascii="宋体" w:hAnsi="宋体" w:eastAsia="宋体" w:cs="宋体"/>
          <w:sz w:val="28"/>
          <w:szCs w:val="28"/>
        </w:rPr>
      </w:pPr>
      <w:r>
        <w:rPr>
          <w:rFonts w:hint="eastAsia" w:ascii="宋体" w:hAnsi="宋体" w:eastAsia="宋体" w:cs="宋体"/>
          <w:sz w:val="28"/>
          <w:szCs w:val="28"/>
        </w:rPr>
        <w:t>法定代表人或其授权代表：（签字）</w:t>
      </w:r>
    </w:p>
    <w:p w14:paraId="260FBAA0">
      <w:pPr>
        <w:jc w:val="center"/>
        <w:rPr>
          <w:rFonts w:hint="eastAsia" w:ascii="宋体" w:hAnsi="宋体" w:eastAsia="宋体" w:cs="宋体"/>
          <w:sz w:val="20"/>
          <w:szCs w:val="20"/>
        </w:rPr>
      </w:pPr>
      <w:r>
        <w:rPr>
          <w:rFonts w:hint="eastAsia" w:ascii="宋体" w:hAnsi="宋体" w:eastAsia="宋体" w:cs="宋体"/>
          <w:sz w:val="28"/>
          <w:szCs w:val="28"/>
        </w:rPr>
        <w:t>年 月 日</w:t>
      </w:r>
    </w:p>
    <w:p w14:paraId="6DF1F4D6">
      <w:pPr>
        <w:widowControl/>
        <w:shd w:val="clear" w:color="auto" w:fill="FFFFFF"/>
        <w:spacing w:line="360" w:lineRule="auto"/>
        <w:rPr>
          <w:rFonts w:hint="eastAsia" w:ascii="宋体" w:hAnsi="宋体" w:eastAsia="宋体" w:cs="宋体"/>
        </w:rPr>
      </w:pPr>
      <w:r>
        <w:rPr>
          <w:rFonts w:hint="eastAsia" w:ascii="宋体" w:hAnsi="宋体" w:eastAsia="宋体" w:cs="宋体"/>
        </w:rPr>
        <w:t xml:space="preserve"> </w:t>
      </w:r>
    </w:p>
    <w:p w14:paraId="4860D0B5">
      <w:pPr>
        <w:widowControl/>
        <w:shd w:val="clear" w:color="auto" w:fill="FFFFFF"/>
        <w:spacing w:line="360" w:lineRule="auto"/>
        <w:ind w:firstLine="3347" w:firstLineChars="1389"/>
        <w:rPr>
          <w:rFonts w:hint="eastAsia" w:ascii="宋体" w:hAnsi="宋体" w:eastAsia="宋体" w:cs="宋体"/>
          <w:b/>
          <w:bCs/>
          <w:sz w:val="44"/>
          <w:szCs w:val="44"/>
        </w:rPr>
      </w:pPr>
      <w:r>
        <w:rPr>
          <w:rFonts w:hint="eastAsia" w:ascii="宋体" w:hAnsi="宋体" w:eastAsia="宋体" w:cs="宋体"/>
          <w:b/>
          <w:bCs/>
          <w:kern w:val="0"/>
          <w:sz w:val="24"/>
          <w:szCs w:val="24"/>
        </w:rPr>
        <w:br w:type="page"/>
      </w:r>
      <w:r>
        <w:rPr>
          <w:rFonts w:hint="eastAsia" w:ascii="宋体" w:hAnsi="宋体" w:eastAsia="宋体" w:cs="宋体"/>
          <w:b/>
          <w:bCs/>
          <w:sz w:val="44"/>
          <w:szCs w:val="44"/>
        </w:rPr>
        <w:t>目录</w:t>
      </w:r>
    </w:p>
    <w:p w14:paraId="73BABCD9">
      <w:pPr>
        <w:spacing w:line="440" w:lineRule="exact"/>
        <w:jc w:val="center"/>
        <w:rPr>
          <w:rFonts w:hint="eastAsia" w:ascii="宋体" w:hAnsi="宋体" w:eastAsia="宋体" w:cs="宋体"/>
          <w:b/>
          <w:bCs/>
          <w:sz w:val="36"/>
          <w:szCs w:val="36"/>
        </w:rPr>
      </w:pPr>
      <w:r>
        <w:rPr>
          <w:rFonts w:hint="eastAsia" w:ascii="宋体" w:hAnsi="宋体" w:eastAsia="宋体" w:cs="宋体"/>
          <w:b/>
          <w:bCs/>
          <w:sz w:val="36"/>
          <w:szCs w:val="36"/>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722"/>
        <w:gridCol w:w="3465"/>
        <w:gridCol w:w="1185"/>
        <w:gridCol w:w="1408"/>
      </w:tblGrid>
      <w:tr w14:paraId="5586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49EAC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bookmarkStart w:id="573" w:name="_Toc504573083"/>
            <w:r>
              <w:rPr>
                <w:rFonts w:hint="eastAsia" w:ascii="宋体" w:hAnsi="宋体" w:eastAsia="宋体" w:cs="宋体"/>
                <w:sz w:val="21"/>
                <w:szCs w:val="21"/>
              </w:rPr>
              <w:t>评标项目页码索引</w:t>
            </w:r>
            <w:bookmarkEnd w:id="573"/>
          </w:p>
        </w:tc>
      </w:tr>
      <w:tr w14:paraId="0747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42" w:type="dxa"/>
            <w:tcBorders>
              <w:top w:val="single" w:color="auto" w:sz="4" w:space="0"/>
              <w:left w:val="single" w:color="auto" w:sz="4" w:space="0"/>
              <w:bottom w:val="single" w:color="auto" w:sz="4" w:space="0"/>
              <w:right w:val="single" w:color="auto" w:sz="4" w:space="0"/>
            </w:tcBorders>
            <w:vAlign w:val="center"/>
          </w:tcPr>
          <w:p w14:paraId="78C5B6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22" w:type="dxa"/>
            <w:tcBorders>
              <w:top w:val="single" w:color="auto" w:sz="4" w:space="0"/>
              <w:left w:val="single" w:color="auto" w:sz="4" w:space="0"/>
              <w:bottom w:val="single" w:color="auto" w:sz="4" w:space="0"/>
              <w:right w:val="single" w:color="auto" w:sz="4" w:space="0"/>
            </w:tcBorders>
            <w:vAlign w:val="center"/>
          </w:tcPr>
          <w:p w14:paraId="3B5CA3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评标项目</w:t>
            </w:r>
          </w:p>
        </w:tc>
        <w:tc>
          <w:tcPr>
            <w:tcW w:w="3465" w:type="dxa"/>
            <w:tcBorders>
              <w:top w:val="single" w:color="auto" w:sz="4" w:space="0"/>
              <w:left w:val="single" w:color="auto" w:sz="4" w:space="0"/>
              <w:bottom w:val="single" w:color="auto" w:sz="4" w:space="0"/>
              <w:right w:val="single" w:color="auto" w:sz="4" w:space="0"/>
            </w:tcBorders>
            <w:vAlign w:val="center"/>
          </w:tcPr>
          <w:p w14:paraId="425613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评审内容</w:t>
            </w:r>
          </w:p>
        </w:tc>
        <w:tc>
          <w:tcPr>
            <w:tcW w:w="1185" w:type="dxa"/>
            <w:tcBorders>
              <w:top w:val="single" w:color="auto" w:sz="4" w:space="0"/>
              <w:left w:val="single" w:color="auto" w:sz="4" w:space="0"/>
              <w:bottom w:val="single" w:color="auto" w:sz="4" w:space="0"/>
              <w:right w:val="single" w:color="auto" w:sz="4" w:space="0"/>
            </w:tcBorders>
            <w:vAlign w:val="center"/>
          </w:tcPr>
          <w:p w14:paraId="214449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页码</w:t>
            </w:r>
          </w:p>
        </w:tc>
        <w:tc>
          <w:tcPr>
            <w:tcW w:w="1408" w:type="dxa"/>
            <w:tcBorders>
              <w:top w:val="single" w:color="auto" w:sz="4" w:space="0"/>
              <w:left w:val="single" w:color="auto" w:sz="4" w:space="0"/>
              <w:bottom w:val="single" w:color="auto" w:sz="4" w:space="0"/>
              <w:right w:val="single" w:color="auto" w:sz="4" w:space="0"/>
            </w:tcBorders>
            <w:vAlign w:val="center"/>
          </w:tcPr>
          <w:p w14:paraId="30DE99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14:paraId="7339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42" w:type="dxa"/>
            <w:tcBorders>
              <w:top w:val="single" w:color="auto" w:sz="4" w:space="0"/>
              <w:left w:val="single" w:color="auto" w:sz="4" w:space="0"/>
              <w:bottom w:val="single" w:color="auto" w:sz="4" w:space="0"/>
              <w:right w:val="single" w:color="auto" w:sz="4" w:space="0"/>
            </w:tcBorders>
            <w:vAlign w:val="center"/>
          </w:tcPr>
          <w:p w14:paraId="59E946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722" w:type="dxa"/>
            <w:vMerge w:val="restart"/>
            <w:tcBorders>
              <w:top w:val="nil"/>
              <w:left w:val="single" w:color="auto" w:sz="4" w:space="0"/>
              <w:bottom w:val="single" w:color="auto" w:sz="4" w:space="0"/>
              <w:right w:val="single" w:color="auto" w:sz="4" w:space="0"/>
            </w:tcBorders>
            <w:vAlign w:val="center"/>
          </w:tcPr>
          <w:p w14:paraId="13173D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资格审查</w:t>
            </w:r>
          </w:p>
        </w:tc>
        <w:tc>
          <w:tcPr>
            <w:tcW w:w="3465" w:type="dxa"/>
            <w:tcBorders>
              <w:top w:val="single" w:color="auto" w:sz="4" w:space="0"/>
              <w:left w:val="single" w:color="auto" w:sz="4" w:space="0"/>
              <w:bottom w:val="single" w:color="auto" w:sz="4" w:space="0"/>
              <w:right w:val="single" w:color="auto" w:sz="4" w:space="0"/>
            </w:tcBorders>
            <w:vAlign w:val="center"/>
          </w:tcPr>
          <w:p w14:paraId="7759C6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营业执照</w:t>
            </w:r>
          </w:p>
        </w:tc>
        <w:tc>
          <w:tcPr>
            <w:tcW w:w="1185" w:type="dxa"/>
            <w:tcBorders>
              <w:top w:val="single" w:color="auto" w:sz="4" w:space="0"/>
              <w:left w:val="single" w:color="auto" w:sz="4" w:space="0"/>
              <w:bottom w:val="single" w:color="auto" w:sz="4" w:space="0"/>
              <w:right w:val="single" w:color="auto" w:sz="4" w:space="0"/>
            </w:tcBorders>
            <w:vAlign w:val="center"/>
          </w:tcPr>
          <w:p w14:paraId="035FDA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4E01AD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2E5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5562AF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0" w:type="auto"/>
            <w:vMerge w:val="continue"/>
            <w:tcBorders>
              <w:top w:val="nil"/>
              <w:left w:val="single" w:color="auto" w:sz="4" w:space="0"/>
              <w:bottom w:val="single" w:color="auto" w:sz="4" w:space="0"/>
              <w:right w:val="single" w:color="auto" w:sz="4" w:space="0"/>
            </w:tcBorders>
            <w:vAlign w:val="center"/>
          </w:tcPr>
          <w:p w14:paraId="07FB09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60AB11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财务报表</w:t>
            </w:r>
          </w:p>
        </w:tc>
        <w:tc>
          <w:tcPr>
            <w:tcW w:w="1185" w:type="dxa"/>
            <w:tcBorders>
              <w:top w:val="single" w:color="auto" w:sz="4" w:space="0"/>
              <w:left w:val="single" w:color="auto" w:sz="4" w:space="0"/>
              <w:bottom w:val="single" w:color="auto" w:sz="4" w:space="0"/>
              <w:right w:val="single" w:color="auto" w:sz="4" w:space="0"/>
            </w:tcBorders>
            <w:vAlign w:val="center"/>
          </w:tcPr>
          <w:p w14:paraId="05111A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164161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A20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1E046E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0" w:type="auto"/>
            <w:vMerge w:val="continue"/>
            <w:tcBorders>
              <w:top w:val="nil"/>
              <w:left w:val="single" w:color="auto" w:sz="4" w:space="0"/>
              <w:bottom w:val="single" w:color="auto" w:sz="4" w:space="0"/>
              <w:right w:val="single" w:color="auto" w:sz="4" w:space="0"/>
            </w:tcBorders>
            <w:vAlign w:val="center"/>
          </w:tcPr>
          <w:p w14:paraId="6962C1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13C256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专业技术能力声明</w:t>
            </w:r>
          </w:p>
        </w:tc>
        <w:tc>
          <w:tcPr>
            <w:tcW w:w="1185" w:type="dxa"/>
            <w:tcBorders>
              <w:top w:val="single" w:color="auto" w:sz="4" w:space="0"/>
              <w:left w:val="single" w:color="auto" w:sz="4" w:space="0"/>
              <w:bottom w:val="single" w:color="auto" w:sz="4" w:space="0"/>
              <w:right w:val="single" w:color="auto" w:sz="4" w:space="0"/>
            </w:tcBorders>
            <w:vAlign w:val="center"/>
          </w:tcPr>
          <w:p w14:paraId="63683A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1ABC81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7309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640CA4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0" w:type="auto"/>
            <w:vMerge w:val="continue"/>
            <w:tcBorders>
              <w:top w:val="nil"/>
              <w:left w:val="single" w:color="auto" w:sz="4" w:space="0"/>
              <w:bottom w:val="single" w:color="auto" w:sz="4" w:space="0"/>
              <w:right w:val="single" w:color="auto" w:sz="4" w:space="0"/>
            </w:tcBorders>
            <w:vAlign w:val="center"/>
          </w:tcPr>
          <w:p w14:paraId="503C73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17D606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纳税证明</w:t>
            </w:r>
          </w:p>
        </w:tc>
        <w:tc>
          <w:tcPr>
            <w:tcW w:w="1185" w:type="dxa"/>
            <w:tcBorders>
              <w:top w:val="single" w:color="auto" w:sz="4" w:space="0"/>
              <w:left w:val="single" w:color="auto" w:sz="4" w:space="0"/>
              <w:bottom w:val="single" w:color="auto" w:sz="4" w:space="0"/>
              <w:right w:val="single" w:color="auto" w:sz="4" w:space="0"/>
            </w:tcBorders>
            <w:vAlign w:val="center"/>
          </w:tcPr>
          <w:p w14:paraId="5B4FD5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0B0A30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93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7B441B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0" w:type="auto"/>
            <w:vMerge w:val="continue"/>
            <w:tcBorders>
              <w:top w:val="nil"/>
              <w:left w:val="single" w:color="auto" w:sz="4" w:space="0"/>
              <w:bottom w:val="single" w:color="auto" w:sz="4" w:space="0"/>
              <w:right w:val="single" w:color="auto" w:sz="4" w:space="0"/>
            </w:tcBorders>
            <w:vAlign w:val="center"/>
          </w:tcPr>
          <w:p w14:paraId="34F3D9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7C5393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社保凭证</w:t>
            </w:r>
          </w:p>
        </w:tc>
        <w:tc>
          <w:tcPr>
            <w:tcW w:w="1185" w:type="dxa"/>
            <w:tcBorders>
              <w:top w:val="single" w:color="auto" w:sz="4" w:space="0"/>
              <w:left w:val="single" w:color="auto" w:sz="4" w:space="0"/>
              <w:bottom w:val="single" w:color="auto" w:sz="4" w:space="0"/>
              <w:right w:val="single" w:color="auto" w:sz="4" w:space="0"/>
            </w:tcBorders>
            <w:vAlign w:val="center"/>
          </w:tcPr>
          <w:p w14:paraId="2C148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5E6B2B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162F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510ECE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0" w:type="auto"/>
            <w:vMerge w:val="continue"/>
            <w:tcBorders>
              <w:top w:val="nil"/>
              <w:left w:val="single" w:color="auto" w:sz="4" w:space="0"/>
              <w:bottom w:val="single" w:color="auto" w:sz="4" w:space="0"/>
              <w:right w:val="single" w:color="auto" w:sz="4" w:space="0"/>
            </w:tcBorders>
            <w:vAlign w:val="center"/>
          </w:tcPr>
          <w:p w14:paraId="43B6B9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0C84D9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无重大违反记录声明</w:t>
            </w:r>
          </w:p>
        </w:tc>
        <w:tc>
          <w:tcPr>
            <w:tcW w:w="1185" w:type="dxa"/>
            <w:tcBorders>
              <w:top w:val="single" w:color="auto" w:sz="4" w:space="0"/>
              <w:left w:val="single" w:color="auto" w:sz="4" w:space="0"/>
              <w:bottom w:val="single" w:color="auto" w:sz="4" w:space="0"/>
              <w:right w:val="single" w:color="auto" w:sz="4" w:space="0"/>
            </w:tcBorders>
            <w:vAlign w:val="center"/>
          </w:tcPr>
          <w:p w14:paraId="01F023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3EE079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281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73A8BB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722" w:type="dxa"/>
            <w:vMerge w:val="restart"/>
            <w:tcBorders>
              <w:top w:val="nil"/>
              <w:left w:val="single" w:color="auto" w:sz="4" w:space="0"/>
              <w:bottom w:val="single" w:color="auto" w:sz="4" w:space="0"/>
              <w:right w:val="single" w:color="auto" w:sz="4" w:space="0"/>
            </w:tcBorders>
            <w:vAlign w:val="center"/>
          </w:tcPr>
          <w:p w14:paraId="5758C4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评分项目</w:t>
            </w:r>
          </w:p>
        </w:tc>
        <w:tc>
          <w:tcPr>
            <w:tcW w:w="3465" w:type="dxa"/>
            <w:tcBorders>
              <w:top w:val="single" w:color="auto" w:sz="4" w:space="0"/>
              <w:left w:val="single" w:color="auto" w:sz="4" w:space="0"/>
              <w:bottom w:val="single" w:color="auto" w:sz="4" w:space="0"/>
              <w:right w:val="single" w:color="auto" w:sz="4" w:space="0"/>
            </w:tcBorders>
            <w:vAlign w:val="center"/>
          </w:tcPr>
          <w:p w14:paraId="0AE110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A12B0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5A6556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2D3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50725B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0" w:type="auto"/>
            <w:vMerge w:val="continue"/>
            <w:tcBorders>
              <w:top w:val="nil"/>
              <w:left w:val="single" w:color="auto" w:sz="4" w:space="0"/>
              <w:bottom w:val="single" w:color="auto" w:sz="4" w:space="0"/>
              <w:right w:val="single" w:color="auto" w:sz="4" w:space="0"/>
            </w:tcBorders>
            <w:vAlign w:val="center"/>
          </w:tcPr>
          <w:p w14:paraId="0F8A02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6E3C76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CB332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2A84AF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4EDC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7E2607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0" w:type="auto"/>
            <w:vMerge w:val="continue"/>
            <w:tcBorders>
              <w:top w:val="nil"/>
              <w:left w:val="single" w:color="auto" w:sz="4" w:space="0"/>
              <w:bottom w:val="single" w:color="auto" w:sz="4" w:space="0"/>
              <w:right w:val="single" w:color="auto" w:sz="4" w:space="0"/>
            </w:tcBorders>
            <w:vAlign w:val="center"/>
          </w:tcPr>
          <w:p w14:paraId="11581C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12C402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21ABD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196A91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2914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09F81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0" w:type="auto"/>
            <w:vMerge w:val="continue"/>
            <w:tcBorders>
              <w:top w:val="nil"/>
              <w:left w:val="single" w:color="auto" w:sz="4" w:space="0"/>
              <w:bottom w:val="single" w:color="auto" w:sz="4" w:space="0"/>
              <w:right w:val="single" w:color="auto" w:sz="4" w:space="0"/>
            </w:tcBorders>
            <w:vAlign w:val="center"/>
          </w:tcPr>
          <w:p w14:paraId="0AD72B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71ADB6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598A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738830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25A7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07C823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0" w:type="auto"/>
            <w:vMerge w:val="continue"/>
            <w:tcBorders>
              <w:top w:val="nil"/>
              <w:left w:val="single" w:color="auto" w:sz="4" w:space="0"/>
              <w:bottom w:val="single" w:color="auto" w:sz="4" w:space="0"/>
              <w:right w:val="single" w:color="auto" w:sz="4" w:space="0"/>
            </w:tcBorders>
            <w:vAlign w:val="center"/>
          </w:tcPr>
          <w:p w14:paraId="0714FB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5402F4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4B4B3A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7D0267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7B34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34E4DC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0" w:type="auto"/>
            <w:vMerge w:val="continue"/>
            <w:tcBorders>
              <w:top w:val="nil"/>
              <w:left w:val="single" w:color="auto" w:sz="4" w:space="0"/>
              <w:bottom w:val="single" w:color="auto" w:sz="4" w:space="0"/>
              <w:right w:val="single" w:color="auto" w:sz="4" w:space="0"/>
            </w:tcBorders>
            <w:vAlign w:val="center"/>
          </w:tcPr>
          <w:p w14:paraId="0C94D4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0EF180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3D2503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34E895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AA8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00BD89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0" w:type="auto"/>
            <w:vMerge w:val="continue"/>
            <w:tcBorders>
              <w:top w:val="nil"/>
              <w:left w:val="single" w:color="auto" w:sz="4" w:space="0"/>
              <w:bottom w:val="single" w:color="auto" w:sz="4" w:space="0"/>
              <w:right w:val="single" w:color="auto" w:sz="4" w:space="0"/>
            </w:tcBorders>
            <w:vAlign w:val="center"/>
          </w:tcPr>
          <w:p w14:paraId="2FE2D5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3C5C05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1DE446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3B5753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65D4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436676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722" w:type="dxa"/>
            <w:tcBorders>
              <w:top w:val="single" w:color="auto" w:sz="4" w:space="0"/>
              <w:left w:val="single" w:color="auto" w:sz="4" w:space="0"/>
              <w:bottom w:val="single" w:color="auto" w:sz="4" w:space="0"/>
              <w:right w:val="single" w:color="auto" w:sz="4" w:space="0"/>
            </w:tcBorders>
            <w:vAlign w:val="center"/>
          </w:tcPr>
          <w:p w14:paraId="44A7EA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5D854B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72015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04688A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7B7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14:paraId="7EB3B7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注：供应商可自行添加相关资料，注明页码。</w:t>
            </w:r>
          </w:p>
        </w:tc>
      </w:tr>
    </w:tbl>
    <w:p w14:paraId="64853856">
      <w:pPr>
        <w:rPr>
          <w:rFonts w:hint="eastAsia" w:ascii="宋体" w:hAnsi="宋体" w:eastAsia="宋体" w:cs="宋体"/>
          <w:b/>
          <w:bCs/>
        </w:rPr>
      </w:pPr>
      <w:r>
        <w:rPr>
          <w:rFonts w:hint="eastAsia" w:ascii="宋体" w:hAnsi="宋体" w:eastAsia="宋体" w:cs="宋体"/>
          <w:b/>
          <w:bCs/>
        </w:rPr>
        <w:br w:type="page"/>
      </w:r>
    </w:p>
    <w:p w14:paraId="2476FD53">
      <w:pPr>
        <w:pStyle w:val="3"/>
        <w:ind w:firstLine="3534" w:firstLineChars="1100"/>
        <w:rPr>
          <w:rFonts w:hint="eastAsia" w:ascii="宋体" w:hAnsi="宋体" w:eastAsia="宋体" w:cs="宋体"/>
        </w:rPr>
      </w:pPr>
      <w:r>
        <w:rPr>
          <w:rFonts w:hint="eastAsia" w:ascii="宋体" w:hAnsi="宋体" w:eastAsia="宋体" w:cs="宋体"/>
        </w:rPr>
        <w:t>目 录</w:t>
      </w:r>
    </w:p>
    <w:p w14:paraId="138639A7">
      <w:pPr>
        <w:shd w:val="clear" w:color="auto" w:fill="FFFFFF"/>
        <w:spacing w:line="360" w:lineRule="auto"/>
        <w:ind w:firstLine="411" w:firstLineChars="196"/>
        <w:rPr>
          <w:rFonts w:hint="eastAsia" w:ascii="宋体" w:hAnsi="宋体" w:eastAsia="宋体" w:cs="宋体"/>
        </w:rPr>
      </w:pPr>
      <w:r>
        <w:rPr>
          <w:rFonts w:hint="eastAsia" w:ascii="宋体" w:hAnsi="宋体" w:eastAsia="宋体" w:cs="宋体"/>
        </w:rPr>
        <w:t xml:space="preserve"> </w:t>
      </w:r>
    </w:p>
    <w:p w14:paraId="1ADB9379">
      <w:pPr>
        <w:shd w:val="clear" w:color="auto" w:fill="FFFFFF"/>
        <w:spacing w:line="360" w:lineRule="auto"/>
        <w:ind w:firstLine="413" w:firstLineChars="196"/>
        <w:rPr>
          <w:rFonts w:hint="eastAsia" w:ascii="宋体" w:hAnsi="宋体" w:eastAsia="宋体" w:cs="宋体"/>
          <w:b/>
          <w:bCs/>
        </w:rPr>
      </w:pPr>
      <w:r>
        <w:rPr>
          <w:rFonts w:hint="eastAsia" w:ascii="宋体" w:hAnsi="宋体" w:eastAsia="宋体" w:cs="宋体"/>
          <w:b/>
          <w:bCs/>
        </w:rPr>
        <w:t>磋商响应文件相应材料请按附件样式进行填写，如附件无明确规定的，由供应商自行编制。</w:t>
      </w:r>
    </w:p>
    <w:p w14:paraId="736C9ECA">
      <w:pPr>
        <w:shd w:val="clear" w:color="auto" w:fill="FFFFFF"/>
        <w:spacing w:line="360" w:lineRule="auto"/>
        <w:ind w:firstLine="413" w:firstLineChars="196"/>
        <w:rPr>
          <w:rFonts w:hint="eastAsia" w:ascii="宋体" w:hAnsi="宋体" w:eastAsia="宋体" w:cs="宋体"/>
          <w:b/>
          <w:bCs/>
        </w:rPr>
      </w:pPr>
      <w:r>
        <w:rPr>
          <w:rFonts w:hint="eastAsia" w:ascii="宋体" w:hAnsi="宋体" w:eastAsia="宋体" w:cs="宋体"/>
          <w:b/>
          <w:bCs/>
        </w:rPr>
        <w:t>请按此目录正确编制页码！</w:t>
      </w:r>
    </w:p>
    <w:p w14:paraId="0132AB5B">
      <w:pPr>
        <w:spacing w:before="312" w:beforeLines="100" w:after="312" w:afterLines="100"/>
        <w:ind w:left="0" w:leftChars="0" w:firstLine="0" w:firstLineChars="0"/>
        <w:rPr>
          <w:rFonts w:hint="eastAsia" w:ascii="宋体" w:hAnsi="宋体" w:eastAsia="宋体" w:cs="宋体"/>
          <w:b/>
        </w:rPr>
      </w:pPr>
      <w:bookmarkStart w:id="574" w:name="_Toc534273677"/>
      <w:bookmarkEnd w:id="574"/>
      <w:bookmarkStart w:id="575" w:name="_Toc534273800"/>
    </w:p>
    <w:p w14:paraId="5E4692FD">
      <w:pPr>
        <w:spacing w:before="312" w:beforeLines="100" w:after="312" w:afterLines="100"/>
        <w:ind w:left="0" w:leftChars="0" w:firstLine="0" w:firstLineChars="0"/>
        <w:rPr>
          <w:rFonts w:hint="eastAsia" w:ascii="宋体" w:hAnsi="宋体" w:eastAsia="宋体" w:cs="宋体"/>
          <w:b/>
        </w:rPr>
      </w:pPr>
    </w:p>
    <w:p w14:paraId="2C6988DD">
      <w:pPr>
        <w:spacing w:before="312" w:beforeLines="100" w:after="312" w:afterLines="100"/>
        <w:ind w:left="0" w:leftChars="0" w:firstLine="0" w:firstLineChars="0"/>
        <w:rPr>
          <w:rFonts w:hint="eastAsia" w:ascii="宋体" w:hAnsi="宋体" w:eastAsia="宋体" w:cs="宋体"/>
          <w:b/>
        </w:rPr>
      </w:pPr>
    </w:p>
    <w:p w14:paraId="08B5E902">
      <w:pPr>
        <w:spacing w:before="312" w:beforeLines="100" w:after="312" w:afterLines="100"/>
        <w:ind w:left="0" w:leftChars="0" w:firstLine="0" w:firstLineChars="0"/>
        <w:rPr>
          <w:rFonts w:hint="eastAsia" w:ascii="宋体" w:hAnsi="宋体" w:eastAsia="宋体" w:cs="宋体"/>
          <w:b/>
        </w:rPr>
      </w:pPr>
    </w:p>
    <w:p w14:paraId="2D3FCCE0">
      <w:pPr>
        <w:spacing w:before="312" w:beforeLines="100" w:after="312" w:afterLines="100"/>
        <w:ind w:left="0" w:leftChars="0" w:firstLine="0" w:firstLineChars="0"/>
        <w:rPr>
          <w:rFonts w:hint="eastAsia" w:ascii="宋体" w:hAnsi="宋体" w:eastAsia="宋体" w:cs="宋体"/>
          <w:b/>
        </w:rPr>
      </w:pPr>
    </w:p>
    <w:p w14:paraId="37A9A596">
      <w:pPr>
        <w:spacing w:before="312" w:beforeLines="100" w:after="312" w:afterLines="100"/>
        <w:ind w:left="0" w:leftChars="0" w:firstLine="0" w:firstLineChars="0"/>
        <w:rPr>
          <w:rFonts w:hint="eastAsia" w:ascii="宋体" w:hAnsi="宋体" w:eastAsia="宋体" w:cs="宋体"/>
          <w:b/>
        </w:rPr>
      </w:pPr>
    </w:p>
    <w:p w14:paraId="0B9B7591">
      <w:pPr>
        <w:spacing w:before="312" w:beforeLines="100" w:after="312" w:afterLines="100"/>
        <w:ind w:left="0" w:leftChars="0" w:firstLine="0" w:firstLineChars="0"/>
        <w:rPr>
          <w:rFonts w:hint="eastAsia" w:ascii="宋体" w:hAnsi="宋体" w:eastAsia="宋体" w:cs="宋体"/>
          <w:b/>
        </w:rPr>
      </w:pPr>
    </w:p>
    <w:p w14:paraId="4930BCA6">
      <w:pPr>
        <w:spacing w:before="312" w:beforeLines="100" w:after="312" w:afterLines="100"/>
        <w:ind w:left="0" w:leftChars="0" w:firstLine="0" w:firstLineChars="0"/>
        <w:rPr>
          <w:rFonts w:hint="eastAsia" w:ascii="宋体" w:hAnsi="宋体" w:eastAsia="宋体" w:cs="宋体"/>
          <w:b/>
        </w:rPr>
      </w:pPr>
    </w:p>
    <w:p w14:paraId="2A092C7B">
      <w:pPr>
        <w:spacing w:before="312" w:beforeLines="100" w:after="312" w:afterLines="100"/>
        <w:ind w:left="0" w:leftChars="0" w:firstLine="0" w:firstLineChars="0"/>
        <w:rPr>
          <w:rFonts w:hint="eastAsia" w:ascii="宋体" w:hAnsi="宋体" w:eastAsia="宋体" w:cs="宋体"/>
          <w:b/>
        </w:rPr>
      </w:pPr>
    </w:p>
    <w:p w14:paraId="6ED631E2">
      <w:pPr>
        <w:spacing w:before="312" w:beforeLines="100" w:after="312" w:afterLines="100"/>
        <w:ind w:left="0" w:leftChars="0" w:firstLine="0" w:firstLineChars="0"/>
        <w:rPr>
          <w:rFonts w:hint="eastAsia" w:ascii="宋体" w:hAnsi="宋体" w:eastAsia="宋体" w:cs="宋体"/>
          <w:b/>
        </w:rPr>
      </w:pPr>
    </w:p>
    <w:p w14:paraId="6E617525">
      <w:pPr>
        <w:spacing w:before="312" w:beforeLines="100" w:after="312" w:afterLines="100"/>
        <w:ind w:left="0" w:leftChars="0" w:firstLine="0" w:firstLineChars="0"/>
        <w:rPr>
          <w:rFonts w:hint="eastAsia" w:ascii="宋体" w:hAnsi="宋体" w:eastAsia="宋体" w:cs="宋体"/>
          <w:b/>
        </w:rPr>
      </w:pPr>
    </w:p>
    <w:p w14:paraId="0CA77DE0">
      <w:pPr>
        <w:spacing w:before="312" w:beforeLines="100" w:after="312" w:afterLines="100"/>
        <w:ind w:left="0" w:leftChars="0" w:firstLine="0" w:firstLineChars="0"/>
        <w:rPr>
          <w:rFonts w:hint="eastAsia" w:ascii="宋体" w:hAnsi="宋体" w:eastAsia="宋体" w:cs="宋体"/>
          <w:b/>
        </w:rPr>
      </w:pPr>
    </w:p>
    <w:p w14:paraId="101361D8">
      <w:pPr>
        <w:spacing w:before="312" w:beforeLines="100" w:after="312" w:afterLines="100"/>
        <w:ind w:left="0" w:leftChars="0" w:firstLine="0" w:firstLineChars="0"/>
        <w:rPr>
          <w:rFonts w:hint="eastAsia" w:ascii="宋体" w:hAnsi="宋体" w:eastAsia="宋体" w:cs="宋体"/>
          <w:b/>
        </w:rPr>
      </w:pPr>
    </w:p>
    <w:p w14:paraId="596AB997">
      <w:pPr>
        <w:spacing w:before="312" w:beforeLines="100" w:after="312" w:afterLines="100"/>
        <w:ind w:left="0" w:leftChars="0" w:firstLine="0" w:firstLineChars="0"/>
        <w:rPr>
          <w:rFonts w:hint="eastAsia" w:ascii="宋体" w:hAnsi="宋体" w:eastAsia="宋体" w:cs="宋体"/>
          <w:b/>
        </w:rPr>
      </w:pPr>
    </w:p>
    <w:p w14:paraId="0B90CA14">
      <w:pPr>
        <w:spacing w:before="312" w:beforeLines="100" w:after="312" w:afterLines="100"/>
        <w:ind w:left="0" w:leftChars="0" w:firstLine="0" w:firstLineChars="0"/>
        <w:rPr>
          <w:rFonts w:hint="eastAsia" w:ascii="宋体" w:hAnsi="宋体" w:eastAsia="宋体" w:cs="宋体"/>
        </w:rPr>
      </w:pPr>
      <w:r>
        <w:rPr>
          <w:rFonts w:hint="eastAsia" w:ascii="宋体" w:hAnsi="宋体" w:eastAsia="宋体" w:cs="宋体"/>
          <w:b/>
        </w:rPr>
        <w:t>附件一、竞争性磋商申请及声明</w:t>
      </w:r>
      <w:bookmarkEnd w:id="575"/>
    </w:p>
    <w:p w14:paraId="129A9540">
      <w:pPr>
        <w:jc w:val="center"/>
        <w:rPr>
          <w:rFonts w:hint="eastAsia" w:ascii="宋体" w:hAnsi="宋体" w:eastAsia="宋体" w:cs="宋体"/>
        </w:rPr>
      </w:pPr>
      <w:r>
        <w:rPr>
          <w:rFonts w:hint="eastAsia" w:ascii="宋体" w:hAnsi="宋体" w:eastAsia="宋体" w:cs="宋体"/>
          <w:b/>
          <w:sz w:val="36"/>
          <w:szCs w:val="36"/>
        </w:rPr>
        <w:t>竞争性磋商申请及声明</w:t>
      </w:r>
      <w:r>
        <w:rPr>
          <w:rFonts w:hint="eastAsia" w:ascii="宋体" w:hAnsi="宋体" w:eastAsia="宋体" w:cs="宋体"/>
        </w:rPr>
        <w:t xml:space="preserve"> </w:t>
      </w:r>
    </w:p>
    <w:p w14:paraId="585E7969">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致（</w:t>
      </w:r>
      <w:r>
        <w:rPr>
          <w:rFonts w:hint="eastAsia" w:ascii="宋体" w:hAnsi="宋体" w:cs="宋体"/>
          <w:lang w:eastAsia="zh-CN"/>
        </w:rPr>
        <w:t>采购人</w:t>
      </w:r>
      <w:r>
        <w:rPr>
          <w:rFonts w:hint="eastAsia" w:ascii="宋体" w:hAnsi="宋体" w:eastAsia="宋体" w:cs="宋体"/>
        </w:rPr>
        <w:t xml:space="preserve">）： </w:t>
      </w:r>
    </w:p>
    <w:p w14:paraId="22E51737">
      <w:pPr>
        <w:autoSpaceDE w:val="0"/>
        <w:autoSpaceDN w:val="0"/>
        <w:adjustRightInd w:val="0"/>
        <w:spacing w:line="360" w:lineRule="auto"/>
        <w:ind w:firstLine="420"/>
        <w:rPr>
          <w:rFonts w:hint="eastAsia" w:ascii="宋体" w:hAnsi="宋体" w:eastAsia="宋体" w:cs="宋体"/>
        </w:rPr>
      </w:pPr>
      <w:r>
        <w:rPr>
          <w:rFonts w:hint="eastAsia" w:ascii="宋体" w:hAnsi="宋体" w:eastAsia="宋体" w:cs="宋体"/>
        </w:rPr>
        <w:t>根据贵方</w:t>
      </w:r>
      <w:r>
        <w:rPr>
          <w:rFonts w:hint="eastAsia" w:cs="宋体"/>
          <w:u w:val="single"/>
          <w:lang w:val="en-US" w:eastAsia="zh-CN"/>
        </w:rPr>
        <w:t xml:space="preserve">          </w:t>
      </w:r>
      <w:r>
        <w:rPr>
          <w:rFonts w:hint="eastAsia" w:ascii="宋体" w:hAnsi="宋体" w:eastAsia="宋体" w:cs="宋体"/>
        </w:rPr>
        <w:t>（项目名称）</w:t>
      </w:r>
      <w:r>
        <w:rPr>
          <w:rFonts w:hint="eastAsia" w:ascii="宋体" w:hAnsi="宋体" w:eastAsia="宋体" w:cs="宋体"/>
          <w:u w:val="single"/>
        </w:rPr>
        <w:t xml:space="preserve">         </w:t>
      </w:r>
      <w:r>
        <w:rPr>
          <w:rFonts w:hint="eastAsia" w:ascii="宋体" w:hAnsi="宋体" w:eastAsia="宋体" w:cs="宋体"/>
        </w:rPr>
        <w:t>（项目编号）竞争性磋商公告，正式授权下述签字人</w:t>
      </w:r>
      <w:r>
        <w:rPr>
          <w:rFonts w:hint="eastAsia" w:cs="宋体"/>
          <w:u w:val="single"/>
          <w:lang w:val="en-US" w:eastAsia="zh-CN"/>
        </w:rPr>
        <w:t xml:space="preserve">       </w:t>
      </w:r>
      <w:r>
        <w:rPr>
          <w:rFonts w:hint="eastAsia" w:ascii="宋体" w:hAnsi="宋体" w:eastAsia="宋体" w:cs="宋体"/>
        </w:rPr>
        <w:t>(姓名和职务)代表</w:t>
      </w:r>
      <w:r>
        <w:rPr>
          <w:rFonts w:hint="eastAsia" w:cs="宋体"/>
          <w:u w:val="single"/>
          <w:lang w:val="en-US" w:eastAsia="zh-CN"/>
        </w:rPr>
        <w:t xml:space="preserve">       </w:t>
      </w:r>
      <w:r>
        <w:rPr>
          <w:rFonts w:hint="eastAsia" w:ascii="宋体" w:hAnsi="宋体" w:eastAsia="宋体" w:cs="宋体"/>
        </w:rPr>
        <w:t>（供应商名称），提交响应性文件并参加磋商。</w:t>
      </w:r>
    </w:p>
    <w:p w14:paraId="026A6676">
      <w:pPr>
        <w:spacing w:line="360" w:lineRule="auto"/>
        <w:ind w:firstLine="420" w:firstLineChars="200"/>
        <w:rPr>
          <w:rFonts w:hint="eastAsia" w:ascii="宋体" w:hAnsi="宋体" w:eastAsia="宋体" w:cs="宋体"/>
        </w:rPr>
      </w:pPr>
      <w:r>
        <w:rPr>
          <w:rFonts w:hint="eastAsia" w:ascii="宋体" w:hAnsi="宋体" w:eastAsia="宋体" w:cs="宋体"/>
        </w:rPr>
        <w:t>据此函，签字人兹宣布同意如下：</w:t>
      </w:r>
    </w:p>
    <w:p w14:paraId="06FA4602">
      <w:pPr>
        <w:spacing w:line="360" w:lineRule="auto"/>
        <w:ind w:firstLine="420" w:firstLineChars="200"/>
        <w:rPr>
          <w:rFonts w:hint="eastAsia" w:ascii="宋体" w:hAnsi="宋体" w:eastAsia="宋体" w:cs="宋体"/>
        </w:rPr>
      </w:pPr>
      <w:r>
        <w:rPr>
          <w:rFonts w:hint="eastAsia" w:ascii="宋体" w:hAnsi="宋体" w:eastAsia="宋体" w:cs="宋体"/>
        </w:rPr>
        <w:t>1、我们的资格条件完全符合政府采购法和本次采购要求，我们同意并向贵方提供了与本次采购活动有关的所有证据和资料。</w:t>
      </w:r>
    </w:p>
    <w:p w14:paraId="3EDFEAC1">
      <w:pPr>
        <w:spacing w:line="360" w:lineRule="auto"/>
        <w:ind w:firstLine="420" w:firstLineChars="200"/>
        <w:rPr>
          <w:rFonts w:hint="eastAsia" w:ascii="宋体" w:hAnsi="宋体" w:eastAsia="宋体" w:cs="宋体"/>
        </w:rPr>
      </w:pPr>
      <w:r>
        <w:rPr>
          <w:rFonts w:hint="eastAsia" w:ascii="宋体" w:hAnsi="宋体" w:eastAsia="宋体" w:cs="宋体"/>
        </w:rPr>
        <w:t>2、总报价为（大写）</w:t>
      </w:r>
      <w:r>
        <w:rPr>
          <w:rFonts w:hint="eastAsia" w:ascii="宋体" w:hAnsi="宋体" w:eastAsia="宋体" w:cs="宋体"/>
          <w:u w:val="single"/>
        </w:rPr>
        <w:t xml:space="preserve">         </w:t>
      </w:r>
      <w:r>
        <w:rPr>
          <w:rFonts w:hint="eastAsia" w:ascii="宋体" w:hAnsi="宋体" w:eastAsia="宋体" w:cs="宋体"/>
          <w:u w:val="none"/>
        </w:rPr>
        <w:t>元，（小写）</w:t>
      </w:r>
      <w:r>
        <w:rPr>
          <w:rFonts w:hint="eastAsia" w:ascii="宋体" w:hAnsi="宋体" w:eastAsia="宋体" w:cs="宋体"/>
          <w:u w:val="single"/>
        </w:rPr>
        <w:t xml:space="preserve">    </w:t>
      </w:r>
      <w:r>
        <w:rPr>
          <w:rFonts w:hint="eastAsia"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none"/>
        </w:rPr>
        <w:t>元。</w:t>
      </w:r>
    </w:p>
    <w:p w14:paraId="0FC51358">
      <w:pPr>
        <w:spacing w:line="360" w:lineRule="auto"/>
        <w:ind w:firstLine="420" w:firstLineChars="200"/>
        <w:rPr>
          <w:rFonts w:hint="eastAsia" w:ascii="宋体" w:hAnsi="宋体" w:eastAsia="宋体" w:cs="宋体"/>
        </w:rPr>
      </w:pPr>
      <w:r>
        <w:rPr>
          <w:rFonts w:hint="eastAsia" w:ascii="宋体" w:hAnsi="宋体" w:eastAsia="宋体" w:cs="宋体"/>
        </w:rPr>
        <w:t>3、我们的报价产品中</w:t>
      </w:r>
      <w:r>
        <w:rPr>
          <w:rFonts w:hint="eastAsia" w:ascii="宋体" w:hAnsi="宋体" w:eastAsia="宋体" w:cs="宋体"/>
          <w:u w:val="single"/>
        </w:rPr>
        <w:t xml:space="preserve">      </w:t>
      </w:r>
      <w:r>
        <w:rPr>
          <w:rFonts w:hint="eastAsia" w:ascii="宋体" w:hAnsi="宋体" w:eastAsia="宋体" w:cs="宋体"/>
          <w:b/>
          <w:bCs/>
        </w:rPr>
        <w:t>（有或无）进口产品（服务）。</w:t>
      </w:r>
    </w:p>
    <w:p w14:paraId="250B25DC">
      <w:pPr>
        <w:spacing w:line="360" w:lineRule="auto"/>
        <w:ind w:firstLine="420" w:firstLineChars="200"/>
        <w:rPr>
          <w:rFonts w:hint="eastAsia" w:ascii="宋体" w:hAnsi="宋体" w:eastAsia="宋体" w:cs="宋体"/>
        </w:rPr>
      </w:pPr>
      <w:r>
        <w:rPr>
          <w:rFonts w:hint="eastAsia" w:ascii="宋体" w:hAnsi="宋体" w:eastAsia="宋体" w:cs="宋体"/>
        </w:rPr>
        <w:t>4、我们已详细阅读全部磋商文件及其有效补充文件，我们放弃对磋商文件任何误解的权利，提交响应文件后，</w:t>
      </w:r>
      <w:r>
        <w:rPr>
          <w:rFonts w:hint="eastAsia" w:ascii="宋体" w:hAnsi="宋体" w:eastAsia="宋体" w:cs="宋体"/>
          <w:b/>
        </w:rPr>
        <w:t>不对磋商文件本身提出质疑</w:t>
      </w:r>
      <w:r>
        <w:rPr>
          <w:rFonts w:hint="eastAsia" w:ascii="宋体" w:hAnsi="宋体" w:eastAsia="宋体" w:cs="宋体"/>
        </w:rPr>
        <w:t>。</w:t>
      </w:r>
    </w:p>
    <w:p w14:paraId="19B3B6CE">
      <w:pPr>
        <w:spacing w:line="360" w:lineRule="auto"/>
        <w:ind w:firstLine="420" w:firstLineChars="200"/>
        <w:rPr>
          <w:rFonts w:hint="eastAsia" w:ascii="宋体" w:hAnsi="宋体" w:eastAsia="宋体" w:cs="宋体"/>
        </w:rPr>
      </w:pPr>
      <w:r>
        <w:rPr>
          <w:rFonts w:hint="eastAsia" w:ascii="宋体" w:hAnsi="宋体" w:eastAsia="宋体" w:cs="宋体"/>
        </w:rPr>
        <w:t>5、一旦我方成交，我方将根据磋商文件的规定，严格履行合同，保证于承诺的时间内完成货物的启动、调试等服务，并交付采购人验收、使用。</w:t>
      </w:r>
    </w:p>
    <w:p w14:paraId="6836E7F7">
      <w:pPr>
        <w:spacing w:line="360" w:lineRule="auto"/>
        <w:ind w:firstLine="420" w:firstLineChars="200"/>
        <w:rPr>
          <w:rFonts w:hint="eastAsia" w:ascii="宋体" w:hAnsi="宋体" w:eastAsia="宋体" w:cs="宋体"/>
        </w:rPr>
      </w:pPr>
      <w:r>
        <w:rPr>
          <w:rFonts w:hint="eastAsia" w:ascii="宋体" w:hAnsi="宋体" w:eastAsia="宋体" w:cs="宋体"/>
        </w:rPr>
        <w:t>6、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4E203885">
      <w:pPr>
        <w:spacing w:line="360" w:lineRule="auto"/>
        <w:ind w:firstLine="420" w:firstLineChars="200"/>
        <w:rPr>
          <w:rFonts w:hint="eastAsia" w:ascii="宋体" w:hAnsi="宋体" w:eastAsia="宋体" w:cs="宋体"/>
        </w:rPr>
      </w:pPr>
      <w:r>
        <w:rPr>
          <w:rFonts w:hint="eastAsia" w:ascii="宋体" w:hAnsi="宋体" w:eastAsia="宋体" w:cs="宋体"/>
        </w:rPr>
        <w:t>7、我方正式通讯方式为：</w:t>
      </w:r>
    </w:p>
    <w:p w14:paraId="3D3AD082">
      <w:pPr>
        <w:spacing w:line="360" w:lineRule="auto"/>
        <w:ind w:firstLine="420" w:firstLineChars="200"/>
        <w:rPr>
          <w:rFonts w:hint="eastAsia" w:ascii="宋体" w:hAnsi="宋体" w:eastAsia="宋体" w:cs="宋体"/>
          <w:u w:val="single"/>
        </w:rPr>
      </w:pPr>
      <w:r>
        <w:rPr>
          <w:rFonts w:hint="eastAsia" w:ascii="宋体" w:hAnsi="宋体" w:eastAsia="宋体" w:cs="宋体"/>
        </w:rPr>
        <w:t>地   址：</w:t>
      </w:r>
    </w:p>
    <w:p w14:paraId="2DA01CBF">
      <w:pPr>
        <w:spacing w:line="360" w:lineRule="auto"/>
        <w:ind w:firstLine="420" w:firstLineChars="200"/>
        <w:rPr>
          <w:rFonts w:hint="eastAsia" w:ascii="宋体" w:hAnsi="宋体" w:eastAsia="宋体" w:cs="宋体"/>
          <w:u w:val="single"/>
        </w:rPr>
      </w:pPr>
      <w:r>
        <w:rPr>
          <w:rFonts w:hint="eastAsia" w:ascii="宋体" w:hAnsi="宋体" w:eastAsia="宋体" w:cs="宋体"/>
        </w:rPr>
        <w:t>电   话：</w:t>
      </w:r>
    </w:p>
    <w:p w14:paraId="74A2E66B">
      <w:pPr>
        <w:spacing w:line="360" w:lineRule="auto"/>
        <w:ind w:firstLine="420" w:firstLineChars="200"/>
        <w:rPr>
          <w:rFonts w:hint="eastAsia" w:ascii="宋体" w:hAnsi="宋体" w:eastAsia="宋体" w:cs="宋体"/>
          <w:u w:val="single"/>
        </w:rPr>
      </w:pPr>
      <w:r>
        <w:rPr>
          <w:rFonts w:hint="eastAsia" w:ascii="宋体" w:hAnsi="宋体" w:eastAsia="宋体" w:cs="宋体"/>
        </w:rPr>
        <w:t>传   真：</w:t>
      </w:r>
    </w:p>
    <w:p w14:paraId="37629A68">
      <w:pPr>
        <w:spacing w:line="360" w:lineRule="auto"/>
        <w:ind w:firstLine="420" w:firstLineChars="200"/>
        <w:rPr>
          <w:rFonts w:hint="eastAsia" w:ascii="宋体" w:hAnsi="宋体" w:eastAsia="宋体" w:cs="宋体"/>
        </w:rPr>
      </w:pPr>
      <w:r>
        <w:rPr>
          <w:rFonts w:hint="eastAsia" w:ascii="宋体" w:hAnsi="宋体" w:eastAsia="宋体" w:cs="宋体"/>
        </w:rPr>
        <w:t>8、我方正式开户银行和账号为：</w:t>
      </w:r>
    </w:p>
    <w:p w14:paraId="1F5436E7">
      <w:pPr>
        <w:spacing w:line="360" w:lineRule="auto"/>
        <w:ind w:firstLine="420" w:firstLineChars="200"/>
        <w:rPr>
          <w:rFonts w:hint="eastAsia" w:ascii="宋体" w:hAnsi="宋体" w:eastAsia="宋体" w:cs="宋体"/>
          <w:u w:val="single"/>
        </w:rPr>
      </w:pPr>
      <w:r>
        <w:rPr>
          <w:rFonts w:hint="eastAsia" w:ascii="宋体" w:hAnsi="宋体" w:eastAsia="宋体" w:cs="宋体"/>
        </w:rPr>
        <w:t>开户银行：</w:t>
      </w:r>
    </w:p>
    <w:p w14:paraId="3DE6B235">
      <w:pPr>
        <w:spacing w:line="360" w:lineRule="auto"/>
        <w:ind w:firstLine="420" w:firstLineChars="200"/>
        <w:rPr>
          <w:rFonts w:hint="eastAsia" w:ascii="宋体" w:hAnsi="宋体" w:eastAsia="宋体" w:cs="宋体"/>
        </w:rPr>
      </w:pPr>
      <w:r>
        <w:rPr>
          <w:rFonts w:hint="eastAsia" w:ascii="宋体" w:hAnsi="宋体" w:eastAsia="宋体" w:cs="宋体"/>
        </w:rPr>
        <w:t>账    号：</w:t>
      </w:r>
    </w:p>
    <w:p w14:paraId="2BDDF810">
      <w:pPr>
        <w:spacing w:line="360" w:lineRule="auto"/>
        <w:ind w:firstLine="420" w:firstLineChars="200"/>
        <w:rPr>
          <w:rFonts w:hint="eastAsia" w:ascii="宋体" w:hAnsi="宋体" w:eastAsia="宋体" w:cs="宋体"/>
          <w:u w:val="single"/>
        </w:rPr>
      </w:pPr>
      <w:r>
        <w:rPr>
          <w:rFonts w:hint="eastAsia" w:ascii="宋体" w:hAnsi="宋体" w:eastAsia="宋体" w:cs="宋体"/>
        </w:rPr>
        <w:t>供应商授权代表姓名（签字或签章）：</w:t>
      </w:r>
    </w:p>
    <w:p w14:paraId="6C1F3003">
      <w:pPr>
        <w:spacing w:line="360" w:lineRule="auto"/>
        <w:ind w:firstLine="420" w:firstLineChars="200"/>
        <w:rPr>
          <w:rFonts w:hint="eastAsia" w:ascii="宋体" w:hAnsi="宋体" w:eastAsia="宋体" w:cs="宋体"/>
        </w:rPr>
      </w:pPr>
      <w:r>
        <w:rPr>
          <w:rFonts w:hint="eastAsia" w:ascii="宋体" w:hAnsi="宋体" w:eastAsia="宋体" w:cs="宋体"/>
        </w:rPr>
        <w:t>供应商名称（公章）：</w:t>
      </w:r>
    </w:p>
    <w:p w14:paraId="2CA9684A">
      <w:pPr>
        <w:spacing w:line="360" w:lineRule="auto"/>
        <w:ind w:firstLine="420" w:firstLineChars="200"/>
        <w:rPr>
          <w:rFonts w:hint="eastAsia" w:ascii="宋体" w:hAnsi="宋体" w:eastAsia="宋体" w:cs="宋体"/>
        </w:rPr>
      </w:pPr>
      <w:r>
        <w:rPr>
          <w:rFonts w:hint="eastAsia" w:ascii="宋体" w:hAnsi="宋体" w:eastAsia="宋体" w:cs="宋体"/>
        </w:rPr>
        <w:t>日    期：</w:t>
      </w:r>
      <w:r>
        <w:rPr>
          <w:rFonts w:hint="eastAsia" w:cs="宋体"/>
          <w:lang w:val="en-US" w:eastAsia="zh-CN"/>
        </w:rPr>
        <w:t xml:space="preserve"> </w:t>
      </w:r>
      <w:r>
        <w:rPr>
          <w:rFonts w:hint="eastAsia" w:ascii="宋体" w:hAnsi="宋体" w:eastAsia="宋体" w:cs="宋体"/>
        </w:rPr>
        <w:t>年</w:t>
      </w:r>
      <w:r>
        <w:rPr>
          <w:rFonts w:hint="eastAsia" w:cs="宋体"/>
          <w:lang w:val="en-US" w:eastAsia="zh-CN"/>
        </w:rPr>
        <w:t xml:space="preserve">  </w:t>
      </w:r>
      <w:r>
        <w:rPr>
          <w:rFonts w:hint="eastAsia" w:ascii="宋体" w:hAnsi="宋体" w:eastAsia="宋体" w:cs="宋体"/>
        </w:rPr>
        <w:t>月</w:t>
      </w:r>
      <w:r>
        <w:rPr>
          <w:rFonts w:hint="eastAsia" w:cs="宋体"/>
          <w:lang w:val="en-US" w:eastAsia="zh-CN"/>
        </w:rPr>
        <w:t xml:space="preserve">  </w:t>
      </w:r>
      <w:r>
        <w:rPr>
          <w:rFonts w:hint="eastAsia" w:ascii="宋体" w:hAnsi="宋体" w:eastAsia="宋体" w:cs="宋体"/>
        </w:rPr>
        <w:t>日</w:t>
      </w:r>
    </w:p>
    <w:p w14:paraId="104CE75C">
      <w:pPr>
        <w:spacing w:before="312" w:beforeLines="100" w:after="312" w:afterLines="100"/>
        <w:rPr>
          <w:rFonts w:hint="eastAsia" w:ascii="宋体" w:hAnsi="宋体" w:eastAsia="宋体" w:cs="宋体"/>
          <w:b/>
        </w:rPr>
        <w:sectPr>
          <w:footerReference r:id="rId8" w:type="default"/>
          <w:pgSz w:w="11906" w:h="16838"/>
          <w:pgMar w:top="1440" w:right="1800" w:bottom="1440" w:left="1800" w:header="851" w:footer="992" w:gutter="0"/>
          <w:pgNumType w:fmt="decimal"/>
          <w:cols w:space="425" w:num="1"/>
          <w:docGrid w:type="lines" w:linePitch="312" w:charSpace="0"/>
        </w:sectPr>
      </w:pPr>
      <w:bookmarkStart w:id="576" w:name="_Toc490133029"/>
      <w:bookmarkEnd w:id="576"/>
      <w:bookmarkStart w:id="577" w:name="_Toc504056869"/>
      <w:bookmarkEnd w:id="577"/>
      <w:bookmarkStart w:id="578" w:name="_Toc534273801"/>
      <w:bookmarkEnd w:id="578"/>
      <w:bookmarkStart w:id="579" w:name="_Toc534273678"/>
      <w:bookmarkEnd w:id="579"/>
      <w:bookmarkStart w:id="580" w:name="_Toc504573084"/>
      <w:bookmarkEnd w:id="580"/>
      <w:bookmarkStart w:id="581" w:name="_Toc504044381"/>
    </w:p>
    <w:p w14:paraId="6A18F6C4">
      <w:pPr>
        <w:spacing w:before="312" w:beforeLines="100" w:after="312" w:afterLines="100"/>
        <w:ind w:left="0" w:leftChars="0" w:firstLine="0" w:firstLineChars="0"/>
        <w:rPr>
          <w:rFonts w:hint="eastAsia" w:ascii="宋体" w:hAnsi="宋体" w:eastAsia="宋体" w:cs="宋体"/>
          <w:b/>
        </w:rPr>
      </w:pPr>
      <w:r>
        <w:rPr>
          <w:rFonts w:hint="eastAsia" w:ascii="宋体" w:hAnsi="宋体" w:eastAsia="宋体" w:cs="宋体"/>
          <w:b/>
        </w:rPr>
        <w:t>附件二、法定代表人授权书格式</w:t>
      </w:r>
      <w:bookmarkEnd w:id="581"/>
    </w:p>
    <w:p w14:paraId="679CF74C">
      <w:pPr>
        <w:autoSpaceDE w:val="0"/>
        <w:autoSpaceDN w:val="0"/>
        <w:adjustRightInd w:val="0"/>
        <w:rPr>
          <w:rFonts w:hint="eastAsia" w:ascii="宋体" w:hAnsi="宋体" w:eastAsia="宋体" w:cs="宋体"/>
          <w:b/>
        </w:rPr>
      </w:pPr>
      <w:r>
        <w:rPr>
          <w:rFonts w:hint="eastAsia" w:ascii="宋体" w:hAnsi="宋体" w:eastAsia="宋体" w:cs="宋体"/>
          <w:b/>
        </w:rPr>
        <w:t xml:space="preserve"> </w:t>
      </w:r>
    </w:p>
    <w:p w14:paraId="7E4B16EC">
      <w:pPr>
        <w:jc w:val="center"/>
        <w:rPr>
          <w:rFonts w:hint="eastAsia" w:ascii="宋体" w:hAnsi="宋体" w:eastAsia="宋体" w:cs="宋体"/>
          <w:b/>
          <w:sz w:val="36"/>
          <w:szCs w:val="36"/>
        </w:rPr>
      </w:pPr>
      <w:r>
        <w:rPr>
          <w:rFonts w:hint="eastAsia" w:ascii="宋体" w:hAnsi="宋体" w:eastAsia="宋体" w:cs="宋体"/>
          <w:b/>
          <w:sz w:val="36"/>
          <w:szCs w:val="36"/>
        </w:rPr>
        <w:t>法定代表人授权书</w:t>
      </w:r>
    </w:p>
    <w:p w14:paraId="1AB2F325">
      <w:pPr>
        <w:autoSpaceDE w:val="0"/>
        <w:autoSpaceDN w:val="0"/>
        <w:adjustRightInd w:val="0"/>
        <w:spacing w:line="360" w:lineRule="auto"/>
        <w:rPr>
          <w:rFonts w:hint="eastAsia" w:ascii="宋体" w:hAnsi="宋体" w:eastAsia="宋体" w:cs="宋体"/>
        </w:rPr>
      </w:pPr>
      <w:r>
        <w:rPr>
          <w:rFonts w:hint="eastAsia" w:ascii="宋体" w:hAnsi="宋体" w:eastAsia="宋体" w:cs="宋体"/>
        </w:rPr>
        <w:t xml:space="preserve"> </w:t>
      </w:r>
    </w:p>
    <w:p w14:paraId="369E95E8">
      <w:pPr>
        <w:autoSpaceDE w:val="0"/>
        <w:autoSpaceDN w:val="0"/>
        <w:adjustRightInd w:val="0"/>
        <w:spacing w:line="360" w:lineRule="auto"/>
        <w:rPr>
          <w:rFonts w:hint="eastAsia" w:ascii="宋体" w:hAnsi="宋体" w:eastAsia="宋体" w:cs="宋体"/>
        </w:rPr>
      </w:pPr>
      <w:r>
        <w:rPr>
          <w:rFonts w:hint="eastAsia" w:ascii="宋体" w:hAnsi="宋体" w:eastAsia="宋体" w:cs="宋体"/>
        </w:rPr>
        <w:t>致（</w:t>
      </w:r>
      <w:r>
        <w:rPr>
          <w:rFonts w:hint="eastAsia" w:ascii="宋体" w:hAnsi="宋体" w:cs="宋体"/>
          <w:lang w:eastAsia="zh-CN"/>
        </w:rPr>
        <w:t>采购人</w:t>
      </w:r>
      <w:r>
        <w:rPr>
          <w:rFonts w:hint="eastAsia" w:ascii="宋体" w:hAnsi="宋体" w:eastAsia="宋体" w:cs="宋体"/>
        </w:rPr>
        <w:t xml:space="preserve">）： </w:t>
      </w:r>
    </w:p>
    <w:p w14:paraId="2398B4E4">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本授权书声明：注册于</w:t>
      </w:r>
      <w:r>
        <w:rPr>
          <w:rFonts w:hint="eastAsia" w:ascii="宋体" w:hAnsi="宋体" w:eastAsia="宋体" w:cs="宋体"/>
          <w:u w:val="single"/>
        </w:rPr>
        <w:t xml:space="preserve">     </w:t>
      </w:r>
      <w:r>
        <w:rPr>
          <w:rFonts w:hint="eastAsia" w:ascii="宋体" w:hAnsi="宋体" w:eastAsia="宋体" w:cs="宋体"/>
        </w:rPr>
        <w:t>（供应商住址）的</w:t>
      </w:r>
      <w:r>
        <w:rPr>
          <w:rFonts w:hint="eastAsia" w:ascii="宋体" w:hAnsi="宋体" w:eastAsia="宋体" w:cs="宋体"/>
          <w:u w:val="single"/>
        </w:rPr>
        <w:t xml:space="preserve">     </w:t>
      </w:r>
      <w:r>
        <w:rPr>
          <w:rFonts w:hint="eastAsia" w:ascii="宋体" w:hAnsi="宋体" w:eastAsia="宋体" w:cs="宋体"/>
        </w:rPr>
        <w:t>（供应商名称）法定代表人</w:t>
      </w:r>
      <w:r>
        <w:rPr>
          <w:rFonts w:hint="eastAsia" w:ascii="宋体" w:hAnsi="宋体" w:eastAsia="宋体" w:cs="宋体"/>
          <w:u w:val="single"/>
        </w:rPr>
        <w:t xml:space="preserve">     </w:t>
      </w:r>
      <w:r>
        <w:rPr>
          <w:rFonts w:hint="eastAsia" w:ascii="宋体" w:hAnsi="宋体" w:eastAsia="宋体" w:cs="宋体"/>
        </w:rPr>
        <w:t>（法定代表人姓名、职务）代表本公司授权在下面签字的</w:t>
      </w:r>
      <w:r>
        <w:rPr>
          <w:rFonts w:hint="eastAsia" w:ascii="宋体" w:hAnsi="宋体" w:eastAsia="宋体" w:cs="宋体"/>
          <w:u w:val="single"/>
        </w:rPr>
        <w:t xml:space="preserve">     </w:t>
      </w:r>
      <w:r>
        <w:rPr>
          <w:rFonts w:hint="eastAsia" w:ascii="宋体" w:hAnsi="宋体" w:eastAsia="宋体" w:cs="宋体"/>
        </w:rPr>
        <w:t>（供应商代表姓名、职务）为本公司的合法代理人，就贵方组织的</w:t>
      </w:r>
      <w:r>
        <w:rPr>
          <w:rFonts w:hint="eastAsia" w:cs="宋体"/>
          <w:lang w:val="en-US" w:eastAsia="zh-CN"/>
        </w:rPr>
        <w:t xml:space="preserve">           </w:t>
      </w:r>
      <w:r>
        <w:rPr>
          <w:rFonts w:hint="eastAsia" w:ascii="宋体" w:hAnsi="宋体" w:eastAsia="宋体" w:cs="宋体"/>
          <w:u w:val="single"/>
        </w:rPr>
        <w:t xml:space="preserve">     </w:t>
      </w:r>
      <w:r>
        <w:rPr>
          <w:rFonts w:hint="eastAsia" w:cs="宋体"/>
          <w:u w:val="single"/>
          <w:lang w:val="en-US" w:eastAsia="zh-CN"/>
        </w:rPr>
        <w:t xml:space="preserve">            </w:t>
      </w:r>
      <w:r>
        <w:rPr>
          <w:rFonts w:hint="eastAsia" w:ascii="宋体" w:hAnsi="宋体" w:eastAsia="宋体" w:cs="宋体"/>
        </w:rPr>
        <w:t>项目名称</w:t>
      </w:r>
      <w:r>
        <w:rPr>
          <w:rFonts w:hint="eastAsia" w:cs="宋体"/>
          <w:lang w:eastAsia="zh-CN"/>
        </w:rPr>
        <w:t>：</w:t>
      </w:r>
      <w:r>
        <w:rPr>
          <w:rFonts w:hint="eastAsia" w:cs="宋体"/>
          <w:u w:val="single"/>
          <w:lang w:val="en-US" w:eastAsia="zh-CN"/>
        </w:rPr>
        <w:t xml:space="preserve">         </w:t>
      </w: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rPr>
        <w:t>竞争性磋商，以本公司名义处理一切与之有关的事务。</w:t>
      </w:r>
    </w:p>
    <w:p w14:paraId="7789A1F0">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本授权书于        年   月   日签字或签章生效，特此声明。</w:t>
      </w:r>
    </w:p>
    <w:p w14:paraId="42FE03DB">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法定代表人签字或签章：</w:t>
      </w:r>
    </w:p>
    <w:p w14:paraId="551FE2EA">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被授权人签字：</w:t>
      </w:r>
    </w:p>
    <w:p w14:paraId="1783A5B2">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供应商盖章：</w:t>
      </w:r>
    </w:p>
    <w:p w14:paraId="448A341C">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日        期：        年    月    日</w:t>
      </w:r>
    </w:p>
    <w:p w14:paraId="0DA8FA39">
      <w:pPr>
        <w:autoSpaceDE w:val="0"/>
        <w:autoSpaceDN w:val="0"/>
        <w:adjustRightInd w:val="0"/>
        <w:spacing w:line="360" w:lineRule="auto"/>
        <w:rPr>
          <w:rFonts w:hint="eastAsia" w:ascii="宋体" w:hAnsi="宋体" w:eastAsia="宋体" w:cs="宋体"/>
        </w:rPr>
      </w:pPr>
      <w:r>
        <w:rPr>
          <w:rFonts w:hint="eastAsia" w:ascii="宋体" w:hAnsi="宋体" w:eastAsia="宋体" w:cs="宋体"/>
        </w:rPr>
        <w:t xml:space="preserve"> </w:t>
      </w:r>
    </w:p>
    <w:p w14:paraId="4E7CB794">
      <w:pPr>
        <w:autoSpaceDE w:val="0"/>
        <w:autoSpaceDN w:val="0"/>
        <w:adjustRightInd w:val="0"/>
        <w:spacing w:line="360" w:lineRule="auto"/>
        <w:rPr>
          <w:rFonts w:hint="eastAsia" w:ascii="宋体" w:hAnsi="宋体" w:eastAsia="宋体" w:cs="宋体"/>
          <w:b/>
        </w:rPr>
      </w:pPr>
      <w:r>
        <w:rPr>
          <w:rFonts w:hint="eastAsia" w:ascii="宋体" w:hAnsi="宋体" w:eastAsia="宋体" w:cs="宋体"/>
          <w:b/>
          <w:kern w:val="0"/>
        </w:rPr>
        <w:t>被授权人的身份证明文件的复印件：</w:t>
      </w:r>
    </w:p>
    <w:p w14:paraId="65AEB456">
      <w:pPr>
        <w:spacing w:before="312" w:beforeLines="100" w:after="312" w:afterLines="100"/>
        <w:ind w:left="0" w:leftChars="0" w:firstLine="0" w:firstLineChars="0"/>
        <w:rPr>
          <w:rFonts w:hint="eastAsia" w:ascii="宋体" w:hAnsi="宋体" w:eastAsia="宋体" w:cs="宋体"/>
          <w:b/>
        </w:rPr>
      </w:pPr>
      <w:bookmarkStart w:id="582" w:name="_Toc490133030"/>
      <w:bookmarkEnd w:id="582"/>
      <w:bookmarkStart w:id="583" w:name="_Toc534273802"/>
      <w:bookmarkEnd w:id="583"/>
      <w:bookmarkStart w:id="584" w:name="_Toc534273679"/>
      <w:bookmarkEnd w:id="584"/>
      <w:bookmarkStart w:id="585" w:name="_Toc504044382"/>
      <w:bookmarkEnd w:id="585"/>
      <w:bookmarkStart w:id="586" w:name="_Toc504573085"/>
      <w:bookmarkEnd w:id="586"/>
      <w:bookmarkStart w:id="587" w:name="_Toc504056870"/>
    </w:p>
    <w:p w14:paraId="65B66046">
      <w:pPr>
        <w:spacing w:before="312" w:beforeLines="100" w:after="312" w:afterLines="100"/>
        <w:ind w:left="0" w:leftChars="0" w:firstLine="0" w:firstLineChars="0"/>
        <w:rPr>
          <w:rFonts w:hint="eastAsia" w:ascii="宋体" w:hAnsi="宋体" w:eastAsia="宋体" w:cs="宋体"/>
          <w:b/>
        </w:rPr>
      </w:pPr>
    </w:p>
    <w:p w14:paraId="02C2CA09">
      <w:pPr>
        <w:spacing w:before="312" w:beforeLines="100" w:after="312" w:afterLines="100"/>
        <w:ind w:left="0" w:leftChars="0" w:firstLine="0" w:firstLineChars="0"/>
        <w:rPr>
          <w:rFonts w:hint="eastAsia" w:ascii="宋体" w:hAnsi="宋体" w:eastAsia="宋体" w:cs="宋体"/>
          <w:b/>
        </w:rPr>
      </w:pPr>
    </w:p>
    <w:p w14:paraId="48245D06">
      <w:pPr>
        <w:spacing w:before="312" w:beforeLines="100" w:after="312" w:afterLines="100"/>
        <w:ind w:left="0" w:leftChars="0" w:firstLine="0" w:firstLineChars="0"/>
        <w:rPr>
          <w:rFonts w:hint="eastAsia" w:ascii="宋体" w:hAnsi="宋体" w:eastAsia="宋体" w:cs="宋体"/>
          <w:b/>
        </w:rPr>
      </w:pPr>
    </w:p>
    <w:p w14:paraId="08B2FBFD">
      <w:pPr>
        <w:spacing w:before="312" w:beforeLines="100" w:after="312" w:afterLines="100"/>
        <w:ind w:left="0" w:leftChars="0" w:firstLine="0" w:firstLineChars="0"/>
        <w:rPr>
          <w:rFonts w:hint="eastAsia" w:ascii="宋体" w:hAnsi="宋体" w:eastAsia="宋体" w:cs="宋体"/>
          <w:b/>
        </w:rPr>
      </w:pPr>
    </w:p>
    <w:p w14:paraId="1972F782">
      <w:pPr>
        <w:spacing w:before="312" w:beforeLines="100" w:after="312" w:afterLines="100"/>
        <w:ind w:left="0" w:leftChars="0" w:firstLine="0" w:firstLineChars="0"/>
        <w:rPr>
          <w:rFonts w:hint="eastAsia" w:ascii="宋体" w:hAnsi="宋体" w:eastAsia="宋体" w:cs="宋体"/>
          <w:b/>
        </w:rPr>
      </w:pPr>
    </w:p>
    <w:p w14:paraId="2089AA91">
      <w:pPr>
        <w:spacing w:before="312" w:beforeLines="100" w:after="312" w:afterLines="100"/>
        <w:ind w:left="0" w:leftChars="0" w:firstLine="0" w:firstLineChars="0"/>
        <w:rPr>
          <w:rFonts w:hint="eastAsia" w:ascii="宋体" w:hAnsi="宋体" w:eastAsia="宋体" w:cs="宋体"/>
          <w:b/>
        </w:rPr>
      </w:pPr>
    </w:p>
    <w:p w14:paraId="1B958424">
      <w:pPr>
        <w:spacing w:before="312" w:beforeLines="100" w:after="312" w:afterLines="100"/>
        <w:ind w:left="0" w:leftChars="0" w:firstLine="0" w:firstLineChars="0"/>
        <w:rPr>
          <w:rFonts w:hint="eastAsia" w:ascii="宋体" w:hAnsi="宋体" w:eastAsia="宋体" w:cs="宋体"/>
          <w:b/>
        </w:rPr>
      </w:pPr>
      <w:r>
        <w:rPr>
          <w:rFonts w:hint="eastAsia" w:ascii="宋体" w:hAnsi="宋体" w:eastAsia="宋体" w:cs="宋体"/>
          <w:b/>
        </w:rPr>
        <w:t>附件三、报价表</w:t>
      </w:r>
      <w:bookmarkEnd w:id="587"/>
    </w:p>
    <w:p w14:paraId="1582BFAA">
      <w:pPr>
        <w:autoSpaceDE w:val="0"/>
        <w:autoSpaceDN w:val="0"/>
        <w:adjustRightInd w:val="0"/>
        <w:rPr>
          <w:rFonts w:hint="eastAsia" w:ascii="宋体" w:hAnsi="宋体" w:eastAsia="宋体" w:cs="宋体"/>
          <w:b/>
          <w:sz w:val="36"/>
          <w:szCs w:val="36"/>
        </w:rPr>
      </w:pPr>
      <w:r>
        <w:rPr>
          <w:rFonts w:hint="eastAsia" w:ascii="宋体" w:hAnsi="宋体" w:eastAsia="宋体" w:cs="宋体"/>
          <w:b/>
        </w:rPr>
        <w:t xml:space="preserve">                            </w:t>
      </w:r>
      <w:r>
        <w:rPr>
          <w:rFonts w:hint="eastAsia" w:ascii="宋体" w:hAnsi="宋体" w:eastAsia="宋体" w:cs="宋体"/>
          <w:b/>
          <w:sz w:val="36"/>
          <w:szCs w:val="36"/>
        </w:rPr>
        <w:t>报  价  表</w:t>
      </w:r>
    </w:p>
    <w:p w14:paraId="71CB6EB0">
      <w:pPr>
        <w:pStyle w:val="6"/>
        <w:spacing w:line="440" w:lineRule="exact"/>
        <w:ind w:firstLine="472" w:firstLineChars="225"/>
        <w:rPr>
          <w:rFonts w:hint="eastAsia" w:ascii="宋体" w:hAnsi="宋体" w:eastAsia="宋体" w:cs="宋体"/>
        </w:rPr>
      </w:pPr>
      <w:r>
        <w:rPr>
          <w:rFonts w:hint="eastAsia" w:ascii="宋体" w:hAnsi="宋体" w:eastAsia="宋体" w:cs="宋体"/>
        </w:rPr>
        <w:t>项目名称：</w:t>
      </w:r>
    </w:p>
    <w:p w14:paraId="23C17006">
      <w:pPr>
        <w:pStyle w:val="6"/>
        <w:spacing w:line="440" w:lineRule="exact"/>
        <w:ind w:firstLine="472" w:firstLineChars="225"/>
        <w:rPr>
          <w:rFonts w:hint="eastAsia" w:ascii="宋体" w:hAnsi="宋体" w:eastAsia="宋体" w:cs="宋体"/>
        </w:rPr>
      </w:pPr>
      <w:r>
        <w:rPr>
          <w:rFonts w:hint="eastAsia" w:ascii="宋体" w:hAnsi="宋体" w:eastAsia="宋体" w:cs="宋体"/>
        </w:rPr>
        <w:t>项目编号：</w:t>
      </w:r>
    </w:p>
    <w:tbl>
      <w:tblPr>
        <w:tblStyle w:val="20"/>
        <w:tblW w:w="4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369"/>
        <w:gridCol w:w="4469"/>
      </w:tblGrid>
      <w:tr w14:paraId="02A5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Pr>
          <w:p w14:paraId="403A4F00">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序号</w:t>
            </w:r>
          </w:p>
        </w:tc>
        <w:tc>
          <w:tcPr>
            <w:tcW w:w="1578" w:type="pct"/>
          </w:tcPr>
          <w:p w14:paraId="46CE8B69">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项目名称</w:t>
            </w:r>
          </w:p>
        </w:tc>
        <w:tc>
          <w:tcPr>
            <w:tcW w:w="2977" w:type="pct"/>
          </w:tcPr>
          <w:p w14:paraId="11EBC6A9">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投标报价</w:t>
            </w:r>
          </w:p>
        </w:tc>
      </w:tr>
      <w:tr w14:paraId="6822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7CB75694">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578" w:type="pct"/>
            <w:vAlign w:val="center"/>
          </w:tcPr>
          <w:p w14:paraId="588CB7DE">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投标报价</w:t>
            </w:r>
          </w:p>
        </w:tc>
        <w:tc>
          <w:tcPr>
            <w:tcW w:w="2977" w:type="pct"/>
          </w:tcPr>
          <w:p w14:paraId="1ACC5E14">
            <w:pPr>
              <w:tabs>
                <w:tab w:val="left" w:pos="900"/>
              </w:tabs>
              <w:spacing w:before="156" w:beforeLines="50" w:line="360" w:lineRule="auto"/>
              <w:ind w:left="0" w:leftChars="0" w:firstLine="0" w:firstLineChars="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（大写）人民币</w:t>
            </w:r>
            <w:r>
              <w:rPr>
                <w:rFonts w:hint="eastAsia"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rPr>
              <w:t>元整</w:t>
            </w:r>
          </w:p>
          <w:p w14:paraId="1BA86747">
            <w:pPr>
              <w:tabs>
                <w:tab w:val="left" w:pos="900"/>
              </w:tabs>
              <w:spacing w:before="156" w:beforeLines="50" w:line="360" w:lineRule="auto"/>
              <w:ind w:left="0" w:leftChars="0" w:firstLine="0" w:firstLineChars="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（小写）￥</w:t>
            </w:r>
            <w:r>
              <w:rPr>
                <w:rFonts w:hint="eastAsia" w:cs="宋体" w:asciiTheme="minorEastAsia" w:hAnsiTheme="minorEastAsia" w:eastAsiaTheme="minorEastAsia"/>
                <w:sz w:val="21"/>
                <w:szCs w:val="21"/>
                <w:u w:val="single"/>
              </w:rPr>
              <w:t xml:space="preserve">             </w:t>
            </w:r>
          </w:p>
        </w:tc>
      </w:tr>
      <w:tr w14:paraId="77B2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Pr>
          <w:p w14:paraId="638AC6C3">
            <w:pPr>
              <w:spacing w:before="156" w:beforeLines="50" w:line="360" w:lineRule="auto"/>
              <w:ind w:left="0" w:leftChars="0" w:firstLine="0" w:firstLineChars="0"/>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2</w:t>
            </w:r>
          </w:p>
        </w:tc>
        <w:tc>
          <w:tcPr>
            <w:tcW w:w="1578" w:type="pct"/>
            <w:vAlign w:val="center"/>
          </w:tcPr>
          <w:p w14:paraId="774E4D76">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工期</w:t>
            </w:r>
          </w:p>
        </w:tc>
        <w:tc>
          <w:tcPr>
            <w:tcW w:w="2977" w:type="pct"/>
          </w:tcPr>
          <w:p w14:paraId="6E523C8B">
            <w:pPr>
              <w:spacing w:before="156" w:beforeLines="50" w:line="360" w:lineRule="auto"/>
              <w:jc w:val="center"/>
              <w:rPr>
                <w:rFonts w:cs="宋体" w:asciiTheme="minorEastAsia" w:hAnsiTheme="minorEastAsia" w:eastAsiaTheme="minorEastAsia"/>
                <w:sz w:val="21"/>
                <w:szCs w:val="21"/>
              </w:rPr>
            </w:pPr>
          </w:p>
        </w:tc>
      </w:tr>
      <w:tr w14:paraId="1F53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Pr>
          <w:p w14:paraId="7D9CF240">
            <w:pPr>
              <w:spacing w:before="156" w:beforeLines="50" w:line="360" w:lineRule="auto"/>
              <w:ind w:left="0" w:leftChars="0" w:firstLine="0" w:firstLineChars="0"/>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578" w:type="pct"/>
            <w:vAlign w:val="center"/>
          </w:tcPr>
          <w:p w14:paraId="12FB1B8D">
            <w:pPr>
              <w:spacing w:before="156" w:beforeLines="50" w:line="360" w:lineRule="auto"/>
              <w:ind w:left="0" w:leftChars="0" w:firstLine="0" w:firstLineChars="0"/>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lang w:val="zh-CN"/>
              </w:rPr>
              <w:t>供应商是否属于小微型企业</w:t>
            </w:r>
          </w:p>
        </w:tc>
        <w:tc>
          <w:tcPr>
            <w:tcW w:w="2977" w:type="pct"/>
            <w:vAlign w:val="center"/>
          </w:tcPr>
          <w:p w14:paraId="446BBB37">
            <w:pPr>
              <w:spacing w:before="156" w:beforeLines="50" w:line="360" w:lineRule="auto"/>
              <w:ind w:left="0" w:leftChars="0" w:firstLine="0" w:firstLineChars="0"/>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w:t>
            </w:r>
            <w:r>
              <w:rPr>
                <w:rFonts w:hint="eastAsia" w:cs="宋体" w:asciiTheme="minorEastAsia" w:hAnsiTheme="minorEastAsia" w:eastAsiaTheme="minorEastAsia"/>
                <w:sz w:val="21"/>
                <w:szCs w:val="21"/>
                <w:lang w:val="zh-CN"/>
              </w:rPr>
              <w:t>是</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lang w:val="zh-CN"/>
              </w:rPr>
              <w:t>否</w:t>
            </w:r>
          </w:p>
        </w:tc>
      </w:tr>
    </w:tbl>
    <w:p w14:paraId="7B34334B">
      <w:pPr>
        <w:widowControl/>
        <w:shd w:val="clear" w:color="auto" w:fill="FFFFFF"/>
        <w:spacing w:line="360" w:lineRule="auto"/>
        <w:jc w:val="left"/>
        <w:rPr>
          <w:rFonts w:hint="eastAsia" w:ascii="宋体" w:hAnsi="宋体" w:eastAsia="宋体" w:cs="宋体"/>
          <w:kern w:val="0"/>
        </w:rPr>
      </w:pPr>
    </w:p>
    <w:p w14:paraId="2C9B705A">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700CACA0">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6A82B115">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73D17965">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1E27BF0E">
      <w:pPr>
        <w:widowControl/>
        <w:shd w:val="clear" w:color="auto" w:fill="FFFFFF"/>
        <w:spacing w:line="360" w:lineRule="auto"/>
        <w:ind w:left="0" w:leftChars="0" w:firstLine="420" w:firstLineChars="200"/>
        <w:jc w:val="left"/>
        <w:rPr>
          <w:rFonts w:hint="eastAsia" w:ascii="宋体" w:hAnsi="宋体" w:eastAsia="宋体" w:cs="宋体"/>
          <w:kern w:val="0"/>
        </w:rPr>
      </w:pPr>
      <w:r>
        <w:rPr>
          <w:rFonts w:hint="eastAsia" w:ascii="宋体" w:hAnsi="宋体" w:eastAsia="宋体" w:cs="宋体"/>
          <w:kern w:val="0"/>
        </w:rPr>
        <w:t>说明：</w:t>
      </w:r>
    </w:p>
    <w:p w14:paraId="411034B3">
      <w:pPr>
        <w:autoSpaceDE w:val="0"/>
        <w:autoSpaceDN w:val="0"/>
        <w:adjustRightInd w:val="0"/>
        <w:spacing w:line="360" w:lineRule="auto"/>
        <w:ind w:firstLine="420" w:firstLineChars="200"/>
        <w:rPr>
          <w:rFonts w:hint="eastAsia" w:ascii="宋体" w:hAnsi="宋体" w:eastAsia="宋体" w:cs="宋体"/>
          <w:lang w:val="zh-CN" w:eastAsia="zh-CN"/>
        </w:rPr>
      </w:pPr>
      <w:bookmarkStart w:id="588" w:name="_Toc504573086"/>
      <w:bookmarkEnd w:id="588"/>
      <w:bookmarkStart w:id="589" w:name="_Toc504056871"/>
      <w:bookmarkEnd w:id="589"/>
      <w:bookmarkStart w:id="590" w:name="_Toc504044383"/>
      <w:bookmarkEnd w:id="590"/>
      <w:bookmarkStart w:id="591" w:name="_Toc534273680"/>
      <w:bookmarkEnd w:id="591"/>
      <w:bookmarkStart w:id="592" w:name="_Toc490133031"/>
      <w:bookmarkEnd w:id="592"/>
      <w:bookmarkStart w:id="593" w:name="_Toc534273803"/>
      <w:r>
        <w:rPr>
          <w:rFonts w:hint="eastAsia" w:ascii="宋体" w:hAnsi="宋体" w:eastAsia="宋体" w:cs="宋体"/>
          <w:lang w:val="zh-CN" w:eastAsia="zh-CN"/>
        </w:rPr>
        <w:t>1、本项目仅接受一个价格，不得填报有选择性报价方案。若有优惠条款须注明，但不得影响报价，影响产品或服务整体功能。</w:t>
      </w:r>
    </w:p>
    <w:p w14:paraId="3B94E892">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lang w:val="zh-CN"/>
        </w:rPr>
        <w:t>、在“供应商是否属于小和微型企业”栏后“是”或“否”上打“√”。</w:t>
      </w:r>
    </w:p>
    <w:p w14:paraId="3E73ECE3">
      <w:pPr>
        <w:spacing w:before="41" w:line="227" w:lineRule="auto"/>
        <w:ind w:left="-420" w:leftChars="0" w:right="-932" w:rightChars="-444" w:firstLine="843" w:firstLineChars="400"/>
        <w:rPr>
          <w:rFonts w:hint="eastAsia" w:ascii="宋体" w:hAnsi="宋体" w:eastAsia="宋体" w:cs="宋体"/>
          <w:b/>
        </w:rPr>
      </w:pPr>
    </w:p>
    <w:p w14:paraId="40AB6B95">
      <w:pPr>
        <w:spacing w:before="41" w:line="227" w:lineRule="auto"/>
        <w:ind w:left="-420" w:leftChars="0" w:right="-932" w:rightChars="-444" w:firstLine="843" w:firstLineChars="400"/>
        <w:rPr>
          <w:rFonts w:hint="eastAsia" w:ascii="宋体" w:hAnsi="宋体" w:eastAsia="宋体" w:cs="宋体"/>
          <w:b/>
        </w:rPr>
      </w:pPr>
    </w:p>
    <w:p w14:paraId="05878CA2">
      <w:pPr>
        <w:spacing w:before="41" w:line="227" w:lineRule="auto"/>
        <w:ind w:left="-420" w:leftChars="0" w:right="-932" w:rightChars="-444" w:firstLine="843" w:firstLineChars="400"/>
        <w:rPr>
          <w:rFonts w:hint="eastAsia" w:ascii="宋体" w:hAnsi="宋体" w:eastAsia="宋体" w:cs="宋体"/>
          <w:b/>
        </w:rPr>
      </w:pPr>
    </w:p>
    <w:p w14:paraId="2D1C84E9">
      <w:pPr>
        <w:spacing w:before="41" w:line="227" w:lineRule="auto"/>
        <w:ind w:left="-420" w:leftChars="0" w:right="-932" w:rightChars="-444" w:firstLine="843" w:firstLineChars="400"/>
        <w:rPr>
          <w:rFonts w:hint="eastAsia" w:ascii="宋体" w:hAnsi="宋体" w:eastAsia="宋体" w:cs="宋体"/>
          <w:b/>
        </w:rPr>
      </w:pPr>
    </w:p>
    <w:p w14:paraId="4AAD2ADB">
      <w:pPr>
        <w:spacing w:before="41" w:line="227" w:lineRule="auto"/>
        <w:ind w:left="-420" w:leftChars="0" w:right="-932" w:rightChars="-444" w:firstLine="843" w:firstLineChars="400"/>
        <w:rPr>
          <w:rFonts w:hint="eastAsia" w:ascii="宋体" w:hAnsi="宋体" w:eastAsia="宋体" w:cs="宋体"/>
          <w:b/>
        </w:rPr>
      </w:pPr>
    </w:p>
    <w:p w14:paraId="5FCC52E2">
      <w:pPr>
        <w:spacing w:before="41" w:line="227" w:lineRule="auto"/>
        <w:ind w:left="-420" w:leftChars="0" w:right="-932" w:rightChars="-444" w:firstLine="843" w:firstLineChars="400"/>
        <w:rPr>
          <w:rFonts w:hint="eastAsia" w:ascii="宋体" w:hAnsi="宋体" w:eastAsia="宋体" w:cs="宋体"/>
          <w:b/>
        </w:rPr>
      </w:pPr>
    </w:p>
    <w:p w14:paraId="2034AB02">
      <w:pPr>
        <w:spacing w:before="41" w:line="227" w:lineRule="auto"/>
        <w:ind w:left="-420" w:leftChars="0" w:right="-932" w:rightChars="-444" w:firstLine="843" w:firstLineChars="400"/>
        <w:rPr>
          <w:rFonts w:hint="eastAsia" w:ascii="宋体" w:hAnsi="宋体" w:eastAsia="宋体" w:cs="宋体"/>
          <w:b/>
        </w:rPr>
      </w:pPr>
    </w:p>
    <w:p w14:paraId="2F6BF469">
      <w:pPr>
        <w:spacing w:before="41" w:line="227" w:lineRule="auto"/>
        <w:ind w:left="-420" w:leftChars="0" w:right="-932" w:rightChars="-444" w:firstLine="843" w:firstLineChars="400"/>
        <w:rPr>
          <w:rFonts w:hint="eastAsia" w:ascii="宋体" w:hAnsi="宋体" w:eastAsia="宋体" w:cs="宋体"/>
          <w:b/>
        </w:rPr>
      </w:pPr>
    </w:p>
    <w:p w14:paraId="0054C622">
      <w:pPr>
        <w:spacing w:before="41" w:line="227" w:lineRule="auto"/>
        <w:ind w:left="-420" w:leftChars="0" w:right="-932" w:rightChars="-444" w:firstLine="843" w:firstLineChars="400"/>
        <w:rPr>
          <w:rFonts w:hint="eastAsia" w:ascii="宋体" w:hAnsi="宋体" w:eastAsia="宋体" w:cs="宋体"/>
          <w:b/>
        </w:rPr>
      </w:pPr>
    </w:p>
    <w:p w14:paraId="427B84B6">
      <w:pPr>
        <w:spacing w:before="41" w:line="227" w:lineRule="auto"/>
        <w:ind w:left="-420" w:leftChars="0" w:right="-932" w:rightChars="-444" w:firstLine="843" w:firstLineChars="400"/>
        <w:rPr>
          <w:rFonts w:hint="eastAsia" w:ascii="宋体" w:hAnsi="宋体" w:eastAsia="宋体" w:cs="宋体"/>
          <w:b/>
        </w:rPr>
      </w:pPr>
    </w:p>
    <w:p w14:paraId="0CFF4A9C">
      <w:pPr>
        <w:widowControl/>
        <w:shd w:val="clear" w:color="auto" w:fill="FFFFFF"/>
        <w:autoSpaceDE w:val="0"/>
        <w:autoSpaceDN w:val="0"/>
        <w:spacing w:line="360" w:lineRule="auto"/>
        <w:jc w:val="left"/>
        <w:outlineLvl w:val="1"/>
        <w:rPr>
          <w:rFonts w:hint="eastAsia" w:ascii="宋体" w:hAnsi="宋体" w:eastAsia="宋体" w:cs="宋体"/>
          <w:b/>
          <w:spacing w:val="8"/>
          <w:kern w:val="0"/>
          <w:sz w:val="24"/>
          <w:szCs w:val="24"/>
          <w:highlight w:val="none"/>
        </w:rPr>
      </w:pPr>
      <w:r>
        <w:rPr>
          <w:rFonts w:hint="eastAsia" w:ascii="宋体" w:hAnsi="宋体" w:eastAsia="宋体" w:cs="宋体"/>
          <w:b/>
        </w:rPr>
        <w:t>附件四、</w:t>
      </w:r>
      <w:bookmarkEnd w:id="593"/>
      <w:r>
        <w:rPr>
          <w:rFonts w:hint="eastAsia" w:ascii="宋体" w:hAnsi="宋体" w:eastAsia="宋体" w:cs="宋体"/>
          <w:b/>
        </w:rPr>
        <w:t>已标价工程量清单</w:t>
      </w:r>
    </w:p>
    <w:p w14:paraId="14BB7A73">
      <w:pPr>
        <w:spacing w:line="360" w:lineRule="auto"/>
        <w:rPr>
          <w:rFonts w:hint="eastAsia" w:ascii="宋体" w:hAnsi="宋体" w:eastAsia="宋体" w:cs="宋体"/>
          <w:highlight w:val="none"/>
        </w:rPr>
      </w:pPr>
    </w:p>
    <w:p w14:paraId="010E15AA">
      <w:pPr>
        <w:spacing w:line="360" w:lineRule="auto"/>
        <w:rPr>
          <w:rFonts w:hint="eastAsia" w:ascii="宋体" w:hAnsi="宋体" w:eastAsia="宋体" w:cs="宋体"/>
          <w:highlight w:val="none"/>
        </w:rPr>
      </w:pPr>
      <w:r>
        <w:rPr>
          <w:rFonts w:hint="eastAsia" w:ascii="宋体" w:hAnsi="宋体" w:eastAsia="宋体" w:cs="宋体"/>
          <w:highlight w:val="none"/>
        </w:rPr>
        <w:t>详见附件工程量清单。</w:t>
      </w:r>
    </w:p>
    <w:p w14:paraId="33A7899B">
      <w:pPr>
        <w:spacing w:before="41" w:line="227" w:lineRule="auto"/>
        <w:ind w:left="0" w:leftChars="0" w:right="-932" w:rightChars="-444" w:firstLine="0" w:firstLineChars="0"/>
        <w:rPr>
          <w:rFonts w:hint="eastAsia" w:ascii="宋体" w:hAnsi="宋体" w:eastAsia="宋体" w:cs="宋体"/>
          <w:sz w:val="20"/>
          <w:szCs w:val="20"/>
          <w:lang w:eastAsia="zh-CN"/>
        </w:rPr>
      </w:pPr>
    </w:p>
    <w:p w14:paraId="57534858">
      <w:pPr>
        <w:spacing w:before="41" w:line="227" w:lineRule="auto"/>
        <w:ind w:left="0" w:leftChars="0" w:right="-932" w:rightChars="-444" w:firstLine="0" w:firstLineChars="0"/>
        <w:rPr>
          <w:rFonts w:hint="eastAsia" w:ascii="宋体" w:hAnsi="宋体" w:eastAsia="宋体" w:cs="宋体"/>
          <w:sz w:val="20"/>
          <w:szCs w:val="20"/>
          <w:lang w:eastAsia="zh-CN"/>
        </w:rPr>
      </w:pPr>
    </w:p>
    <w:p w14:paraId="74C78667">
      <w:pPr>
        <w:spacing w:before="41" w:line="227" w:lineRule="auto"/>
        <w:ind w:left="0" w:leftChars="0" w:right="-932" w:rightChars="-444" w:firstLine="0" w:firstLineChars="0"/>
        <w:rPr>
          <w:rFonts w:hint="eastAsia" w:ascii="宋体" w:hAnsi="宋体" w:eastAsia="宋体" w:cs="宋体"/>
          <w:sz w:val="20"/>
          <w:szCs w:val="20"/>
          <w:lang w:eastAsia="zh-CN"/>
        </w:rPr>
      </w:pPr>
    </w:p>
    <w:p w14:paraId="4D5A3B12">
      <w:pPr>
        <w:spacing w:before="41" w:line="227" w:lineRule="auto"/>
        <w:ind w:left="0" w:leftChars="0" w:right="-932" w:rightChars="-444" w:firstLine="0" w:firstLineChars="0"/>
        <w:rPr>
          <w:rFonts w:hint="eastAsia" w:ascii="宋体" w:hAnsi="宋体" w:eastAsia="宋体" w:cs="宋体"/>
          <w:sz w:val="20"/>
          <w:szCs w:val="20"/>
          <w:lang w:eastAsia="zh-CN"/>
        </w:rPr>
      </w:pPr>
    </w:p>
    <w:p w14:paraId="03E74575">
      <w:pPr>
        <w:spacing w:before="41" w:line="227" w:lineRule="auto"/>
        <w:ind w:left="0" w:leftChars="0" w:right="-932" w:rightChars="-444" w:firstLine="0" w:firstLineChars="0"/>
        <w:rPr>
          <w:rFonts w:hint="eastAsia" w:ascii="宋体" w:hAnsi="宋体" w:eastAsia="宋体" w:cs="宋体"/>
          <w:sz w:val="20"/>
          <w:szCs w:val="20"/>
          <w:lang w:eastAsia="zh-CN"/>
        </w:rPr>
      </w:pPr>
    </w:p>
    <w:p w14:paraId="1471FB3E">
      <w:pPr>
        <w:spacing w:before="41" w:line="227" w:lineRule="auto"/>
        <w:ind w:left="0" w:leftChars="0" w:right="-932" w:rightChars="-444" w:firstLine="0" w:firstLineChars="0"/>
        <w:rPr>
          <w:rFonts w:hint="eastAsia" w:ascii="宋体" w:hAnsi="宋体" w:eastAsia="宋体" w:cs="宋体"/>
          <w:sz w:val="20"/>
          <w:szCs w:val="20"/>
          <w:lang w:eastAsia="zh-CN"/>
        </w:rPr>
      </w:pPr>
    </w:p>
    <w:p w14:paraId="3000A70E">
      <w:pPr>
        <w:spacing w:before="41" w:line="227" w:lineRule="auto"/>
        <w:ind w:left="0" w:leftChars="0" w:right="-932" w:rightChars="-444" w:firstLine="0" w:firstLineChars="0"/>
        <w:rPr>
          <w:rFonts w:hint="eastAsia" w:ascii="宋体" w:hAnsi="宋体" w:eastAsia="宋体" w:cs="宋体"/>
          <w:sz w:val="20"/>
          <w:szCs w:val="20"/>
          <w:lang w:eastAsia="zh-CN"/>
        </w:rPr>
      </w:pPr>
    </w:p>
    <w:p w14:paraId="2A6FB33C">
      <w:pPr>
        <w:spacing w:before="41" w:line="227" w:lineRule="auto"/>
        <w:ind w:left="0" w:leftChars="0" w:right="-932" w:rightChars="-444" w:firstLine="0" w:firstLineChars="0"/>
        <w:rPr>
          <w:rFonts w:hint="eastAsia" w:ascii="宋体" w:hAnsi="宋体" w:eastAsia="宋体" w:cs="宋体"/>
          <w:sz w:val="20"/>
          <w:szCs w:val="20"/>
          <w:lang w:eastAsia="zh-CN"/>
        </w:rPr>
      </w:pPr>
    </w:p>
    <w:p w14:paraId="03196355">
      <w:pPr>
        <w:spacing w:before="41" w:line="227" w:lineRule="auto"/>
        <w:ind w:left="0" w:leftChars="0" w:right="-932" w:rightChars="-444" w:firstLine="0" w:firstLineChars="0"/>
        <w:rPr>
          <w:rFonts w:hint="eastAsia" w:ascii="宋体" w:hAnsi="宋体" w:eastAsia="宋体" w:cs="宋体"/>
          <w:sz w:val="20"/>
          <w:szCs w:val="20"/>
          <w:lang w:eastAsia="zh-CN"/>
        </w:rPr>
      </w:pPr>
    </w:p>
    <w:p w14:paraId="0D9408F1">
      <w:pPr>
        <w:spacing w:before="41" w:line="227" w:lineRule="auto"/>
        <w:ind w:left="0" w:leftChars="0" w:right="-932" w:rightChars="-444" w:firstLine="0" w:firstLineChars="0"/>
        <w:rPr>
          <w:rFonts w:hint="eastAsia" w:ascii="宋体" w:hAnsi="宋体" w:eastAsia="宋体" w:cs="宋体"/>
          <w:sz w:val="20"/>
          <w:szCs w:val="20"/>
          <w:lang w:eastAsia="zh-CN"/>
        </w:rPr>
      </w:pPr>
    </w:p>
    <w:p w14:paraId="08BF88BA">
      <w:pPr>
        <w:spacing w:before="41" w:line="227" w:lineRule="auto"/>
        <w:ind w:left="0" w:leftChars="0" w:right="-932" w:rightChars="-444" w:firstLine="0" w:firstLineChars="0"/>
        <w:rPr>
          <w:rFonts w:hint="eastAsia" w:ascii="宋体" w:hAnsi="宋体" w:eastAsia="宋体" w:cs="宋体"/>
          <w:sz w:val="20"/>
          <w:szCs w:val="20"/>
          <w:lang w:eastAsia="zh-CN"/>
        </w:rPr>
      </w:pPr>
    </w:p>
    <w:p w14:paraId="7E9E012F">
      <w:pPr>
        <w:spacing w:before="41" w:line="227" w:lineRule="auto"/>
        <w:ind w:left="0" w:leftChars="0" w:right="-932" w:rightChars="-444" w:firstLine="0" w:firstLineChars="0"/>
        <w:rPr>
          <w:rFonts w:hint="eastAsia" w:ascii="宋体" w:hAnsi="宋体" w:eastAsia="宋体" w:cs="宋体"/>
          <w:sz w:val="20"/>
          <w:szCs w:val="20"/>
          <w:lang w:eastAsia="zh-CN"/>
        </w:rPr>
      </w:pPr>
    </w:p>
    <w:p w14:paraId="01B7B33A">
      <w:pPr>
        <w:spacing w:before="41" w:line="227" w:lineRule="auto"/>
        <w:ind w:left="0" w:leftChars="0" w:right="-932" w:rightChars="-444" w:firstLine="0" w:firstLineChars="0"/>
        <w:rPr>
          <w:rFonts w:hint="eastAsia" w:ascii="宋体" w:hAnsi="宋体" w:eastAsia="宋体" w:cs="宋体"/>
          <w:sz w:val="20"/>
          <w:szCs w:val="20"/>
          <w:lang w:eastAsia="zh-CN"/>
        </w:rPr>
      </w:pPr>
    </w:p>
    <w:p w14:paraId="6D316F70">
      <w:pPr>
        <w:spacing w:before="41" w:line="227" w:lineRule="auto"/>
        <w:ind w:left="0" w:leftChars="0" w:right="-932" w:rightChars="-444" w:firstLine="0" w:firstLineChars="0"/>
        <w:rPr>
          <w:rFonts w:hint="eastAsia" w:ascii="宋体" w:hAnsi="宋体" w:eastAsia="宋体" w:cs="宋体"/>
          <w:sz w:val="20"/>
          <w:szCs w:val="20"/>
          <w:lang w:eastAsia="zh-CN"/>
        </w:rPr>
      </w:pPr>
    </w:p>
    <w:p w14:paraId="46290133">
      <w:pPr>
        <w:autoSpaceDE w:val="0"/>
        <w:autoSpaceDN w:val="0"/>
        <w:adjustRightInd w:val="0"/>
        <w:ind w:left="0" w:leftChars="0" w:firstLine="0" w:firstLineChars="0"/>
        <w:rPr>
          <w:rFonts w:hint="eastAsia" w:ascii="宋体" w:hAnsi="宋体" w:eastAsia="宋体" w:cs="宋体"/>
          <w:b/>
        </w:rPr>
      </w:pPr>
    </w:p>
    <w:p w14:paraId="2BB1B7A7">
      <w:pPr>
        <w:autoSpaceDE w:val="0"/>
        <w:autoSpaceDN w:val="0"/>
        <w:adjustRightInd w:val="0"/>
        <w:ind w:left="0" w:leftChars="0" w:firstLine="0" w:firstLineChars="0"/>
        <w:rPr>
          <w:rFonts w:hint="eastAsia" w:ascii="宋体" w:hAnsi="宋体" w:eastAsia="宋体" w:cs="宋体"/>
          <w:b/>
        </w:rPr>
      </w:pPr>
    </w:p>
    <w:p w14:paraId="0AB7D35C">
      <w:pPr>
        <w:autoSpaceDE w:val="0"/>
        <w:autoSpaceDN w:val="0"/>
        <w:adjustRightInd w:val="0"/>
        <w:ind w:left="0" w:leftChars="0" w:firstLine="0" w:firstLineChars="0"/>
        <w:rPr>
          <w:rFonts w:hint="eastAsia" w:ascii="宋体" w:hAnsi="宋体" w:eastAsia="宋体" w:cs="宋体"/>
          <w:b/>
        </w:rPr>
      </w:pPr>
    </w:p>
    <w:p w14:paraId="7990F894">
      <w:pPr>
        <w:autoSpaceDE w:val="0"/>
        <w:autoSpaceDN w:val="0"/>
        <w:adjustRightInd w:val="0"/>
        <w:ind w:left="0" w:leftChars="0" w:firstLine="0" w:firstLineChars="0"/>
        <w:rPr>
          <w:rFonts w:hint="eastAsia" w:ascii="宋体" w:hAnsi="宋体" w:eastAsia="宋体" w:cs="宋体"/>
          <w:b/>
        </w:rPr>
      </w:pPr>
    </w:p>
    <w:p w14:paraId="7623890E">
      <w:pPr>
        <w:autoSpaceDE w:val="0"/>
        <w:autoSpaceDN w:val="0"/>
        <w:adjustRightInd w:val="0"/>
        <w:ind w:left="0" w:leftChars="0" w:firstLine="0" w:firstLineChars="0"/>
        <w:rPr>
          <w:rFonts w:hint="eastAsia" w:ascii="宋体" w:hAnsi="宋体" w:eastAsia="宋体" w:cs="宋体"/>
          <w:b/>
        </w:rPr>
      </w:pPr>
    </w:p>
    <w:p w14:paraId="3BBCAB41">
      <w:pPr>
        <w:autoSpaceDE w:val="0"/>
        <w:autoSpaceDN w:val="0"/>
        <w:adjustRightInd w:val="0"/>
        <w:ind w:left="0" w:leftChars="0" w:firstLine="0" w:firstLineChars="0"/>
        <w:rPr>
          <w:rFonts w:hint="eastAsia" w:ascii="宋体" w:hAnsi="宋体" w:eastAsia="宋体" w:cs="宋体"/>
          <w:b/>
        </w:rPr>
      </w:pPr>
    </w:p>
    <w:p w14:paraId="2C95D789">
      <w:pPr>
        <w:autoSpaceDE w:val="0"/>
        <w:autoSpaceDN w:val="0"/>
        <w:adjustRightInd w:val="0"/>
        <w:ind w:left="0" w:leftChars="0" w:firstLine="0" w:firstLineChars="0"/>
        <w:rPr>
          <w:rFonts w:hint="eastAsia" w:ascii="宋体" w:hAnsi="宋体" w:eastAsia="宋体" w:cs="宋体"/>
          <w:b/>
        </w:rPr>
      </w:pPr>
    </w:p>
    <w:p w14:paraId="1B47DC4F">
      <w:pPr>
        <w:autoSpaceDE w:val="0"/>
        <w:autoSpaceDN w:val="0"/>
        <w:adjustRightInd w:val="0"/>
        <w:ind w:left="0" w:leftChars="0" w:firstLine="0" w:firstLineChars="0"/>
        <w:rPr>
          <w:rFonts w:hint="eastAsia" w:ascii="宋体" w:hAnsi="宋体" w:eastAsia="宋体" w:cs="宋体"/>
          <w:b/>
        </w:rPr>
      </w:pPr>
    </w:p>
    <w:p w14:paraId="175F3190">
      <w:pPr>
        <w:autoSpaceDE w:val="0"/>
        <w:autoSpaceDN w:val="0"/>
        <w:adjustRightInd w:val="0"/>
        <w:ind w:left="0" w:leftChars="0" w:firstLine="0" w:firstLineChars="0"/>
        <w:rPr>
          <w:rFonts w:hint="eastAsia" w:ascii="宋体" w:hAnsi="宋体" w:eastAsia="宋体" w:cs="宋体"/>
          <w:b/>
        </w:rPr>
      </w:pPr>
    </w:p>
    <w:p w14:paraId="706C978B">
      <w:pPr>
        <w:autoSpaceDE w:val="0"/>
        <w:autoSpaceDN w:val="0"/>
        <w:adjustRightInd w:val="0"/>
        <w:ind w:left="0" w:leftChars="0" w:firstLine="0" w:firstLineChars="0"/>
        <w:rPr>
          <w:rFonts w:hint="eastAsia" w:ascii="宋体" w:hAnsi="宋体" w:eastAsia="宋体" w:cs="宋体"/>
          <w:b/>
        </w:rPr>
      </w:pPr>
    </w:p>
    <w:p w14:paraId="145F502F">
      <w:pPr>
        <w:autoSpaceDE w:val="0"/>
        <w:autoSpaceDN w:val="0"/>
        <w:adjustRightInd w:val="0"/>
        <w:ind w:left="0" w:leftChars="0" w:firstLine="0" w:firstLineChars="0"/>
        <w:rPr>
          <w:rFonts w:hint="eastAsia" w:ascii="宋体" w:hAnsi="宋体" w:eastAsia="宋体" w:cs="宋体"/>
          <w:b/>
        </w:rPr>
      </w:pPr>
    </w:p>
    <w:p w14:paraId="3519EEEF">
      <w:pPr>
        <w:autoSpaceDE w:val="0"/>
        <w:autoSpaceDN w:val="0"/>
        <w:adjustRightInd w:val="0"/>
        <w:ind w:left="0" w:leftChars="0" w:firstLine="0" w:firstLineChars="0"/>
        <w:rPr>
          <w:rFonts w:hint="eastAsia" w:ascii="宋体" w:hAnsi="宋体" w:eastAsia="宋体" w:cs="宋体"/>
          <w:b/>
        </w:rPr>
      </w:pPr>
    </w:p>
    <w:p w14:paraId="2B5B794D">
      <w:pPr>
        <w:autoSpaceDE w:val="0"/>
        <w:autoSpaceDN w:val="0"/>
        <w:adjustRightInd w:val="0"/>
        <w:ind w:left="0" w:leftChars="0" w:firstLine="0" w:firstLineChars="0"/>
        <w:rPr>
          <w:rFonts w:hint="eastAsia" w:ascii="宋体" w:hAnsi="宋体" w:eastAsia="宋体" w:cs="宋体"/>
          <w:b/>
        </w:rPr>
      </w:pPr>
    </w:p>
    <w:p w14:paraId="1D929D16">
      <w:pPr>
        <w:autoSpaceDE w:val="0"/>
        <w:autoSpaceDN w:val="0"/>
        <w:adjustRightInd w:val="0"/>
        <w:ind w:left="0" w:leftChars="0" w:firstLine="0" w:firstLineChars="0"/>
        <w:rPr>
          <w:rFonts w:hint="eastAsia" w:ascii="宋体" w:hAnsi="宋体" w:eastAsia="宋体" w:cs="宋体"/>
          <w:b/>
        </w:rPr>
      </w:pPr>
    </w:p>
    <w:p w14:paraId="353FDCA8">
      <w:pPr>
        <w:autoSpaceDE w:val="0"/>
        <w:autoSpaceDN w:val="0"/>
        <w:adjustRightInd w:val="0"/>
        <w:ind w:left="0" w:leftChars="0" w:firstLine="0" w:firstLineChars="0"/>
        <w:rPr>
          <w:rFonts w:hint="eastAsia" w:ascii="宋体" w:hAnsi="宋体" w:eastAsia="宋体" w:cs="宋体"/>
          <w:b/>
        </w:rPr>
      </w:pPr>
    </w:p>
    <w:p w14:paraId="755EDDE2">
      <w:pPr>
        <w:autoSpaceDE w:val="0"/>
        <w:autoSpaceDN w:val="0"/>
        <w:adjustRightInd w:val="0"/>
        <w:ind w:left="0" w:leftChars="0" w:firstLine="0" w:firstLineChars="0"/>
        <w:rPr>
          <w:rFonts w:hint="eastAsia" w:ascii="宋体" w:hAnsi="宋体" w:eastAsia="宋体" w:cs="宋体"/>
          <w:b/>
        </w:rPr>
      </w:pPr>
    </w:p>
    <w:p w14:paraId="5CD3C29F">
      <w:pPr>
        <w:autoSpaceDE w:val="0"/>
        <w:autoSpaceDN w:val="0"/>
        <w:adjustRightInd w:val="0"/>
        <w:ind w:left="0" w:leftChars="0" w:firstLine="0" w:firstLineChars="0"/>
        <w:rPr>
          <w:rFonts w:hint="eastAsia" w:ascii="宋体" w:hAnsi="宋体" w:eastAsia="宋体" w:cs="宋体"/>
          <w:b/>
        </w:rPr>
      </w:pPr>
      <w:r>
        <w:rPr>
          <w:rFonts w:hint="eastAsia" w:ascii="宋体" w:hAnsi="宋体" w:eastAsia="宋体" w:cs="宋体"/>
          <w:b/>
        </w:rPr>
        <w:t>附件五、商务条款偏离表格式</w:t>
      </w:r>
    </w:p>
    <w:p w14:paraId="23E5F8EA">
      <w:pPr>
        <w:widowControl/>
        <w:shd w:val="clear" w:color="auto" w:fill="FFFFFF"/>
        <w:spacing w:before="312" w:beforeLines="100"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商务条款偏离表</w:t>
      </w:r>
    </w:p>
    <w:tbl>
      <w:tblPr>
        <w:tblStyle w:val="20"/>
        <w:tblW w:w="9412" w:type="dxa"/>
        <w:jc w:val="center"/>
        <w:tblLayout w:type="fixed"/>
        <w:tblCellMar>
          <w:top w:w="0" w:type="dxa"/>
          <w:left w:w="10" w:type="dxa"/>
          <w:bottom w:w="0" w:type="dxa"/>
          <w:right w:w="10" w:type="dxa"/>
        </w:tblCellMar>
      </w:tblPr>
      <w:tblGrid>
        <w:gridCol w:w="665"/>
        <w:gridCol w:w="2156"/>
        <w:gridCol w:w="2977"/>
        <w:gridCol w:w="938"/>
        <w:gridCol w:w="1638"/>
        <w:gridCol w:w="1038"/>
      </w:tblGrid>
      <w:tr w14:paraId="56868E56">
        <w:tblPrEx>
          <w:tblCellMar>
            <w:top w:w="0" w:type="dxa"/>
            <w:left w:w="10" w:type="dxa"/>
            <w:bottom w:w="0" w:type="dxa"/>
            <w:right w:w="10" w:type="dxa"/>
          </w:tblCellMar>
        </w:tblPrEx>
        <w:trPr>
          <w:trHeight w:val="284" w:hRule="atLeast"/>
          <w:jc w:val="center"/>
        </w:trPr>
        <w:tc>
          <w:tcPr>
            <w:tcW w:w="6736" w:type="dxa"/>
            <w:gridSpan w:val="4"/>
            <w:tcBorders>
              <w:top w:val="nil"/>
              <w:left w:val="nil"/>
              <w:bottom w:val="single" w:color="auto" w:sz="6" w:space="0"/>
              <w:right w:val="nil"/>
            </w:tcBorders>
            <w:vAlign w:val="center"/>
          </w:tcPr>
          <w:p w14:paraId="60C9134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rPr>
              <w:t>项目名称：</w:t>
            </w:r>
          </w:p>
          <w:p w14:paraId="148DC89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rPr>
              <w:t>项目编号：</w:t>
            </w:r>
          </w:p>
        </w:tc>
        <w:tc>
          <w:tcPr>
            <w:tcW w:w="2676" w:type="dxa"/>
            <w:gridSpan w:val="2"/>
            <w:tcBorders>
              <w:top w:val="nil"/>
              <w:left w:val="nil"/>
              <w:bottom w:val="single" w:color="auto" w:sz="6" w:space="0"/>
              <w:right w:val="nil"/>
            </w:tcBorders>
            <w:vAlign w:val="center"/>
          </w:tcPr>
          <w:p w14:paraId="144034E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rPr>
            </w:pPr>
          </w:p>
        </w:tc>
      </w:tr>
      <w:tr w14:paraId="3661EE20">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12C6BA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序号</w:t>
            </w:r>
          </w:p>
        </w:tc>
        <w:tc>
          <w:tcPr>
            <w:tcW w:w="2156" w:type="dxa"/>
            <w:tcBorders>
              <w:top w:val="single" w:color="auto" w:sz="6" w:space="0"/>
              <w:left w:val="nil"/>
              <w:bottom w:val="single" w:color="auto" w:sz="6" w:space="0"/>
              <w:right w:val="single" w:color="auto" w:sz="6" w:space="0"/>
            </w:tcBorders>
            <w:vAlign w:val="center"/>
          </w:tcPr>
          <w:p w14:paraId="4AE49FF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采购文件条目号</w:t>
            </w:r>
          </w:p>
        </w:tc>
        <w:tc>
          <w:tcPr>
            <w:tcW w:w="2977" w:type="dxa"/>
            <w:tcBorders>
              <w:top w:val="single" w:color="auto" w:sz="6" w:space="0"/>
              <w:left w:val="nil"/>
              <w:bottom w:val="single" w:color="auto" w:sz="6" w:space="0"/>
              <w:right w:val="single" w:color="auto" w:sz="6" w:space="0"/>
            </w:tcBorders>
            <w:vAlign w:val="center"/>
          </w:tcPr>
          <w:p w14:paraId="1225E35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采购文件要求的商务条款</w:t>
            </w:r>
          </w:p>
        </w:tc>
        <w:tc>
          <w:tcPr>
            <w:tcW w:w="2576" w:type="dxa"/>
            <w:gridSpan w:val="2"/>
            <w:tcBorders>
              <w:top w:val="single" w:color="auto" w:sz="6" w:space="0"/>
              <w:left w:val="nil"/>
              <w:bottom w:val="single" w:color="auto" w:sz="6" w:space="0"/>
              <w:right w:val="single" w:color="auto" w:sz="6" w:space="0"/>
            </w:tcBorders>
            <w:vAlign w:val="center"/>
          </w:tcPr>
          <w:p w14:paraId="32766C1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磋商响应</w:t>
            </w:r>
          </w:p>
        </w:tc>
        <w:tc>
          <w:tcPr>
            <w:tcW w:w="1038" w:type="dxa"/>
            <w:tcBorders>
              <w:top w:val="single" w:color="auto" w:sz="6" w:space="0"/>
              <w:left w:val="nil"/>
              <w:bottom w:val="single" w:color="auto" w:sz="6" w:space="0"/>
              <w:right w:val="single" w:color="auto" w:sz="6" w:space="0"/>
            </w:tcBorders>
            <w:vAlign w:val="center"/>
          </w:tcPr>
          <w:p w14:paraId="2483787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偏离说明</w:t>
            </w:r>
          </w:p>
        </w:tc>
      </w:tr>
      <w:tr w14:paraId="16764281">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EFD82C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156" w:type="dxa"/>
            <w:tcBorders>
              <w:top w:val="single" w:color="auto" w:sz="6" w:space="0"/>
              <w:left w:val="nil"/>
              <w:bottom w:val="single" w:color="auto" w:sz="6" w:space="0"/>
              <w:right w:val="single" w:color="auto" w:sz="6" w:space="0"/>
            </w:tcBorders>
            <w:vAlign w:val="center"/>
          </w:tcPr>
          <w:p w14:paraId="4878046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977" w:type="dxa"/>
            <w:tcBorders>
              <w:top w:val="single" w:color="auto" w:sz="6" w:space="0"/>
              <w:left w:val="nil"/>
              <w:bottom w:val="single" w:color="auto" w:sz="6" w:space="0"/>
              <w:right w:val="single" w:color="auto" w:sz="6" w:space="0"/>
            </w:tcBorders>
            <w:vAlign w:val="center"/>
          </w:tcPr>
          <w:p w14:paraId="5795081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76" w:type="dxa"/>
            <w:gridSpan w:val="2"/>
            <w:tcBorders>
              <w:top w:val="single" w:color="auto" w:sz="6" w:space="0"/>
              <w:left w:val="nil"/>
              <w:bottom w:val="single" w:color="auto" w:sz="6" w:space="0"/>
              <w:right w:val="single" w:color="auto" w:sz="6" w:space="0"/>
            </w:tcBorders>
            <w:vAlign w:val="center"/>
          </w:tcPr>
          <w:p w14:paraId="025DBD8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5F4FD66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304FE7DF">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11B3B87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156" w:type="dxa"/>
            <w:tcBorders>
              <w:top w:val="single" w:color="auto" w:sz="6" w:space="0"/>
              <w:left w:val="nil"/>
              <w:bottom w:val="single" w:color="auto" w:sz="6" w:space="0"/>
              <w:right w:val="single" w:color="auto" w:sz="6" w:space="0"/>
            </w:tcBorders>
            <w:vAlign w:val="center"/>
          </w:tcPr>
          <w:p w14:paraId="031CA46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977" w:type="dxa"/>
            <w:tcBorders>
              <w:top w:val="single" w:color="auto" w:sz="6" w:space="0"/>
              <w:left w:val="nil"/>
              <w:bottom w:val="single" w:color="auto" w:sz="6" w:space="0"/>
              <w:right w:val="single" w:color="auto" w:sz="6" w:space="0"/>
            </w:tcBorders>
            <w:vAlign w:val="center"/>
          </w:tcPr>
          <w:p w14:paraId="2932BD8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76" w:type="dxa"/>
            <w:gridSpan w:val="2"/>
            <w:tcBorders>
              <w:top w:val="single" w:color="auto" w:sz="6" w:space="0"/>
              <w:left w:val="nil"/>
              <w:bottom w:val="single" w:color="auto" w:sz="6" w:space="0"/>
              <w:right w:val="single" w:color="auto" w:sz="6" w:space="0"/>
            </w:tcBorders>
            <w:vAlign w:val="center"/>
          </w:tcPr>
          <w:p w14:paraId="4A96E64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7CD2DB1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6BB1CB19">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2217E6A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156" w:type="dxa"/>
            <w:tcBorders>
              <w:top w:val="single" w:color="auto" w:sz="6" w:space="0"/>
              <w:left w:val="nil"/>
              <w:bottom w:val="single" w:color="auto" w:sz="6" w:space="0"/>
              <w:right w:val="single" w:color="auto" w:sz="6" w:space="0"/>
            </w:tcBorders>
            <w:vAlign w:val="center"/>
          </w:tcPr>
          <w:p w14:paraId="5DC84B3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977" w:type="dxa"/>
            <w:tcBorders>
              <w:top w:val="single" w:color="auto" w:sz="6" w:space="0"/>
              <w:left w:val="nil"/>
              <w:bottom w:val="single" w:color="auto" w:sz="6" w:space="0"/>
              <w:right w:val="single" w:color="auto" w:sz="6" w:space="0"/>
            </w:tcBorders>
            <w:vAlign w:val="center"/>
          </w:tcPr>
          <w:p w14:paraId="7D451FE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76" w:type="dxa"/>
            <w:gridSpan w:val="2"/>
            <w:tcBorders>
              <w:top w:val="single" w:color="auto" w:sz="6" w:space="0"/>
              <w:left w:val="nil"/>
              <w:bottom w:val="single" w:color="auto" w:sz="6" w:space="0"/>
              <w:right w:val="single" w:color="auto" w:sz="6" w:space="0"/>
            </w:tcBorders>
            <w:vAlign w:val="center"/>
          </w:tcPr>
          <w:p w14:paraId="5BDF592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41E00E7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52E55153">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52BD6A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156" w:type="dxa"/>
            <w:tcBorders>
              <w:top w:val="single" w:color="auto" w:sz="6" w:space="0"/>
              <w:left w:val="nil"/>
              <w:bottom w:val="single" w:color="auto" w:sz="6" w:space="0"/>
              <w:right w:val="single" w:color="auto" w:sz="6" w:space="0"/>
            </w:tcBorders>
            <w:vAlign w:val="center"/>
          </w:tcPr>
          <w:p w14:paraId="77D5DD2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977" w:type="dxa"/>
            <w:tcBorders>
              <w:top w:val="single" w:color="auto" w:sz="6" w:space="0"/>
              <w:left w:val="nil"/>
              <w:bottom w:val="single" w:color="auto" w:sz="6" w:space="0"/>
              <w:right w:val="single" w:color="auto" w:sz="6" w:space="0"/>
            </w:tcBorders>
            <w:vAlign w:val="center"/>
          </w:tcPr>
          <w:p w14:paraId="663DC64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76" w:type="dxa"/>
            <w:gridSpan w:val="2"/>
            <w:tcBorders>
              <w:top w:val="single" w:color="auto" w:sz="6" w:space="0"/>
              <w:left w:val="nil"/>
              <w:bottom w:val="single" w:color="auto" w:sz="6" w:space="0"/>
              <w:right w:val="single" w:color="auto" w:sz="6" w:space="0"/>
            </w:tcBorders>
            <w:vAlign w:val="center"/>
          </w:tcPr>
          <w:p w14:paraId="522768F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0B26A88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331A439C">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A3E234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156" w:type="dxa"/>
            <w:tcBorders>
              <w:top w:val="single" w:color="auto" w:sz="6" w:space="0"/>
              <w:left w:val="nil"/>
              <w:bottom w:val="single" w:color="auto" w:sz="6" w:space="0"/>
              <w:right w:val="single" w:color="auto" w:sz="6" w:space="0"/>
            </w:tcBorders>
            <w:vAlign w:val="center"/>
          </w:tcPr>
          <w:p w14:paraId="724C8A8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977" w:type="dxa"/>
            <w:tcBorders>
              <w:top w:val="single" w:color="auto" w:sz="6" w:space="0"/>
              <w:left w:val="nil"/>
              <w:bottom w:val="single" w:color="auto" w:sz="6" w:space="0"/>
              <w:right w:val="single" w:color="auto" w:sz="6" w:space="0"/>
            </w:tcBorders>
            <w:vAlign w:val="center"/>
          </w:tcPr>
          <w:p w14:paraId="33B2D0E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76" w:type="dxa"/>
            <w:gridSpan w:val="2"/>
            <w:tcBorders>
              <w:top w:val="single" w:color="auto" w:sz="6" w:space="0"/>
              <w:left w:val="nil"/>
              <w:bottom w:val="single" w:color="auto" w:sz="6" w:space="0"/>
              <w:right w:val="single" w:color="auto" w:sz="6" w:space="0"/>
            </w:tcBorders>
            <w:vAlign w:val="center"/>
          </w:tcPr>
          <w:p w14:paraId="6BFFB20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3F1DBE9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bl>
    <w:p w14:paraId="016D0EC7">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4639AAA9">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34AC1F55">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4D0BAB23">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133A7A28">
      <w:pPr>
        <w:widowControl/>
        <w:shd w:val="clear" w:color="auto" w:fill="FFFFFF"/>
        <w:spacing w:line="360" w:lineRule="auto"/>
        <w:jc w:val="left"/>
        <w:rPr>
          <w:rFonts w:hint="eastAsia" w:ascii="宋体" w:hAnsi="宋体" w:eastAsia="宋体" w:cs="宋体"/>
          <w:b/>
          <w:bCs/>
          <w:kern w:val="0"/>
        </w:rPr>
      </w:pPr>
      <w:r>
        <w:rPr>
          <w:rFonts w:hint="eastAsia" w:ascii="宋体" w:hAnsi="宋体" w:eastAsia="宋体" w:cs="宋体"/>
          <w:b/>
          <w:bCs/>
          <w:kern w:val="0"/>
        </w:rPr>
        <w:t xml:space="preserve"> </w:t>
      </w:r>
    </w:p>
    <w:p w14:paraId="2754CA1D">
      <w:pPr>
        <w:spacing w:before="312" w:beforeLines="100" w:after="312" w:afterLines="100"/>
        <w:rPr>
          <w:rFonts w:hint="eastAsia" w:ascii="宋体" w:hAnsi="宋体" w:eastAsia="宋体" w:cs="宋体"/>
          <w:b/>
        </w:rPr>
        <w:sectPr>
          <w:pgSz w:w="11906" w:h="16838"/>
          <w:pgMar w:top="1440" w:right="1800" w:bottom="1440" w:left="1800" w:header="851" w:footer="992" w:gutter="0"/>
          <w:pgNumType w:fmt="decimal"/>
          <w:cols w:space="425" w:num="1"/>
          <w:docGrid w:type="lines" w:linePitch="312" w:charSpace="0"/>
        </w:sectPr>
      </w:pPr>
    </w:p>
    <w:p w14:paraId="6ACDF143">
      <w:pPr>
        <w:spacing w:before="312" w:beforeLines="100" w:after="312" w:afterLines="100"/>
        <w:ind w:left="0" w:leftChars="0" w:firstLine="0" w:firstLineChars="0"/>
        <w:rPr>
          <w:rFonts w:hint="eastAsia" w:ascii="宋体" w:hAnsi="宋体" w:eastAsia="宋体" w:cs="宋体"/>
          <w:b/>
        </w:rPr>
      </w:pPr>
      <w:r>
        <w:rPr>
          <w:rFonts w:hint="eastAsia" w:ascii="宋体" w:hAnsi="宋体" w:eastAsia="宋体" w:cs="宋体"/>
          <w:b/>
        </w:rPr>
        <w:t>附件六、采购需求条款偏离表格式</w:t>
      </w:r>
    </w:p>
    <w:p w14:paraId="74E1FA63">
      <w:pPr>
        <w:widowControl/>
        <w:shd w:val="clear" w:color="auto" w:fill="FFFFFF"/>
        <w:spacing w:before="312" w:beforeLines="100" w:line="360" w:lineRule="auto"/>
        <w:jc w:val="center"/>
        <w:rPr>
          <w:rFonts w:hint="eastAsia" w:ascii="宋体" w:hAnsi="宋体" w:eastAsia="宋体" w:cs="宋体"/>
        </w:rPr>
      </w:pPr>
      <w:r>
        <w:rPr>
          <w:rFonts w:hint="eastAsia" w:ascii="宋体" w:hAnsi="宋体" w:eastAsia="宋体" w:cs="宋体"/>
          <w:b/>
          <w:kern w:val="0"/>
          <w:sz w:val="36"/>
          <w:szCs w:val="36"/>
        </w:rPr>
        <w:t>采购需求条款偏离表</w:t>
      </w:r>
    </w:p>
    <w:tbl>
      <w:tblPr>
        <w:tblStyle w:val="20"/>
        <w:tblW w:w="0" w:type="auto"/>
        <w:jc w:val="center"/>
        <w:tblLayout w:type="fixed"/>
        <w:tblCellMar>
          <w:top w:w="0" w:type="dxa"/>
          <w:left w:w="10" w:type="dxa"/>
          <w:bottom w:w="0" w:type="dxa"/>
          <w:right w:w="10" w:type="dxa"/>
        </w:tblCellMar>
      </w:tblPr>
      <w:tblGrid>
        <w:gridCol w:w="665"/>
        <w:gridCol w:w="2549"/>
        <w:gridCol w:w="2820"/>
        <w:gridCol w:w="702"/>
        <w:gridCol w:w="1638"/>
        <w:gridCol w:w="1038"/>
      </w:tblGrid>
      <w:tr w14:paraId="36313B80">
        <w:tblPrEx>
          <w:tblCellMar>
            <w:top w:w="0" w:type="dxa"/>
            <w:left w:w="10" w:type="dxa"/>
            <w:bottom w:w="0" w:type="dxa"/>
            <w:right w:w="10" w:type="dxa"/>
          </w:tblCellMar>
        </w:tblPrEx>
        <w:trPr>
          <w:trHeight w:val="284" w:hRule="atLeast"/>
          <w:jc w:val="center"/>
        </w:trPr>
        <w:tc>
          <w:tcPr>
            <w:tcW w:w="6736" w:type="dxa"/>
            <w:gridSpan w:val="4"/>
            <w:tcBorders>
              <w:top w:val="nil"/>
              <w:left w:val="nil"/>
              <w:bottom w:val="single" w:color="auto" w:sz="6" w:space="0"/>
              <w:right w:val="nil"/>
            </w:tcBorders>
            <w:vAlign w:val="center"/>
          </w:tcPr>
          <w:p w14:paraId="60B656B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rPr>
            </w:pPr>
            <w:r>
              <w:rPr>
                <w:rFonts w:hint="eastAsia" w:ascii="宋体" w:hAnsi="宋体" w:eastAsia="宋体" w:cs="宋体"/>
              </w:rPr>
              <w:t>项目名称：</w:t>
            </w:r>
          </w:p>
          <w:p w14:paraId="05336B3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rPr>
            </w:pPr>
            <w:r>
              <w:rPr>
                <w:rFonts w:hint="eastAsia" w:ascii="宋体" w:hAnsi="宋体" w:eastAsia="宋体" w:cs="宋体"/>
              </w:rPr>
              <w:t>项目编号：</w:t>
            </w:r>
          </w:p>
        </w:tc>
        <w:tc>
          <w:tcPr>
            <w:tcW w:w="2676" w:type="dxa"/>
            <w:gridSpan w:val="2"/>
            <w:tcBorders>
              <w:top w:val="nil"/>
              <w:left w:val="nil"/>
              <w:bottom w:val="single" w:color="auto" w:sz="6" w:space="0"/>
              <w:right w:val="nil"/>
            </w:tcBorders>
            <w:vAlign w:val="center"/>
          </w:tcPr>
          <w:p w14:paraId="6F26CD7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rPr>
            </w:pPr>
          </w:p>
        </w:tc>
      </w:tr>
      <w:tr w14:paraId="305A579F">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115E3EB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序号</w:t>
            </w:r>
          </w:p>
        </w:tc>
        <w:tc>
          <w:tcPr>
            <w:tcW w:w="2549" w:type="dxa"/>
            <w:tcBorders>
              <w:top w:val="single" w:color="auto" w:sz="6" w:space="0"/>
              <w:left w:val="nil"/>
              <w:bottom w:val="single" w:color="auto" w:sz="6" w:space="0"/>
              <w:right w:val="single" w:color="auto" w:sz="6" w:space="0"/>
            </w:tcBorders>
            <w:vAlign w:val="center"/>
          </w:tcPr>
          <w:p w14:paraId="553026E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采购文件条目号</w:t>
            </w:r>
          </w:p>
        </w:tc>
        <w:tc>
          <w:tcPr>
            <w:tcW w:w="2820" w:type="dxa"/>
            <w:tcBorders>
              <w:top w:val="single" w:color="auto" w:sz="6" w:space="0"/>
              <w:left w:val="nil"/>
              <w:bottom w:val="single" w:color="auto" w:sz="6" w:space="0"/>
              <w:right w:val="single" w:color="auto" w:sz="6" w:space="0"/>
            </w:tcBorders>
            <w:vAlign w:val="center"/>
          </w:tcPr>
          <w:p w14:paraId="374FA2A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采购文件要求的采购需求条款</w:t>
            </w:r>
          </w:p>
        </w:tc>
        <w:tc>
          <w:tcPr>
            <w:tcW w:w="2340" w:type="dxa"/>
            <w:gridSpan w:val="2"/>
            <w:tcBorders>
              <w:top w:val="single" w:color="auto" w:sz="6" w:space="0"/>
              <w:left w:val="nil"/>
              <w:bottom w:val="single" w:color="auto" w:sz="6" w:space="0"/>
              <w:right w:val="single" w:color="auto" w:sz="6" w:space="0"/>
            </w:tcBorders>
            <w:vAlign w:val="center"/>
          </w:tcPr>
          <w:p w14:paraId="422E84C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磋商响应</w:t>
            </w:r>
          </w:p>
        </w:tc>
        <w:tc>
          <w:tcPr>
            <w:tcW w:w="1038" w:type="dxa"/>
            <w:tcBorders>
              <w:top w:val="single" w:color="auto" w:sz="6" w:space="0"/>
              <w:left w:val="nil"/>
              <w:bottom w:val="single" w:color="auto" w:sz="6" w:space="0"/>
              <w:right w:val="single" w:color="auto" w:sz="6" w:space="0"/>
            </w:tcBorders>
            <w:vAlign w:val="center"/>
          </w:tcPr>
          <w:p w14:paraId="2D9AED3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偏离说明</w:t>
            </w:r>
          </w:p>
        </w:tc>
      </w:tr>
      <w:tr w14:paraId="4A2C3740">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11092DC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49" w:type="dxa"/>
            <w:tcBorders>
              <w:top w:val="single" w:color="auto" w:sz="6" w:space="0"/>
              <w:left w:val="nil"/>
              <w:bottom w:val="single" w:color="auto" w:sz="6" w:space="0"/>
              <w:right w:val="single" w:color="auto" w:sz="6" w:space="0"/>
            </w:tcBorders>
            <w:vAlign w:val="center"/>
          </w:tcPr>
          <w:p w14:paraId="28344BC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820" w:type="dxa"/>
            <w:tcBorders>
              <w:top w:val="single" w:color="auto" w:sz="6" w:space="0"/>
              <w:left w:val="nil"/>
              <w:bottom w:val="single" w:color="auto" w:sz="6" w:space="0"/>
              <w:right w:val="single" w:color="auto" w:sz="6" w:space="0"/>
            </w:tcBorders>
            <w:vAlign w:val="center"/>
          </w:tcPr>
          <w:p w14:paraId="0880FA1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340" w:type="dxa"/>
            <w:gridSpan w:val="2"/>
            <w:tcBorders>
              <w:top w:val="single" w:color="auto" w:sz="6" w:space="0"/>
              <w:left w:val="nil"/>
              <w:bottom w:val="single" w:color="auto" w:sz="6" w:space="0"/>
              <w:right w:val="single" w:color="auto" w:sz="6" w:space="0"/>
            </w:tcBorders>
            <w:vAlign w:val="center"/>
          </w:tcPr>
          <w:p w14:paraId="5621C36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167411B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3908AB73">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DDF16F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49" w:type="dxa"/>
            <w:tcBorders>
              <w:top w:val="single" w:color="auto" w:sz="6" w:space="0"/>
              <w:left w:val="nil"/>
              <w:bottom w:val="single" w:color="auto" w:sz="6" w:space="0"/>
              <w:right w:val="single" w:color="auto" w:sz="6" w:space="0"/>
            </w:tcBorders>
            <w:vAlign w:val="center"/>
          </w:tcPr>
          <w:p w14:paraId="488041E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820" w:type="dxa"/>
            <w:tcBorders>
              <w:top w:val="single" w:color="auto" w:sz="6" w:space="0"/>
              <w:left w:val="nil"/>
              <w:bottom w:val="single" w:color="auto" w:sz="6" w:space="0"/>
              <w:right w:val="single" w:color="auto" w:sz="6" w:space="0"/>
            </w:tcBorders>
            <w:vAlign w:val="center"/>
          </w:tcPr>
          <w:p w14:paraId="030EB67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340" w:type="dxa"/>
            <w:gridSpan w:val="2"/>
            <w:tcBorders>
              <w:top w:val="single" w:color="auto" w:sz="6" w:space="0"/>
              <w:left w:val="nil"/>
              <w:bottom w:val="single" w:color="auto" w:sz="6" w:space="0"/>
              <w:right w:val="single" w:color="auto" w:sz="6" w:space="0"/>
            </w:tcBorders>
            <w:vAlign w:val="center"/>
          </w:tcPr>
          <w:p w14:paraId="38E9183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76725A4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79E7514B">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3527BCB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49" w:type="dxa"/>
            <w:tcBorders>
              <w:top w:val="single" w:color="auto" w:sz="6" w:space="0"/>
              <w:left w:val="nil"/>
              <w:bottom w:val="single" w:color="auto" w:sz="6" w:space="0"/>
              <w:right w:val="single" w:color="auto" w:sz="6" w:space="0"/>
            </w:tcBorders>
            <w:vAlign w:val="center"/>
          </w:tcPr>
          <w:p w14:paraId="75E4DBB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820" w:type="dxa"/>
            <w:tcBorders>
              <w:top w:val="single" w:color="auto" w:sz="6" w:space="0"/>
              <w:left w:val="nil"/>
              <w:bottom w:val="single" w:color="auto" w:sz="6" w:space="0"/>
              <w:right w:val="single" w:color="auto" w:sz="6" w:space="0"/>
            </w:tcBorders>
            <w:vAlign w:val="center"/>
          </w:tcPr>
          <w:p w14:paraId="6A5EB35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340" w:type="dxa"/>
            <w:gridSpan w:val="2"/>
            <w:tcBorders>
              <w:top w:val="single" w:color="auto" w:sz="6" w:space="0"/>
              <w:left w:val="nil"/>
              <w:bottom w:val="single" w:color="auto" w:sz="6" w:space="0"/>
              <w:right w:val="single" w:color="auto" w:sz="6" w:space="0"/>
            </w:tcBorders>
            <w:vAlign w:val="center"/>
          </w:tcPr>
          <w:p w14:paraId="7FA023C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74352F0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63CEB815">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6DBA085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49" w:type="dxa"/>
            <w:tcBorders>
              <w:top w:val="single" w:color="auto" w:sz="6" w:space="0"/>
              <w:left w:val="nil"/>
              <w:bottom w:val="single" w:color="auto" w:sz="6" w:space="0"/>
              <w:right w:val="single" w:color="auto" w:sz="6" w:space="0"/>
            </w:tcBorders>
            <w:vAlign w:val="center"/>
          </w:tcPr>
          <w:p w14:paraId="527BD53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820" w:type="dxa"/>
            <w:tcBorders>
              <w:top w:val="single" w:color="auto" w:sz="6" w:space="0"/>
              <w:left w:val="nil"/>
              <w:bottom w:val="single" w:color="auto" w:sz="6" w:space="0"/>
              <w:right w:val="single" w:color="auto" w:sz="6" w:space="0"/>
            </w:tcBorders>
            <w:vAlign w:val="center"/>
          </w:tcPr>
          <w:p w14:paraId="0078D78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340" w:type="dxa"/>
            <w:gridSpan w:val="2"/>
            <w:tcBorders>
              <w:top w:val="single" w:color="auto" w:sz="6" w:space="0"/>
              <w:left w:val="nil"/>
              <w:bottom w:val="single" w:color="auto" w:sz="6" w:space="0"/>
              <w:right w:val="single" w:color="auto" w:sz="6" w:space="0"/>
            </w:tcBorders>
            <w:vAlign w:val="center"/>
          </w:tcPr>
          <w:p w14:paraId="0F0F74E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543BA88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4947BF30">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33771DA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49" w:type="dxa"/>
            <w:tcBorders>
              <w:top w:val="single" w:color="auto" w:sz="6" w:space="0"/>
              <w:left w:val="nil"/>
              <w:bottom w:val="single" w:color="auto" w:sz="6" w:space="0"/>
              <w:right w:val="single" w:color="auto" w:sz="6" w:space="0"/>
            </w:tcBorders>
            <w:vAlign w:val="center"/>
          </w:tcPr>
          <w:p w14:paraId="324D4FE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820" w:type="dxa"/>
            <w:tcBorders>
              <w:top w:val="single" w:color="auto" w:sz="6" w:space="0"/>
              <w:left w:val="nil"/>
              <w:bottom w:val="single" w:color="auto" w:sz="6" w:space="0"/>
              <w:right w:val="single" w:color="auto" w:sz="6" w:space="0"/>
            </w:tcBorders>
            <w:vAlign w:val="center"/>
          </w:tcPr>
          <w:p w14:paraId="79BC557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340" w:type="dxa"/>
            <w:gridSpan w:val="2"/>
            <w:tcBorders>
              <w:top w:val="single" w:color="auto" w:sz="6" w:space="0"/>
              <w:left w:val="nil"/>
              <w:bottom w:val="single" w:color="auto" w:sz="6" w:space="0"/>
              <w:right w:val="single" w:color="auto" w:sz="6" w:space="0"/>
            </w:tcBorders>
            <w:vAlign w:val="center"/>
          </w:tcPr>
          <w:p w14:paraId="618354B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242CC9F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bl>
    <w:p w14:paraId="2A1E1888">
      <w:pPr>
        <w:autoSpaceDE w:val="0"/>
        <w:autoSpaceDN w:val="0"/>
        <w:adjustRightInd w:val="0"/>
        <w:rPr>
          <w:rFonts w:hint="eastAsia" w:ascii="宋体" w:hAnsi="宋体" w:eastAsia="宋体" w:cs="宋体"/>
          <w:kern w:val="0"/>
        </w:rPr>
      </w:pPr>
      <w:r>
        <w:rPr>
          <w:rFonts w:hint="eastAsia" w:ascii="宋体" w:hAnsi="宋体" w:eastAsia="宋体" w:cs="宋体"/>
        </w:rPr>
        <w:t xml:space="preserve"> </w:t>
      </w:r>
      <w:r>
        <w:rPr>
          <w:rFonts w:hint="eastAsia" w:ascii="宋体" w:hAnsi="宋体" w:eastAsia="宋体" w:cs="宋体"/>
          <w:kern w:val="0"/>
        </w:rPr>
        <w:t>供应商（盖章）:</w:t>
      </w:r>
      <w:r>
        <w:rPr>
          <w:rFonts w:hint="eastAsia" w:ascii="宋体" w:hAnsi="宋体" w:eastAsia="宋体" w:cs="宋体"/>
          <w:kern w:val="0"/>
          <w:u w:val="single"/>
        </w:rPr>
        <w:t xml:space="preserve">            </w:t>
      </w:r>
    </w:p>
    <w:p w14:paraId="5441649E">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711F312B">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4FBB88C3">
      <w:pPr>
        <w:autoSpaceDE w:val="0"/>
        <w:autoSpaceDN w:val="0"/>
        <w:adjustRightInd w:val="0"/>
        <w:rPr>
          <w:rFonts w:hint="eastAsia" w:ascii="宋体" w:hAnsi="宋体" w:eastAsia="宋体" w:cs="宋体"/>
        </w:rPr>
        <w:sectPr>
          <w:pgSz w:w="11906" w:h="16838"/>
          <w:pgMar w:top="1440" w:right="1800" w:bottom="1440" w:left="1800" w:header="851" w:footer="992" w:gutter="0"/>
          <w:pgNumType w:fmt="decimal"/>
          <w:cols w:space="425" w:num="1"/>
          <w:docGrid w:type="lines" w:linePitch="312" w:charSpace="0"/>
        </w:sectPr>
      </w:pPr>
    </w:p>
    <w:p w14:paraId="6F86FE2F">
      <w:pPr>
        <w:autoSpaceDE w:val="0"/>
        <w:autoSpaceDN w:val="0"/>
        <w:adjustRightInd w:val="0"/>
        <w:ind w:left="0" w:leftChars="0" w:firstLine="0" w:firstLineChars="0"/>
        <w:rPr>
          <w:rFonts w:hint="eastAsia" w:ascii="宋体" w:hAnsi="宋体" w:eastAsia="宋体" w:cs="宋体"/>
        </w:rPr>
      </w:pPr>
      <w:r>
        <w:rPr>
          <w:rFonts w:hint="eastAsia" w:ascii="宋体" w:hAnsi="宋体" w:eastAsia="宋体" w:cs="宋体"/>
        </w:rPr>
        <w:t xml:space="preserve"> </w:t>
      </w:r>
      <w:bookmarkStart w:id="594" w:name="_Toc534273806"/>
      <w:bookmarkEnd w:id="594"/>
      <w:bookmarkStart w:id="595" w:name="_Toc490133034"/>
      <w:bookmarkEnd w:id="595"/>
      <w:bookmarkStart w:id="596" w:name="_Toc504056874"/>
      <w:bookmarkEnd w:id="596"/>
      <w:bookmarkStart w:id="597" w:name="_Toc534273683"/>
      <w:bookmarkEnd w:id="597"/>
      <w:bookmarkStart w:id="598" w:name="_Toc504044385"/>
      <w:bookmarkEnd w:id="598"/>
      <w:bookmarkStart w:id="599" w:name="_Toc504573088"/>
      <w:bookmarkEnd w:id="599"/>
      <w:bookmarkStart w:id="600" w:name="_Toc504044386"/>
      <w:bookmarkEnd w:id="600"/>
      <w:bookmarkStart w:id="601" w:name="_Toc490133033"/>
      <w:bookmarkEnd w:id="601"/>
      <w:bookmarkStart w:id="602" w:name="_Toc504573089"/>
      <w:r>
        <w:rPr>
          <w:rFonts w:hint="eastAsia" w:ascii="宋体" w:hAnsi="宋体" w:eastAsia="宋体" w:cs="宋体"/>
          <w:b/>
        </w:rPr>
        <w:t>附件七、拟参与本项目人员一览表</w:t>
      </w:r>
      <w:bookmarkEnd w:id="602"/>
    </w:p>
    <w:p w14:paraId="037B4F83">
      <w:pPr>
        <w:widowControl/>
        <w:shd w:val="clear" w:color="auto" w:fill="FFFFFF"/>
        <w:spacing w:before="312" w:beforeLines="100" w:line="360" w:lineRule="auto"/>
        <w:jc w:val="center"/>
        <w:rPr>
          <w:rFonts w:hint="eastAsia" w:ascii="宋体" w:hAnsi="宋体" w:eastAsia="宋体" w:cs="宋体"/>
          <w:b/>
          <w:bCs/>
        </w:rPr>
      </w:pPr>
      <w:r>
        <w:rPr>
          <w:rFonts w:hint="eastAsia" w:ascii="宋体" w:hAnsi="宋体" w:eastAsia="宋体" w:cs="宋体"/>
          <w:b/>
          <w:kern w:val="0"/>
          <w:sz w:val="36"/>
          <w:szCs w:val="36"/>
        </w:rPr>
        <w:t>拟参与本项目人员一览表</w:t>
      </w:r>
      <w:r>
        <w:rPr>
          <w:rFonts w:hint="eastAsia" w:ascii="宋体" w:hAnsi="宋体" w:eastAsia="宋体" w:cs="宋体"/>
          <w:b/>
          <w:bCs/>
        </w:rPr>
        <w:t xml:space="preserve"> </w:t>
      </w:r>
    </w:p>
    <w:p w14:paraId="2A03F579">
      <w:pPr>
        <w:autoSpaceDE w:val="0"/>
        <w:autoSpaceDN w:val="0"/>
        <w:adjustRightInd w:val="0"/>
        <w:rPr>
          <w:rFonts w:hint="eastAsia" w:ascii="宋体" w:hAnsi="宋体" w:eastAsia="宋体" w:cs="宋体"/>
        </w:rPr>
      </w:pPr>
      <w:r>
        <w:rPr>
          <w:rFonts w:hint="eastAsia" w:ascii="宋体" w:hAnsi="宋体" w:eastAsia="宋体" w:cs="宋体"/>
        </w:rPr>
        <w:t>项目名称：</w:t>
      </w:r>
    </w:p>
    <w:p w14:paraId="24525753">
      <w:pPr>
        <w:autoSpaceDE w:val="0"/>
        <w:autoSpaceDN w:val="0"/>
        <w:adjustRightInd w:val="0"/>
        <w:rPr>
          <w:rFonts w:hint="eastAsia" w:ascii="宋体" w:hAnsi="宋体" w:eastAsia="宋体" w:cs="宋体"/>
        </w:rPr>
      </w:pPr>
      <w:r>
        <w:rPr>
          <w:rFonts w:hint="eastAsia" w:ascii="宋体" w:hAnsi="宋体" w:eastAsia="宋体" w:cs="宋体"/>
        </w:rPr>
        <w:t xml:space="preserve">项目编号：                                     </w:t>
      </w:r>
    </w:p>
    <w:tbl>
      <w:tblPr>
        <w:tblStyle w:val="20"/>
        <w:tblW w:w="55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625"/>
        <w:gridCol w:w="793"/>
        <w:gridCol w:w="793"/>
        <w:gridCol w:w="793"/>
        <w:gridCol w:w="1147"/>
        <w:gridCol w:w="1149"/>
        <w:gridCol w:w="1572"/>
        <w:gridCol w:w="942"/>
      </w:tblGrid>
      <w:tr w14:paraId="27BD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4936A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21"/>
                <w:szCs w:val="21"/>
              </w:rPr>
            </w:pPr>
            <w:r>
              <w:rPr>
                <w:rFonts w:hint="eastAsia"/>
                <w:b/>
                <w:bCs/>
                <w:sz w:val="21"/>
                <w:szCs w:val="21"/>
              </w:rPr>
              <w:t>序号</w:t>
            </w:r>
          </w:p>
        </w:tc>
        <w:tc>
          <w:tcPr>
            <w:tcW w:w="863" w:type="pct"/>
            <w:tcBorders>
              <w:top w:val="single" w:color="auto" w:sz="4" w:space="0"/>
              <w:left w:val="single" w:color="auto" w:sz="4" w:space="0"/>
              <w:bottom w:val="single" w:color="auto" w:sz="4" w:space="0"/>
              <w:right w:val="single" w:color="auto" w:sz="4" w:space="0"/>
            </w:tcBorders>
            <w:vAlign w:val="center"/>
          </w:tcPr>
          <w:p w14:paraId="1487A94C">
            <w:pPr>
              <w:spacing w:line="360" w:lineRule="auto"/>
              <w:ind w:left="0" w:leftChars="0" w:firstLine="0" w:firstLineChars="0"/>
              <w:jc w:val="center"/>
              <w:rPr>
                <w:rFonts w:hint="eastAsia"/>
                <w:b/>
                <w:bCs/>
                <w:sz w:val="21"/>
                <w:szCs w:val="21"/>
              </w:rPr>
            </w:pPr>
            <w:r>
              <w:rPr>
                <w:rFonts w:hint="eastAsia" w:ascii="宋体" w:hAnsi="宋体" w:cs="宋体"/>
                <w:sz w:val="21"/>
                <w:szCs w:val="21"/>
              </w:rPr>
              <w:t>姓  名</w:t>
            </w:r>
          </w:p>
        </w:tc>
        <w:tc>
          <w:tcPr>
            <w:tcW w:w="421" w:type="pct"/>
            <w:tcBorders>
              <w:top w:val="single" w:color="auto" w:sz="4" w:space="0"/>
              <w:left w:val="single" w:color="auto" w:sz="4" w:space="0"/>
              <w:bottom w:val="single" w:color="auto" w:sz="4" w:space="0"/>
              <w:right w:val="single" w:color="auto" w:sz="4" w:space="0"/>
            </w:tcBorders>
            <w:vAlign w:val="center"/>
          </w:tcPr>
          <w:p w14:paraId="547C6662">
            <w:pPr>
              <w:spacing w:line="360" w:lineRule="auto"/>
              <w:ind w:left="0" w:leftChars="0" w:firstLine="0" w:firstLineChars="0"/>
              <w:jc w:val="center"/>
              <w:rPr>
                <w:rFonts w:hint="eastAsia"/>
                <w:b/>
                <w:bCs/>
                <w:sz w:val="21"/>
                <w:szCs w:val="21"/>
              </w:rPr>
            </w:pPr>
            <w:r>
              <w:rPr>
                <w:rFonts w:hint="eastAsia" w:ascii="宋体" w:hAnsi="宋体" w:cs="宋体"/>
                <w:sz w:val="21"/>
                <w:szCs w:val="21"/>
              </w:rPr>
              <w:t>年龄</w:t>
            </w:r>
          </w:p>
        </w:tc>
        <w:tc>
          <w:tcPr>
            <w:tcW w:w="421" w:type="pct"/>
            <w:tcBorders>
              <w:top w:val="single" w:color="auto" w:sz="4" w:space="0"/>
              <w:left w:val="single" w:color="auto" w:sz="4" w:space="0"/>
              <w:bottom w:val="single" w:color="auto" w:sz="4" w:space="0"/>
              <w:right w:val="single" w:color="auto" w:sz="4" w:space="0"/>
            </w:tcBorders>
            <w:vAlign w:val="center"/>
          </w:tcPr>
          <w:p w14:paraId="60CF1939">
            <w:pPr>
              <w:spacing w:line="360" w:lineRule="auto"/>
              <w:ind w:left="0" w:leftChars="0" w:firstLine="0" w:firstLineChars="0"/>
              <w:jc w:val="center"/>
              <w:rPr>
                <w:rFonts w:hint="eastAsia"/>
                <w:b/>
                <w:bCs/>
                <w:sz w:val="21"/>
                <w:szCs w:val="21"/>
              </w:rPr>
            </w:pPr>
            <w:r>
              <w:rPr>
                <w:rFonts w:hint="eastAsia" w:ascii="宋体" w:hAnsi="宋体" w:cs="宋体"/>
                <w:sz w:val="21"/>
                <w:szCs w:val="21"/>
              </w:rPr>
              <w:t>性别</w:t>
            </w:r>
          </w:p>
        </w:tc>
        <w:tc>
          <w:tcPr>
            <w:tcW w:w="421" w:type="pct"/>
            <w:tcBorders>
              <w:top w:val="single" w:color="auto" w:sz="4" w:space="0"/>
              <w:left w:val="single" w:color="auto" w:sz="4" w:space="0"/>
              <w:bottom w:val="single" w:color="auto" w:sz="4" w:space="0"/>
              <w:right w:val="single" w:color="auto" w:sz="4" w:space="0"/>
            </w:tcBorders>
            <w:vAlign w:val="center"/>
          </w:tcPr>
          <w:p w14:paraId="4326F2DF">
            <w:pPr>
              <w:spacing w:line="360" w:lineRule="auto"/>
              <w:ind w:left="0" w:leftChars="0" w:firstLine="0" w:firstLineChars="0"/>
              <w:jc w:val="center"/>
              <w:rPr>
                <w:rFonts w:hint="eastAsia"/>
                <w:b/>
                <w:bCs/>
                <w:sz w:val="21"/>
                <w:szCs w:val="21"/>
              </w:rPr>
            </w:pPr>
            <w:r>
              <w:rPr>
                <w:rFonts w:hint="eastAsia" w:ascii="宋体" w:hAnsi="宋体" w:cs="宋体"/>
                <w:sz w:val="21"/>
                <w:szCs w:val="21"/>
              </w:rPr>
              <w:t>学历</w:t>
            </w:r>
          </w:p>
        </w:tc>
        <w:tc>
          <w:tcPr>
            <w:tcW w:w="609" w:type="pct"/>
            <w:tcBorders>
              <w:top w:val="single" w:color="auto" w:sz="4" w:space="0"/>
              <w:left w:val="single" w:color="auto" w:sz="4" w:space="0"/>
              <w:bottom w:val="single" w:color="auto" w:sz="4" w:space="0"/>
              <w:right w:val="single" w:color="auto" w:sz="4" w:space="0"/>
            </w:tcBorders>
            <w:vAlign w:val="center"/>
          </w:tcPr>
          <w:p w14:paraId="38B76CFA">
            <w:pPr>
              <w:spacing w:line="360" w:lineRule="auto"/>
              <w:ind w:left="0" w:leftChars="0" w:firstLine="0" w:firstLineChars="0"/>
              <w:jc w:val="center"/>
              <w:rPr>
                <w:rFonts w:hint="eastAsia"/>
                <w:b/>
                <w:bCs/>
                <w:sz w:val="21"/>
                <w:szCs w:val="21"/>
              </w:rPr>
            </w:pPr>
            <w:r>
              <w:rPr>
                <w:rFonts w:hint="eastAsia" w:ascii="宋体" w:hAnsi="宋体" w:cs="宋体"/>
                <w:sz w:val="21"/>
                <w:szCs w:val="21"/>
              </w:rPr>
              <w:t>专业</w:t>
            </w:r>
          </w:p>
        </w:tc>
        <w:tc>
          <w:tcPr>
            <w:tcW w:w="610" w:type="pct"/>
            <w:tcBorders>
              <w:top w:val="single" w:color="auto" w:sz="4" w:space="0"/>
              <w:left w:val="single" w:color="auto" w:sz="4" w:space="0"/>
              <w:bottom w:val="single" w:color="auto" w:sz="4" w:space="0"/>
              <w:right w:val="single" w:color="auto" w:sz="4" w:space="0"/>
            </w:tcBorders>
            <w:vAlign w:val="center"/>
          </w:tcPr>
          <w:p w14:paraId="5EE3857A">
            <w:pPr>
              <w:spacing w:line="360" w:lineRule="auto"/>
              <w:ind w:left="0" w:leftChars="0" w:firstLine="0" w:firstLineChars="0"/>
              <w:jc w:val="center"/>
              <w:rPr>
                <w:rFonts w:hint="eastAsia"/>
                <w:b/>
                <w:bCs/>
                <w:sz w:val="21"/>
                <w:szCs w:val="21"/>
              </w:rPr>
            </w:pPr>
            <w:r>
              <w:rPr>
                <w:rFonts w:hint="eastAsia" w:ascii="宋体" w:hAnsi="宋体" w:cs="宋体"/>
                <w:sz w:val="21"/>
                <w:szCs w:val="21"/>
              </w:rPr>
              <w:t>职称</w:t>
            </w:r>
          </w:p>
        </w:tc>
        <w:tc>
          <w:tcPr>
            <w:tcW w:w="835" w:type="pct"/>
            <w:tcBorders>
              <w:top w:val="single" w:color="auto" w:sz="4" w:space="0"/>
              <w:left w:val="single" w:color="auto" w:sz="4" w:space="0"/>
              <w:bottom w:val="single" w:color="auto" w:sz="4" w:space="0"/>
              <w:right w:val="single" w:color="auto" w:sz="4" w:space="0"/>
            </w:tcBorders>
            <w:vAlign w:val="center"/>
          </w:tcPr>
          <w:p w14:paraId="5F86F93D">
            <w:pPr>
              <w:spacing w:line="360" w:lineRule="auto"/>
              <w:ind w:left="0" w:leftChars="0" w:firstLine="0" w:firstLineChars="0"/>
              <w:jc w:val="center"/>
              <w:rPr>
                <w:rFonts w:hint="eastAsia"/>
                <w:b/>
                <w:bCs/>
                <w:sz w:val="21"/>
                <w:szCs w:val="21"/>
              </w:rPr>
            </w:pPr>
            <w:r>
              <w:rPr>
                <w:rFonts w:hint="eastAsia" w:ascii="宋体" w:hAnsi="宋体" w:cs="宋体"/>
                <w:sz w:val="21"/>
                <w:szCs w:val="21"/>
              </w:rPr>
              <w:t>在本项目        拟任职务</w:t>
            </w:r>
          </w:p>
        </w:tc>
        <w:tc>
          <w:tcPr>
            <w:tcW w:w="500" w:type="pct"/>
            <w:tcBorders>
              <w:top w:val="single" w:color="auto" w:sz="4" w:space="0"/>
              <w:left w:val="single" w:color="auto" w:sz="4" w:space="0"/>
              <w:bottom w:val="single" w:color="auto" w:sz="4" w:space="0"/>
              <w:right w:val="single" w:color="auto" w:sz="4" w:space="0"/>
            </w:tcBorders>
            <w:vAlign w:val="center"/>
          </w:tcPr>
          <w:p w14:paraId="02995E4F">
            <w:pPr>
              <w:spacing w:line="360" w:lineRule="auto"/>
              <w:ind w:left="0" w:leftChars="0" w:firstLine="0" w:firstLineChars="0"/>
              <w:jc w:val="center"/>
              <w:rPr>
                <w:rFonts w:hint="eastAsia" w:ascii="宋体" w:hAnsi="宋体" w:cs="宋体"/>
                <w:sz w:val="21"/>
                <w:szCs w:val="21"/>
              </w:rPr>
            </w:pPr>
            <w:r>
              <w:rPr>
                <w:rFonts w:hint="eastAsia" w:ascii="宋体" w:hAnsi="宋体" w:cs="宋体"/>
                <w:sz w:val="21"/>
                <w:szCs w:val="21"/>
              </w:rPr>
              <w:t>备注</w:t>
            </w:r>
          </w:p>
        </w:tc>
      </w:tr>
      <w:tr w14:paraId="0B78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61024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1</w:t>
            </w:r>
          </w:p>
        </w:tc>
        <w:tc>
          <w:tcPr>
            <w:tcW w:w="863" w:type="pct"/>
            <w:tcBorders>
              <w:top w:val="single" w:color="auto" w:sz="4" w:space="0"/>
              <w:left w:val="single" w:color="auto" w:sz="4" w:space="0"/>
              <w:bottom w:val="single" w:color="auto" w:sz="4" w:space="0"/>
              <w:right w:val="single" w:color="auto" w:sz="4" w:space="0"/>
            </w:tcBorders>
            <w:vAlign w:val="center"/>
          </w:tcPr>
          <w:p w14:paraId="343D16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535AD6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5C4CAE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B072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072E70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629F83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B076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6076E4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3008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EDBF5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2</w:t>
            </w:r>
          </w:p>
        </w:tc>
        <w:tc>
          <w:tcPr>
            <w:tcW w:w="863" w:type="pct"/>
            <w:tcBorders>
              <w:top w:val="single" w:color="auto" w:sz="4" w:space="0"/>
              <w:left w:val="single" w:color="auto" w:sz="4" w:space="0"/>
              <w:bottom w:val="single" w:color="auto" w:sz="4" w:space="0"/>
              <w:right w:val="single" w:color="auto" w:sz="4" w:space="0"/>
            </w:tcBorders>
            <w:vAlign w:val="center"/>
          </w:tcPr>
          <w:p w14:paraId="24B4D0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4E1BD9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F0446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88767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05F2CC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1092FC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C9BBB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022FED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1644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608D47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3</w:t>
            </w:r>
          </w:p>
        </w:tc>
        <w:tc>
          <w:tcPr>
            <w:tcW w:w="863" w:type="pct"/>
            <w:tcBorders>
              <w:top w:val="single" w:color="auto" w:sz="4" w:space="0"/>
              <w:left w:val="single" w:color="auto" w:sz="4" w:space="0"/>
              <w:bottom w:val="single" w:color="auto" w:sz="4" w:space="0"/>
              <w:right w:val="single" w:color="auto" w:sz="4" w:space="0"/>
            </w:tcBorders>
            <w:vAlign w:val="center"/>
          </w:tcPr>
          <w:p w14:paraId="7FCFEA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49AD0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132A4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5961E7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3061F1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6AB4C8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6D96C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3C20A6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687F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9336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4</w:t>
            </w:r>
          </w:p>
        </w:tc>
        <w:tc>
          <w:tcPr>
            <w:tcW w:w="863" w:type="pct"/>
            <w:tcBorders>
              <w:top w:val="single" w:color="auto" w:sz="4" w:space="0"/>
              <w:left w:val="single" w:color="auto" w:sz="4" w:space="0"/>
              <w:bottom w:val="single" w:color="auto" w:sz="4" w:space="0"/>
              <w:right w:val="single" w:color="auto" w:sz="4" w:space="0"/>
            </w:tcBorders>
            <w:vAlign w:val="center"/>
          </w:tcPr>
          <w:p w14:paraId="576BD4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34F04F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0E7F7F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DE766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490D6C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251262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FB4F7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259708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2B00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EE595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5</w:t>
            </w:r>
          </w:p>
        </w:tc>
        <w:tc>
          <w:tcPr>
            <w:tcW w:w="863" w:type="pct"/>
            <w:tcBorders>
              <w:top w:val="single" w:color="auto" w:sz="4" w:space="0"/>
              <w:left w:val="single" w:color="auto" w:sz="4" w:space="0"/>
              <w:bottom w:val="single" w:color="auto" w:sz="4" w:space="0"/>
              <w:right w:val="single" w:color="auto" w:sz="4" w:space="0"/>
            </w:tcBorders>
            <w:vAlign w:val="center"/>
          </w:tcPr>
          <w:p w14:paraId="28F81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AB92E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C6367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CE6F7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7B72C4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292795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9A84B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6EBD8E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63CF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733A3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6</w:t>
            </w:r>
          </w:p>
        </w:tc>
        <w:tc>
          <w:tcPr>
            <w:tcW w:w="863" w:type="pct"/>
            <w:tcBorders>
              <w:top w:val="single" w:color="auto" w:sz="4" w:space="0"/>
              <w:left w:val="single" w:color="auto" w:sz="4" w:space="0"/>
              <w:bottom w:val="single" w:color="auto" w:sz="4" w:space="0"/>
              <w:right w:val="single" w:color="auto" w:sz="4" w:space="0"/>
            </w:tcBorders>
            <w:vAlign w:val="center"/>
          </w:tcPr>
          <w:p w14:paraId="0A134F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5F37C7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079B17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1CFD11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7736F2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06A407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1BD61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27CFF3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6364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060A9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7</w:t>
            </w:r>
          </w:p>
        </w:tc>
        <w:tc>
          <w:tcPr>
            <w:tcW w:w="863" w:type="pct"/>
            <w:tcBorders>
              <w:top w:val="single" w:color="auto" w:sz="4" w:space="0"/>
              <w:left w:val="single" w:color="auto" w:sz="4" w:space="0"/>
              <w:bottom w:val="single" w:color="auto" w:sz="4" w:space="0"/>
              <w:right w:val="single" w:color="auto" w:sz="4" w:space="0"/>
            </w:tcBorders>
            <w:vAlign w:val="center"/>
          </w:tcPr>
          <w:p w14:paraId="5283D6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BC3A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4468CB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1E9CFA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525F3E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56CC73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F87A9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36A254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4D71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17BD3A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8</w:t>
            </w:r>
          </w:p>
        </w:tc>
        <w:tc>
          <w:tcPr>
            <w:tcW w:w="863" w:type="pct"/>
            <w:tcBorders>
              <w:top w:val="single" w:color="auto" w:sz="4" w:space="0"/>
              <w:left w:val="single" w:color="auto" w:sz="4" w:space="0"/>
              <w:bottom w:val="single" w:color="auto" w:sz="4" w:space="0"/>
              <w:right w:val="single" w:color="auto" w:sz="4" w:space="0"/>
            </w:tcBorders>
            <w:vAlign w:val="center"/>
          </w:tcPr>
          <w:p w14:paraId="66B153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0A0F23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6CC8C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57938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076654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4299F7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05B13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124420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67C4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CBAB0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9</w:t>
            </w:r>
          </w:p>
        </w:tc>
        <w:tc>
          <w:tcPr>
            <w:tcW w:w="863" w:type="pct"/>
            <w:tcBorders>
              <w:top w:val="single" w:color="auto" w:sz="4" w:space="0"/>
              <w:left w:val="single" w:color="auto" w:sz="4" w:space="0"/>
              <w:bottom w:val="single" w:color="auto" w:sz="4" w:space="0"/>
              <w:right w:val="single" w:color="auto" w:sz="4" w:space="0"/>
            </w:tcBorders>
            <w:vAlign w:val="center"/>
          </w:tcPr>
          <w:p w14:paraId="710C49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7FDB7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0E4B9A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30B409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13A231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32D2FF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4F4F1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4AE4CB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5C26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AC3E9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10</w:t>
            </w:r>
          </w:p>
        </w:tc>
        <w:tc>
          <w:tcPr>
            <w:tcW w:w="863" w:type="pct"/>
            <w:tcBorders>
              <w:top w:val="single" w:color="auto" w:sz="4" w:space="0"/>
              <w:left w:val="single" w:color="auto" w:sz="4" w:space="0"/>
              <w:bottom w:val="single" w:color="auto" w:sz="4" w:space="0"/>
              <w:right w:val="single" w:color="auto" w:sz="4" w:space="0"/>
            </w:tcBorders>
            <w:vAlign w:val="center"/>
          </w:tcPr>
          <w:p w14:paraId="1769B6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81BA4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A5A78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E379D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5CE1E6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7BDD09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A7FA3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355F95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bl>
    <w:p w14:paraId="0D7DD551">
      <w:pPr>
        <w:spacing w:line="360" w:lineRule="auto"/>
        <w:ind w:right="210" w:rightChars="100" w:firstLine="420" w:firstLineChars="200"/>
        <w:jc w:val="left"/>
        <w:rPr>
          <w:rFonts w:ascii="宋体" w:hAnsi="宋体" w:cs="宋体"/>
          <w:sz w:val="21"/>
          <w:szCs w:val="21"/>
        </w:rPr>
      </w:pPr>
      <w:r>
        <w:rPr>
          <w:rFonts w:hint="eastAsia" w:ascii="宋体" w:hAnsi="宋体" w:cs="宋体"/>
          <w:sz w:val="21"/>
          <w:szCs w:val="21"/>
        </w:rPr>
        <w:t>注：此表可以根据需要自行增减行数</w:t>
      </w:r>
    </w:p>
    <w:p w14:paraId="523D2876">
      <w:pPr>
        <w:autoSpaceDE w:val="0"/>
        <w:autoSpaceDN w:val="0"/>
        <w:adjustRightInd w:val="0"/>
        <w:rPr>
          <w:rFonts w:hint="eastAsia" w:ascii="宋体" w:hAnsi="宋体" w:eastAsia="宋体" w:cs="宋体"/>
        </w:rPr>
      </w:pPr>
    </w:p>
    <w:p w14:paraId="7876D9D7">
      <w:pPr>
        <w:autoSpaceDE w:val="0"/>
        <w:autoSpaceDN w:val="0"/>
        <w:adjustRightInd w:val="0"/>
        <w:rPr>
          <w:rFonts w:hint="eastAsia" w:ascii="宋体" w:hAnsi="宋体" w:eastAsia="宋体" w:cs="宋体"/>
        </w:rPr>
      </w:pPr>
    </w:p>
    <w:p w14:paraId="4F59DFE8">
      <w:pPr>
        <w:autoSpaceDE w:val="0"/>
        <w:autoSpaceDN w:val="0"/>
        <w:adjustRightInd w:val="0"/>
        <w:rPr>
          <w:rFonts w:hint="eastAsia" w:ascii="宋体" w:hAnsi="宋体" w:eastAsia="宋体" w:cs="宋体"/>
        </w:rPr>
      </w:pPr>
      <w:r>
        <w:rPr>
          <w:rFonts w:hint="eastAsia" w:ascii="宋体" w:hAnsi="宋体" w:eastAsia="宋体" w:cs="宋体"/>
        </w:rPr>
        <w:t xml:space="preserve"> </w:t>
      </w:r>
    </w:p>
    <w:p w14:paraId="44BA86D1">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29B8DE51">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7BC0E79C">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49B58B8A">
      <w:pPr>
        <w:autoSpaceDE w:val="0"/>
        <w:autoSpaceDN w:val="0"/>
        <w:adjustRightInd w:val="0"/>
        <w:ind w:left="0" w:leftChars="0" w:firstLine="422" w:firstLineChars="200"/>
        <w:rPr>
          <w:rFonts w:hint="eastAsia" w:ascii="宋体" w:hAnsi="宋体" w:eastAsia="宋体" w:cs="宋体"/>
          <w:b/>
        </w:rPr>
      </w:pPr>
      <w:bookmarkStart w:id="603" w:name="_Toc534273807"/>
      <w:bookmarkEnd w:id="603"/>
      <w:bookmarkStart w:id="604" w:name="_Toc504044387"/>
      <w:bookmarkEnd w:id="604"/>
      <w:bookmarkStart w:id="605" w:name="_Toc534273684"/>
      <w:bookmarkEnd w:id="605"/>
      <w:bookmarkStart w:id="606" w:name="_Toc490133035"/>
      <w:bookmarkEnd w:id="606"/>
      <w:bookmarkStart w:id="607" w:name="_Toc504573090"/>
      <w:bookmarkEnd w:id="607"/>
      <w:bookmarkStart w:id="608" w:name="_Toc504056875"/>
    </w:p>
    <w:p w14:paraId="1B49FF56">
      <w:pPr>
        <w:pStyle w:val="9"/>
        <w:ind w:left="0" w:leftChars="0" w:firstLine="0" w:firstLineChars="0"/>
        <w:rPr>
          <w:rFonts w:hint="eastAsia"/>
        </w:rPr>
      </w:pPr>
    </w:p>
    <w:p w14:paraId="3121D064">
      <w:pPr>
        <w:autoSpaceDE w:val="0"/>
        <w:autoSpaceDN w:val="0"/>
        <w:adjustRightInd w:val="0"/>
        <w:ind w:left="0" w:leftChars="0" w:firstLine="0" w:firstLineChars="0"/>
        <w:rPr>
          <w:rFonts w:hint="eastAsia" w:ascii="宋体" w:hAnsi="宋体" w:eastAsia="宋体" w:cs="宋体"/>
          <w:b/>
        </w:rPr>
      </w:pPr>
      <w:r>
        <w:rPr>
          <w:rFonts w:hint="eastAsia" w:ascii="宋体" w:hAnsi="宋体" w:eastAsia="宋体" w:cs="宋体"/>
          <w:b/>
        </w:rPr>
        <w:t>附件八、供应商类似业绩情况表</w:t>
      </w:r>
      <w:bookmarkEnd w:id="608"/>
    </w:p>
    <w:p w14:paraId="51D14618">
      <w:pPr>
        <w:rPr>
          <w:rFonts w:hint="eastAsia" w:ascii="宋体" w:hAnsi="宋体" w:eastAsia="宋体" w:cs="宋体"/>
        </w:rPr>
      </w:pPr>
      <w:r>
        <w:rPr>
          <w:rFonts w:hint="eastAsia" w:ascii="宋体" w:hAnsi="宋体" w:eastAsia="宋体" w:cs="宋体"/>
        </w:rPr>
        <w:t xml:space="preserve"> </w:t>
      </w:r>
    </w:p>
    <w:p w14:paraId="68866B64">
      <w:pPr>
        <w:widowControl/>
        <w:shd w:val="clear" w:color="auto" w:fill="FFFFFF"/>
        <w:spacing w:before="312" w:beforeLines="100"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供应商类似业绩情况表</w:t>
      </w:r>
    </w:p>
    <w:tbl>
      <w:tblPr>
        <w:tblStyle w:val="2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12"/>
        <w:gridCol w:w="1446"/>
        <w:gridCol w:w="1541"/>
        <w:gridCol w:w="1377"/>
        <w:gridCol w:w="1087"/>
        <w:gridCol w:w="1087"/>
      </w:tblGrid>
      <w:tr w14:paraId="6656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11C2FE85">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序号</w:t>
            </w:r>
          </w:p>
        </w:tc>
        <w:tc>
          <w:tcPr>
            <w:tcW w:w="1812" w:type="dxa"/>
            <w:tcBorders>
              <w:top w:val="single" w:color="auto" w:sz="4" w:space="0"/>
              <w:left w:val="single" w:color="auto" w:sz="4" w:space="0"/>
              <w:bottom w:val="single" w:color="auto" w:sz="4" w:space="0"/>
              <w:right w:val="single" w:color="auto" w:sz="4" w:space="0"/>
            </w:tcBorders>
            <w:vAlign w:val="center"/>
          </w:tcPr>
          <w:p w14:paraId="55235E36">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项目名称</w:t>
            </w:r>
          </w:p>
        </w:tc>
        <w:tc>
          <w:tcPr>
            <w:tcW w:w="1446" w:type="dxa"/>
            <w:tcBorders>
              <w:top w:val="single" w:color="auto" w:sz="4" w:space="0"/>
              <w:left w:val="single" w:color="auto" w:sz="4" w:space="0"/>
              <w:bottom w:val="single" w:color="auto" w:sz="4" w:space="0"/>
              <w:right w:val="single" w:color="auto" w:sz="4" w:space="0"/>
            </w:tcBorders>
            <w:vAlign w:val="center"/>
          </w:tcPr>
          <w:p w14:paraId="2728FC8B">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业主单位</w:t>
            </w:r>
          </w:p>
        </w:tc>
        <w:tc>
          <w:tcPr>
            <w:tcW w:w="1541" w:type="dxa"/>
            <w:tcBorders>
              <w:top w:val="single" w:color="auto" w:sz="4" w:space="0"/>
              <w:left w:val="single" w:color="auto" w:sz="4" w:space="0"/>
              <w:bottom w:val="single" w:color="auto" w:sz="4" w:space="0"/>
              <w:right w:val="single" w:color="auto" w:sz="4" w:space="0"/>
            </w:tcBorders>
            <w:vAlign w:val="center"/>
          </w:tcPr>
          <w:p w14:paraId="435D8ABE">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业主联系</w:t>
            </w:r>
          </w:p>
          <w:p w14:paraId="345305DF">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方式</w:t>
            </w:r>
          </w:p>
        </w:tc>
        <w:tc>
          <w:tcPr>
            <w:tcW w:w="1377" w:type="dxa"/>
            <w:tcBorders>
              <w:top w:val="single" w:color="auto" w:sz="4" w:space="0"/>
              <w:left w:val="single" w:color="auto" w:sz="4" w:space="0"/>
              <w:bottom w:val="single" w:color="auto" w:sz="4" w:space="0"/>
              <w:right w:val="single" w:color="auto" w:sz="4" w:space="0"/>
            </w:tcBorders>
            <w:vAlign w:val="center"/>
          </w:tcPr>
          <w:p w14:paraId="3945117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工作主要</w:t>
            </w:r>
          </w:p>
          <w:p w14:paraId="0BB3E79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内容</w:t>
            </w:r>
          </w:p>
        </w:tc>
        <w:tc>
          <w:tcPr>
            <w:tcW w:w="1087" w:type="dxa"/>
            <w:tcBorders>
              <w:top w:val="single" w:color="auto" w:sz="4" w:space="0"/>
              <w:left w:val="single" w:color="auto" w:sz="4" w:space="0"/>
              <w:bottom w:val="single" w:color="auto" w:sz="4" w:space="0"/>
              <w:right w:val="single" w:color="auto" w:sz="4" w:space="0"/>
            </w:tcBorders>
            <w:vAlign w:val="center"/>
          </w:tcPr>
          <w:p w14:paraId="1F86508A">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服务年限</w:t>
            </w:r>
          </w:p>
        </w:tc>
        <w:tc>
          <w:tcPr>
            <w:tcW w:w="1087" w:type="dxa"/>
            <w:tcBorders>
              <w:top w:val="single" w:color="auto" w:sz="4" w:space="0"/>
              <w:left w:val="single" w:color="auto" w:sz="4" w:space="0"/>
              <w:bottom w:val="single" w:color="auto" w:sz="4" w:space="0"/>
              <w:right w:val="single" w:color="auto" w:sz="4" w:space="0"/>
            </w:tcBorders>
            <w:vAlign w:val="center"/>
          </w:tcPr>
          <w:p w14:paraId="00B77D2C">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备注</w:t>
            </w:r>
          </w:p>
        </w:tc>
      </w:tr>
      <w:tr w14:paraId="3250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BEC760E">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812" w:type="dxa"/>
            <w:tcBorders>
              <w:top w:val="single" w:color="auto" w:sz="4" w:space="0"/>
              <w:left w:val="single" w:color="auto" w:sz="4" w:space="0"/>
              <w:bottom w:val="single" w:color="auto" w:sz="4" w:space="0"/>
              <w:right w:val="single" w:color="auto" w:sz="4" w:space="0"/>
            </w:tcBorders>
            <w:vAlign w:val="center"/>
          </w:tcPr>
          <w:p w14:paraId="1DC2F76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2092AEFC">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1EBFF3D9">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377" w:type="dxa"/>
            <w:tcBorders>
              <w:top w:val="single" w:color="auto" w:sz="4" w:space="0"/>
              <w:left w:val="single" w:color="auto" w:sz="4" w:space="0"/>
              <w:bottom w:val="single" w:color="auto" w:sz="4" w:space="0"/>
              <w:right w:val="single" w:color="auto" w:sz="4" w:space="0"/>
            </w:tcBorders>
            <w:vAlign w:val="center"/>
          </w:tcPr>
          <w:p w14:paraId="464C2136">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327428D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0477F6ED">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r>
      <w:tr w14:paraId="69C1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25D4ACA">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812" w:type="dxa"/>
            <w:tcBorders>
              <w:top w:val="single" w:color="auto" w:sz="4" w:space="0"/>
              <w:left w:val="single" w:color="auto" w:sz="4" w:space="0"/>
              <w:bottom w:val="single" w:color="auto" w:sz="4" w:space="0"/>
              <w:right w:val="single" w:color="auto" w:sz="4" w:space="0"/>
            </w:tcBorders>
            <w:vAlign w:val="center"/>
          </w:tcPr>
          <w:p w14:paraId="2FB723E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49267CFA">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0F983708">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377" w:type="dxa"/>
            <w:tcBorders>
              <w:top w:val="single" w:color="auto" w:sz="4" w:space="0"/>
              <w:left w:val="single" w:color="auto" w:sz="4" w:space="0"/>
              <w:bottom w:val="single" w:color="auto" w:sz="4" w:space="0"/>
              <w:right w:val="single" w:color="auto" w:sz="4" w:space="0"/>
            </w:tcBorders>
            <w:vAlign w:val="center"/>
          </w:tcPr>
          <w:p w14:paraId="053CDFED">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1E69557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5339AB29">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r>
      <w:tr w14:paraId="061E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39807150">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812" w:type="dxa"/>
            <w:tcBorders>
              <w:top w:val="single" w:color="auto" w:sz="4" w:space="0"/>
              <w:left w:val="single" w:color="auto" w:sz="4" w:space="0"/>
              <w:bottom w:val="single" w:color="auto" w:sz="4" w:space="0"/>
              <w:right w:val="single" w:color="auto" w:sz="4" w:space="0"/>
            </w:tcBorders>
            <w:vAlign w:val="center"/>
          </w:tcPr>
          <w:p w14:paraId="2A151F3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2EAABCBD">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6906976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377" w:type="dxa"/>
            <w:tcBorders>
              <w:top w:val="single" w:color="auto" w:sz="4" w:space="0"/>
              <w:left w:val="single" w:color="auto" w:sz="4" w:space="0"/>
              <w:bottom w:val="single" w:color="auto" w:sz="4" w:space="0"/>
              <w:right w:val="single" w:color="auto" w:sz="4" w:space="0"/>
            </w:tcBorders>
            <w:vAlign w:val="center"/>
          </w:tcPr>
          <w:p w14:paraId="4F8B51D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3D7BDA0F">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67F72A0C">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r>
      <w:tr w14:paraId="2533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E25789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812" w:type="dxa"/>
            <w:tcBorders>
              <w:top w:val="single" w:color="auto" w:sz="4" w:space="0"/>
              <w:left w:val="single" w:color="auto" w:sz="4" w:space="0"/>
              <w:bottom w:val="single" w:color="auto" w:sz="4" w:space="0"/>
              <w:right w:val="single" w:color="auto" w:sz="4" w:space="0"/>
            </w:tcBorders>
            <w:vAlign w:val="center"/>
          </w:tcPr>
          <w:p w14:paraId="0607A727">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5D06120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51513E5B">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377" w:type="dxa"/>
            <w:tcBorders>
              <w:top w:val="single" w:color="auto" w:sz="4" w:space="0"/>
              <w:left w:val="single" w:color="auto" w:sz="4" w:space="0"/>
              <w:bottom w:val="single" w:color="auto" w:sz="4" w:space="0"/>
              <w:right w:val="single" w:color="auto" w:sz="4" w:space="0"/>
            </w:tcBorders>
            <w:vAlign w:val="center"/>
          </w:tcPr>
          <w:p w14:paraId="651BDC30">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6C29514B">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057C3B88">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r>
      <w:tr w14:paraId="2CCA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632BA2D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812" w:type="dxa"/>
            <w:tcBorders>
              <w:top w:val="single" w:color="auto" w:sz="4" w:space="0"/>
              <w:left w:val="single" w:color="auto" w:sz="4" w:space="0"/>
              <w:bottom w:val="single" w:color="auto" w:sz="4" w:space="0"/>
              <w:right w:val="single" w:color="auto" w:sz="4" w:space="0"/>
            </w:tcBorders>
            <w:vAlign w:val="center"/>
          </w:tcPr>
          <w:p w14:paraId="23D3DFF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08BE4675">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293D6AF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377" w:type="dxa"/>
            <w:tcBorders>
              <w:top w:val="single" w:color="auto" w:sz="4" w:space="0"/>
              <w:left w:val="single" w:color="auto" w:sz="4" w:space="0"/>
              <w:bottom w:val="single" w:color="auto" w:sz="4" w:space="0"/>
              <w:right w:val="single" w:color="auto" w:sz="4" w:space="0"/>
            </w:tcBorders>
            <w:vAlign w:val="center"/>
          </w:tcPr>
          <w:p w14:paraId="32A8C0DF">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23F27707">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5AE57C13">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r>
    </w:tbl>
    <w:p w14:paraId="7E1E358E">
      <w:pPr>
        <w:rPr>
          <w:rFonts w:hint="eastAsia" w:ascii="宋体" w:hAnsi="宋体" w:eastAsia="宋体" w:cs="宋体"/>
        </w:rPr>
      </w:pPr>
      <w:r>
        <w:rPr>
          <w:rFonts w:hint="eastAsia" w:ascii="宋体" w:hAnsi="宋体" w:eastAsia="宋体" w:cs="宋体"/>
        </w:rPr>
        <w:t xml:space="preserve"> </w:t>
      </w:r>
    </w:p>
    <w:p w14:paraId="7C415EC6">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45030FBB">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2C50D747">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2DB60B3F">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6DFF14D3">
      <w:pPr>
        <w:widowControl/>
        <w:shd w:val="clear" w:color="auto" w:fill="FFFFFF"/>
        <w:spacing w:line="360" w:lineRule="auto"/>
        <w:jc w:val="left"/>
        <w:rPr>
          <w:rFonts w:hint="eastAsia" w:ascii="宋体" w:hAnsi="宋体" w:eastAsia="宋体" w:cs="宋体"/>
          <w:b/>
          <w:bCs/>
          <w:kern w:val="0"/>
          <w:lang w:val="zh-CN"/>
        </w:rPr>
      </w:pPr>
      <w:bookmarkStart w:id="609" w:name="_Toc504056876"/>
      <w:bookmarkEnd w:id="609"/>
      <w:bookmarkStart w:id="610" w:name="_Toc504573091"/>
      <w:bookmarkEnd w:id="610"/>
      <w:bookmarkStart w:id="611" w:name="_Toc490133036"/>
      <w:bookmarkEnd w:id="611"/>
      <w:bookmarkStart w:id="612" w:name="_Toc504044388"/>
      <w:bookmarkEnd w:id="612"/>
      <w:bookmarkStart w:id="613" w:name="_Toc534273685"/>
      <w:bookmarkEnd w:id="613"/>
      <w:bookmarkStart w:id="614" w:name="_Toc534273808"/>
      <w:r>
        <w:rPr>
          <w:rFonts w:hint="eastAsia" w:ascii="宋体" w:hAnsi="宋体" w:eastAsia="宋体" w:cs="宋体"/>
          <w:b/>
          <w:bCs/>
          <w:kern w:val="0"/>
          <w:lang w:val="zh-CN"/>
        </w:rPr>
        <w:t>说明：1.如果行数不够，请自行增加。</w:t>
      </w:r>
    </w:p>
    <w:p w14:paraId="1664C69C">
      <w:pPr>
        <w:widowControl/>
        <w:shd w:val="clear" w:color="auto" w:fill="FFFFFF"/>
        <w:spacing w:line="360" w:lineRule="auto"/>
        <w:ind w:firstLine="1054" w:firstLineChars="500"/>
        <w:jc w:val="left"/>
        <w:rPr>
          <w:rFonts w:hint="eastAsia" w:ascii="宋体" w:hAnsi="宋体" w:eastAsia="宋体" w:cs="宋体"/>
          <w:b/>
          <w:bCs/>
          <w:kern w:val="0"/>
          <w:lang w:val="zh-CN"/>
        </w:rPr>
      </w:pPr>
      <w:r>
        <w:rPr>
          <w:rFonts w:hint="eastAsia" w:ascii="宋体" w:hAnsi="宋体" w:eastAsia="宋体" w:cs="宋体"/>
          <w:b/>
          <w:bCs/>
          <w:kern w:val="0"/>
          <w:lang w:val="zh-CN"/>
        </w:rPr>
        <w:t>2.所有业绩均需要提供有效的复印件。</w:t>
      </w:r>
    </w:p>
    <w:p w14:paraId="16438F2D">
      <w:pPr>
        <w:spacing w:before="312" w:beforeLines="100" w:after="312" w:afterLines="100"/>
        <w:ind w:left="0" w:leftChars="0" w:firstLine="0" w:firstLineChars="0"/>
        <w:rPr>
          <w:rFonts w:hint="eastAsia" w:ascii="宋体" w:hAnsi="宋体" w:eastAsia="宋体" w:cs="宋体"/>
          <w:b/>
        </w:rPr>
      </w:pPr>
    </w:p>
    <w:p w14:paraId="150D6CA7">
      <w:pPr>
        <w:spacing w:before="312" w:beforeLines="100" w:after="312" w:afterLines="100"/>
        <w:ind w:left="0" w:leftChars="0" w:firstLine="0" w:firstLineChars="0"/>
        <w:rPr>
          <w:rFonts w:hint="eastAsia" w:ascii="宋体" w:hAnsi="宋体" w:eastAsia="宋体" w:cs="宋体"/>
          <w:b/>
        </w:rPr>
      </w:pPr>
    </w:p>
    <w:p w14:paraId="58FEF314">
      <w:pPr>
        <w:spacing w:before="312" w:beforeLines="100" w:after="312" w:afterLines="100"/>
        <w:ind w:left="0" w:leftChars="0" w:firstLine="0" w:firstLineChars="0"/>
        <w:rPr>
          <w:rFonts w:hint="eastAsia" w:ascii="宋体" w:hAnsi="宋体" w:eastAsia="宋体" w:cs="宋体"/>
          <w:b/>
        </w:rPr>
      </w:pPr>
    </w:p>
    <w:p w14:paraId="0C942A13">
      <w:pPr>
        <w:spacing w:before="312" w:beforeLines="100" w:after="312" w:afterLines="100"/>
        <w:ind w:left="0" w:leftChars="0" w:firstLine="0" w:firstLineChars="0"/>
        <w:rPr>
          <w:rFonts w:hint="eastAsia" w:ascii="宋体" w:hAnsi="宋体" w:eastAsia="宋体" w:cs="宋体"/>
          <w:b/>
        </w:rPr>
      </w:pPr>
    </w:p>
    <w:p w14:paraId="348404EA">
      <w:pPr>
        <w:spacing w:before="312" w:beforeLines="100" w:after="312" w:afterLines="100"/>
        <w:ind w:left="0" w:leftChars="0" w:firstLine="0" w:firstLineChars="0"/>
        <w:rPr>
          <w:rFonts w:hint="eastAsia" w:ascii="宋体" w:hAnsi="宋体" w:eastAsia="宋体" w:cs="宋体"/>
          <w:b/>
        </w:rPr>
      </w:pPr>
    </w:p>
    <w:p w14:paraId="3CBFFA1A">
      <w:pPr>
        <w:spacing w:before="312" w:beforeLines="100" w:after="312" w:afterLines="100"/>
        <w:ind w:left="0" w:leftChars="0" w:firstLine="0" w:firstLineChars="0"/>
        <w:rPr>
          <w:rFonts w:hint="eastAsia" w:ascii="宋体" w:hAnsi="宋体" w:eastAsia="宋体" w:cs="宋体"/>
          <w:b/>
        </w:rPr>
      </w:pPr>
    </w:p>
    <w:p w14:paraId="212D497A">
      <w:pPr>
        <w:spacing w:before="312" w:beforeLines="100" w:after="312" w:afterLines="100"/>
        <w:ind w:left="0" w:leftChars="0" w:firstLine="0" w:firstLineChars="0"/>
        <w:rPr>
          <w:rFonts w:hint="eastAsia" w:ascii="宋体" w:hAnsi="宋体" w:eastAsia="宋体" w:cs="宋体"/>
          <w:b/>
        </w:rPr>
      </w:pPr>
    </w:p>
    <w:p w14:paraId="4D82CAAD">
      <w:pPr>
        <w:spacing w:before="312" w:beforeLines="100" w:after="312" w:afterLines="100"/>
        <w:ind w:left="0" w:leftChars="0" w:firstLine="0" w:firstLineChars="0"/>
        <w:rPr>
          <w:rFonts w:hint="eastAsia" w:ascii="宋体" w:hAnsi="宋体" w:eastAsia="宋体" w:cs="宋体"/>
          <w:b/>
        </w:rPr>
      </w:pPr>
      <w:r>
        <w:rPr>
          <w:rFonts w:hint="eastAsia" w:ascii="宋体" w:hAnsi="宋体" w:eastAsia="宋体" w:cs="宋体"/>
          <w:b/>
        </w:rPr>
        <w:t>附件九、企业声明函格式</w:t>
      </w:r>
      <w:bookmarkEnd w:id="614"/>
    </w:p>
    <w:p w14:paraId="00552BA7">
      <w:pPr>
        <w:rPr>
          <w:rFonts w:hint="eastAsia" w:ascii="宋体" w:hAnsi="宋体" w:eastAsia="宋体" w:cs="宋体"/>
        </w:rPr>
      </w:pPr>
      <w:r>
        <w:rPr>
          <w:rFonts w:hint="eastAsia" w:ascii="宋体" w:hAnsi="宋体" w:eastAsia="宋体" w:cs="宋体"/>
        </w:rPr>
        <w:t xml:space="preserve"> </w:t>
      </w:r>
    </w:p>
    <w:p w14:paraId="4C4656DA">
      <w:pPr>
        <w:ind w:firstLine="643"/>
        <w:jc w:val="center"/>
        <w:rPr>
          <w:b/>
          <w:sz w:val="32"/>
          <w:szCs w:val="32"/>
        </w:rPr>
      </w:pPr>
      <w:bookmarkStart w:id="615" w:name="OLE_LINK13"/>
      <w:bookmarkEnd w:id="615"/>
      <w:bookmarkStart w:id="616" w:name="OLE_LINK14"/>
      <w:r>
        <w:rPr>
          <w:rFonts w:hint="eastAsia"/>
          <w:b/>
          <w:sz w:val="32"/>
          <w:szCs w:val="32"/>
        </w:rPr>
        <w:t>中小企业声明函（</w:t>
      </w:r>
      <w:r>
        <w:rPr>
          <w:rFonts w:hint="eastAsia"/>
          <w:b/>
          <w:sz w:val="32"/>
          <w:szCs w:val="32"/>
          <w:lang w:val="en-US" w:eastAsia="zh-CN"/>
        </w:rPr>
        <w:t>工程</w:t>
      </w:r>
      <w:r>
        <w:rPr>
          <w:rFonts w:hint="eastAsia"/>
          <w:b/>
          <w:sz w:val="32"/>
          <w:szCs w:val="32"/>
        </w:rPr>
        <w:t>）</w:t>
      </w:r>
    </w:p>
    <w:p w14:paraId="417EBE04">
      <w:pPr>
        <w:ind w:firstLine="420"/>
        <w:jc w:val="left"/>
        <w:rPr>
          <w:lang w:val="zh-CN"/>
        </w:rPr>
      </w:pPr>
      <w:r>
        <w:rPr>
          <w:rFonts w:hint="eastAsia"/>
          <w:lang w:val="zh-CN"/>
        </w:rPr>
        <w:t>本公司（联合体）郑重声明，根据《政府采购促进中小企业发展管理办法》（财库﹝2020﹞46 号）的规定，本公司 （联合体）参加</w:t>
      </w:r>
      <w:r>
        <w:rPr>
          <w:rFonts w:hint="eastAsia"/>
          <w:u w:val="single"/>
          <w:lang w:val="zh-CN"/>
        </w:rPr>
        <w:t>（单位名称）</w:t>
      </w:r>
      <w:r>
        <w:rPr>
          <w:rFonts w:hint="eastAsia"/>
          <w:lang w:val="zh-CN"/>
        </w:rPr>
        <w:t>的</w:t>
      </w:r>
      <w:r>
        <w:rPr>
          <w:rFonts w:hint="eastAsia"/>
          <w:u w:val="single"/>
          <w:lang w:val="zh-CN"/>
        </w:rPr>
        <w:t>（项目名称）</w:t>
      </w:r>
      <w:r>
        <w:rPr>
          <w:rFonts w:hint="eastAsia"/>
          <w:lang w:val="zh-CN"/>
        </w:rPr>
        <w:t>采购活动，工程的施工单位全部为符合政策要求的中小企业（或者：服务全部由符合政策要求的中小企业承接）。相关企业 （含联合体中的中小企业、签订分包意向协议的中小企业） 的具体情况如下：</w:t>
      </w:r>
    </w:p>
    <w:p w14:paraId="364C6A9B">
      <w:pPr>
        <w:ind w:firstLine="420"/>
        <w:jc w:val="left"/>
        <w:rPr>
          <w:lang w:val="zh-CN"/>
        </w:rPr>
      </w:pPr>
      <w:r>
        <w:rPr>
          <w:rFonts w:hint="eastAsia"/>
          <w:lang w:val="zh-CN"/>
        </w:rPr>
        <w:t>1、（标的名称） ，属于</w:t>
      </w:r>
      <w:r>
        <w:rPr>
          <w:rFonts w:hint="eastAsia"/>
          <w:kern w:val="0"/>
          <w:u w:val="single"/>
        </w:rPr>
        <w:t>（采购项目所属行业）</w:t>
      </w:r>
      <w:r>
        <w:rPr>
          <w:rFonts w:hint="eastAsia"/>
          <w:lang w:val="zh-CN"/>
        </w:rPr>
        <w:t>；承建（承接）企业为（企业名称），从业人员    人，营业收入为</w:t>
      </w:r>
      <w:r>
        <w:rPr>
          <w:rFonts w:hint="eastAsia"/>
          <w:u w:val="single"/>
          <w:lang w:val="zh-CN"/>
        </w:rPr>
        <w:t xml:space="preserve">     </w:t>
      </w:r>
      <w:r>
        <w:rPr>
          <w:rFonts w:hint="eastAsia"/>
          <w:lang w:val="zh-CN"/>
        </w:rPr>
        <w:t>万元，资产总额为</w:t>
      </w:r>
      <w:r>
        <w:rPr>
          <w:rFonts w:hint="eastAsia"/>
          <w:u w:val="single"/>
          <w:lang w:val="zh-CN"/>
        </w:rPr>
        <w:t xml:space="preserve">     </w:t>
      </w:r>
      <w:r>
        <w:rPr>
          <w:rFonts w:hint="eastAsia"/>
          <w:lang w:val="zh-CN"/>
        </w:rPr>
        <w:t>万元，属于</w:t>
      </w:r>
      <w:r>
        <w:rPr>
          <w:rFonts w:hint="eastAsia"/>
          <w:u w:val="single"/>
          <w:lang w:val="zh-CN"/>
        </w:rPr>
        <w:t>（中型企业、小 型企业、微型企业）</w:t>
      </w:r>
      <w:r>
        <w:rPr>
          <w:rFonts w:hint="eastAsia"/>
          <w:lang w:val="zh-CN"/>
        </w:rPr>
        <w:t>；</w:t>
      </w:r>
    </w:p>
    <w:p w14:paraId="2CA29D44">
      <w:pPr>
        <w:ind w:firstLine="420"/>
        <w:jc w:val="left"/>
        <w:rPr>
          <w:lang w:val="zh-CN"/>
        </w:rPr>
      </w:pPr>
      <w:r>
        <w:rPr>
          <w:rFonts w:hint="eastAsia"/>
          <w:lang w:val="zh-CN"/>
        </w:rPr>
        <w:t>2、</w:t>
      </w:r>
      <w:r>
        <w:rPr>
          <w:rFonts w:hint="eastAsia"/>
          <w:u w:val="single"/>
          <w:lang w:val="zh-CN"/>
        </w:rPr>
        <w:t>（标的名称）</w:t>
      </w:r>
      <w:r>
        <w:rPr>
          <w:rFonts w:hint="eastAsia"/>
          <w:lang w:val="zh-CN"/>
        </w:rPr>
        <w:t>，属于</w:t>
      </w:r>
      <w:r>
        <w:rPr>
          <w:rFonts w:hint="eastAsia"/>
          <w:kern w:val="0"/>
          <w:u w:val="single"/>
        </w:rPr>
        <w:t>（采购项目所属行业）</w:t>
      </w:r>
      <w:r>
        <w:rPr>
          <w:rFonts w:hint="eastAsia"/>
          <w:lang w:val="zh-CN"/>
        </w:rPr>
        <w:t>行业；承建（承接）企业为</w:t>
      </w:r>
      <w:r>
        <w:rPr>
          <w:rFonts w:hint="eastAsia"/>
          <w:u w:val="single"/>
          <w:lang w:val="zh-CN"/>
        </w:rPr>
        <w:t>（企业名称）</w:t>
      </w:r>
      <w:r>
        <w:rPr>
          <w:rFonts w:hint="eastAsia"/>
          <w:lang w:val="zh-CN"/>
        </w:rPr>
        <w:t>，从业人员</w:t>
      </w:r>
      <w:r>
        <w:rPr>
          <w:rFonts w:hint="eastAsia"/>
          <w:u w:val="single"/>
          <w:lang w:val="zh-CN"/>
        </w:rPr>
        <w:t xml:space="preserve">    </w:t>
      </w:r>
      <w:r>
        <w:rPr>
          <w:rFonts w:hint="eastAsia"/>
          <w:lang w:val="zh-CN"/>
        </w:rPr>
        <w:t>人，营业收入为</w:t>
      </w:r>
      <w:r>
        <w:rPr>
          <w:rFonts w:hint="eastAsia"/>
          <w:u w:val="single"/>
          <w:lang w:val="zh-CN"/>
        </w:rPr>
        <w:t xml:space="preserve">    </w:t>
      </w:r>
      <w:r>
        <w:rPr>
          <w:rFonts w:hint="eastAsia"/>
          <w:lang w:val="zh-CN"/>
        </w:rPr>
        <w:t>万元，资产总额为</w:t>
      </w:r>
      <w:r>
        <w:rPr>
          <w:rFonts w:hint="eastAsia"/>
          <w:u w:val="single"/>
          <w:lang w:val="zh-CN"/>
        </w:rPr>
        <w:t xml:space="preserve">    </w:t>
      </w:r>
      <w:r>
        <w:rPr>
          <w:rFonts w:hint="eastAsia"/>
          <w:lang w:val="zh-CN"/>
        </w:rPr>
        <w:t>万元，属于</w:t>
      </w:r>
      <w:r>
        <w:rPr>
          <w:rFonts w:hint="eastAsia"/>
          <w:u w:val="single"/>
          <w:lang w:val="zh-CN"/>
        </w:rPr>
        <w:t>（中型企业、小型 企业、微型企业）</w:t>
      </w:r>
      <w:r>
        <w:rPr>
          <w:rFonts w:hint="eastAsia"/>
          <w:lang w:val="zh-CN"/>
        </w:rPr>
        <w:t>；</w:t>
      </w:r>
    </w:p>
    <w:p w14:paraId="75781530">
      <w:pPr>
        <w:ind w:firstLine="420"/>
        <w:jc w:val="left"/>
        <w:rPr>
          <w:lang w:val="zh-CN"/>
        </w:rPr>
      </w:pPr>
      <w:r>
        <w:rPr>
          <w:rFonts w:hint="eastAsia"/>
          <w:lang w:val="zh-CN"/>
        </w:rPr>
        <w:t>……</w:t>
      </w:r>
    </w:p>
    <w:p w14:paraId="1AD1CA53">
      <w:pPr>
        <w:ind w:firstLine="420"/>
        <w:jc w:val="left"/>
        <w:rPr>
          <w:lang w:val="zh-CN"/>
        </w:rPr>
      </w:pPr>
      <w:r>
        <w:rPr>
          <w:rFonts w:hint="eastAsia"/>
          <w:lang w:val="zh-CN"/>
        </w:rPr>
        <w:t>以上企业，不属于大企业的分支机构，不存在控股股东为大企业的情形，也不存在与大企业的负责人为同一人的情形。</w:t>
      </w:r>
    </w:p>
    <w:p w14:paraId="7D4B9D9A">
      <w:pPr>
        <w:ind w:firstLine="420"/>
        <w:jc w:val="left"/>
        <w:rPr>
          <w:lang w:val="zh-CN"/>
        </w:rPr>
      </w:pPr>
      <w:r>
        <w:rPr>
          <w:rFonts w:hint="eastAsia"/>
          <w:lang w:val="zh-CN"/>
        </w:rPr>
        <w:t>本企业对上述声明内容的真实性负责。如有虚假，将依法承担相应责任。</w:t>
      </w:r>
    </w:p>
    <w:p w14:paraId="58EA19C6">
      <w:pPr>
        <w:ind w:firstLine="420"/>
      </w:pPr>
      <w:r>
        <w:rPr>
          <w:rFonts w:hint="eastAsia"/>
        </w:rPr>
        <w:t xml:space="preserve"> </w:t>
      </w:r>
    </w:p>
    <w:p w14:paraId="27EBB273">
      <w:pPr>
        <w:ind w:firstLine="420"/>
      </w:pPr>
      <w:r>
        <w:rPr>
          <w:rFonts w:hint="eastAsia"/>
        </w:rPr>
        <w:t>供应商名称（盖章）：</w:t>
      </w:r>
    </w:p>
    <w:p w14:paraId="1829A060">
      <w:pPr>
        <w:ind w:firstLine="420"/>
      </w:pPr>
      <w:r>
        <w:rPr>
          <w:rFonts w:hint="eastAsia"/>
        </w:rPr>
        <w:t>日期：</w:t>
      </w:r>
    </w:p>
    <w:p w14:paraId="0FFA3801">
      <w:pPr>
        <w:ind w:firstLine="420"/>
      </w:pPr>
      <w:r>
        <w:rPr>
          <w:rFonts w:hint="eastAsia"/>
        </w:rPr>
        <w:t xml:space="preserve"> </w:t>
      </w:r>
    </w:p>
    <w:p w14:paraId="649CC521">
      <w:pPr>
        <w:ind w:left="0" w:leftChars="0" w:firstLine="0" w:firstLineChars="0"/>
      </w:pPr>
    </w:p>
    <w:p w14:paraId="0FF8DA4E">
      <w:pPr>
        <w:widowControl/>
        <w:shd w:val="clear" w:color="auto" w:fill="FFFFFF"/>
        <w:ind w:firstLine="420"/>
        <w:jc w:val="left"/>
        <w:rPr>
          <w:b/>
          <w:kern w:val="0"/>
          <w:sz w:val="36"/>
          <w:szCs w:val="36"/>
        </w:rPr>
      </w:pPr>
      <w:r>
        <w:rPr>
          <w:rFonts w:hint="eastAsia"/>
        </w:rPr>
        <w:t>从业人员、营业收入、资产总额填报上一年度数据，无上一年度数据的新成立企业可不填报。</w:t>
      </w:r>
    </w:p>
    <w:p w14:paraId="2148E0AC">
      <w:pPr>
        <w:rPr>
          <w:rFonts w:hint="eastAsia" w:ascii="宋体" w:hAnsi="宋体" w:eastAsia="宋体" w:cs="宋体"/>
          <w:b/>
          <w:kern w:val="0"/>
          <w:sz w:val="36"/>
          <w:szCs w:val="36"/>
        </w:rPr>
      </w:pPr>
      <w:r>
        <w:rPr>
          <w:rFonts w:hint="eastAsia" w:ascii="宋体" w:hAnsi="宋体" w:eastAsia="宋体" w:cs="宋体"/>
          <w:b/>
          <w:kern w:val="0"/>
          <w:sz w:val="36"/>
          <w:szCs w:val="36"/>
        </w:rPr>
        <w:br w:type="page"/>
      </w:r>
      <w:bookmarkEnd w:id="616"/>
    </w:p>
    <w:p w14:paraId="1AD96F7E">
      <w:pPr>
        <w:widowControl/>
        <w:shd w:val="clear" w:color="auto" w:fill="FFFFFF"/>
        <w:spacing w:before="312" w:beforeLines="100"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残疾人福利性单位声明函</w:t>
      </w:r>
    </w:p>
    <w:p w14:paraId="516D2E88">
      <w:pPr>
        <w:widowControl/>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2BC1BF">
      <w:pPr>
        <w:widowControl/>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本单位对上述声明的真实性负责。如有虚假，将依法承担相应责任。</w:t>
      </w:r>
    </w:p>
    <w:p w14:paraId="06B7492F">
      <w:pPr>
        <w:widowControl/>
        <w:spacing w:line="360" w:lineRule="auto"/>
        <w:ind w:firstLine="5040" w:firstLineChars="2400"/>
        <w:jc w:val="left"/>
        <w:rPr>
          <w:rFonts w:hint="eastAsia" w:ascii="宋体" w:hAnsi="宋体" w:eastAsia="宋体" w:cs="宋体"/>
          <w:kern w:val="0"/>
        </w:rPr>
      </w:pPr>
      <w:r>
        <w:rPr>
          <w:rFonts w:hint="eastAsia" w:ascii="宋体" w:hAnsi="宋体" w:eastAsia="宋体" w:cs="宋体"/>
          <w:kern w:val="0"/>
        </w:rPr>
        <w:t xml:space="preserve"> </w:t>
      </w:r>
    </w:p>
    <w:p w14:paraId="5B8670D2">
      <w:pPr>
        <w:widowControl/>
        <w:spacing w:line="360" w:lineRule="auto"/>
        <w:ind w:firstLine="5040" w:firstLineChars="2400"/>
        <w:jc w:val="left"/>
        <w:rPr>
          <w:rFonts w:hint="eastAsia" w:ascii="宋体" w:hAnsi="宋体" w:eastAsia="宋体" w:cs="宋体"/>
          <w:kern w:val="0"/>
        </w:rPr>
      </w:pPr>
      <w:r>
        <w:rPr>
          <w:rFonts w:hint="eastAsia" w:ascii="宋体" w:hAnsi="宋体" w:eastAsia="宋体" w:cs="宋体"/>
          <w:kern w:val="0"/>
        </w:rPr>
        <w:t xml:space="preserve"> </w:t>
      </w:r>
    </w:p>
    <w:p w14:paraId="17745138">
      <w:pPr>
        <w:widowControl/>
        <w:shd w:val="clear" w:color="auto" w:fill="FFFFFF"/>
        <w:spacing w:line="360" w:lineRule="auto"/>
        <w:ind w:firstLine="3990" w:firstLineChars="1900"/>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711D47CB">
      <w:pPr>
        <w:widowControl/>
        <w:shd w:val="clear" w:color="auto" w:fill="FFFFFF"/>
        <w:spacing w:line="360" w:lineRule="auto"/>
        <w:ind w:firstLine="3990" w:firstLineChars="1900"/>
        <w:jc w:val="left"/>
        <w:rPr>
          <w:rFonts w:hint="eastAsia" w:ascii="宋体" w:hAnsi="宋体" w:eastAsia="宋体" w:cs="宋体"/>
          <w:b/>
          <w:bCs/>
        </w:rPr>
      </w:pPr>
      <w:r>
        <w:rPr>
          <w:rFonts w:hint="eastAsia" w:ascii="宋体" w:hAnsi="宋体" w:eastAsia="宋体" w:cs="宋体"/>
          <w:kern w:val="0"/>
        </w:rPr>
        <w:t>日    期：   年    月    日</w:t>
      </w:r>
    </w:p>
    <w:p w14:paraId="544624B6">
      <w:pPr>
        <w:widowControl/>
        <w:shd w:val="clear" w:color="auto" w:fill="FFFFFF"/>
        <w:spacing w:before="312" w:beforeLines="100"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属于监狱企业的证明文件</w:t>
      </w:r>
    </w:p>
    <w:p w14:paraId="6A64832B">
      <w:pPr>
        <w:spacing w:line="360" w:lineRule="auto"/>
        <w:rPr>
          <w:rFonts w:hint="eastAsia" w:ascii="宋体" w:hAnsi="宋体" w:eastAsia="宋体" w:cs="宋体"/>
        </w:rPr>
      </w:pPr>
      <w:r>
        <w:rPr>
          <w:rFonts w:hint="eastAsia" w:ascii="宋体" w:hAnsi="宋体" w:eastAsia="宋体" w:cs="宋体"/>
        </w:rPr>
        <w:t>（提供由省级以上监狱管理局、戒毒管理局(含新疆生产建设兵团)出具的属于监狱企业的证明文件）</w:t>
      </w:r>
    </w:p>
    <w:p w14:paraId="0398F632">
      <w:pPr>
        <w:spacing w:line="360" w:lineRule="auto"/>
        <w:rPr>
          <w:rFonts w:hint="eastAsia" w:ascii="宋体" w:hAnsi="宋体" w:eastAsia="宋体" w:cs="宋体"/>
          <w:b/>
          <w:bCs/>
        </w:rPr>
      </w:pPr>
      <w:r>
        <w:rPr>
          <w:rFonts w:hint="eastAsia" w:ascii="宋体" w:hAnsi="宋体" w:eastAsia="宋体" w:cs="宋体"/>
          <w:b/>
          <w:bCs/>
        </w:rPr>
        <w:t xml:space="preserve"> </w:t>
      </w:r>
    </w:p>
    <w:p w14:paraId="55DEDE0A">
      <w:pPr>
        <w:spacing w:line="360" w:lineRule="auto"/>
        <w:rPr>
          <w:rFonts w:hint="eastAsia" w:ascii="宋体" w:hAnsi="宋体" w:eastAsia="宋体" w:cs="宋体"/>
          <w:b/>
          <w:bCs/>
        </w:rPr>
      </w:pPr>
      <w:r>
        <w:rPr>
          <w:rFonts w:hint="eastAsia" w:ascii="宋体" w:hAnsi="宋体" w:eastAsia="宋体" w:cs="宋体"/>
          <w:b/>
          <w:bCs/>
        </w:rPr>
        <w:t xml:space="preserve">  </w:t>
      </w:r>
    </w:p>
    <w:p w14:paraId="615412DE">
      <w:pPr>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节能产品认证证书</w:t>
      </w:r>
    </w:p>
    <w:p w14:paraId="4C05146E">
      <w:pPr>
        <w:widowControl/>
        <w:shd w:val="clear" w:color="auto" w:fill="FFFFFF"/>
        <w:spacing w:before="312" w:beforeLines="100" w:line="360" w:lineRule="auto"/>
        <w:rPr>
          <w:rFonts w:hint="eastAsia" w:ascii="宋体" w:hAnsi="宋体" w:eastAsia="宋体" w:cs="宋体"/>
          <w:bCs/>
        </w:rPr>
      </w:pPr>
      <w:r>
        <w:rPr>
          <w:rFonts w:hint="eastAsia" w:ascii="宋体" w:hAnsi="宋体" w:eastAsia="宋体" w:cs="宋体"/>
          <w:bCs/>
        </w:rPr>
        <w:t>（提供国家确定的认证机构出具的、处于有效期之内的产品认证证书）</w:t>
      </w:r>
    </w:p>
    <w:p w14:paraId="513852BD">
      <w:pPr>
        <w:spacing w:line="360" w:lineRule="auto"/>
        <w:rPr>
          <w:rFonts w:hint="eastAsia" w:ascii="宋体" w:hAnsi="宋体" w:eastAsia="宋体" w:cs="宋体"/>
          <w:b/>
          <w:bCs/>
        </w:rPr>
      </w:pPr>
      <w:r>
        <w:rPr>
          <w:rFonts w:hint="eastAsia" w:ascii="宋体" w:hAnsi="宋体" w:eastAsia="宋体" w:cs="宋体"/>
          <w:b/>
          <w:bCs/>
        </w:rPr>
        <w:t xml:space="preserve"> </w:t>
      </w:r>
    </w:p>
    <w:p w14:paraId="1EED8068">
      <w:pPr>
        <w:spacing w:line="360" w:lineRule="auto"/>
        <w:rPr>
          <w:rFonts w:hint="eastAsia" w:ascii="宋体" w:hAnsi="宋体" w:eastAsia="宋体" w:cs="宋体"/>
          <w:b/>
          <w:bCs/>
        </w:rPr>
      </w:pPr>
      <w:r>
        <w:rPr>
          <w:rFonts w:hint="eastAsia" w:ascii="宋体" w:hAnsi="宋体" w:eastAsia="宋体" w:cs="宋体"/>
          <w:b/>
          <w:bCs/>
        </w:rPr>
        <w:t xml:space="preserve"> </w:t>
      </w:r>
    </w:p>
    <w:p w14:paraId="24F26C5A">
      <w:pPr>
        <w:spacing w:line="360" w:lineRule="auto"/>
        <w:jc w:val="center"/>
        <w:rPr>
          <w:rFonts w:hint="eastAsia" w:ascii="宋体" w:hAnsi="宋体" w:eastAsia="宋体" w:cs="宋体"/>
          <w:b/>
          <w:bCs/>
        </w:rPr>
      </w:pPr>
      <w:r>
        <w:rPr>
          <w:rFonts w:hint="eastAsia" w:ascii="宋体" w:hAnsi="宋体" w:eastAsia="宋体" w:cs="宋体"/>
          <w:b/>
          <w:kern w:val="0"/>
          <w:sz w:val="36"/>
          <w:szCs w:val="36"/>
        </w:rPr>
        <w:t>环境标志产品认证证书</w:t>
      </w:r>
    </w:p>
    <w:p w14:paraId="3CECC612">
      <w:pPr>
        <w:widowControl/>
        <w:shd w:val="clear" w:color="auto" w:fill="FFFFFF"/>
        <w:spacing w:before="312" w:beforeLines="100" w:line="360" w:lineRule="auto"/>
        <w:rPr>
          <w:rFonts w:hint="eastAsia" w:ascii="宋体" w:hAnsi="宋体" w:eastAsia="宋体" w:cs="宋体"/>
        </w:rPr>
      </w:pPr>
      <w:r>
        <w:rPr>
          <w:rFonts w:hint="eastAsia" w:ascii="宋体" w:hAnsi="宋体" w:eastAsia="宋体" w:cs="宋体"/>
          <w:bCs/>
        </w:rPr>
        <w:t>（提供国家确定的认证机构出具的、处于有效期之内的产品认证证书）</w:t>
      </w:r>
    </w:p>
    <w:p w14:paraId="2BE4C3DF">
      <w:pPr>
        <w:spacing w:line="360" w:lineRule="auto"/>
        <w:rPr>
          <w:rFonts w:hint="eastAsia" w:ascii="宋体" w:hAnsi="宋体" w:eastAsia="宋体" w:cs="宋体"/>
          <w:b/>
          <w:bCs/>
        </w:rPr>
      </w:pPr>
      <w:r>
        <w:rPr>
          <w:rFonts w:hint="eastAsia" w:ascii="宋体" w:hAnsi="宋体" w:eastAsia="宋体" w:cs="宋体"/>
          <w:b/>
          <w:bCs/>
        </w:rPr>
        <w:t xml:space="preserve"> </w:t>
      </w:r>
    </w:p>
    <w:p w14:paraId="62D6A533">
      <w:pPr>
        <w:spacing w:line="360" w:lineRule="auto"/>
        <w:rPr>
          <w:rFonts w:hint="eastAsia" w:ascii="宋体" w:hAnsi="宋体" w:eastAsia="宋体" w:cs="宋体"/>
          <w:b/>
          <w:kern w:val="0"/>
          <w:sz w:val="36"/>
          <w:szCs w:val="36"/>
        </w:rPr>
      </w:pPr>
      <w:r>
        <w:rPr>
          <w:rFonts w:hint="eastAsia" w:ascii="宋体" w:hAnsi="宋体" w:eastAsia="宋体" w:cs="宋体"/>
          <w:b/>
          <w:bCs/>
        </w:rPr>
        <w:t xml:space="preserve">     </w:t>
      </w:r>
      <w:r>
        <w:rPr>
          <w:rFonts w:hint="eastAsia" w:ascii="宋体" w:hAnsi="宋体" w:eastAsia="宋体" w:cs="宋体"/>
          <w:b/>
          <w:kern w:val="0"/>
          <w:sz w:val="36"/>
          <w:szCs w:val="36"/>
        </w:rPr>
        <w:t>进口产品转让技术、消化吸收再创新方案</w:t>
      </w:r>
    </w:p>
    <w:p w14:paraId="35A4CF94">
      <w:pPr>
        <w:spacing w:line="360" w:lineRule="auto"/>
        <w:rPr>
          <w:rFonts w:hint="eastAsia" w:ascii="宋体" w:hAnsi="宋体" w:eastAsia="宋体" w:cs="宋体"/>
          <w:bCs/>
        </w:rPr>
      </w:pPr>
      <w:r>
        <w:rPr>
          <w:rFonts w:hint="eastAsia" w:ascii="宋体" w:hAnsi="宋体" w:eastAsia="宋体" w:cs="宋体"/>
          <w:bCs/>
        </w:rPr>
        <w:t>（对于允许进口产品参加的项目）</w:t>
      </w:r>
    </w:p>
    <w:p w14:paraId="3D7A9779">
      <w:pPr>
        <w:spacing w:before="312" w:beforeLines="100" w:after="312" w:afterLines="100" w:line="360" w:lineRule="auto"/>
        <w:ind w:left="0" w:leftChars="0" w:firstLine="0" w:firstLineChars="0"/>
        <w:rPr>
          <w:rFonts w:hint="eastAsia" w:ascii="宋体" w:hAnsi="宋体" w:eastAsia="宋体" w:cs="宋体"/>
          <w:b/>
        </w:rPr>
      </w:pPr>
      <w:bookmarkStart w:id="617" w:name="_Toc534273686"/>
      <w:bookmarkEnd w:id="617"/>
      <w:bookmarkStart w:id="618" w:name="_Toc504573092"/>
      <w:bookmarkEnd w:id="618"/>
      <w:bookmarkStart w:id="619" w:name="_Toc504056877"/>
      <w:bookmarkEnd w:id="619"/>
      <w:bookmarkStart w:id="620" w:name="_Toc534273809"/>
      <w:bookmarkEnd w:id="620"/>
      <w:bookmarkStart w:id="621" w:name="_Toc490133037"/>
      <w:bookmarkEnd w:id="621"/>
      <w:bookmarkStart w:id="622" w:name="_Toc504044389"/>
      <w:bookmarkEnd w:id="622"/>
      <w:bookmarkStart w:id="623" w:name="_Toc8704"/>
      <w:r>
        <w:rPr>
          <w:rFonts w:hint="eastAsia" w:ascii="宋体" w:hAnsi="宋体" w:eastAsia="宋体" w:cs="宋体"/>
          <w:b/>
        </w:rPr>
        <w:t>附件十、无重大违法记录声明格式</w:t>
      </w:r>
      <w:bookmarkEnd w:id="623"/>
    </w:p>
    <w:p w14:paraId="2101307E">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无重大违法记录声明</w:t>
      </w:r>
    </w:p>
    <w:p w14:paraId="140AA7D7">
      <w:pPr>
        <w:spacing w:line="360" w:lineRule="auto"/>
        <w:rPr>
          <w:rFonts w:hint="eastAsia" w:ascii="宋体" w:hAnsi="宋体" w:eastAsia="宋体" w:cs="宋体"/>
        </w:rPr>
      </w:pPr>
      <w:r>
        <w:rPr>
          <w:rFonts w:hint="eastAsia" w:ascii="宋体" w:hAnsi="宋体" w:eastAsia="宋体" w:cs="宋体"/>
        </w:rPr>
        <w:t xml:space="preserve"> 致（</w:t>
      </w:r>
      <w:r>
        <w:rPr>
          <w:rFonts w:hint="eastAsia" w:ascii="宋体" w:hAnsi="宋体" w:cs="宋体"/>
          <w:lang w:eastAsia="zh-CN"/>
        </w:rPr>
        <w:t>采购人</w:t>
      </w:r>
      <w:r>
        <w:rPr>
          <w:rFonts w:hint="eastAsia" w:ascii="宋体" w:hAnsi="宋体" w:eastAsia="宋体" w:cs="宋体"/>
        </w:rPr>
        <w:t xml:space="preserve">）： </w:t>
      </w:r>
    </w:p>
    <w:p w14:paraId="0DD60DB8">
      <w:pPr>
        <w:spacing w:line="360" w:lineRule="auto"/>
        <w:rPr>
          <w:rFonts w:hint="eastAsia" w:ascii="宋体" w:hAnsi="宋体" w:eastAsia="宋体" w:cs="宋体"/>
          <w:kern w:val="0"/>
        </w:rPr>
      </w:pPr>
      <w:r>
        <w:rPr>
          <w:rFonts w:hint="eastAsia" w:ascii="宋体" w:hAnsi="宋体" w:eastAsia="宋体" w:cs="宋体"/>
        </w:rPr>
        <w:t xml:space="preserve"> </w:t>
      </w:r>
      <w:r>
        <w:rPr>
          <w:rFonts w:hint="eastAsia" w:ascii="宋体" w:hAnsi="宋体" w:eastAsia="宋体" w:cs="宋体"/>
          <w:kern w:val="0"/>
        </w:rPr>
        <w:t>我单位（供应商名称）宣布声明和承诺如下：</w:t>
      </w:r>
    </w:p>
    <w:p w14:paraId="700219A5">
      <w:pPr>
        <w:widowControl/>
        <w:shd w:val="clear" w:color="auto" w:fill="FFFFFF"/>
        <w:spacing w:line="360" w:lineRule="auto"/>
        <w:ind w:firstLine="308" w:firstLineChars="147"/>
        <w:rPr>
          <w:rFonts w:hint="eastAsia" w:ascii="宋体" w:hAnsi="宋体" w:eastAsia="宋体" w:cs="宋体"/>
          <w:b/>
          <w:kern w:val="0"/>
        </w:rPr>
      </w:pPr>
      <w:r>
        <w:rPr>
          <w:rFonts w:hint="eastAsia" w:ascii="宋体" w:hAnsi="宋体" w:eastAsia="宋体" w:cs="宋体"/>
          <w:kern w:val="0"/>
        </w:rPr>
        <w:t>我单位参加本次采购活动前3年内在经营活动中</w:t>
      </w:r>
      <w:r>
        <w:rPr>
          <w:rFonts w:hint="eastAsia" w:ascii="宋体" w:hAnsi="宋体" w:eastAsia="宋体" w:cs="宋体"/>
        </w:rPr>
        <w:t>（</w:t>
      </w:r>
      <w:r>
        <w:rPr>
          <w:rFonts w:hint="eastAsia" w:ascii="宋体" w:hAnsi="宋体" w:eastAsia="宋体" w:cs="宋体"/>
          <w:b/>
          <w:i/>
          <w:u w:val="single"/>
        </w:rPr>
        <w:t>在下划线上如实填写：有或没有</w:t>
      </w:r>
      <w:r>
        <w:rPr>
          <w:rFonts w:hint="eastAsia" w:ascii="宋体" w:hAnsi="宋体" w:eastAsia="宋体" w:cs="宋体"/>
        </w:rPr>
        <w:t>）</w:t>
      </w:r>
      <w:r>
        <w:rPr>
          <w:rFonts w:hint="eastAsia" w:ascii="宋体" w:hAnsi="宋体" w:eastAsia="宋体" w:cs="宋体"/>
          <w:b/>
        </w:rPr>
        <w:t>重大违法记录</w:t>
      </w:r>
      <w:r>
        <w:rPr>
          <w:rFonts w:hint="eastAsia" w:ascii="宋体" w:hAnsi="宋体" w:eastAsia="宋体" w:cs="宋体"/>
          <w:b/>
          <w:kern w:val="0"/>
        </w:rPr>
        <w:t>，且不是失信被执行人、重大税收违法案件当事人名单、政府采购严重违法失信行为记录名单的供应商。</w:t>
      </w:r>
    </w:p>
    <w:p w14:paraId="24FD4928">
      <w:pPr>
        <w:spacing w:line="360" w:lineRule="auto"/>
        <w:ind w:firstLine="315" w:firstLineChars="150"/>
        <w:rPr>
          <w:rFonts w:hint="eastAsia" w:ascii="宋体" w:hAnsi="宋体" w:eastAsia="宋体" w:cs="宋体"/>
        </w:rPr>
      </w:pPr>
      <w:r>
        <w:rPr>
          <w:rFonts w:hint="eastAsia" w:ascii="宋体" w:hAnsi="宋体" w:eastAsia="宋体" w:cs="宋体"/>
        </w:rPr>
        <w:t>（说明：政府采购法第二十二条第一款第五项所称重大违法记录，是指供应商因违法经营受到刑事处罚或者责令停产停业、吊销许可证或者执照、较大数额罚款等行政处罚。）</w:t>
      </w:r>
    </w:p>
    <w:p w14:paraId="7161FC8C">
      <w:pPr>
        <w:spacing w:line="360" w:lineRule="auto"/>
        <w:ind w:firstLine="5103" w:firstLineChars="2430"/>
        <w:rPr>
          <w:rFonts w:hint="eastAsia" w:ascii="宋体" w:hAnsi="宋体" w:eastAsia="宋体" w:cs="宋体"/>
        </w:rPr>
      </w:pPr>
      <w:r>
        <w:rPr>
          <w:rFonts w:hint="eastAsia" w:ascii="宋体" w:hAnsi="宋体" w:eastAsia="宋体" w:cs="宋体"/>
        </w:rPr>
        <w:t>声明人：（公章）</w:t>
      </w:r>
    </w:p>
    <w:p w14:paraId="0055BA31">
      <w:pPr>
        <w:spacing w:line="360" w:lineRule="auto"/>
        <w:ind w:firstLine="5103" w:firstLineChars="2430"/>
        <w:rPr>
          <w:rFonts w:hint="eastAsia" w:ascii="宋体" w:hAnsi="宋体" w:eastAsia="宋体" w:cs="宋体"/>
        </w:rPr>
      </w:pPr>
      <w:r>
        <w:rPr>
          <w:rFonts w:hint="eastAsia" w:ascii="宋体" w:hAnsi="宋体" w:eastAsia="宋体" w:cs="宋体"/>
        </w:rPr>
        <w:t>日期：    年   月</w:t>
      </w:r>
    </w:p>
    <w:p w14:paraId="465DA944">
      <w:pPr>
        <w:spacing w:line="360" w:lineRule="auto"/>
        <w:rPr>
          <w:rFonts w:hint="eastAsia" w:ascii="宋体" w:hAnsi="宋体" w:eastAsia="宋体" w:cs="宋体"/>
        </w:rPr>
      </w:pPr>
    </w:p>
    <w:p w14:paraId="0FF86610">
      <w:pPr>
        <w:spacing w:line="360" w:lineRule="auto"/>
        <w:rPr>
          <w:rFonts w:hint="eastAsia" w:ascii="宋体" w:hAnsi="宋体" w:eastAsia="宋体" w:cs="宋体"/>
        </w:rPr>
      </w:pPr>
    </w:p>
    <w:p w14:paraId="2D17CA12">
      <w:pPr>
        <w:spacing w:line="360" w:lineRule="auto"/>
        <w:rPr>
          <w:rFonts w:hint="eastAsia" w:ascii="宋体" w:hAnsi="宋体" w:eastAsia="宋体" w:cs="宋体"/>
        </w:rPr>
      </w:pPr>
    </w:p>
    <w:p w14:paraId="4175145A">
      <w:pPr>
        <w:spacing w:line="360" w:lineRule="auto"/>
        <w:rPr>
          <w:rFonts w:hint="eastAsia" w:ascii="宋体" w:hAnsi="宋体" w:eastAsia="宋体" w:cs="宋体"/>
          <w:b/>
        </w:rPr>
        <w:sectPr>
          <w:pgSz w:w="11906" w:h="16838"/>
          <w:pgMar w:top="1440" w:right="1800" w:bottom="1440" w:left="1800" w:header="851" w:footer="992" w:gutter="0"/>
          <w:pgNumType w:fmt="decimal"/>
          <w:cols w:space="425" w:num="1"/>
          <w:docGrid w:type="lines" w:linePitch="312" w:charSpace="0"/>
        </w:sectPr>
      </w:pPr>
    </w:p>
    <w:p w14:paraId="691A0F1F">
      <w:pPr>
        <w:spacing w:line="360" w:lineRule="auto"/>
        <w:ind w:left="0" w:leftChars="0" w:firstLine="0" w:firstLineChars="0"/>
        <w:rPr>
          <w:rFonts w:hint="eastAsia" w:ascii="宋体" w:hAnsi="宋体" w:eastAsia="宋体" w:cs="宋体"/>
          <w:b/>
        </w:rPr>
      </w:pPr>
      <w:r>
        <w:rPr>
          <w:rFonts w:hint="eastAsia" w:ascii="宋体" w:hAnsi="宋体" w:eastAsia="宋体" w:cs="宋体"/>
          <w:b/>
        </w:rPr>
        <w:t>附件十一、资格资信证明文件</w:t>
      </w:r>
    </w:p>
    <w:p w14:paraId="74E775CB">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 xml:space="preserve"> </w:t>
      </w:r>
    </w:p>
    <w:p w14:paraId="020FACB9">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 xml:space="preserve"> </w:t>
      </w:r>
    </w:p>
    <w:p w14:paraId="1FF8F387">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 xml:space="preserve"> </w:t>
      </w:r>
    </w:p>
    <w:p w14:paraId="1ADE19E9">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 xml:space="preserve"> </w:t>
      </w:r>
    </w:p>
    <w:p w14:paraId="2E9ECEDB">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 xml:space="preserve"> </w:t>
      </w:r>
    </w:p>
    <w:p w14:paraId="39EE3AA6">
      <w:pPr>
        <w:autoSpaceDE w:val="0"/>
        <w:autoSpaceDN w:val="0"/>
        <w:adjustRightInd w:val="0"/>
        <w:spacing w:line="360" w:lineRule="auto"/>
        <w:rPr>
          <w:rFonts w:hint="eastAsia" w:ascii="宋体" w:hAnsi="宋体" w:eastAsia="宋体" w:cs="宋体"/>
          <w:b/>
        </w:rPr>
        <w:sectPr>
          <w:pgSz w:w="11906" w:h="16838"/>
          <w:pgMar w:top="1440" w:right="1800" w:bottom="1440" w:left="1800" w:header="851" w:footer="992" w:gutter="0"/>
          <w:pgNumType w:fmt="decimal"/>
          <w:cols w:space="425" w:num="1"/>
          <w:docGrid w:type="lines" w:linePitch="312" w:charSpace="0"/>
        </w:sectPr>
      </w:pPr>
    </w:p>
    <w:p w14:paraId="700648C9">
      <w:pPr>
        <w:autoSpaceDE w:val="0"/>
        <w:autoSpaceDN w:val="0"/>
        <w:adjustRightInd w:val="0"/>
        <w:spacing w:line="360" w:lineRule="auto"/>
        <w:ind w:left="0" w:leftChars="0" w:firstLine="0" w:firstLineChars="0"/>
        <w:rPr>
          <w:rFonts w:hint="eastAsia" w:ascii="宋体" w:hAnsi="宋体" w:eastAsia="宋体" w:cs="宋体"/>
          <w:b/>
        </w:rPr>
      </w:pPr>
      <w:r>
        <w:rPr>
          <w:rFonts w:hint="eastAsia" w:ascii="宋体" w:hAnsi="宋体" w:eastAsia="宋体" w:cs="宋体"/>
          <w:b/>
        </w:rPr>
        <w:t>附件十</w:t>
      </w:r>
      <w:r>
        <w:rPr>
          <w:rFonts w:hint="eastAsia" w:ascii="宋体" w:hAnsi="宋体" w:eastAsia="宋体" w:cs="宋体"/>
          <w:b/>
          <w:lang w:val="en-US" w:eastAsia="zh-CN"/>
        </w:rPr>
        <w:t>二</w:t>
      </w:r>
      <w:r>
        <w:rPr>
          <w:rFonts w:hint="eastAsia" w:ascii="宋体" w:hAnsi="宋体" w:eastAsia="宋体" w:cs="宋体"/>
          <w:b/>
        </w:rPr>
        <w:t>、实施方案</w:t>
      </w:r>
    </w:p>
    <w:p w14:paraId="28B35579">
      <w:pPr>
        <w:spacing w:line="360" w:lineRule="auto"/>
        <w:jc w:val="center"/>
        <w:rPr>
          <w:rFonts w:hint="eastAsia" w:ascii="宋体" w:hAnsi="宋体" w:eastAsia="宋体" w:cs="宋体"/>
          <w:b/>
          <w:color w:val="0D0D0D"/>
        </w:rPr>
      </w:pPr>
      <w:r>
        <w:rPr>
          <w:rFonts w:hint="eastAsia" w:ascii="宋体" w:hAnsi="宋体" w:eastAsia="宋体" w:cs="宋体"/>
          <w:b/>
          <w:color w:val="0D0D0D"/>
        </w:rPr>
        <w:t xml:space="preserve"> </w:t>
      </w:r>
    </w:p>
    <w:p w14:paraId="3CA4322E">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46515131">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64E31024">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1B31998F">
      <w:pPr>
        <w:widowControl/>
        <w:shd w:val="clear" w:color="auto" w:fill="FFFFFF"/>
        <w:spacing w:line="360" w:lineRule="auto"/>
        <w:jc w:val="left"/>
        <w:rPr>
          <w:rFonts w:hint="eastAsia" w:ascii="宋体" w:hAnsi="宋体" w:eastAsia="宋体" w:cs="宋体"/>
          <w:b/>
          <w:bCs/>
          <w:kern w:val="0"/>
        </w:rPr>
      </w:pPr>
      <w:r>
        <w:rPr>
          <w:rFonts w:hint="eastAsia" w:ascii="宋体" w:hAnsi="宋体" w:eastAsia="宋体" w:cs="宋体"/>
          <w:b/>
          <w:bCs/>
          <w:kern w:val="0"/>
        </w:rPr>
        <w:t xml:space="preserve"> </w:t>
      </w:r>
    </w:p>
    <w:p w14:paraId="5C0FD02B">
      <w:pPr>
        <w:widowControl/>
        <w:shd w:val="clear" w:color="auto" w:fill="FFFFFF"/>
        <w:spacing w:line="360" w:lineRule="auto"/>
        <w:jc w:val="left"/>
        <w:rPr>
          <w:rFonts w:hint="eastAsia" w:ascii="宋体" w:hAnsi="宋体" w:eastAsia="宋体" w:cs="宋体"/>
          <w:b/>
          <w:bCs/>
          <w:kern w:val="0"/>
        </w:rPr>
      </w:pPr>
      <w:r>
        <w:rPr>
          <w:rFonts w:hint="eastAsia" w:ascii="宋体" w:hAnsi="宋体" w:eastAsia="宋体" w:cs="宋体"/>
          <w:b/>
          <w:bCs/>
          <w:kern w:val="0"/>
        </w:rPr>
        <w:t xml:space="preserve"> </w:t>
      </w:r>
    </w:p>
    <w:p w14:paraId="3B474470">
      <w:pPr>
        <w:widowControl/>
        <w:shd w:val="clear" w:color="auto" w:fill="FFFFFF"/>
        <w:spacing w:line="360" w:lineRule="auto"/>
        <w:jc w:val="left"/>
        <w:rPr>
          <w:rFonts w:hint="eastAsia" w:ascii="宋体" w:hAnsi="宋体" w:eastAsia="宋体" w:cs="宋体"/>
          <w:b/>
          <w:bCs/>
          <w:kern w:val="0"/>
        </w:rPr>
      </w:pPr>
      <w:r>
        <w:rPr>
          <w:rFonts w:hint="eastAsia" w:ascii="宋体" w:hAnsi="宋体" w:eastAsia="宋体" w:cs="宋体"/>
          <w:b/>
          <w:bCs/>
          <w:kern w:val="0"/>
        </w:rPr>
        <w:t xml:space="preserve"> </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34FF">
    <w:pPr>
      <w:pStyle w:val="1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E069">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B590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B5904">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B8F1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2655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52655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ECC7">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44437"/>
    <w:multiLevelType w:val="multilevel"/>
    <w:tmpl w:val="1524443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C559027"/>
    <w:multiLevelType w:val="singleLevel"/>
    <w:tmpl w:val="3C559027"/>
    <w:lvl w:ilvl="0" w:tentative="0">
      <w:start w:val="1"/>
      <w:numFmt w:val="decimal"/>
      <w:suff w:val="nothing"/>
      <w:lvlText w:val="（%1）"/>
      <w:lvlJc w:val="left"/>
    </w:lvl>
  </w:abstractNum>
  <w:abstractNum w:abstractNumId="2">
    <w:nsid w:val="592A6B5A"/>
    <w:multiLevelType w:val="singleLevel"/>
    <w:tmpl w:val="592A6B5A"/>
    <w:lvl w:ilvl="0" w:tentative="0">
      <w:start w:val="4"/>
      <w:numFmt w:val="chineseCounting"/>
      <w:suff w:val="space"/>
      <w:lvlText w:val="第%1章"/>
      <w:lvlJc w:val="left"/>
      <w:rPr>
        <w:rFonts w:hint="eastAsia"/>
      </w:rPr>
    </w:lvl>
  </w:abstractNum>
  <w:abstractNum w:abstractNumId="3">
    <w:nsid w:val="71DA6387"/>
    <w:multiLevelType w:val="singleLevel"/>
    <w:tmpl w:val="71DA6387"/>
    <w:lvl w:ilvl="0" w:tentative="0">
      <w:start w:val="1"/>
      <w:numFmt w:val="chineseCounting"/>
      <w:suff w:val="space"/>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zk5NGQzNzJjNDM4ZjYxMjA3YTYwYjA2YWE2MDIifQ=="/>
    <w:docVar w:name="KSO_WPS_MARK_KEY" w:val="0af14807-030d-4c40-a05e-a96f8202abd8"/>
  </w:docVars>
  <w:rsids>
    <w:rsidRoot w:val="005C22B1"/>
    <w:rsid w:val="00000F64"/>
    <w:rsid w:val="00005F10"/>
    <w:rsid w:val="000233B2"/>
    <w:rsid w:val="00053B85"/>
    <w:rsid w:val="000554B9"/>
    <w:rsid w:val="00067A7D"/>
    <w:rsid w:val="00073F97"/>
    <w:rsid w:val="000B5A06"/>
    <w:rsid w:val="000C027F"/>
    <w:rsid w:val="000E054F"/>
    <w:rsid w:val="000F63C4"/>
    <w:rsid w:val="001141B9"/>
    <w:rsid w:val="00114441"/>
    <w:rsid w:val="00162D09"/>
    <w:rsid w:val="00196E62"/>
    <w:rsid w:val="001C2AC1"/>
    <w:rsid w:val="001C332C"/>
    <w:rsid w:val="001E4E8D"/>
    <w:rsid w:val="001E7F5B"/>
    <w:rsid w:val="001F3299"/>
    <w:rsid w:val="001F4F61"/>
    <w:rsid w:val="0020613F"/>
    <w:rsid w:val="00221154"/>
    <w:rsid w:val="00221FC2"/>
    <w:rsid w:val="00266849"/>
    <w:rsid w:val="00275D6B"/>
    <w:rsid w:val="002774FD"/>
    <w:rsid w:val="002838FC"/>
    <w:rsid w:val="002861FD"/>
    <w:rsid w:val="00296D4D"/>
    <w:rsid w:val="002D1DAB"/>
    <w:rsid w:val="002E61FD"/>
    <w:rsid w:val="002F4E55"/>
    <w:rsid w:val="00300B43"/>
    <w:rsid w:val="003079FD"/>
    <w:rsid w:val="003158CA"/>
    <w:rsid w:val="00317FE5"/>
    <w:rsid w:val="0032100D"/>
    <w:rsid w:val="003305E1"/>
    <w:rsid w:val="00332818"/>
    <w:rsid w:val="00334F8B"/>
    <w:rsid w:val="003365CE"/>
    <w:rsid w:val="0034114D"/>
    <w:rsid w:val="00346401"/>
    <w:rsid w:val="00375EF9"/>
    <w:rsid w:val="00394F56"/>
    <w:rsid w:val="003A0132"/>
    <w:rsid w:val="003A3416"/>
    <w:rsid w:val="003B38DB"/>
    <w:rsid w:val="003D0E15"/>
    <w:rsid w:val="003E2EF8"/>
    <w:rsid w:val="003E6EDE"/>
    <w:rsid w:val="003F6C31"/>
    <w:rsid w:val="00435624"/>
    <w:rsid w:val="00441E21"/>
    <w:rsid w:val="00444E98"/>
    <w:rsid w:val="00451432"/>
    <w:rsid w:val="004534BE"/>
    <w:rsid w:val="004572B7"/>
    <w:rsid w:val="0047475D"/>
    <w:rsid w:val="004763C4"/>
    <w:rsid w:val="004B021B"/>
    <w:rsid w:val="004C1BEE"/>
    <w:rsid w:val="004C604A"/>
    <w:rsid w:val="004E6E00"/>
    <w:rsid w:val="00502EDA"/>
    <w:rsid w:val="00524EDD"/>
    <w:rsid w:val="005515D2"/>
    <w:rsid w:val="00567E4B"/>
    <w:rsid w:val="00591C6A"/>
    <w:rsid w:val="005929B0"/>
    <w:rsid w:val="005944E7"/>
    <w:rsid w:val="00596B58"/>
    <w:rsid w:val="005B6E6C"/>
    <w:rsid w:val="005C22B1"/>
    <w:rsid w:val="005D693B"/>
    <w:rsid w:val="005E7734"/>
    <w:rsid w:val="005F3C07"/>
    <w:rsid w:val="00605438"/>
    <w:rsid w:val="00620779"/>
    <w:rsid w:val="00674BF9"/>
    <w:rsid w:val="006A26A8"/>
    <w:rsid w:val="006A7DE3"/>
    <w:rsid w:val="006D12A7"/>
    <w:rsid w:val="006E5AD6"/>
    <w:rsid w:val="006F4F73"/>
    <w:rsid w:val="007339FF"/>
    <w:rsid w:val="00744AA3"/>
    <w:rsid w:val="00755349"/>
    <w:rsid w:val="007875A1"/>
    <w:rsid w:val="00793E56"/>
    <w:rsid w:val="007B6863"/>
    <w:rsid w:val="007C1BC6"/>
    <w:rsid w:val="007D6FD0"/>
    <w:rsid w:val="007E08C7"/>
    <w:rsid w:val="007E6C6D"/>
    <w:rsid w:val="007F7F2B"/>
    <w:rsid w:val="008131B9"/>
    <w:rsid w:val="0082575E"/>
    <w:rsid w:val="00880C40"/>
    <w:rsid w:val="0088664D"/>
    <w:rsid w:val="0089488F"/>
    <w:rsid w:val="0089754E"/>
    <w:rsid w:val="008A67E2"/>
    <w:rsid w:val="008D7572"/>
    <w:rsid w:val="008D7B85"/>
    <w:rsid w:val="008E57C5"/>
    <w:rsid w:val="008F313A"/>
    <w:rsid w:val="0090513B"/>
    <w:rsid w:val="00905F08"/>
    <w:rsid w:val="00941FF7"/>
    <w:rsid w:val="00956D14"/>
    <w:rsid w:val="00957DBB"/>
    <w:rsid w:val="009944F9"/>
    <w:rsid w:val="009A1FA2"/>
    <w:rsid w:val="009E1A40"/>
    <w:rsid w:val="009E66D2"/>
    <w:rsid w:val="00A034AE"/>
    <w:rsid w:val="00A16324"/>
    <w:rsid w:val="00A3428B"/>
    <w:rsid w:val="00A53466"/>
    <w:rsid w:val="00A65AFF"/>
    <w:rsid w:val="00A777AF"/>
    <w:rsid w:val="00A8653E"/>
    <w:rsid w:val="00A94681"/>
    <w:rsid w:val="00A95FF6"/>
    <w:rsid w:val="00AA5F4F"/>
    <w:rsid w:val="00AA60BD"/>
    <w:rsid w:val="00AB2EC9"/>
    <w:rsid w:val="00AC3D9C"/>
    <w:rsid w:val="00AC4567"/>
    <w:rsid w:val="00AD0556"/>
    <w:rsid w:val="00AD123E"/>
    <w:rsid w:val="00AE08B2"/>
    <w:rsid w:val="00B001B4"/>
    <w:rsid w:val="00B02F13"/>
    <w:rsid w:val="00B41D42"/>
    <w:rsid w:val="00B83936"/>
    <w:rsid w:val="00B95C75"/>
    <w:rsid w:val="00BB16B5"/>
    <w:rsid w:val="00BF2845"/>
    <w:rsid w:val="00C30E21"/>
    <w:rsid w:val="00C5283B"/>
    <w:rsid w:val="00C63653"/>
    <w:rsid w:val="00C82935"/>
    <w:rsid w:val="00C86B8A"/>
    <w:rsid w:val="00CE0044"/>
    <w:rsid w:val="00CE2DBC"/>
    <w:rsid w:val="00CE72B4"/>
    <w:rsid w:val="00CF37F0"/>
    <w:rsid w:val="00D01AA5"/>
    <w:rsid w:val="00D21A7C"/>
    <w:rsid w:val="00D33679"/>
    <w:rsid w:val="00D46D6A"/>
    <w:rsid w:val="00D54C63"/>
    <w:rsid w:val="00D92545"/>
    <w:rsid w:val="00DA037D"/>
    <w:rsid w:val="00DC1E25"/>
    <w:rsid w:val="00DD12A7"/>
    <w:rsid w:val="00DE377B"/>
    <w:rsid w:val="00DE564E"/>
    <w:rsid w:val="00DF4586"/>
    <w:rsid w:val="00E00194"/>
    <w:rsid w:val="00E2432F"/>
    <w:rsid w:val="00E269A4"/>
    <w:rsid w:val="00E31724"/>
    <w:rsid w:val="00E35819"/>
    <w:rsid w:val="00E66C2A"/>
    <w:rsid w:val="00E777C1"/>
    <w:rsid w:val="00E94140"/>
    <w:rsid w:val="00EA339E"/>
    <w:rsid w:val="00EA4CC9"/>
    <w:rsid w:val="00F476D6"/>
    <w:rsid w:val="00F71F33"/>
    <w:rsid w:val="00F84FE6"/>
    <w:rsid w:val="00F86ED6"/>
    <w:rsid w:val="00F87C54"/>
    <w:rsid w:val="00F919D1"/>
    <w:rsid w:val="00F93124"/>
    <w:rsid w:val="00FB47D3"/>
    <w:rsid w:val="00FC0D24"/>
    <w:rsid w:val="00FD2F21"/>
    <w:rsid w:val="00FE0666"/>
    <w:rsid w:val="00FE18C9"/>
    <w:rsid w:val="00FE669D"/>
    <w:rsid w:val="017768C3"/>
    <w:rsid w:val="01FB631E"/>
    <w:rsid w:val="02685795"/>
    <w:rsid w:val="02B96468"/>
    <w:rsid w:val="02FE3E7B"/>
    <w:rsid w:val="0365214C"/>
    <w:rsid w:val="04284FC8"/>
    <w:rsid w:val="042D70C2"/>
    <w:rsid w:val="05CD5D86"/>
    <w:rsid w:val="06A52D74"/>
    <w:rsid w:val="076D15CF"/>
    <w:rsid w:val="09624BE9"/>
    <w:rsid w:val="09EA5159"/>
    <w:rsid w:val="0ABB08A3"/>
    <w:rsid w:val="0C9615C8"/>
    <w:rsid w:val="0F4150DE"/>
    <w:rsid w:val="1039742E"/>
    <w:rsid w:val="10D030B6"/>
    <w:rsid w:val="11A0228E"/>
    <w:rsid w:val="11B84BE5"/>
    <w:rsid w:val="1224003E"/>
    <w:rsid w:val="125A4E46"/>
    <w:rsid w:val="12FA3BCB"/>
    <w:rsid w:val="13160D6D"/>
    <w:rsid w:val="13FC22D3"/>
    <w:rsid w:val="14094AB1"/>
    <w:rsid w:val="14A8633C"/>
    <w:rsid w:val="15F83AD0"/>
    <w:rsid w:val="162723E1"/>
    <w:rsid w:val="16B907FF"/>
    <w:rsid w:val="19E0488B"/>
    <w:rsid w:val="19F908B3"/>
    <w:rsid w:val="1A8962C8"/>
    <w:rsid w:val="1B80591D"/>
    <w:rsid w:val="1CA24A6C"/>
    <w:rsid w:val="1CAC44F0"/>
    <w:rsid w:val="1D081836"/>
    <w:rsid w:val="1D1B2B2C"/>
    <w:rsid w:val="1D552DD9"/>
    <w:rsid w:val="1D6F6351"/>
    <w:rsid w:val="1F1C595D"/>
    <w:rsid w:val="1F271CAA"/>
    <w:rsid w:val="1F28618F"/>
    <w:rsid w:val="201C42DB"/>
    <w:rsid w:val="213976FC"/>
    <w:rsid w:val="223865C1"/>
    <w:rsid w:val="22B91715"/>
    <w:rsid w:val="235427D5"/>
    <w:rsid w:val="241D5C0A"/>
    <w:rsid w:val="24322D0D"/>
    <w:rsid w:val="2473139D"/>
    <w:rsid w:val="26005E14"/>
    <w:rsid w:val="26131AA7"/>
    <w:rsid w:val="26E85440"/>
    <w:rsid w:val="274C2B57"/>
    <w:rsid w:val="2815563F"/>
    <w:rsid w:val="28252B82"/>
    <w:rsid w:val="28992098"/>
    <w:rsid w:val="29740F06"/>
    <w:rsid w:val="2996716B"/>
    <w:rsid w:val="2A954371"/>
    <w:rsid w:val="2B5F7DE9"/>
    <w:rsid w:val="2B940F71"/>
    <w:rsid w:val="2BD02464"/>
    <w:rsid w:val="2C4C5306"/>
    <w:rsid w:val="2CB31CB0"/>
    <w:rsid w:val="2EAA1CB6"/>
    <w:rsid w:val="2EE92C07"/>
    <w:rsid w:val="2FC363A9"/>
    <w:rsid w:val="2FCE2350"/>
    <w:rsid w:val="30006BD5"/>
    <w:rsid w:val="32456B21"/>
    <w:rsid w:val="328A09D8"/>
    <w:rsid w:val="32961A79"/>
    <w:rsid w:val="32A17DFB"/>
    <w:rsid w:val="33ED121E"/>
    <w:rsid w:val="349E076A"/>
    <w:rsid w:val="36D4184F"/>
    <w:rsid w:val="370742AF"/>
    <w:rsid w:val="371359CD"/>
    <w:rsid w:val="37BC5AD7"/>
    <w:rsid w:val="3B392F9B"/>
    <w:rsid w:val="3B9359DF"/>
    <w:rsid w:val="3BF07AFD"/>
    <w:rsid w:val="3C23379F"/>
    <w:rsid w:val="3DAA6474"/>
    <w:rsid w:val="3EBE2980"/>
    <w:rsid w:val="3F065D4A"/>
    <w:rsid w:val="3F433E5A"/>
    <w:rsid w:val="3FF46EFD"/>
    <w:rsid w:val="4015710C"/>
    <w:rsid w:val="40255097"/>
    <w:rsid w:val="40460634"/>
    <w:rsid w:val="40685EC2"/>
    <w:rsid w:val="40A86BF9"/>
    <w:rsid w:val="40BA692C"/>
    <w:rsid w:val="41CA4503"/>
    <w:rsid w:val="424F183F"/>
    <w:rsid w:val="42584FC8"/>
    <w:rsid w:val="433429C6"/>
    <w:rsid w:val="442104D5"/>
    <w:rsid w:val="44554159"/>
    <w:rsid w:val="45A36E70"/>
    <w:rsid w:val="4631230E"/>
    <w:rsid w:val="47022CE4"/>
    <w:rsid w:val="472D42FC"/>
    <w:rsid w:val="482D74E0"/>
    <w:rsid w:val="499917D4"/>
    <w:rsid w:val="49F76D29"/>
    <w:rsid w:val="4A3B288C"/>
    <w:rsid w:val="4A7E3730"/>
    <w:rsid w:val="4AFA62A3"/>
    <w:rsid w:val="4B4154BA"/>
    <w:rsid w:val="4B4A0E91"/>
    <w:rsid w:val="4BC22B20"/>
    <w:rsid w:val="4C632C63"/>
    <w:rsid w:val="4D7E3F36"/>
    <w:rsid w:val="50EE1E58"/>
    <w:rsid w:val="520B07E6"/>
    <w:rsid w:val="522C539F"/>
    <w:rsid w:val="524C3BDA"/>
    <w:rsid w:val="52DC4B00"/>
    <w:rsid w:val="537E210B"/>
    <w:rsid w:val="53BE75B7"/>
    <w:rsid w:val="53C46476"/>
    <w:rsid w:val="54CC782F"/>
    <w:rsid w:val="54DF6509"/>
    <w:rsid w:val="550B7101"/>
    <w:rsid w:val="5678324C"/>
    <w:rsid w:val="56FF0AAE"/>
    <w:rsid w:val="57911ED8"/>
    <w:rsid w:val="57E023EF"/>
    <w:rsid w:val="58242BB1"/>
    <w:rsid w:val="585175C5"/>
    <w:rsid w:val="585C2658"/>
    <w:rsid w:val="58620690"/>
    <w:rsid w:val="58F3077A"/>
    <w:rsid w:val="59AA5338"/>
    <w:rsid w:val="59CE5909"/>
    <w:rsid w:val="5A511C57"/>
    <w:rsid w:val="5A76162B"/>
    <w:rsid w:val="5B4B1F36"/>
    <w:rsid w:val="5C5B20A8"/>
    <w:rsid w:val="5CE16980"/>
    <w:rsid w:val="5CFA65D6"/>
    <w:rsid w:val="5D9959F7"/>
    <w:rsid w:val="5E2D1009"/>
    <w:rsid w:val="5F9920E4"/>
    <w:rsid w:val="5FC66C44"/>
    <w:rsid w:val="60471B32"/>
    <w:rsid w:val="60CF1C4D"/>
    <w:rsid w:val="60FF30D2"/>
    <w:rsid w:val="656E7A21"/>
    <w:rsid w:val="657F58CB"/>
    <w:rsid w:val="65CB0B10"/>
    <w:rsid w:val="65E971E8"/>
    <w:rsid w:val="66D45746"/>
    <w:rsid w:val="67217EBF"/>
    <w:rsid w:val="68C863BF"/>
    <w:rsid w:val="68DC77A9"/>
    <w:rsid w:val="694158BA"/>
    <w:rsid w:val="69562DE6"/>
    <w:rsid w:val="6A1A02B8"/>
    <w:rsid w:val="6A275855"/>
    <w:rsid w:val="6A276531"/>
    <w:rsid w:val="6A3536C6"/>
    <w:rsid w:val="6B4A697B"/>
    <w:rsid w:val="6CF80B97"/>
    <w:rsid w:val="6DFA4688"/>
    <w:rsid w:val="6E276C20"/>
    <w:rsid w:val="6E510599"/>
    <w:rsid w:val="6EB04D47"/>
    <w:rsid w:val="6FD825E5"/>
    <w:rsid w:val="71107825"/>
    <w:rsid w:val="71AE5065"/>
    <w:rsid w:val="73317DD8"/>
    <w:rsid w:val="747A7FB4"/>
    <w:rsid w:val="74DD5909"/>
    <w:rsid w:val="755C1472"/>
    <w:rsid w:val="75686E47"/>
    <w:rsid w:val="756E5025"/>
    <w:rsid w:val="75C01651"/>
    <w:rsid w:val="7655692E"/>
    <w:rsid w:val="76987D1F"/>
    <w:rsid w:val="793E02CB"/>
    <w:rsid w:val="798A0E03"/>
    <w:rsid w:val="79A1676F"/>
    <w:rsid w:val="79E52C0D"/>
    <w:rsid w:val="7A84744C"/>
    <w:rsid w:val="7AD1276C"/>
    <w:rsid w:val="7AE54F58"/>
    <w:rsid w:val="7B302911"/>
    <w:rsid w:val="7BE91898"/>
    <w:rsid w:val="7C212F2D"/>
    <w:rsid w:val="7E244E09"/>
    <w:rsid w:val="7FB65F35"/>
    <w:rsid w:val="7FEA3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964" w:firstLineChars="200"/>
      <w:jc w:val="both"/>
    </w:pPr>
    <w:rPr>
      <w:rFonts w:ascii="宋体" w:hAnsi="宋体" w:eastAsia="宋体" w:cs="宋体"/>
      <w:kern w:val="2"/>
      <w:sz w:val="21"/>
      <w:szCs w:val="21"/>
      <w:lang w:val="en-US" w:eastAsia="zh-CN" w:bidi="ar-SA"/>
    </w:rPr>
  </w:style>
  <w:style w:type="paragraph" w:styleId="2">
    <w:name w:val="heading 1"/>
    <w:basedOn w:val="1"/>
    <w:next w:val="1"/>
    <w:link w:val="28"/>
    <w:qFormat/>
    <w:uiPriority w:val="99"/>
    <w:pPr>
      <w:keepNext/>
      <w:spacing w:beforeLines="100" w:afterLines="100"/>
      <w:ind w:firstLine="1203" w:firstLineChars="1203"/>
      <w:outlineLvl w:val="0"/>
    </w:pPr>
    <w:rPr>
      <w:rFonts w:ascii="黑体" w:eastAsia="黑体"/>
      <w:b/>
      <w:kern w:val="44"/>
      <w:sz w:val="28"/>
      <w:szCs w:val="28"/>
    </w:rPr>
  </w:style>
  <w:style w:type="paragraph" w:styleId="3">
    <w:name w:val="heading 2"/>
    <w:basedOn w:val="1"/>
    <w:next w:val="1"/>
    <w:link w:val="29"/>
    <w:qFormat/>
    <w:uiPriority w:val="99"/>
    <w:pPr>
      <w:keepNext/>
      <w:keepLines/>
      <w:spacing w:before="120" w:after="120"/>
      <w:jc w:val="left"/>
      <w:outlineLvl w:val="1"/>
    </w:pPr>
    <w:rPr>
      <w:rFonts w:ascii="Cambria" w:hAnsi="Cambria"/>
      <w:b/>
      <w:bCs/>
      <w:kern w:val="0"/>
      <w:sz w:val="32"/>
      <w:szCs w:val="32"/>
    </w:rPr>
  </w:style>
  <w:style w:type="paragraph" w:styleId="4">
    <w:name w:val="heading 3"/>
    <w:basedOn w:val="1"/>
    <w:next w:val="1"/>
    <w:link w:val="30"/>
    <w:qFormat/>
    <w:uiPriority w:val="99"/>
    <w:pPr>
      <w:keepNext/>
      <w:keepLines/>
      <w:spacing w:before="120" w:after="120"/>
      <w:outlineLvl w:val="2"/>
    </w:pPr>
    <w:rPr>
      <w:b/>
      <w:bCs/>
      <w:kern w:val="0"/>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cs="Arial"/>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7"/>
    <w:unhideWhenUsed/>
    <w:qFormat/>
    <w:uiPriority w:val="0"/>
    <w:pPr>
      <w:ind w:firstLine="420"/>
    </w:pPr>
  </w:style>
  <w:style w:type="paragraph" w:styleId="7">
    <w:name w:val="annotation text"/>
    <w:basedOn w:val="1"/>
    <w:semiHidden/>
    <w:unhideWhenUsed/>
    <w:qFormat/>
    <w:uiPriority w:val="99"/>
    <w:pPr>
      <w:jc w:val="left"/>
    </w:pPr>
  </w:style>
  <w:style w:type="paragraph" w:styleId="8">
    <w:name w:val="Body Text"/>
    <w:basedOn w:val="1"/>
    <w:link w:val="39"/>
    <w:unhideWhenUsed/>
    <w:qFormat/>
    <w:uiPriority w:val="99"/>
    <w:rPr>
      <w:rFonts w:ascii="仿宋_GB2312" w:hAnsi="宋体"/>
      <w:kern w:val="0"/>
      <w:sz w:val="24"/>
      <w:szCs w:val="24"/>
    </w:rPr>
  </w:style>
  <w:style w:type="paragraph" w:styleId="9">
    <w:name w:val="Body Text Indent"/>
    <w:basedOn w:val="1"/>
    <w:next w:val="1"/>
    <w:qFormat/>
    <w:uiPriority w:val="0"/>
    <w:pPr>
      <w:spacing w:after="120"/>
      <w:ind w:left="420" w:leftChars="200"/>
    </w:pPr>
  </w:style>
  <w:style w:type="paragraph" w:styleId="10">
    <w:name w:val="index 4"/>
    <w:basedOn w:val="1"/>
    <w:next w:val="1"/>
    <w:unhideWhenUsed/>
    <w:qFormat/>
    <w:uiPriority w:val="99"/>
    <w:pPr>
      <w:spacing w:before="100" w:beforeAutospacing="1" w:after="100" w:afterAutospacing="1"/>
      <w:ind w:left="1260"/>
    </w:pPr>
  </w:style>
  <w:style w:type="paragraph" w:styleId="11">
    <w:name w:val="Plain Text"/>
    <w:basedOn w:val="1"/>
    <w:link w:val="31"/>
    <w:unhideWhenUsed/>
    <w:qFormat/>
    <w:uiPriority w:val="99"/>
    <w:rPr>
      <w:rFonts w:ascii="宋体" w:hAnsi="Courier New"/>
      <w:kern w:val="0"/>
    </w:rPr>
  </w:style>
  <w:style w:type="paragraph" w:styleId="12">
    <w:name w:val="Balloon Text"/>
    <w:basedOn w:val="1"/>
    <w:link w:val="41"/>
    <w:semiHidden/>
    <w:unhideWhenUsed/>
    <w:qFormat/>
    <w:uiPriority w:val="99"/>
    <w:rPr>
      <w:sz w:val="18"/>
      <w:szCs w:val="18"/>
    </w:rPr>
  </w:style>
  <w:style w:type="paragraph" w:styleId="13">
    <w:name w:val="footer"/>
    <w:basedOn w:val="1"/>
    <w:next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99"/>
    <w:pPr>
      <w:jc w:val="left"/>
    </w:pPr>
    <w:rPr>
      <w:b/>
      <w:caps/>
      <w:sz w:val="20"/>
      <w:szCs w:val="20"/>
    </w:rPr>
  </w:style>
  <w:style w:type="paragraph" w:styleId="16">
    <w:name w:val="Body Text 2"/>
    <w:basedOn w:val="1"/>
    <w:next w:val="8"/>
    <w:qFormat/>
    <w:uiPriority w:val="0"/>
    <w:pPr>
      <w:widowControl/>
      <w:jc w:val="center"/>
    </w:pPr>
    <w:rPr>
      <w:rFonts w:ascii="楷体_GB2312" w:eastAsia="楷体_GB2312" w:cs="Times New Roman"/>
      <w:color w:val="auto"/>
      <w:kern w:val="0"/>
      <w:sz w:val="28"/>
      <w:szCs w:val="28"/>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3"/>
    <w:qFormat/>
    <w:uiPriority w:val="99"/>
    <w:pPr>
      <w:spacing w:before="240" w:after="60"/>
      <w:jc w:val="center"/>
      <w:outlineLvl w:val="0"/>
    </w:pPr>
    <w:rPr>
      <w:rFonts w:ascii="Cambria" w:hAnsi="Cambria"/>
      <w:b/>
      <w:bCs/>
      <w:sz w:val="32"/>
      <w:szCs w:val="32"/>
    </w:rPr>
  </w:style>
  <w:style w:type="paragraph" w:styleId="19">
    <w:name w:val="Body Text First Indent"/>
    <w:basedOn w:val="8"/>
    <w:next w:val="1"/>
    <w:qFormat/>
    <w:uiPriority w:val="0"/>
    <w:pPr>
      <w:spacing w:line="360" w:lineRule="auto"/>
      <w:ind w:firstLine="200" w:firstLineChars="200"/>
    </w:pPr>
    <w:rPr>
      <w:rFonts w:ascii="仿宋_GB2312" w:hAnsi="Times New Roman" w:eastAsia="仿宋_GB2312"/>
      <w:sz w:val="30"/>
      <w:szCs w:val="30"/>
    </w:rPr>
  </w:style>
  <w:style w:type="table" w:styleId="21">
    <w:name w:val="Table Grid"/>
    <w:basedOn w:val="20"/>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FollowedHyperlink"/>
    <w:basedOn w:val="22"/>
    <w:unhideWhenUsed/>
    <w:qFormat/>
    <w:uiPriority w:val="99"/>
    <w:rPr>
      <w:color w:val="800080"/>
      <w:u w:val="single"/>
    </w:rPr>
  </w:style>
  <w:style w:type="character" w:styleId="25">
    <w:name w:val="Hyperlink"/>
    <w:basedOn w:val="22"/>
    <w:unhideWhenUsed/>
    <w:qFormat/>
    <w:uiPriority w:val="99"/>
    <w:rPr>
      <w:color w:val="0000FF"/>
      <w:u w:val="single"/>
    </w:rPr>
  </w:style>
  <w:style w:type="character" w:customStyle="1" w:styleId="26">
    <w:name w:val="页眉 Char"/>
    <w:basedOn w:val="22"/>
    <w:link w:val="14"/>
    <w:qFormat/>
    <w:uiPriority w:val="99"/>
    <w:rPr>
      <w:sz w:val="18"/>
      <w:szCs w:val="18"/>
    </w:rPr>
  </w:style>
  <w:style w:type="character" w:customStyle="1" w:styleId="27">
    <w:name w:val="页脚 Char"/>
    <w:basedOn w:val="22"/>
    <w:link w:val="13"/>
    <w:qFormat/>
    <w:uiPriority w:val="99"/>
    <w:rPr>
      <w:sz w:val="18"/>
      <w:szCs w:val="18"/>
    </w:rPr>
  </w:style>
  <w:style w:type="character" w:customStyle="1" w:styleId="28">
    <w:name w:val="标题 1 Char"/>
    <w:basedOn w:val="22"/>
    <w:link w:val="2"/>
    <w:qFormat/>
    <w:uiPriority w:val="99"/>
    <w:rPr>
      <w:rFonts w:ascii="黑体" w:hAnsi="Times New Roman" w:eastAsia="黑体" w:cs="Times New Roman"/>
      <w:b/>
      <w:kern w:val="44"/>
      <w:sz w:val="28"/>
      <w:szCs w:val="28"/>
    </w:rPr>
  </w:style>
  <w:style w:type="character" w:customStyle="1" w:styleId="29">
    <w:name w:val="标题 2 Char"/>
    <w:basedOn w:val="22"/>
    <w:link w:val="3"/>
    <w:qFormat/>
    <w:uiPriority w:val="99"/>
    <w:rPr>
      <w:rFonts w:ascii="Cambria" w:hAnsi="Cambria" w:eastAsia="宋体" w:cs="Times New Roman"/>
      <w:b/>
      <w:bCs/>
      <w:kern w:val="0"/>
      <w:sz w:val="32"/>
      <w:szCs w:val="32"/>
    </w:rPr>
  </w:style>
  <w:style w:type="character" w:customStyle="1" w:styleId="30">
    <w:name w:val="标题 3 Char"/>
    <w:basedOn w:val="22"/>
    <w:link w:val="4"/>
    <w:qFormat/>
    <w:uiPriority w:val="99"/>
    <w:rPr>
      <w:rFonts w:ascii="Times New Roman" w:hAnsi="Times New Roman" w:eastAsia="宋体" w:cs="Times New Roman"/>
      <w:b/>
      <w:bCs/>
      <w:kern w:val="0"/>
      <w:sz w:val="32"/>
      <w:szCs w:val="32"/>
    </w:rPr>
  </w:style>
  <w:style w:type="character" w:customStyle="1" w:styleId="31">
    <w:name w:val="纯文本 Char"/>
    <w:basedOn w:val="22"/>
    <w:link w:val="11"/>
    <w:qFormat/>
    <w:uiPriority w:val="99"/>
    <w:rPr>
      <w:rFonts w:ascii="宋体" w:hAnsi="Courier New" w:eastAsia="宋体" w:cs="Times New Roman"/>
      <w:kern w:val="0"/>
      <w:szCs w:val="21"/>
    </w:rPr>
  </w:style>
  <w:style w:type="paragraph" w:customStyle="1" w:styleId="32">
    <w:name w:val="_Style 125"/>
    <w:basedOn w:val="2"/>
    <w:next w:val="1"/>
    <w:qFormat/>
    <w:uiPriority w:val="0"/>
    <w:pPr>
      <w:keepLines/>
      <w:widowControl/>
      <w:spacing w:beforeLines="0" w:afterLines="0" w:line="273" w:lineRule="auto"/>
      <w:ind w:firstLine="0" w:firstLineChars="0"/>
      <w:jc w:val="left"/>
      <w:outlineLvl w:val="9"/>
    </w:pPr>
    <w:rPr>
      <w:rFonts w:ascii="Cambria" w:hAnsi="Cambria" w:eastAsia="宋体"/>
      <w:bCs/>
      <w:color w:val="365F91"/>
      <w:kern w:val="0"/>
    </w:rPr>
  </w:style>
  <w:style w:type="character" w:customStyle="1" w:styleId="33">
    <w:name w:val="标题 Char"/>
    <w:basedOn w:val="22"/>
    <w:link w:val="18"/>
    <w:qFormat/>
    <w:uiPriority w:val="99"/>
    <w:rPr>
      <w:rFonts w:ascii="Cambria" w:hAnsi="Cambria" w:eastAsia="宋体" w:cs="Times New Roman"/>
      <w:b/>
      <w:bCs/>
      <w:sz w:val="32"/>
      <w:szCs w:val="32"/>
    </w:rPr>
  </w:style>
  <w:style w:type="paragraph" w:customStyle="1" w:styleId="34">
    <w:name w:val="列出段落1"/>
    <w:basedOn w:val="1"/>
    <w:qFormat/>
    <w:uiPriority w:val="0"/>
    <w:pPr>
      <w:ind w:firstLine="420" w:firstLineChars="200"/>
    </w:pPr>
    <w:rPr>
      <w:rFonts w:ascii="Calibri" w:hAnsi="Calibri"/>
    </w:rPr>
  </w:style>
  <w:style w:type="character" w:customStyle="1" w:styleId="35">
    <w:name w:val="15"/>
    <w:basedOn w:val="22"/>
    <w:qFormat/>
    <w:uiPriority w:val="0"/>
    <w:rPr>
      <w:rFonts w:hint="default" w:ascii="Times New Roman" w:hAnsi="Times New Roman" w:cs="Times New Roman"/>
      <w:color w:val="0000FF"/>
      <w:u w:val="single"/>
    </w:rPr>
  </w:style>
  <w:style w:type="character" w:customStyle="1" w:styleId="36">
    <w:name w:val="16"/>
    <w:basedOn w:val="22"/>
    <w:qFormat/>
    <w:uiPriority w:val="0"/>
    <w:rPr>
      <w:rFonts w:hint="default" w:ascii="Cambria" w:hAnsi="Cambria"/>
      <w:b/>
      <w:bCs/>
      <w:sz w:val="32"/>
      <w:szCs w:val="32"/>
    </w:rPr>
  </w:style>
  <w:style w:type="character" w:customStyle="1" w:styleId="37">
    <w:name w:val="正文缩进 Char"/>
    <w:link w:val="6"/>
    <w:qFormat/>
    <w:locked/>
    <w:uiPriority w:val="0"/>
    <w:rPr>
      <w:rFonts w:ascii="Times New Roman" w:hAnsi="Times New Roman" w:eastAsia="宋体" w:cs="Times New Roman"/>
      <w:kern w:val="2"/>
      <w:sz w:val="21"/>
      <w:szCs w:val="21"/>
    </w:rPr>
  </w:style>
  <w:style w:type="paragraph" w:customStyle="1" w:styleId="38">
    <w:name w:val="null3"/>
    <w:hidden/>
    <w:qFormat/>
    <w:uiPriority w:val="0"/>
    <w:rPr>
      <w:rFonts w:hint="eastAsia" w:asciiTheme="minorHAnsi" w:hAnsiTheme="minorHAnsi" w:eastAsiaTheme="minorEastAsia" w:cstheme="minorBidi"/>
      <w:lang w:val="en-US" w:eastAsia="zh-Hans" w:bidi="ar-SA"/>
    </w:rPr>
  </w:style>
  <w:style w:type="character" w:customStyle="1" w:styleId="39">
    <w:name w:val="正文文本 Char"/>
    <w:basedOn w:val="22"/>
    <w:link w:val="8"/>
    <w:qFormat/>
    <w:uiPriority w:val="99"/>
    <w:rPr>
      <w:rFonts w:ascii="仿宋_GB2312" w:hAnsi="宋体" w:eastAsia="宋体" w:cs="Times New Roman"/>
      <w:sz w:val="24"/>
      <w:szCs w:val="24"/>
    </w:rPr>
  </w:style>
  <w:style w:type="character" w:customStyle="1" w:styleId="40">
    <w:name w:val="NormalCharacter"/>
    <w:semiHidden/>
    <w:qFormat/>
    <w:uiPriority w:val="0"/>
  </w:style>
  <w:style w:type="character" w:customStyle="1" w:styleId="41">
    <w:name w:val="批注框文本 Char"/>
    <w:basedOn w:val="22"/>
    <w:link w:val="12"/>
    <w:semiHidden/>
    <w:qFormat/>
    <w:uiPriority w:val="99"/>
    <w:rPr>
      <w:rFonts w:ascii="Times New Roman" w:hAnsi="Times New Roman" w:eastAsia="宋体" w:cs="Times New Roman"/>
      <w:kern w:val="2"/>
      <w:sz w:val="18"/>
      <w:szCs w:val="18"/>
    </w:rPr>
  </w:style>
  <w:style w:type="paragraph" w:customStyle="1" w:styleId="42">
    <w:name w:val="PlainText"/>
    <w:basedOn w:val="1"/>
    <w:qFormat/>
    <w:uiPriority w:val="0"/>
    <w:rPr>
      <w:rFonts w:ascii="宋体" w:hAnsi="Courier New"/>
      <w:szCs w:val="20"/>
    </w:rPr>
  </w:style>
  <w:style w:type="paragraph" w:customStyle="1" w:styleId="43">
    <w:name w:val="索引 41"/>
    <w:basedOn w:val="1"/>
    <w:next w:val="1"/>
    <w:semiHidden/>
    <w:qFormat/>
    <w:uiPriority w:val="0"/>
    <w:pPr>
      <w:ind w:left="1260"/>
    </w:pPr>
    <w:rPr>
      <w:rFonts w:ascii="Calibri" w:hAnsi="Calibri" w:eastAsia="Calibri" w:cs="宋体"/>
      <w:sz w:val="20"/>
      <w:lang w:val="zh-CN"/>
    </w:rPr>
  </w:style>
  <w:style w:type="table" w:customStyle="1" w:styleId="44">
    <w:name w:val="Table Normal"/>
    <w:qFormat/>
    <w:uiPriority w:val="0"/>
    <w:tblPr>
      <w:tblCellMar>
        <w:top w:w="0" w:type="dxa"/>
        <w:left w:w="0" w:type="dxa"/>
        <w:bottom w:w="0" w:type="dxa"/>
        <w:right w:w="0" w:type="dxa"/>
      </w:tblCellMar>
    </w:tblPr>
  </w:style>
  <w:style w:type="character" w:customStyle="1" w:styleId="45">
    <w:name w:val="font21"/>
    <w:basedOn w:val="22"/>
    <w:qFormat/>
    <w:uiPriority w:val="0"/>
    <w:rPr>
      <w:rFonts w:hint="eastAsia" w:ascii="宋体" w:hAnsi="宋体" w:eastAsia="宋体" w:cs="宋体"/>
      <w:color w:val="000000"/>
      <w:sz w:val="20"/>
      <w:szCs w:val="20"/>
      <w:u w:val="none"/>
    </w:rPr>
  </w:style>
  <w:style w:type="character" w:customStyle="1" w:styleId="46">
    <w:name w:val="font41"/>
    <w:basedOn w:val="22"/>
    <w:qFormat/>
    <w:uiPriority w:val="0"/>
    <w:rPr>
      <w:rFonts w:hint="eastAsia" w:ascii="宋体" w:hAnsi="宋体" w:eastAsia="宋体" w:cs="宋体"/>
      <w:color w:val="000000"/>
      <w:sz w:val="20"/>
      <w:szCs w:val="20"/>
      <w:u w:val="none"/>
    </w:rPr>
  </w:style>
  <w:style w:type="paragraph" w:customStyle="1" w:styleId="47">
    <w:name w:val="Table Paragraph"/>
    <w:basedOn w:val="1"/>
    <w:qFormat/>
    <w:uiPriority w:val="1"/>
    <w:rPr>
      <w:rFonts w:ascii="宋体" w:hAnsi="宋体" w:eastAsia="宋体" w:cs="宋体"/>
      <w:lang w:val="zh-CN" w:eastAsia="zh-CN" w:bidi="zh-CN"/>
    </w:rPr>
  </w:style>
  <w:style w:type="paragraph" w:customStyle="1" w:styleId="48">
    <w:name w:val="首行缩进"/>
    <w:basedOn w:val="1"/>
    <w:qFormat/>
    <w:uiPriority w:val="0"/>
    <w:pPr>
      <w:ind w:firstLine="480" w:firstLineChars="200"/>
    </w:pPr>
    <w:rPr>
      <w:szCs w:val="20"/>
      <w:lang w:val="zh-CN"/>
    </w:rPr>
  </w:style>
  <w:style w:type="paragraph" w:styleId="49">
    <w:name w:val="List Paragraph"/>
    <w:basedOn w:val="1"/>
    <w:qFormat/>
    <w:uiPriority w:val="34"/>
    <w:pPr>
      <w:widowControl/>
      <w:ind w:left="720"/>
      <w:contextualSpacing/>
      <w:jc w:val="left"/>
    </w:pPr>
    <w:rPr>
      <w:rFonts w:ascii="Calibri" w:hAnsi="Calibri" w:eastAsia="宋体" w:cs="Times New Roman"/>
      <w:kern w:val="0"/>
      <w:sz w:val="24"/>
      <w:szCs w:val="24"/>
      <w:lang w:eastAsia="en-US" w:bidi="en-US"/>
    </w:rPr>
  </w:style>
  <w:style w:type="paragraph" w:customStyle="1" w:styleId="5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A693D-EC14-47D1-A484-986642D2C18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62</Pages>
  <Words>11144</Words>
  <Characters>11857</Characters>
  <Lines>140</Lines>
  <Paragraphs>39</Paragraphs>
  <TotalTime>0</TotalTime>
  <ScaleCrop>false</ScaleCrop>
  <LinksUpToDate>false</LinksUpToDate>
  <CharactersWithSpaces>11981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2023-03-30T05:02:00Z</dcterms:created>
  <dc:creator>瞿凯</dc:creator>
  <cp:lastModifiedBy>沐cc</cp:lastModifiedBy>
  <cp:lastPrinted>2025-06-12T01:13:00Z</cp:lastPrinted>
  <dcterms:modified xsi:type="dcterms:W3CDTF">2025-12-08T10:24:54Z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7487FE79DF57437FBD2816B9F55F74B0_13</vt:lpwstr>
  </property>
  <property fmtid="{D5CDD505-2E9C-101B-9397-08002B2CF9AE}" pid="4" name="KSOTemplateDocerSaveRecord">
    <vt:lpwstr>eyJoZGlkIjoiMDk0YWFkNGI4MzNkZDViZWI3MGIxM2JkZmUzNWE0ZWUiLCJ1c2VySWQiOiIxMzM4Mzk1NTU5In0=</vt:lpwstr>
  </property>
</Properties>
</file>