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632204">
      <w:pPr>
        <w:pStyle w:val="50"/>
        <w:widowControl w:val="0"/>
        <w:spacing w:before="0" w:after="0"/>
        <w:ind w:firstLine="0"/>
        <w:rPr>
          <w:rFonts w:ascii="Times New Roman" w:hAnsi="Times New Roman" w:eastAsia="黑体" w:cs="Times New Roman"/>
          <w:color w:val="000000" w:themeColor="text1"/>
          <w14:textFill>
            <w14:solidFill>
              <w14:schemeClr w14:val="tx1"/>
            </w14:solidFill>
          </w14:textFill>
        </w:rPr>
      </w:pPr>
    </w:p>
    <w:p w14:paraId="551CD948">
      <w:pPr>
        <w:pStyle w:val="50"/>
        <w:widowControl w:val="0"/>
        <w:spacing w:before="0" w:after="0"/>
        <w:ind w:firstLine="0"/>
        <w:rPr>
          <w:rFonts w:ascii="Times New Roman" w:hAnsi="Times New Roman" w:eastAsia="黑体" w:cs="Times New Roman"/>
          <w:color w:val="000000" w:themeColor="text1"/>
          <w14:textFill>
            <w14:solidFill>
              <w14:schemeClr w14:val="tx1"/>
            </w14:solidFill>
          </w14:textFill>
        </w:rPr>
      </w:pPr>
    </w:p>
    <w:p w14:paraId="4EC8734D">
      <w:pPr>
        <w:pStyle w:val="50"/>
        <w:widowControl w:val="0"/>
        <w:ind w:firstLine="0"/>
        <w:jc w:val="center"/>
        <w:rPr>
          <w:rFonts w:ascii="Times New Roman" w:hAnsi="Times New Roman" w:eastAsia="黑体" w:cs="Times New Roman"/>
          <w:bCs/>
          <w:color w:val="000000" w:themeColor="text1"/>
          <w:sz w:val="84"/>
          <w14:textFill>
            <w14:solidFill>
              <w14:schemeClr w14:val="tx1"/>
            </w14:solidFill>
          </w14:textFill>
        </w:rPr>
      </w:pPr>
    </w:p>
    <w:p w14:paraId="7AFC2A22">
      <w:pPr>
        <w:pStyle w:val="50"/>
        <w:widowControl w:val="0"/>
        <w:ind w:firstLine="0"/>
        <w:jc w:val="center"/>
        <w:rPr>
          <w:rFonts w:ascii="Times New Roman" w:hAnsi="Times New Roman" w:eastAsia="黑体" w:cs="Times New Roman"/>
          <w:bCs/>
          <w:color w:val="000000" w:themeColor="text1"/>
          <w:sz w:val="84"/>
          <w14:textFill>
            <w14:solidFill>
              <w14:schemeClr w14:val="tx1"/>
            </w14:solidFill>
          </w14:textFill>
        </w:rPr>
      </w:pPr>
    </w:p>
    <w:p w14:paraId="36E96066">
      <w:pPr>
        <w:pStyle w:val="50"/>
        <w:widowControl w:val="0"/>
        <w:ind w:firstLine="0"/>
        <w:jc w:val="center"/>
        <w:rPr>
          <w:rFonts w:ascii="Times New Roman" w:hAnsi="Times New Roman" w:eastAsia="黑体" w:cs="Times New Roman"/>
          <w:bCs/>
          <w:color w:val="000000" w:themeColor="text1"/>
          <w:sz w:val="84"/>
          <w14:textFill>
            <w14:solidFill>
              <w14:schemeClr w14:val="tx1"/>
            </w14:solidFill>
          </w14:textFill>
        </w:rPr>
      </w:pPr>
      <w:bookmarkStart w:id="0" w:name="_Hlk116998596"/>
      <w:r>
        <w:rPr>
          <w:rFonts w:ascii="Times New Roman" w:hAnsi="Times New Roman" w:eastAsia="黑体" w:cs="Times New Roman"/>
          <w:bCs/>
          <w:color w:val="000000" w:themeColor="text1"/>
          <w:sz w:val="84"/>
          <w14:textFill>
            <w14:solidFill>
              <w14:schemeClr w14:val="tx1"/>
            </w14:solidFill>
          </w14:textFill>
        </w:rPr>
        <w:t>招 标 文 件</w:t>
      </w:r>
    </w:p>
    <w:p w14:paraId="3224013F">
      <w:pPr>
        <w:pStyle w:val="50"/>
        <w:widowControl w:val="0"/>
        <w:ind w:firstLine="0"/>
        <w:jc w:val="center"/>
        <w:rPr>
          <w:rFonts w:ascii="Times New Roman" w:hAnsi="Times New Roman" w:eastAsia="黑体" w:cs="Times New Roman"/>
          <w:bCs/>
          <w:color w:val="000000" w:themeColor="text1"/>
          <w:sz w:val="32"/>
          <w14:textFill>
            <w14:solidFill>
              <w14:schemeClr w14:val="tx1"/>
            </w14:solidFill>
          </w14:textFill>
        </w:rPr>
      </w:pPr>
    </w:p>
    <w:p w14:paraId="2A509FB6">
      <w:pPr>
        <w:pStyle w:val="50"/>
        <w:widowControl w:val="0"/>
        <w:ind w:firstLine="0"/>
        <w:jc w:val="center"/>
        <w:rPr>
          <w:rFonts w:hint="eastAsia" w:cs="Times New Roman" w:asciiTheme="minorEastAsia" w:hAnsiTheme="minorEastAsia" w:eastAsiaTheme="minorEastAsia"/>
          <w:b/>
          <w:color w:val="000000" w:themeColor="text1"/>
          <w:sz w:val="36"/>
          <w:szCs w:val="36"/>
          <w14:textFill>
            <w14:solidFill>
              <w14:schemeClr w14:val="tx1"/>
            </w14:solidFill>
          </w14:textFill>
        </w:rPr>
      </w:pPr>
      <w:r>
        <w:rPr>
          <w:rFonts w:cs="Times New Roman" w:asciiTheme="minorEastAsia" w:hAnsiTheme="minorEastAsia" w:eastAsiaTheme="minorEastAsia"/>
          <w:b/>
          <w:color w:val="000000" w:themeColor="text1"/>
          <w:sz w:val="36"/>
          <w:szCs w:val="36"/>
          <w14:textFill>
            <w14:solidFill>
              <w14:schemeClr w14:val="tx1"/>
            </w14:solidFill>
          </w14:textFill>
        </w:rPr>
        <w:t>项目名称：</w:t>
      </w:r>
      <w:r>
        <w:rPr>
          <w:rFonts w:hint="eastAsia" w:cs="Times New Roman" w:asciiTheme="minorEastAsia" w:hAnsiTheme="minorEastAsia" w:eastAsiaTheme="minorEastAsia"/>
          <w:b/>
          <w:color w:val="000000" w:themeColor="text1"/>
          <w:sz w:val="36"/>
          <w:szCs w:val="36"/>
          <w14:textFill>
            <w14:solidFill>
              <w14:schemeClr w14:val="tx1"/>
            </w14:solidFill>
          </w14:textFill>
        </w:rPr>
        <w:t>紫金山实验室API安全网关系统采购项目</w:t>
      </w:r>
    </w:p>
    <w:p w14:paraId="720BCA14">
      <w:pPr>
        <w:pStyle w:val="50"/>
        <w:widowControl w:val="0"/>
        <w:ind w:firstLine="1440" w:firstLineChars="400"/>
        <w:rPr>
          <w:rFonts w:ascii="Times New Roman" w:hAnsi="Times New Roman" w:eastAsia="黑体" w:cs="Times New Roman"/>
          <w:color w:val="000000" w:themeColor="text1"/>
          <w:sz w:val="36"/>
          <w:szCs w:val="36"/>
          <w14:textFill>
            <w14:solidFill>
              <w14:schemeClr w14:val="tx1"/>
            </w14:solidFill>
          </w14:textFill>
        </w:rPr>
      </w:pPr>
      <w:r>
        <w:rPr>
          <w:rFonts w:ascii="Times New Roman" w:hAnsi="Times New Roman" w:eastAsia="黑体" w:cs="Times New Roman"/>
          <w:color w:val="000000" w:themeColor="text1"/>
          <w:sz w:val="36"/>
          <w:szCs w:val="36"/>
          <w14:textFill>
            <w14:solidFill>
              <w14:schemeClr w14:val="tx1"/>
            </w14:solidFill>
          </w14:textFill>
        </w:rPr>
        <w:t>项目编号：PML-ZH-ZB-202</w:t>
      </w:r>
      <w:r>
        <w:rPr>
          <w:rFonts w:hint="eastAsia" w:ascii="Times New Roman" w:hAnsi="Times New Roman" w:eastAsia="黑体" w:cs="Times New Roman"/>
          <w:color w:val="000000" w:themeColor="text1"/>
          <w:sz w:val="36"/>
          <w:szCs w:val="36"/>
          <w14:textFill>
            <w14:solidFill>
              <w14:schemeClr w14:val="tx1"/>
            </w14:solidFill>
          </w14:textFill>
        </w:rPr>
        <w:t>5</w:t>
      </w:r>
      <w:r>
        <w:rPr>
          <w:rFonts w:ascii="Times New Roman" w:hAnsi="Times New Roman" w:eastAsia="黑体" w:cs="Times New Roman"/>
          <w:color w:val="000000" w:themeColor="text1"/>
          <w:sz w:val="36"/>
          <w:szCs w:val="36"/>
          <w14:textFill>
            <w14:solidFill>
              <w14:schemeClr w14:val="tx1"/>
            </w14:solidFill>
          </w14:textFill>
        </w:rPr>
        <w:t>0</w:t>
      </w:r>
      <w:r>
        <w:rPr>
          <w:rFonts w:hint="eastAsia" w:ascii="Times New Roman" w:hAnsi="Times New Roman" w:eastAsia="黑体" w:cs="Times New Roman"/>
          <w:color w:val="000000" w:themeColor="text1"/>
          <w:sz w:val="36"/>
          <w:szCs w:val="36"/>
          <w14:textFill>
            <w14:solidFill>
              <w14:schemeClr w14:val="tx1"/>
            </w14:solidFill>
          </w14:textFill>
        </w:rPr>
        <w:t>19</w:t>
      </w:r>
    </w:p>
    <w:p w14:paraId="49544D9D">
      <w:pPr>
        <w:pStyle w:val="50"/>
        <w:widowControl w:val="0"/>
        <w:spacing w:before="0" w:after="0"/>
        <w:ind w:firstLine="0"/>
        <w:rPr>
          <w:rFonts w:ascii="Times New Roman" w:hAnsi="Times New Roman" w:eastAsia="黑体" w:cs="Times New Roman"/>
          <w:color w:val="000000" w:themeColor="text1"/>
          <w14:textFill>
            <w14:solidFill>
              <w14:schemeClr w14:val="tx1"/>
            </w14:solidFill>
          </w14:textFill>
        </w:rPr>
      </w:pPr>
    </w:p>
    <w:p w14:paraId="42324CB0">
      <w:pPr>
        <w:pStyle w:val="50"/>
        <w:widowControl w:val="0"/>
        <w:spacing w:before="0" w:after="0"/>
        <w:ind w:firstLine="0"/>
        <w:rPr>
          <w:rFonts w:ascii="Times New Roman" w:hAnsi="Times New Roman" w:eastAsia="黑体" w:cs="Times New Roman"/>
          <w:color w:val="000000" w:themeColor="text1"/>
          <w14:textFill>
            <w14:solidFill>
              <w14:schemeClr w14:val="tx1"/>
            </w14:solidFill>
          </w14:textFill>
        </w:rPr>
      </w:pPr>
    </w:p>
    <w:p w14:paraId="1EB4CED0">
      <w:pPr>
        <w:pStyle w:val="50"/>
        <w:widowControl w:val="0"/>
        <w:spacing w:before="0" w:after="0"/>
        <w:ind w:firstLine="0"/>
        <w:rPr>
          <w:rFonts w:ascii="Times New Roman" w:hAnsi="Times New Roman" w:eastAsia="黑体" w:cs="Times New Roman"/>
          <w:color w:val="000000" w:themeColor="text1"/>
          <w14:textFill>
            <w14:solidFill>
              <w14:schemeClr w14:val="tx1"/>
            </w14:solidFill>
          </w14:textFill>
        </w:rPr>
      </w:pPr>
    </w:p>
    <w:p w14:paraId="196EB0FF">
      <w:pPr>
        <w:pStyle w:val="50"/>
        <w:widowControl w:val="0"/>
        <w:spacing w:before="0" w:after="0"/>
        <w:ind w:firstLine="0"/>
        <w:rPr>
          <w:rFonts w:ascii="Times New Roman" w:hAnsi="Times New Roman" w:eastAsia="黑体" w:cs="Times New Roman"/>
          <w:color w:val="000000" w:themeColor="text1"/>
          <w14:textFill>
            <w14:solidFill>
              <w14:schemeClr w14:val="tx1"/>
            </w14:solidFill>
          </w14:textFill>
        </w:rPr>
      </w:pPr>
    </w:p>
    <w:p w14:paraId="4688D94A">
      <w:pPr>
        <w:pStyle w:val="50"/>
        <w:widowControl w:val="0"/>
        <w:spacing w:before="0" w:after="0"/>
        <w:ind w:firstLine="0"/>
        <w:rPr>
          <w:rFonts w:ascii="Times New Roman" w:hAnsi="Times New Roman" w:eastAsia="黑体" w:cs="Times New Roman"/>
          <w:color w:val="000000" w:themeColor="text1"/>
          <w14:textFill>
            <w14:solidFill>
              <w14:schemeClr w14:val="tx1"/>
            </w14:solidFill>
          </w14:textFill>
        </w:rPr>
      </w:pPr>
    </w:p>
    <w:p w14:paraId="0B04BDA2">
      <w:pPr>
        <w:pStyle w:val="50"/>
        <w:widowControl w:val="0"/>
        <w:spacing w:before="0" w:after="0"/>
        <w:ind w:firstLine="0"/>
        <w:rPr>
          <w:rFonts w:ascii="Times New Roman" w:hAnsi="Times New Roman" w:eastAsia="黑体" w:cs="Times New Roman"/>
          <w:color w:val="000000" w:themeColor="text1"/>
          <w14:textFill>
            <w14:solidFill>
              <w14:schemeClr w14:val="tx1"/>
            </w14:solidFill>
          </w14:textFill>
        </w:rPr>
      </w:pPr>
    </w:p>
    <w:p w14:paraId="4FEBA9D8">
      <w:pPr>
        <w:pStyle w:val="50"/>
        <w:widowControl w:val="0"/>
        <w:spacing w:before="0" w:after="0"/>
        <w:ind w:firstLine="0"/>
        <w:rPr>
          <w:rFonts w:ascii="Times New Roman" w:hAnsi="Times New Roman" w:eastAsia="黑体" w:cs="Times New Roman"/>
          <w:color w:val="000000" w:themeColor="text1"/>
          <w14:textFill>
            <w14:solidFill>
              <w14:schemeClr w14:val="tx1"/>
            </w14:solidFill>
          </w14:textFill>
        </w:rPr>
      </w:pPr>
    </w:p>
    <w:p w14:paraId="1EDFB3F0">
      <w:pPr>
        <w:pStyle w:val="50"/>
        <w:widowControl w:val="0"/>
        <w:spacing w:before="0" w:after="0"/>
        <w:ind w:firstLine="0"/>
        <w:jc w:val="center"/>
        <w:rPr>
          <w:rFonts w:ascii="Times New Roman" w:hAnsi="Times New Roman" w:eastAsia="黑体" w:cs="Times New Roman"/>
          <w:color w:val="000000" w:themeColor="text1"/>
          <w:sz w:val="30"/>
          <w:szCs w:val="30"/>
          <w14:textFill>
            <w14:solidFill>
              <w14:schemeClr w14:val="tx1"/>
            </w14:solidFill>
          </w14:textFill>
        </w:rPr>
      </w:pPr>
      <w:r>
        <w:rPr>
          <w:rFonts w:ascii="Times New Roman" w:hAnsi="Times New Roman" w:eastAsia="黑体" w:cs="Times New Roman"/>
          <w:color w:val="000000" w:themeColor="text1"/>
          <w:sz w:val="30"/>
          <w:szCs w:val="30"/>
          <w14:textFill>
            <w14:solidFill>
              <w14:schemeClr w14:val="tx1"/>
            </w14:solidFill>
          </w14:textFill>
        </w:rPr>
        <w:t>招标人：</w:t>
      </w:r>
      <w:r>
        <w:rPr>
          <w:rFonts w:hint="eastAsia" w:ascii="Times New Roman" w:hAnsi="Times New Roman" w:eastAsia="黑体" w:cs="Times New Roman"/>
          <w:color w:val="000000" w:themeColor="text1"/>
          <w:sz w:val="30"/>
          <w:szCs w:val="30"/>
          <w14:textFill>
            <w14:solidFill>
              <w14:schemeClr w14:val="tx1"/>
            </w14:solidFill>
          </w14:textFill>
        </w:rPr>
        <w:t>紫金山实验室</w:t>
      </w:r>
    </w:p>
    <w:p w14:paraId="0706CA52">
      <w:pPr>
        <w:pStyle w:val="50"/>
        <w:widowControl w:val="0"/>
        <w:spacing w:before="0" w:after="0"/>
        <w:ind w:firstLine="0"/>
        <w:jc w:val="center"/>
        <w:rPr>
          <w:rFonts w:ascii="Times New Roman" w:hAnsi="Times New Roman" w:eastAsia="黑体" w:cs="Times New Roman"/>
          <w:color w:val="000000" w:themeColor="text1"/>
          <w:sz w:val="30"/>
          <w:szCs w:val="30"/>
          <w14:textFill>
            <w14:solidFill>
              <w14:schemeClr w14:val="tx1"/>
            </w14:solidFill>
          </w14:textFill>
        </w:rPr>
      </w:pPr>
      <w:r>
        <w:rPr>
          <w:rFonts w:ascii="Times New Roman" w:hAnsi="Times New Roman" w:eastAsia="黑体" w:cs="Times New Roman"/>
          <w:color w:val="000000" w:themeColor="text1"/>
          <w:sz w:val="30"/>
          <w:szCs w:val="30"/>
          <w14:textFill>
            <w14:solidFill>
              <w14:schemeClr w14:val="tx1"/>
            </w14:solidFill>
          </w14:textFill>
        </w:rPr>
        <w:t>招标代理机构：中通服咨询设计研究院有限公司</w:t>
      </w:r>
    </w:p>
    <w:p w14:paraId="1DC9CDB8">
      <w:pPr>
        <w:pStyle w:val="50"/>
        <w:jc w:val="center"/>
        <w:rPr>
          <w:color w:val="000000" w:themeColor="text1"/>
          <w14:textFill>
            <w14:solidFill>
              <w14:schemeClr w14:val="tx1"/>
            </w14:solidFill>
          </w14:textFill>
        </w:rPr>
        <w:sectPr>
          <w:headerReference r:id="rId4" w:type="first"/>
          <w:headerReference r:id="rId3" w:type="default"/>
          <w:pgSz w:w="11906" w:h="16838"/>
          <w:pgMar w:top="1418" w:right="1418" w:bottom="1418" w:left="1701" w:header="851" w:footer="992" w:gutter="0"/>
          <w:cols w:space="425" w:num="1"/>
          <w:docGrid w:type="lines" w:linePitch="312" w:charSpace="0"/>
        </w:sectPr>
      </w:pPr>
      <w:r>
        <w:rPr>
          <w:rFonts w:hint="eastAsia" w:ascii="Times New Roman" w:hAnsi="Times New Roman" w:eastAsia="黑体" w:cs="Times New Roman"/>
          <w:color w:val="000000" w:themeColor="text1"/>
          <w:sz w:val="30"/>
          <w:szCs w:val="30"/>
          <w14:textFill>
            <w14:solidFill>
              <w14:schemeClr w14:val="tx1"/>
            </w14:solidFill>
          </w14:textFill>
        </w:rPr>
        <w:t>2025</w:t>
      </w:r>
      <w:r>
        <w:rPr>
          <w:rFonts w:ascii="Times New Roman" w:hAnsi="Times New Roman" w:eastAsia="黑体" w:cs="Times New Roman"/>
          <w:color w:val="000000" w:themeColor="text1"/>
          <w:sz w:val="30"/>
          <w:szCs w:val="30"/>
          <w14:textFill>
            <w14:solidFill>
              <w14:schemeClr w14:val="tx1"/>
            </w14:solidFill>
          </w14:textFill>
        </w:rPr>
        <w:t>年</w:t>
      </w:r>
      <w:r>
        <w:rPr>
          <w:rFonts w:hint="eastAsia" w:ascii="Times New Roman" w:hAnsi="Times New Roman" w:eastAsia="黑体" w:cs="Times New Roman"/>
          <w:color w:val="000000" w:themeColor="text1"/>
          <w:sz w:val="30"/>
          <w:szCs w:val="30"/>
          <w14:textFill>
            <w14:solidFill>
              <w14:schemeClr w14:val="tx1"/>
            </w14:solidFill>
          </w14:textFill>
        </w:rPr>
        <w:t>11</w:t>
      </w:r>
      <w:r>
        <w:rPr>
          <w:rFonts w:ascii="Times New Roman" w:hAnsi="Times New Roman" w:eastAsia="黑体" w:cs="Times New Roman"/>
          <w:color w:val="000000" w:themeColor="text1"/>
          <w:sz w:val="30"/>
          <w:szCs w:val="30"/>
          <w14:textFill>
            <w14:solidFill>
              <w14:schemeClr w14:val="tx1"/>
            </w14:solidFill>
          </w14:textFill>
        </w:rPr>
        <w:t>月</w:t>
      </w:r>
    </w:p>
    <w:p w14:paraId="6394A360">
      <w:pPr>
        <w:spacing w:before="312" w:beforeLines="100" w:after="312" w:afterLines="100" w:line="360" w:lineRule="auto"/>
        <w:jc w:val="center"/>
        <w:rPr>
          <w:rFonts w:hint="eastAsia" w:ascii="黑体" w:hAnsi="黑体" w:eastAsia="黑体"/>
          <w:color w:val="000000" w:themeColor="text1"/>
          <w:sz w:val="36"/>
          <w:szCs w:val="36"/>
          <w14:textFill>
            <w14:solidFill>
              <w14:schemeClr w14:val="tx1"/>
            </w14:solidFill>
          </w14:textFill>
        </w:rPr>
      </w:pPr>
      <w:r>
        <w:rPr>
          <w:rFonts w:hint="eastAsia" w:ascii="黑体" w:hAnsi="黑体" w:eastAsia="黑体"/>
          <w:color w:val="000000" w:themeColor="text1"/>
          <w:sz w:val="36"/>
          <w:szCs w:val="36"/>
          <w14:textFill>
            <w14:solidFill>
              <w14:schemeClr w14:val="tx1"/>
            </w14:solidFill>
          </w14:textFill>
        </w:rPr>
        <w:t>目  录</w:t>
      </w:r>
    </w:p>
    <w:sdt>
      <w:sdtPr>
        <w:rPr>
          <w:rFonts w:asciiTheme="majorHAnsi" w:hAnsiTheme="majorHAnsi" w:eastAsiaTheme="majorEastAsia" w:cstheme="majorBidi"/>
          <w:color w:val="000000" w:themeColor="text1"/>
          <w:sz w:val="32"/>
          <w:szCs w:val="32"/>
          <w:lang w:val="zh-CN"/>
          <w14:textFill>
            <w14:solidFill>
              <w14:schemeClr w14:val="tx1"/>
            </w14:solidFill>
          </w14:textFill>
        </w:rPr>
        <w:id w:val="139459551"/>
      </w:sdtPr>
      <w:sdtEndPr>
        <w:rPr>
          <w:rFonts w:ascii="Times New Roman" w:hAnsi="Times New Roman" w:eastAsia="黑体" w:cs="Times New Roman"/>
          <w:b/>
          <w:bCs/>
          <w:color w:val="000000" w:themeColor="text1"/>
          <w:sz w:val="24"/>
          <w:szCs w:val="22"/>
          <w:lang w:val="zh-CN"/>
          <w14:textFill>
            <w14:solidFill>
              <w14:schemeClr w14:val="tx1"/>
            </w14:solidFill>
          </w14:textFill>
        </w:rPr>
      </w:sdtEndPr>
      <w:sdtContent>
        <w:p w14:paraId="584C96A1">
          <w:pPr>
            <w:pStyle w:val="21"/>
            <w:widowControl w:val="0"/>
            <w:rPr>
              <w:rFonts w:asciiTheme="minorHAnsi" w:hAnsiTheme="minorHAnsi" w:eastAsiaTheme="minorEastAsia" w:cstheme="minorBidi"/>
              <w:color w:val="000000" w:themeColor="text1"/>
              <w:kern w:val="2"/>
              <w:sz w:val="2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TOC \o "1-3" \h \z \u </w:instrText>
          </w:r>
          <w:r>
            <w:rPr>
              <w:color w:val="000000" w:themeColor="text1"/>
              <w14:textFill>
                <w14:solidFill>
                  <w14:schemeClr w14:val="tx1"/>
                </w14:solidFill>
              </w14:textFill>
            </w:rPr>
            <w:fldChar w:fldCharType="separate"/>
          </w:r>
          <w:r>
            <w:fldChar w:fldCharType="begin"/>
          </w:r>
          <w:r>
            <w:instrText xml:space="preserve"> HYPERLINK \l "_Toc11859485" </w:instrText>
          </w:r>
          <w:r>
            <w:fldChar w:fldCharType="separate"/>
          </w:r>
          <w:r>
            <w:rPr>
              <w:rStyle w:val="34"/>
              <w:rFonts w:hint="eastAsia" w:ascii="黑体" w:hAnsi="黑体" w:cs="黑体"/>
              <w:color w:val="000000" w:themeColor="text1"/>
              <w:kern w:val="44"/>
              <w:u w:color="000000"/>
              <w:lang w:val="zh-TW" w:eastAsia="zh-TW"/>
              <w14:textFill>
                <w14:solidFill>
                  <w14:schemeClr w14:val="tx1"/>
                </w14:solidFill>
              </w14:textFill>
            </w:rPr>
            <w:t>第一章</w:t>
          </w:r>
          <w:r>
            <w:rPr>
              <w:rStyle w:val="34"/>
              <w:rFonts w:ascii="黑体" w:hAnsi="黑体" w:cs="黑体"/>
              <w:color w:val="000000" w:themeColor="text1"/>
              <w:kern w:val="44"/>
              <w:u w:color="000000"/>
              <w:lang w:val="zh-TW" w:eastAsia="zh-TW"/>
              <w14:textFill>
                <w14:solidFill>
                  <w14:schemeClr w14:val="tx1"/>
                </w14:solidFill>
              </w14:textFill>
            </w:rPr>
            <w:t xml:space="preserve">  </w:t>
          </w:r>
          <w:r>
            <w:rPr>
              <w:rStyle w:val="34"/>
              <w:rFonts w:hint="eastAsia" w:ascii="黑体" w:hAnsi="黑体" w:cs="黑体"/>
              <w:color w:val="000000" w:themeColor="text1"/>
              <w:kern w:val="44"/>
              <w:u w:color="000000"/>
              <w:lang w:val="zh-TW"/>
              <w14:textFill>
                <w14:solidFill>
                  <w14:schemeClr w14:val="tx1"/>
                </w14:solidFill>
              </w14:textFill>
            </w:rPr>
            <w:t>招标</w:t>
          </w:r>
          <w:r>
            <w:rPr>
              <w:rStyle w:val="34"/>
              <w:rFonts w:hint="eastAsia" w:ascii="黑体" w:hAnsi="黑体" w:cs="黑体"/>
              <w:color w:val="000000" w:themeColor="text1"/>
              <w:kern w:val="44"/>
              <w:u w:color="000000"/>
              <w:lang w:val="zh-TW" w:eastAsia="zh-TW"/>
              <w14:textFill>
                <w14:solidFill>
                  <w14:schemeClr w14:val="tx1"/>
                </w14:solidFill>
              </w14:textFill>
            </w:rPr>
            <w:t>公告</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_Toc11859485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0D3B88E4">
          <w:pPr>
            <w:pStyle w:val="21"/>
            <w:widowControl w:val="0"/>
            <w:rPr>
              <w:rFonts w:asciiTheme="minorHAnsi" w:hAnsiTheme="minorHAnsi" w:eastAsiaTheme="minorEastAsia" w:cstheme="minorBidi"/>
              <w:color w:val="000000" w:themeColor="text1"/>
              <w:kern w:val="2"/>
              <w:sz w:val="21"/>
              <w14:textFill>
                <w14:solidFill>
                  <w14:schemeClr w14:val="tx1"/>
                </w14:solidFill>
              </w14:textFill>
            </w:rPr>
          </w:pPr>
          <w:r>
            <w:fldChar w:fldCharType="begin"/>
          </w:r>
          <w:r>
            <w:instrText xml:space="preserve"> HYPERLINK \l "_Toc11859486" </w:instrText>
          </w:r>
          <w:r>
            <w:fldChar w:fldCharType="separate"/>
          </w:r>
          <w:r>
            <w:rPr>
              <w:rStyle w:val="34"/>
              <w:rFonts w:hint="eastAsia" w:ascii="黑体" w:hAnsi="黑体" w:cs="黑体"/>
              <w:color w:val="000000" w:themeColor="text1"/>
              <w:kern w:val="44"/>
              <w:u w:color="000000"/>
              <w:lang w:val="zh-TW" w:eastAsia="zh-TW"/>
              <w14:textFill>
                <w14:solidFill>
                  <w14:schemeClr w14:val="tx1"/>
                </w14:solidFill>
              </w14:textFill>
            </w:rPr>
            <w:t>第二章</w:t>
          </w:r>
          <w:r>
            <w:rPr>
              <w:rStyle w:val="34"/>
              <w:rFonts w:ascii="黑体" w:hAnsi="黑体" w:cs="黑体"/>
              <w:color w:val="000000" w:themeColor="text1"/>
              <w:kern w:val="44"/>
              <w:u w:color="000000"/>
              <w:lang w:val="zh-TW" w:eastAsia="zh-TW"/>
              <w14:textFill>
                <w14:solidFill>
                  <w14:schemeClr w14:val="tx1"/>
                </w14:solidFill>
              </w14:textFill>
            </w:rPr>
            <w:t xml:space="preserve">  </w:t>
          </w:r>
          <w:r>
            <w:rPr>
              <w:rStyle w:val="34"/>
              <w:rFonts w:hint="eastAsia" w:ascii="黑体" w:hAnsi="黑体" w:cs="黑体"/>
              <w:color w:val="000000" w:themeColor="text1"/>
              <w:kern w:val="44"/>
              <w:u w:color="000000"/>
              <w:lang w:val="zh-TW"/>
              <w14:textFill>
                <w14:solidFill>
                  <w14:schemeClr w14:val="tx1"/>
                </w14:solidFill>
              </w14:textFill>
            </w:rPr>
            <w:t>投标人</w:t>
          </w:r>
          <w:r>
            <w:rPr>
              <w:rStyle w:val="34"/>
              <w:rFonts w:hint="eastAsia" w:ascii="黑体" w:hAnsi="黑体" w:cs="黑体"/>
              <w:color w:val="000000" w:themeColor="text1"/>
              <w:kern w:val="44"/>
              <w:u w:color="000000"/>
              <w:lang w:val="zh-TW" w:eastAsia="zh-TW"/>
              <w14:textFill>
                <w14:solidFill>
                  <w14:schemeClr w14:val="tx1"/>
                </w14:solidFill>
              </w14:textFill>
            </w:rPr>
            <w:t>须知</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_Toc11859486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5</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3FFF439B">
          <w:pPr>
            <w:pStyle w:val="21"/>
            <w:widowControl w:val="0"/>
            <w:rPr>
              <w:rFonts w:asciiTheme="minorHAnsi" w:hAnsiTheme="minorHAnsi" w:eastAsiaTheme="minorEastAsia" w:cstheme="minorBidi"/>
              <w:color w:val="000000" w:themeColor="text1"/>
              <w:kern w:val="2"/>
              <w:sz w:val="21"/>
              <w14:textFill>
                <w14:solidFill>
                  <w14:schemeClr w14:val="tx1"/>
                </w14:solidFill>
              </w14:textFill>
            </w:rPr>
          </w:pPr>
          <w:r>
            <w:fldChar w:fldCharType="begin"/>
          </w:r>
          <w:r>
            <w:instrText xml:space="preserve"> HYPERLINK \l "_Toc11859487" </w:instrText>
          </w:r>
          <w:r>
            <w:fldChar w:fldCharType="separate"/>
          </w:r>
          <w:r>
            <w:rPr>
              <w:rStyle w:val="34"/>
              <w:rFonts w:hint="eastAsia" w:ascii="黑体" w:hAnsi="黑体" w:cs="黑体"/>
              <w:color w:val="000000" w:themeColor="text1"/>
              <w:kern w:val="44"/>
              <w:u w:color="000000"/>
              <w:lang w:val="zh-TW" w:eastAsia="zh-TW"/>
              <w14:textFill>
                <w14:solidFill>
                  <w14:schemeClr w14:val="tx1"/>
                </w14:solidFill>
              </w14:textFill>
            </w:rPr>
            <w:t>第</w:t>
          </w:r>
          <w:r>
            <w:rPr>
              <w:rStyle w:val="34"/>
              <w:rFonts w:hint="eastAsia" w:ascii="黑体" w:hAnsi="黑体" w:cs="黑体"/>
              <w:color w:val="000000" w:themeColor="text1"/>
              <w:kern w:val="44"/>
              <w:u w:color="000000"/>
              <w:lang w:val="zh-TW"/>
              <w14:textFill>
                <w14:solidFill>
                  <w14:schemeClr w14:val="tx1"/>
                </w14:solidFill>
              </w14:textFill>
            </w:rPr>
            <w:t>三</w:t>
          </w:r>
          <w:r>
            <w:rPr>
              <w:rStyle w:val="34"/>
              <w:rFonts w:hint="eastAsia" w:ascii="黑体" w:hAnsi="黑体" w:cs="黑体"/>
              <w:color w:val="000000" w:themeColor="text1"/>
              <w:kern w:val="44"/>
              <w:u w:color="000000"/>
              <w:lang w:val="zh-TW" w:eastAsia="zh-TW"/>
              <w14:textFill>
                <w14:solidFill>
                  <w14:schemeClr w14:val="tx1"/>
                </w14:solidFill>
              </w14:textFill>
            </w:rPr>
            <w:t>章</w:t>
          </w:r>
          <w:r>
            <w:rPr>
              <w:rStyle w:val="34"/>
              <w:rFonts w:ascii="黑体" w:hAnsi="黑体" w:cs="黑体"/>
              <w:color w:val="000000" w:themeColor="text1"/>
              <w:kern w:val="44"/>
              <w:u w:color="000000"/>
              <w:lang w:val="zh-TW" w:eastAsia="zh-TW"/>
              <w14:textFill>
                <w14:solidFill>
                  <w14:schemeClr w14:val="tx1"/>
                </w14:solidFill>
              </w14:textFill>
            </w:rPr>
            <w:t xml:space="preserve">  </w:t>
          </w:r>
          <w:r>
            <w:rPr>
              <w:rStyle w:val="34"/>
              <w:rFonts w:hint="eastAsia" w:ascii="黑体" w:hAnsi="黑体" w:cs="黑体"/>
              <w:color w:val="000000" w:themeColor="text1"/>
              <w:kern w:val="44"/>
              <w:u w:color="000000"/>
              <w:lang w:val="zh-TW" w:eastAsia="zh-TW"/>
              <w14:textFill>
                <w14:solidFill>
                  <w14:schemeClr w14:val="tx1"/>
                </w14:solidFill>
              </w14:textFill>
            </w:rPr>
            <w:t>合同条款及格式</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_Toc11859487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15</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3ED174AA">
          <w:pPr>
            <w:pStyle w:val="21"/>
            <w:widowControl w:val="0"/>
            <w:rPr>
              <w:rFonts w:asciiTheme="minorHAnsi" w:hAnsiTheme="minorHAnsi" w:eastAsiaTheme="minorEastAsia" w:cstheme="minorBidi"/>
              <w:color w:val="000000" w:themeColor="text1"/>
              <w:kern w:val="2"/>
              <w:sz w:val="21"/>
              <w14:textFill>
                <w14:solidFill>
                  <w14:schemeClr w14:val="tx1"/>
                </w14:solidFill>
              </w14:textFill>
            </w:rPr>
          </w:pPr>
          <w:r>
            <w:fldChar w:fldCharType="begin"/>
          </w:r>
          <w:r>
            <w:instrText xml:space="preserve"> HYPERLINK \l "_Toc11859488" </w:instrText>
          </w:r>
          <w:r>
            <w:fldChar w:fldCharType="separate"/>
          </w:r>
          <w:r>
            <w:rPr>
              <w:rStyle w:val="34"/>
              <w:rFonts w:hint="eastAsia" w:ascii="黑体" w:hAnsi="黑体" w:cs="黑体"/>
              <w:color w:val="000000" w:themeColor="text1"/>
              <w:kern w:val="44"/>
              <w:u w:color="000000"/>
              <w:lang w:val="zh-TW" w:eastAsia="zh-TW"/>
              <w14:textFill>
                <w14:solidFill>
                  <w14:schemeClr w14:val="tx1"/>
                </w14:solidFill>
              </w14:textFill>
            </w:rPr>
            <w:t>第</w:t>
          </w:r>
          <w:r>
            <w:rPr>
              <w:rStyle w:val="34"/>
              <w:rFonts w:hint="eastAsia" w:ascii="黑体" w:hAnsi="黑体" w:cs="黑体"/>
              <w:color w:val="000000" w:themeColor="text1"/>
              <w:kern w:val="44"/>
              <w:u w:color="000000"/>
              <w:lang w:val="zh-TW"/>
              <w14:textFill>
                <w14:solidFill>
                  <w14:schemeClr w14:val="tx1"/>
                </w14:solidFill>
              </w14:textFill>
            </w:rPr>
            <w:t>四</w:t>
          </w:r>
          <w:r>
            <w:rPr>
              <w:rStyle w:val="34"/>
              <w:rFonts w:hint="eastAsia" w:ascii="黑体" w:hAnsi="黑体" w:cs="黑体"/>
              <w:color w:val="000000" w:themeColor="text1"/>
              <w:kern w:val="44"/>
              <w:u w:color="000000"/>
              <w:lang w:val="zh-TW" w:eastAsia="zh-TW"/>
              <w14:textFill>
                <w14:solidFill>
                  <w14:schemeClr w14:val="tx1"/>
                </w14:solidFill>
              </w14:textFill>
            </w:rPr>
            <w:t>章</w:t>
          </w:r>
          <w:r>
            <w:rPr>
              <w:rStyle w:val="34"/>
              <w:rFonts w:ascii="黑体" w:hAnsi="黑体" w:cs="黑体"/>
              <w:color w:val="000000" w:themeColor="text1"/>
              <w:kern w:val="44"/>
              <w:u w:color="000000"/>
              <w:lang w:val="zh-TW" w:eastAsia="zh-TW"/>
              <w14:textFill>
                <w14:solidFill>
                  <w14:schemeClr w14:val="tx1"/>
                </w14:solidFill>
              </w14:textFill>
            </w:rPr>
            <w:t xml:space="preserve">  </w:t>
          </w:r>
          <w:r>
            <w:rPr>
              <w:rStyle w:val="34"/>
              <w:rFonts w:hint="eastAsia" w:ascii="黑体" w:hAnsi="黑体" w:cs="黑体"/>
              <w:color w:val="000000" w:themeColor="text1"/>
              <w:kern w:val="44"/>
              <w:u w:color="000000"/>
              <w:lang w:val="zh-TW"/>
              <w14:textFill>
                <w14:solidFill>
                  <w14:schemeClr w14:val="tx1"/>
                </w14:solidFill>
              </w14:textFill>
            </w:rPr>
            <w:t>项目需求</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_Toc11859488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16</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0475720E">
          <w:pPr>
            <w:pStyle w:val="21"/>
            <w:widowControl w:val="0"/>
            <w:rPr>
              <w:rFonts w:asciiTheme="minorHAnsi" w:hAnsiTheme="minorHAnsi" w:eastAsiaTheme="minorEastAsia" w:cstheme="minorBidi"/>
              <w:color w:val="000000" w:themeColor="text1"/>
              <w:kern w:val="2"/>
              <w:sz w:val="21"/>
              <w14:textFill>
                <w14:solidFill>
                  <w14:schemeClr w14:val="tx1"/>
                </w14:solidFill>
              </w14:textFill>
            </w:rPr>
          </w:pPr>
          <w:r>
            <w:fldChar w:fldCharType="begin"/>
          </w:r>
          <w:r>
            <w:instrText xml:space="preserve"> HYPERLINK \l "_Toc11859489" </w:instrText>
          </w:r>
          <w:r>
            <w:fldChar w:fldCharType="separate"/>
          </w:r>
          <w:r>
            <w:rPr>
              <w:rStyle w:val="34"/>
              <w:rFonts w:hint="eastAsia" w:ascii="黑体" w:hAnsi="黑体" w:cs="黑体"/>
              <w:color w:val="000000" w:themeColor="text1"/>
              <w:kern w:val="44"/>
              <w:u w:color="000000"/>
              <w:lang w:val="zh-TW" w:eastAsia="zh-TW"/>
              <w14:textFill>
                <w14:solidFill>
                  <w14:schemeClr w14:val="tx1"/>
                </w14:solidFill>
              </w14:textFill>
            </w:rPr>
            <w:t>第</w:t>
          </w:r>
          <w:r>
            <w:rPr>
              <w:rStyle w:val="34"/>
              <w:rFonts w:hint="eastAsia" w:ascii="黑体" w:hAnsi="黑体" w:cs="黑体"/>
              <w:color w:val="000000" w:themeColor="text1"/>
              <w:kern w:val="44"/>
              <w:u w:color="000000"/>
              <w:lang w:val="zh-TW"/>
              <w14:textFill>
                <w14:solidFill>
                  <w14:schemeClr w14:val="tx1"/>
                </w14:solidFill>
              </w14:textFill>
            </w:rPr>
            <w:t>五</w:t>
          </w:r>
          <w:r>
            <w:rPr>
              <w:rStyle w:val="34"/>
              <w:rFonts w:hint="eastAsia" w:ascii="黑体" w:hAnsi="黑体" w:cs="黑体"/>
              <w:color w:val="000000" w:themeColor="text1"/>
              <w:kern w:val="44"/>
              <w:u w:color="000000"/>
              <w:lang w:val="zh-TW" w:eastAsia="zh-TW"/>
              <w14:textFill>
                <w14:solidFill>
                  <w14:schemeClr w14:val="tx1"/>
                </w14:solidFill>
              </w14:textFill>
            </w:rPr>
            <w:t>章</w:t>
          </w:r>
          <w:r>
            <w:rPr>
              <w:rStyle w:val="34"/>
              <w:rFonts w:ascii="黑体" w:hAnsi="黑体" w:cs="黑体"/>
              <w:color w:val="000000" w:themeColor="text1"/>
              <w:kern w:val="44"/>
              <w:u w:color="000000"/>
              <w:lang w:val="zh-TW" w:eastAsia="zh-TW"/>
              <w14:textFill>
                <w14:solidFill>
                  <w14:schemeClr w14:val="tx1"/>
                </w14:solidFill>
              </w14:textFill>
            </w:rPr>
            <w:t xml:space="preserve">  </w:t>
          </w:r>
          <w:r>
            <w:rPr>
              <w:rStyle w:val="34"/>
              <w:rFonts w:hint="eastAsia" w:ascii="黑体" w:hAnsi="黑体" w:cs="黑体"/>
              <w:color w:val="000000" w:themeColor="text1"/>
              <w:kern w:val="44"/>
              <w:u w:color="000000"/>
              <w:lang w:val="zh-TW" w:eastAsia="zh-TW"/>
              <w14:textFill>
                <w14:solidFill>
                  <w14:schemeClr w14:val="tx1"/>
                </w14:solidFill>
              </w14:textFill>
            </w:rPr>
            <w:t>评标方法与评标标准</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_Toc11859489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25</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28A543D3">
          <w:pPr>
            <w:pStyle w:val="21"/>
            <w:widowControl w:val="0"/>
            <w:rPr>
              <w:rFonts w:asciiTheme="minorHAnsi" w:hAnsiTheme="minorHAnsi" w:eastAsiaTheme="minorEastAsia" w:cstheme="minorBidi"/>
              <w:color w:val="000000" w:themeColor="text1"/>
              <w:kern w:val="2"/>
              <w:sz w:val="21"/>
              <w14:textFill>
                <w14:solidFill>
                  <w14:schemeClr w14:val="tx1"/>
                </w14:solidFill>
              </w14:textFill>
            </w:rPr>
          </w:pPr>
          <w:r>
            <w:fldChar w:fldCharType="begin"/>
          </w:r>
          <w:r>
            <w:instrText xml:space="preserve"> HYPERLINK \l "_Toc11859490" </w:instrText>
          </w:r>
          <w:r>
            <w:fldChar w:fldCharType="separate"/>
          </w:r>
          <w:r>
            <w:rPr>
              <w:rStyle w:val="34"/>
              <w:rFonts w:hint="eastAsia" w:ascii="黑体" w:hAnsi="黑体" w:cs="黑体"/>
              <w:color w:val="000000" w:themeColor="text1"/>
              <w:kern w:val="44"/>
              <w:u w:color="000000"/>
              <w:lang w:val="zh-TW" w:eastAsia="zh-TW"/>
              <w14:textFill>
                <w14:solidFill>
                  <w14:schemeClr w14:val="tx1"/>
                </w14:solidFill>
              </w14:textFill>
            </w:rPr>
            <w:t>第</w:t>
          </w:r>
          <w:r>
            <w:rPr>
              <w:rStyle w:val="34"/>
              <w:rFonts w:hint="eastAsia" w:ascii="黑体" w:hAnsi="黑体" w:cs="黑体"/>
              <w:color w:val="000000" w:themeColor="text1"/>
              <w:kern w:val="44"/>
              <w:u w:color="000000"/>
              <w:lang w:val="zh-TW"/>
              <w14:textFill>
                <w14:solidFill>
                  <w14:schemeClr w14:val="tx1"/>
                </w14:solidFill>
              </w14:textFill>
            </w:rPr>
            <w:t>六</w:t>
          </w:r>
          <w:r>
            <w:rPr>
              <w:rStyle w:val="34"/>
              <w:rFonts w:hint="eastAsia" w:ascii="黑体" w:hAnsi="黑体" w:cs="黑体"/>
              <w:color w:val="000000" w:themeColor="text1"/>
              <w:kern w:val="44"/>
              <w:u w:color="000000"/>
              <w:lang w:val="zh-TW" w:eastAsia="zh-TW"/>
              <w14:textFill>
                <w14:solidFill>
                  <w14:schemeClr w14:val="tx1"/>
                </w14:solidFill>
              </w14:textFill>
            </w:rPr>
            <w:t>章</w:t>
          </w:r>
          <w:r>
            <w:rPr>
              <w:rStyle w:val="34"/>
              <w:rFonts w:ascii="黑体" w:hAnsi="黑体" w:cs="黑体"/>
              <w:color w:val="000000" w:themeColor="text1"/>
              <w:kern w:val="44"/>
              <w:u w:color="000000"/>
              <w:lang w:val="zh-TW" w:eastAsia="zh-TW"/>
              <w14:textFill>
                <w14:solidFill>
                  <w14:schemeClr w14:val="tx1"/>
                </w14:solidFill>
              </w14:textFill>
            </w:rPr>
            <w:t xml:space="preserve">  </w:t>
          </w:r>
          <w:r>
            <w:rPr>
              <w:rStyle w:val="34"/>
              <w:rFonts w:hint="eastAsia" w:ascii="黑体" w:hAnsi="黑体" w:cs="黑体"/>
              <w:color w:val="000000" w:themeColor="text1"/>
              <w:kern w:val="44"/>
              <w:u w:color="000000"/>
              <w:lang w:val="zh-TW" w:eastAsia="zh-TW"/>
              <w14:textFill>
                <w14:solidFill>
                  <w14:schemeClr w14:val="tx1"/>
                </w14:solidFill>
              </w14:textFill>
            </w:rPr>
            <w:t>投标文件格式</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_Toc11859490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30</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6727CD17">
          <w:pPr>
            <w:pStyle w:val="15"/>
            <w:widowControl w:val="0"/>
            <w:tabs>
              <w:tab w:val="right" w:leader="dot" w:pos="8777"/>
            </w:tabs>
            <w:rPr>
              <w:rFonts w:asciiTheme="minorHAnsi" w:hAnsiTheme="minorHAnsi" w:eastAsiaTheme="minorEastAsia" w:cstheme="minorBidi"/>
              <w:color w:val="000000" w:themeColor="text1"/>
              <w:kern w:val="2"/>
              <w:sz w:val="21"/>
              <w14:textFill>
                <w14:solidFill>
                  <w14:schemeClr w14:val="tx1"/>
                </w14:solidFill>
              </w14:textFill>
            </w:rPr>
          </w:pPr>
          <w:r>
            <w:fldChar w:fldCharType="begin"/>
          </w:r>
          <w:r>
            <w:instrText xml:space="preserve"> HYPERLINK \l "_Toc11859491" </w:instrText>
          </w:r>
          <w:r>
            <w:fldChar w:fldCharType="separate"/>
          </w:r>
          <w:r>
            <w:rPr>
              <w:rStyle w:val="34"/>
              <w:rFonts w:eastAsia="黑体"/>
              <w:color w:val="000000" w:themeColor="text1"/>
              <w:u w:color="000000"/>
              <w14:textFill>
                <w14:solidFill>
                  <w14:schemeClr w14:val="tx1"/>
                </w14:solidFill>
              </w14:textFill>
            </w:rPr>
            <w:t xml:space="preserve">6.1 </w:t>
          </w:r>
          <w:r>
            <w:rPr>
              <w:rStyle w:val="34"/>
              <w:rFonts w:hint="eastAsia" w:eastAsia="黑体"/>
              <w:color w:val="000000" w:themeColor="text1"/>
              <w:u w:color="000000"/>
              <w14:textFill>
                <w14:solidFill>
                  <w14:schemeClr w14:val="tx1"/>
                </w14:solidFill>
              </w14:textFill>
            </w:rPr>
            <w:t>投标函</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_Toc11859491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33</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7CF3EA95">
          <w:pPr>
            <w:pStyle w:val="15"/>
            <w:widowControl w:val="0"/>
            <w:tabs>
              <w:tab w:val="right" w:leader="dot" w:pos="8777"/>
            </w:tabs>
            <w:rPr>
              <w:rFonts w:asciiTheme="minorHAnsi" w:hAnsiTheme="minorHAnsi" w:eastAsiaTheme="minorEastAsia" w:cstheme="minorBidi"/>
              <w:color w:val="000000" w:themeColor="text1"/>
              <w:kern w:val="2"/>
              <w:sz w:val="21"/>
              <w14:textFill>
                <w14:solidFill>
                  <w14:schemeClr w14:val="tx1"/>
                </w14:solidFill>
              </w14:textFill>
            </w:rPr>
          </w:pPr>
          <w:r>
            <w:fldChar w:fldCharType="begin"/>
          </w:r>
          <w:r>
            <w:instrText xml:space="preserve"> HYPERLINK \l "_Toc11859492" </w:instrText>
          </w:r>
          <w:r>
            <w:fldChar w:fldCharType="separate"/>
          </w:r>
          <w:r>
            <w:rPr>
              <w:rStyle w:val="34"/>
              <w:rFonts w:eastAsia="黑体"/>
              <w:color w:val="000000" w:themeColor="text1"/>
              <w:u w:color="000000"/>
              <w14:textFill>
                <w14:solidFill>
                  <w14:schemeClr w14:val="tx1"/>
                </w14:solidFill>
              </w14:textFill>
            </w:rPr>
            <w:t xml:space="preserve">6.2 </w:t>
          </w:r>
          <w:r>
            <w:rPr>
              <w:rStyle w:val="34"/>
              <w:rFonts w:hint="eastAsia" w:eastAsia="黑体"/>
              <w:color w:val="000000" w:themeColor="text1"/>
              <w:u w:color="000000"/>
              <w14:textFill>
                <w14:solidFill>
                  <w14:schemeClr w14:val="tx1"/>
                </w14:solidFill>
              </w14:textFill>
            </w:rPr>
            <w:t>投标一览表</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_Toc11859492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34</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347B404E">
          <w:pPr>
            <w:pStyle w:val="15"/>
            <w:widowControl w:val="0"/>
            <w:tabs>
              <w:tab w:val="right" w:leader="dot" w:pos="8777"/>
            </w:tabs>
            <w:rPr>
              <w:rFonts w:asciiTheme="minorHAnsi" w:hAnsiTheme="minorHAnsi" w:eastAsiaTheme="minorEastAsia" w:cstheme="minorBidi"/>
              <w:color w:val="000000" w:themeColor="text1"/>
              <w:kern w:val="2"/>
              <w:sz w:val="21"/>
              <w14:textFill>
                <w14:solidFill>
                  <w14:schemeClr w14:val="tx1"/>
                </w14:solidFill>
              </w14:textFill>
            </w:rPr>
          </w:pPr>
          <w:r>
            <w:fldChar w:fldCharType="begin"/>
          </w:r>
          <w:r>
            <w:instrText xml:space="preserve"> HYPERLINK \l "_Toc11859493" </w:instrText>
          </w:r>
          <w:r>
            <w:fldChar w:fldCharType="separate"/>
          </w:r>
          <w:r>
            <w:rPr>
              <w:rStyle w:val="34"/>
              <w:rFonts w:eastAsia="黑体"/>
              <w:color w:val="000000" w:themeColor="text1"/>
              <w:u w:color="000000"/>
              <w14:textFill>
                <w14:solidFill>
                  <w14:schemeClr w14:val="tx1"/>
                </w14:solidFill>
              </w14:textFill>
            </w:rPr>
            <w:t xml:space="preserve">6.3 </w:t>
          </w:r>
          <w:r>
            <w:rPr>
              <w:rStyle w:val="34"/>
              <w:rFonts w:hint="eastAsia" w:eastAsia="黑体"/>
              <w:color w:val="000000" w:themeColor="text1"/>
              <w:u w:color="000000"/>
              <w14:textFill>
                <w14:solidFill>
                  <w14:schemeClr w14:val="tx1"/>
                </w14:solidFill>
              </w14:textFill>
            </w:rPr>
            <w:t>法人授权书</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_Toc11859493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36</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775EB2A5">
          <w:pPr>
            <w:pStyle w:val="15"/>
            <w:widowControl w:val="0"/>
            <w:tabs>
              <w:tab w:val="right" w:leader="dot" w:pos="8777"/>
            </w:tabs>
            <w:rPr>
              <w:rFonts w:asciiTheme="minorHAnsi" w:hAnsiTheme="minorHAnsi" w:eastAsiaTheme="minorEastAsia" w:cstheme="minorBidi"/>
              <w:color w:val="000000" w:themeColor="text1"/>
              <w:kern w:val="2"/>
              <w:sz w:val="21"/>
              <w14:textFill>
                <w14:solidFill>
                  <w14:schemeClr w14:val="tx1"/>
                </w14:solidFill>
              </w14:textFill>
            </w:rPr>
          </w:pPr>
          <w:r>
            <w:fldChar w:fldCharType="begin"/>
          </w:r>
          <w:r>
            <w:instrText xml:space="preserve"> HYPERLINK \l "_Toc11859494" </w:instrText>
          </w:r>
          <w:r>
            <w:fldChar w:fldCharType="separate"/>
          </w:r>
          <w:r>
            <w:rPr>
              <w:rStyle w:val="34"/>
              <w:rFonts w:eastAsia="黑体"/>
              <w:color w:val="000000" w:themeColor="text1"/>
              <w:u w:color="000000"/>
              <w14:textFill>
                <w14:solidFill>
                  <w14:schemeClr w14:val="tx1"/>
                </w14:solidFill>
              </w14:textFill>
            </w:rPr>
            <w:t xml:space="preserve">6.4 </w:t>
          </w:r>
          <w:r>
            <w:rPr>
              <w:rStyle w:val="34"/>
              <w:rFonts w:hint="eastAsia" w:eastAsia="黑体"/>
              <w:color w:val="000000" w:themeColor="text1"/>
              <w:u w:color="000000"/>
              <w14:textFill>
                <w14:solidFill>
                  <w14:schemeClr w14:val="tx1"/>
                </w14:solidFill>
              </w14:textFill>
            </w:rPr>
            <w:t>资格证明文件</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_Toc11859494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38</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06F85AA2">
          <w:pPr>
            <w:pStyle w:val="15"/>
            <w:widowControl w:val="0"/>
            <w:tabs>
              <w:tab w:val="right" w:leader="dot" w:pos="8777"/>
            </w:tabs>
            <w:rPr>
              <w:rFonts w:asciiTheme="minorHAnsi" w:hAnsiTheme="minorHAnsi" w:eastAsiaTheme="minorEastAsia" w:cstheme="minorBidi"/>
              <w:color w:val="000000" w:themeColor="text1"/>
              <w:kern w:val="2"/>
              <w:sz w:val="21"/>
              <w14:textFill>
                <w14:solidFill>
                  <w14:schemeClr w14:val="tx1"/>
                </w14:solidFill>
              </w14:textFill>
            </w:rPr>
          </w:pPr>
          <w:r>
            <w:fldChar w:fldCharType="begin"/>
          </w:r>
          <w:r>
            <w:instrText xml:space="preserve"> HYPERLINK \l "_Toc11859495" </w:instrText>
          </w:r>
          <w:r>
            <w:fldChar w:fldCharType="separate"/>
          </w:r>
          <w:r>
            <w:rPr>
              <w:rStyle w:val="34"/>
              <w:rFonts w:eastAsia="黑体"/>
              <w:color w:val="000000" w:themeColor="text1"/>
              <w:u w:color="000000"/>
              <w14:textFill>
                <w14:solidFill>
                  <w14:schemeClr w14:val="tx1"/>
                </w14:solidFill>
              </w14:textFill>
            </w:rPr>
            <w:t xml:space="preserve">6.5 </w:t>
          </w:r>
          <w:r>
            <w:rPr>
              <w:rStyle w:val="34"/>
              <w:rFonts w:hint="eastAsia" w:eastAsia="黑体"/>
              <w:color w:val="000000" w:themeColor="text1"/>
              <w:u w:color="000000"/>
              <w14:textFill>
                <w14:solidFill>
                  <w14:schemeClr w14:val="tx1"/>
                </w14:solidFill>
              </w14:textFill>
            </w:rPr>
            <w:t>商务条款响应及偏离表</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_Toc11859495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41</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00B9A18B">
          <w:pPr>
            <w:pStyle w:val="15"/>
            <w:widowControl w:val="0"/>
            <w:tabs>
              <w:tab w:val="right" w:leader="dot" w:pos="8777"/>
            </w:tabs>
            <w:rPr>
              <w:rFonts w:asciiTheme="minorHAnsi" w:hAnsiTheme="minorHAnsi" w:eastAsiaTheme="minorEastAsia" w:cstheme="minorBidi"/>
              <w:color w:val="000000" w:themeColor="text1"/>
              <w:kern w:val="2"/>
              <w:sz w:val="21"/>
              <w14:textFill>
                <w14:solidFill>
                  <w14:schemeClr w14:val="tx1"/>
                </w14:solidFill>
              </w14:textFill>
            </w:rPr>
          </w:pPr>
          <w:r>
            <w:fldChar w:fldCharType="begin"/>
          </w:r>
          <w:r>
            <w:instrText xml:space="preserve"> HYPERLINK \l "_Toc11859496" </w:instrText>
          </w:r>
          <w:r>
            <w:fldChar w:fldCharType="separate"/>
          </w:r>
          <w:r>
            <w:rPr>
              <w:rStyle w:val="34"/>
              <w:rFonts w:eastAsia="黑体"/>
              <w:color w:val="000000" w:themeColor="text1"/>
              <w:u w:color="000000"/>
              <w14:textFill>
                <w14:solidFill>
                  <w14:schemeClr w14:val="tx1"/>
                </w14:solidFill>
              </w14:textFill>
            </w:rPr>
            <w:t xml:space="preserve">6.6 </w:t>
          </w:r>
          <w:r>
            <w:rPr>
              <w:rStyle w:val="34"/>
              <w:rFonts w:hint="eastAsia" w:eastAsia="黑体"/>
              <w:color w:val="000000" w:themeColor="text1"/>
              <w:u w:color="000000"/>
              <w14:textFill>
                <w14:solidFill>
                  <w14:schemeClr w14:val="tx1"/>
                </w14:solidFill>
              </w14:textFill>
            </w:rPr>
            <w:t>技术参数响应及偏离表</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_Toc11859496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42</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6C76F6CF">
          <w:pPr>
            <w:pStyle w:val="15"/>
            <w:widowControl w:val="0"/>
            <w:tabs>
              <w:tab w:val="right" w:leader="dot" w:pos="8777"/>
            </w:tabs>
            <w:rPr>
              <w:rFonts w:asciiTheme="minorHAnsi" w:hAnsiTheme="minorHAnsi" w:eastAsiaTheme="minorEastAsia" w:cstheme="minorBidi"/>
              <w:color w:val="000000" w:themeColor="text1"/>
              <w:kern w:val="2"/>
              <w:sz w:val="21"/>
              <w14:textFill>
                <w14:solidFill>
                  <w14:schemeClr w14:val="tx1"/>
                </w14:solidFill>
              </w14:textFill>
            </w:rPr>
          </w:pPr>
          <w:r>
            <w:fldChar w:fldCharType="begin"/>
          </w:r>
          <w:r>
            <w:instrText xml:space="preserve"> HYPERLINK \l "_Toc11859497" </w:instrText>
          </w:r>
          <w:r>
            <w:fldChar w:fldCharType="separate"/>
          </w:r>
          <w:r>
            <w:rPr>
              <w:rStyle w:val="34"/>
              <w:rFonts w:eastAsia="黑体"/>
              <w:color w:val="000000" w:themeColor="text1"/>
              <w:u w:color="000000"/>
              <w14:textFill>
                <w14:solidFill>
                  <w14:schemeClr w14:val="tx1"/>
                </w14:solidFill>
              </w14:textFill>
            </w:rPr>
            <w:t xml:space="preserve">6.7 </w:t>
          </w:r>
          <w:r>
            <w:rPr>
              <w:rStyle w:val="34"/>
              <w:rFonts w:hint="eastAsia" w:eastAsia="黑体"/>
              <w:color w:val="000000" w:themeColor="text1"/>
              <w:u w:color="000000"/>
              <w14:textFill>
                <w14:solidFill>
                  <w14:schemeClr w14:val="tx1"/>
                </w14:solidFill>
              </w14:textFill>
            </w:rPr>
            <w:t>投标人业绩情况表</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_Toc11859497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43</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2AE74E93">
          <w:pPr>
            <w:pStyle w:val="15"/>
            <w:widowControl w:val="0"/>
            <w:tabs>
              <w:tab w:val="right" w:leader="dot" w:pos="8777"/>
            </w:tabs>
            <w:rPr>
              <w:rFonts w:asciiTheme="minorHAnsi" w:hAnsiTheme="minorHAnsi" w:eastAsiaTheme="minorEastAsia" w:cstheme="minorBidi"/>
              <w:color w:val="000000" w:themeColor="text1"/>
              <w:kern w:val="2"/>
              <w:sz w:val="21"/>
              <w14:textFill>
                <w14:solidFill>
                  <w14:schemeClr w14:val="tx1"/>
                </w14:solidFill>
              </w14:textFill>
            </w:rPr>
          </w:pPr>
          <w:r>
            <w:fldChar w:fldCharType="begin"/>
          </w:r>
          <w:r>
            <w:instrText xml:space="preserve"> HYPERLINK \l "_Toc11859498" </w:instrText>
          </w:r>
          <w:r>
            <w:fldChar w:fldCharType="separate"/>
          </w:r>
          <w:r>
            <w:rPr>
              <w:rStyle w:val="34"/>
              <w:rFonts w:eastAsia="黑体"/>
              <w:color w:val="000000" w:themeColor="text1"/>
              <w:u w:color="000000"/>
              <w14:textFill>
                <w14:solidFill>
                  <w14:schemeClr w14:val="tx1"/>
                </w14:solidFill>
              </w14:textFill>
            </w:rPr>
            <w:t xml:space="preserve">6.8 </w:t>
          </w:r>
          <w:r>
            <w:rPr>
              <w:rStyle w:val="34"/>
              <w:rFonts w:hint="eastAsia" w:eastAsia="黑体"/>
              <w:color w:val="000000" w:themeColor="text1"/>
              <w:u w:color="000000"/>
              <w14:textFill>
                <w14:solidFill>
                  <w14:schemeClr w14:val="tx1"/>
                </w14:solidFill>
              </w14:textFill>
            </w:rPr>
            <w:t>项目技术说明或实施方案</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_Toc11859498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44</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06BE27A9">
          <w:pPr>
            <w:pStyle w:val="15"/>
            <w:widowControl w:val="0"/>
            <w:tabs>
              <w:tab w:val="right" w:leader="dot" w:pos="8777"/>
            </w:tabs>
            <w:rPr>
              <w:rFonts w:asciiTheme="minorHAnsi" w:hAnsiTheme="minorHAnsi" w:eastAsiaTheme="minorEastAsia" w:cstheme="minorBidi"/>
              <w:color w:val="000000" w:themeColor="text1"/>
              <w:kern w:val="2"/>
              <w:sz w:val="21"/>
              <w14:textFill>
                <w14:solidFill>
                  <w14:schemeClr w14:val="tx1"/>
                </w14:solidFill>
              </w14:textFill>
            </w:rPr>
          </w:pPr>
          <w:r>
            <w:fldChar w:fldCharType="begin"/>
          </w:r>
          <w:r>
            <w:instrText xml:space="preserve"> HYPERLINK \l "_Toc11859499" </w:instrText>
          </w:r>
          <w:r>
            <w:fldChar w:fldCharType="separate"/>
          </w:r>
          <w:r>
            <w:rPr>
              <w:rStyle w:val="34"/>
              <w:rFonts w:eastAsia="黑体"/>
              <w:color w:val="000000" w:themeColor="text1"/>
              <w:u w:color="000000"/>
              <w14:textFill>
                <w14:solidFill>
                  <w14:schemeClr w14:val="tx1"/>
                </w14:solidFill>
              </w14:textFill>
            </w:rPr>
            <w:t xml:space="preserve">6.9 </w:t>
          </w:r>
          <w:r>
            <w:rPr>
              <w:rStyle w:val="34"/>
              <w:rFonts w:hint="eastAsia" w:eastAsia="黑体"/>
              <w:color w:val="000000" w:themeColor="text1"/>
              <w:u w:color="000000"/>
              <w14:textFill>
                <w14:solidFill>
                  <w14:schemeClr w14:val="tx1"/>
                </w14:solidFill>
              </w14:textFill>
            </w:rPr>
            <w:t>投标人其它声明及材料</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_Toc11859499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45</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48043218">
          <w:pPr>
            <w:pStyle w:val="21"/>
            <w:widowControl w:val="0"/>
            <w:rPr>
              <w:color w:val="000000" w:themeColor="text1"/>
              <w14:textFill>
                <w14:solidFill>
                  <w14:schemeClr w14:val="tx1"/>
                </w14:solidFill>
              </w14:textFill>
            </w:rPr>
          </w:pPr>
          <w:r>
            <w:rPr>
              <w:color w:val="000000" w:themeColor="text1"/>
              <w14:textFill>
                <w14:solidFill>
                  <w14:schemeClr w14:val="tx1"/>
                </w14:solidFill>
              </w14:textFill>
            </w:rPr>
            <w:fldChar w:fldCharType="end"/>
          </w:r>
        </w:p>
      </w:sdtContent>
    </w:sdt>
    <w:p w14:paraId="7A5F27AD">
      <w:pPr>
        <w:jc w:val="left"/>
        <w:rPr>
          <w:color w:val="000000" w:themeColor="text1"/>
          <w14:textFill>
            <w14:solidFill>
              <w14:schemeClr w14:val="tx1"/>
            </w14:solidFill>
          </w14:textFill>
        </w:rPr>
        <w:sectPr>
          <w:headerReference r:id="rId5" w:type="default"/>
          <w:footerReference r:id="rId6" w:type="default"/>
          <w:pgSz w:w="11906" w:h="16838"/>
          <w:pgMar w:top="1418" w:right="1418" w:bottom="1418" w:left="1701" w:header="851" w:footer="992" w:gutter="0"/>
          <w:pgNumType w:fmt="upperRoman" w:start="1"/>
          <w:cols w:space="425" w:num="1"/>
          <w:titlePg/>
          <w:docGrid w:type="lines" w:linePitch="312" w:charSpace="0"/>
        </w:sectPr>
      </w:pPr>
    </w:p>
    <w:p w14:paraId="552595A2">
      <w:pPr>
        <w:spacing w:before="312" w:beforeLines="100" w:after="312" w:afterLines="100" w:line="360" w:lineRule="auto"/>
        <w:jc w:val="center"/>
        <w:outlineLvl w:val="0"/>
        <w:rPr>
          <w:sz w:val="28"/>
          <w:szCs w:val="28"/>
        </w:rPr>
      </w:pPr>
      <w:bookmarkStart w:id="1" w:name="_Toc448069940"/>
      <w:bookmarkStart w:id="2" w:name="_Toc"/>
      <w:bookmarkStart w:id="3" w:name="_Toc415494523"/>
      <w:bookmarkStart w:id="4" w:name="_Toc11859485"/>
      <w:r>
        <w:rPr>
          <w:rFonts w:ascii="黑体" w:hAnsi="黑体" w:eastAsia="黑体" w:cs="黑体"/>
          <w:color w:val="000000" w:themeColor="text1"/>
          <w:kern w:val="44"/>
          <w:sz w:val="36"/>
          <w:szCs w:val="36"/>
          <w:u w:color="000000"/>
          <w:lang w:val="zh-TW"/>
          <w14:textFill>
            <w14:solidFill>
              <w14:schemeClr w14:val="tx1"/>
            </w14:solidFill>
          </w14:textFill>
        </w:rPr>
        <w:t xml:space="preserve">第一章  </w:t>
      </w:r>
      <w:r>
        <w:rPr>
          <w:rFonts w:hint="eastAsia" w:ascii="黑体" w:hAnsi="黑体" w:eastAsia="黑体" w:cs="黑体"/>
          <w:color w:val="000000" w:themeColor="text1"/>
          <w:kern w:val="44"/>
          <w:sz w:val="36"/>
          <w:szCs w:val="36"/>
          <w:u w:color="000000"/>
          <w:lang w:val="zh-TW"/>
          <w14:textFill>
            <w14:solidFill>
              <w14:schemeClr w14:val="tx1"/>
            </w14:solidFill>
          </w14:textFill>
        </w:rPr>
        <w:t>招标</w:t>
      </w:r>
      <w:r>
        <w:rPr>
          <w:rFonts w:ascii="黑体" w:hAnsi="黑体" w:eastAsia="黑体" w:cs="黑体"/>
          <w:color w:val="000000" w:themeColor="text1"/>
          <w:kern w:val="44"/>
          <w:sz w:val="36"/>
          <w:szCs w:val="36"/>
          <w:u w:color="000000"/>
          <w:lang w:val="zh-TW"/>
          <w14:textFill>
            <w14:solidFill>
              <w14:schemeClr w14:val="tx1"/>
            </w14:solidFill>
          </w14:textFill>
        </w:rPr>
        <w:t>公告</w:t>
      </w:r>
      <w:bookmarkEnd w:id="1"/>
      <w:bookmarkEnd w:id="2"/>
      <w:bookmarkEnd w:id="3"/>
      <w:bookmarkEnd w:id="4"/>
    </w:p>
    <w:p w14:paraId="1DEA5D91">
      <w:pPr>
        <w:pStyle w:val="4"/>
        <w:spacing w:line="360" w:lineRule="exact"/>
        <w:rPr>
          <w:rFonts w:hint="eastAsia" w:ascii="黑体" w:hAnsi="黑体" w:cs="宋体"/>
          <w:b w:val="0"/>
          <w:sz w:val="28"/>
          <w:szCs w:val="28"/>
        </w:rPr>
      </w:pPr>
      <w:bookmarkStart w:id="5" w:name="_Toc35393790"/>
      <w:bookmarkStart w:id="6" w:name="_Toc28359002"/>
      <w:bookmarkStart w:id="7" w:name="_Toc28359079"/>
      <w:bookmarkStart w:id="8" w:name="_Toc35393621"/>
      <w:bookmarkStart w:id="9" w:name="_Hlk24379207"/>
      <w:bookmarkStart w:id="10" w:name="_Hlk120006577"/>
      <w:r>
        <w:rPr>
          <w:rFonts w:hint="eastAsia" w:ascii="黑体" w:hAnsi="黑体" w:cs="宋体"/>
          <w:b w:val="0"/>
          <w:sz w:val="28"/>
          <w:szCs w:val="28"/>
        </w:rPr>
        <w:t>一、项目基本情况</w:t>
      </w:r>
      <w:bookmarkEnd w:id="5"/>
      <w:bookmarkEnd w:id="6"/>
      <w:bookmarkEnd w:id="7"/>
      <w:bookmarkEnd w:id="8"/>
    </w:p>
    <w:p w14:paraId="431444DD">
      <w:pPr>
        <w:spacing w:line="400" w:lineRule="exact"/>
        <w:ind w:firstLine="560" w:firstLineChars="200"/>
        <w:rPr>
          <w:rFonts w:hint="eastAsia" w:ascii="仿宋" w:hAnsi="仿宋" w:eastAsia="仿宋"/>
          <w:sz w:val="28"/>
          <w:szCs w:val="28"/>
        </w:rPr>
      </w:pPr>
      <w:r>
        <w:rPr>
          <w:rFonts w:hint="eastAsia" w:ascii="仿宋" w:hAnsi="仿宋" w:eastAsia="仿宋"/>
          <w:sz w:val="28"/>
          <w:szCs w:val="28"/>
        </w:rPr>
        <w:t>项目编号：</w:t>
      </w:r>
      <w:r>
        <w:rPr>
          <w:rFonts w:ascii="仿宋" w:hAnsi="仿宋" w:eastAsia="仿宋"/>
          <w:sz w:val="28"/>
          <w:szCs w:val="28"/>
        </w:rPr>
        <w:t>PML-ZH-ZB-202</w:t>
      </w:r>
      <w:r>
        <w:rPr>
          <w:rFonts w:hint="eastAsia" w:ascii="仿宋" w:hAnsi="仿宋" w:eastAsia="仿宋"/>
          <w:sz w:val="28"/>
          <w:szCs w:val="28"/>
        </w:rPr>
        <w:t>5</w:t>
      </w:r>
      <w:r>
        <w:rPr>
          <w:rFonts w:ascii="仿宋" w:hAnsi="仿宋" w:eastAsia="仿宋"/>
          <w:sz w:val="28"/>
          <w:szCs w:val="28"/>
        </w:rPr>
        <w:t>0</w:t>
      </w:r>
      <w:r>
        <w:rPr>
          <w:rFonts w:hint="eastAsia" w:ascii="仿宋" w:hAnsi="仿宋" w:eastAsia="仿宋"/>
          <w:sz w:val="28"/>
          <w:szCs w:val="28"/>
        </w:rPr>
        <w:t>19</w:t>
      </w:r>
    </w:p>
    <w:p w14:paraId="7BA2AD2B">
      <w:pPr>
        <w:spacing w:line="400" w:lineRule="exact"/>
        <w:ind w:left="1959" w:leftChars="266" w:hanging="1400" w:hangingChars="500"/>
        <w:rPr>
          <w:rFonts w:hint="eastAsia" w:ascii="仿宋" w:hAnsi="仿宋" w:eastAsia="仿宋"/>
          <w:sz w:val="28"/>
          <w:szCs w:val="28"/>
        </w:rPr>
      </w:pPr>
      <w:r>
        <w:rPr>
          <w:rFonts w:hint="eastAsia" w:ascii="仿宋" w:hAnsi="仿宋" w:eastAsia="仿宋"/>
          <w:sz w:val="28"/>
          <w:szCs w:val="28"/>
        </w:rPr>
        <w:t>项目名称：</w:t>
      </w:r>
      <w:bookmarkEnd w:id="9"/>
      <w:r>
        <w:rPr>
          <w:rFonts w:hint="eastAsia" w:ascii="仿宋" w:hAnsi="仿宋" w:eastAsia="仿宋"/>
          <w:sz w:val="28"/>
          <w:szCs w:val="28"/>
        </w:rPr>
        <w:t>紫金山实验室API安全网关系统采购项目</w:t>
      </w:r>
    </w:p>
    <w:p w14:paraId="2ADA577D">
      <w:pPr>
        <w:spacing w:line="400" w:lineRule="exact"/>
        <w:ind w:firstLine="560" w:firstLineChars="200"/>
        <w:rPr>
          <w:rFonts w:hint="eastAsia" w:ascii="仿宋" w:hAnsi="仿宋" w:eastAsia="仿宋"/>
          <w:sz w:val="28"/>
          <w:szCs w:val="28"/>
        </w:rPr>
      </w:pPr>
      <w:r>
        <w:rPr>
          <w:rFonts w:hint="eastAsia" w:ascii="仿宋" w:hAnsi="仿宋" w:eastAsia="仿宋"/>
          <w:sz w:val="28"/>
          <w:szCs w:val="28"/>
        </w:rPr>
        <w:t>预算金额：</w:t>
      </w:r>
      <w:bookmarkStart w:id="11" w:name="OLE_LINK6"/>
      <w:r>
        <w:rPr>
          <w:rFonts w:hint="eastAsia" w:ascii="仿宋" w:hAnsi="仿宋" w:eastAsia="仿宋"/>
          <w:sz w:val="28"/>
          <w:szCs w:val="28"/>
        </w:rPr>
        <w:t>80万元人民币</w:t>
      </w:r>
      <w:bookmarkEnd w:id="11"/>
    </w:p>
    <w:p w14:paraId="155B1C79">
      <w:pPr>
        <w:spacing w:line="400" w:lineRule="exact"/>
        <w:ind w:firstLine="560" w:firstLineChars="200"/>
        <w:rPr>
          <w:rFonts w:hint="eastAsia" w:ascii="仿宋" w:hAnsi="仿宋" w:eastAsia="仿宋"/>
          <w:sz w:val="28"/>
          <w:szCs w:val="28"/>
        </w:rPr>
      </w:pPr>
      <w:r>
        <w:rPr>
          <w:rFonts w:hint="eastAsia" w:ascii="仿宋" w:hAnsi="仿宋" w:eastAsia="仿宋"/>
          <w:sz w:val="28"/>
          <w:szCs w:val="28"/>
        </w:rPr>
        <w:t>最高限价：80万元人民币</w:t>
      </w:r>
    </w:p>
    <w:p w14:paraId="635FFB10">
      <w:pPr>
        <w:spacing w:line="400" w:lineRule="exact"/>
        <w:ind w:firstLine="560" w:firstLineChars="200"/>
        <w:rPr>
          <w:rFonts w:hint="eastAsia" w:ascii="仿宋" w:hAnsi="仿宋" w:eastAsia="仿宋"/>
          <w:sz w:val="28"/>
          <w:szCs w:val="28"/>
          <w:lang w:bidi="ar"/>
        </w:rPr>
      </w:pPr>
      <w:r>
        <w:rPr>
          <w:rFonts w:hint="eastAsia" w:ascii="仿宋" w:hAnsi="仿宋" w:eastAsia="仿宋"/>
          <w:sz w:val="28"/>
          <w:szCs w:val="28"/>
        </w:rPr>
        <w:t>采购需求：</w:t>
      </w:r>
    </w:p>
    <w:p w14:paraId="48935E9E">
      <w:pPr>
        <w:spacing w:line="400" w:lineRule="exact"/>
        <w:ind w:firstLine="560" w:firstLineChars="200"/>
        <w:rPr>
          <w:rFonts w:hint="eastAsia" w:ascii="仿宋" w:hAnsi="仿宋" w:eastAsia="仿宋"/>
          <w:sz w:val="28"/>
          <w:szCs w:val="28"/>
        </w:rPr>
      </w:pPr>
      <w:r>
        <w:rPr>
          <w:rFonts w:hint="eastAsia" w:ascii="仿宋" w:hAnsi="仿宋" w:eastAsia="仿宋"/>
          <w:sz w:val="28"/>
          <w:szCs w:val="28"/>
        </w:rPr>
        <w:t>计划采购一套API安全网关产品，需要包含传统API的安全审计功能，还要具备API安全网关的能力。</w:t>
      </w:r>
    </w:p>
    <w:p w14:paraId="300E484E">
      <w:pPr>
        <w:spacing w:line="400" w:lineRule="exact"/>
        <w:ind w:firstLine="560" w:firstLineChars="200"/>
        <w:rPr>
          <w:rFonts w:hint="eastAsia" w:ascii="仿宋" w:hAnsi="仿宋" w:eastAsia="仿宋"/>
          <w:sz w:val="28"/>
          <w:szCs w:val="28"/>
        </w:rPr>
      </w:pPr>
      <w:r>
        <w:rPr>
          <w:rFonts w:hint="eastAsia" w:ascii="仿宋" w:hAnsi="仿宋" w:eastAsia="仿宋"/>
          <w:sz w:val="28"/>
          <w:szCs w:val="28"/>
        </w:rPr>
        <w:t>本项目不接受联合体投标。</w:t>
      </w:r>
    </w:p>
    <w:p w14:paraId="2EF8A31E">
      <w:pPr>
        <w:pStyle w:val="4"/>
        <w:spacing w:line="360" w:lineRule="exact"/>
        <w:rPr>
          <w:rFonts w:hint="eastAsia" w:ascii="仿宋" w:hAnsi="仿宋" w:eastAsia="仿宋"/>
          <w:sz w:val="28"/>
          <w:szCs w:val="28"/>
        </w:rPr>
      </w:pPr>
      <w:bookmarkStart w:id="12" w:name="_Toc35393791"/>
      <w:bookmarkStart w:id="13" w:name="_Toc35393622"/>
      <w:bookmarkStart w:id="14" w:name="_Toc28359003"/>
      <w:bookmarkStart w:id="15" w:name="_Toc28359080"/>
      <w:r>
        <w:rPr>
          <w:rFonts w:hint="eastAsia" w:ascii="黑体" w:hAnsi="黑体" w:cs="宋体"/>
          <w:b w:val="0"/>
          <w:sz w:val="28"/>
          <w:szCs w:val="28"/>
        </w:rPr>
        <w:t>二、申请人的资格要求：</w:t>
      </w:r>
      <w:bookmarkEnd w:id="12"/>
      <w:bookmarkEnd w:id="13"/>
      <w:bookmarkEnd w:id="14"/>
      <w:bookmarkEnd w:id="15"/>
    </w:p>
    <w:p w14:paraId="13967404">
      <w:pPr>
        <w:spacing w:line="400" w:lineRule="exact"/>
        <w:ind w:firstLine="560" w:firstLineChars="200"/>
        <w:rPr>
          <w:rFonts w:hint="eastAsia" w:ascii="仿宋" w:hAnsi="仿宋" w:eastAsia="仿宋"/>
          <w:sz w:val="28"/>
          <w:szCs w:val="28"/>
        </w:rPr>
      </w:pPr>
      <w:r>
        <w:rPr>
          <w:rFonts w:hint="eastAsia" w:ascii="仿宋" w:hAnsi="仿宋" w:eastAsia="仿宋"/>
          <w:sz w:val="28"/>
          <w:szCs w:val="28"/>
        </w:rPr>
        <w:t>1.满足《中华人民共和国政府采购法》第二十二条规定：</w:t>
      </w:r>
    </w:p>
    <w:p w14:paraId="0DED8730">
      <w:pPr>
        <w:spacing w:line="400" w:lineRule="exact"/>
        <w:ind w:firstLine="560" w:firstLineChars="200"/>
        <w:rPr>
          <w:rFonts w:hint="eastAsia" w:ascii="仿宋" w:hAnsi="仿宋" w:eastAsia="仿宋"/>
          <w:sz w:val="28"/>
          <w:szCs w:val="28"/>
        </w:rPr>
      </w:pPr>
      <w:r>
        <w:rPr>
          <w:rFonts w:hint="eastAsia" w:ascii="仿宋" w:hAnsi="仿宋" w:eastAsia="仿宋"/>
          <w:sz w:val="28"/>
          <w:szCs w:val="28"/>
        </w:rPr>
        <w:t>1.1投标人必须是经国家有关部门批准，具有合法经营资质、符合《中华人民共和国政府采购法》第二十二条规定的独立法人或其他组织；</w:t>
      </w:r>
    </w:p>
    <w:p w14:paraId="6C67E5B8">
      <w:pPr>
        <w:spacing w:line="400" w:lineRule="exact"/>
        <w:ind w:firstLine="560" w:firstLineChars="200"/>
        <w:rPr>
          <w:rFonts w:hint="eastAsia" w:ascii="仿宋" w:hAnsi="仿宋" w:eastAsia="仿宋"/>
          <w:sz w:val="28"/>
          <w:szCs w:val="28"/>
        </w:rPr>
      </w:pPr>
      <w:r>
        <w:rPr>
          <w:rFonts w:hint="eastAsia" w:ascii="仿宋" w:hAnsi="仿宋" w:eastAsia="仿宋"/>
          <w:sz w:val="28"/>
          <w:szCs w:val="28"/>
        </w:rPr>
        <w:t>1.2投标人需提供2024年度或最新一年度的财务状况报告（成立不满一年不需提供）；</w:t>
      </w:r>
    </w:p>
    <w:p w14:paraId="68E4C744">
      <w:pPr>
        <w:spacing w:line="400" w:lineRule="exact"/>
        <w:ind w:firstLine="560" w:firstLineChars="200"/>
        <w:rPr>
          <w:rFonts w:hint="eastAsia" w:ascii="仿宋" w:hAnsi="仿宋" w:eastAsia="仿宋"/>
          <w:sz w:val="28"/>
          <w:szCs w:val="28"/>
        </w:rPr>
      </w:pPr>
      <w:r>
        <w:rPr>
          <w:rFonts w:hint="eastAsia" w:ascii="仿宋" w:hAnsi="仿宋" w:eastAsia="仿宋"/>
          <w:sz w:val="28"/>
          <w:szCs w:val="28"/>
        </w:rPr>
        <w:t>1.3投标人需提供依法缴纳税收和社会保障资金的相关材料；</w:t>
      </w:r>
    </w:p>
    <w:p w14:paraId="2BBD6C9F">
      <w:pPr>
        <w:spacing w:line="400" w:lineRule="exact"/>
        <w:ind w:firstLine="560" w:firstLineChars="200"/>
        <w:rPr>
          <w:rFonts w:hint="eastAsia" w:ascii="仿宋" w:hAnsi="仿宋" w:eastAsia="仿宋"/>
          <w:sz w:val="28"/>
          <w:szCs w:val="28"/>
        </w:rPr>
      </w:pPr>
      <w:r>
        <w:rPr>
          <w:rFonts w:hint="eastAsia" w:ascii="仿宋" w:hAnsi="仿宋" w:eastAsia="仿宋"/>
          <w:sz w:val="28"/>
          <w:szCs w:val="28"/>
        </w:rPr>
        <w:t>1.4投标人具有履行合同所必需的货物和专业技术能力的书面声明；</w:t>
      </w:r>
    </w:p>
    <w:p w14:paraId="1CFCDF57">
      <w:pPr>
        <w:spacing w:line="400" w:lineRule="exact"/>
        <w:ind w:firstLine="560" w:firstLineChars="200"/>
        <w:rPr>
          <w:rFonts w:hint="eastAsia" w:ascii="仿宋" w:hAnsi="仿宋" w:eastAsia="仿宋"/>
          <w:sz w:val="28"/>
          <w:szCs w:val="28"/>
        </w:rPr>
      </w:pPr>
      <w:r>
        <w:rPr>
          <w:rFonts w:hint="eastAsia" w:ascii="仿宋" w:hAnsi="仿宋" w:eastAsia="仿宋"/>
          <w:sz w:val="28"/>
          <w:szCs w:val="28"/>
        </w:rPr>
        <w:t>1.5投标人在经营活动中没有违法违规记录，近三年内没有被司法部门或行业主管部门处罚，提供书面声明；</w:t>
      </w:r>
    </w:p>
    <w:p w14:paraId="2C10BC56">
      <w:pPr>
        <w:spacing w:line="400" w:lineRule="exact"/>
        <w:ind w:firstLine="560" w:firstLineChars="200"/>
        <w:rPr>
          <w:rFonts w:hint="eastAsia" w:ascii="仿宋" w:hAnsi="仿宋" w:eastAsia="仿宋"/>
          <w:sz w:val="28"/>
          <w:szCs w:val="28"/>
        </w:rPr>
      </w:pPr>
      <w:r>
        <w:rPr>
          <w:rFonts w:hint="eastAsia" w:ascii="仿宋" w:hAnsi="仿宋" w:eastAsia="仿宋"/>
          <w:sz w:val="28"/>
          <w:szCs w:val="28"/>
        </w:rPr>
        <w:t>1.6投标人须提供在“信用中国”（www.creditchina.gov.cn）查询的、自本采购公告发布之日至投标截止前的信用记录的截图（截图须加盖投标人公章）；</w:t>
      </w:r>
    </w:p>
    <w:p w14:paraId="1915FDC5">
      <w:pPr>
        <w:spacing w:line="400" w:lineRule="exact"/>
        <w:ind w:firstLine="560" w:firstLineChars="200"/>
        <w:rPr>
          <w:rFonts w:hint="eastAsia" w:ascii="仿宋" w:hAnsi="仿宋" w:eastAsia="仿宋"/>
          <w:sz w:val="28"/>
          <w:szCs w:val="28"/>
        </w:rPr>
      </w:pPr>
      <w:r>
        <w:rPr>
          <w:rFonts w:hint="eastAsia" w:ascii="仿宋" w:hAnsi="仿宋" w:eastAsia="仿宋"/>
          <w:sz w:val="28"/>
          <w:szCs w:val="28"/>
        </w:rPr>
        <w:t>1.7拒绝下述投标人参加本次采购活动：</w:t>
      </w:r>
    </w:p>
    <w:p w14:paraId="7BB52FD3">
      <w:pPr>
        <w:spacing w:line="400" w:lineRule="exact"/>
        <w:ind w:firstLine="560" w:firstLineChars="200"/>
        <w:rPr>
          <w:rFonts w:hint="eastAsia" w:ascii="仿宋" w:hAnsi="仿宋" w:eastAsia="仿宋"/>
          <w:sz w:val="28"/>
          <w:szCs w:val="28"/>
        </w:rPr>
      </w:pPr>
      <w:r>
        <w:rPr>
          <w:rFonts w:hint="eastAsia" w:ascii="仿宋" w:hAnsi="仿宋" w:eastAsia="仿宋"/>
          <w:sz w:val="28"/>
          <w:szCs w:val="28"/>
        </w:rPr>
        <w:t xml:space="preserve">（1）单位负责人为同一人或者存在直接控股、管理关系的不同投标人； </w:t>
      </w:r>
    </w:p>
    <w:p w14:paraId="70F8B9DF">
      <w:pPr>
        <w:spacing w:line="400" w:lineRule="exact"/>
        <w:ind w:firstLine="560" w:firstLineChars="200"/>
        <w:rPr>
          <w:rFonts w:hint="eastAsia" w:ascii="仿宋" w:hAnsi="仿宋" w:eastAsia="仿宋"/>
          <w:sz w:val="28"/>
          <w:szCs w:val="28"/>
        </w:rPr>
      </w:pPr>
      <w:r>
        <w:rPr>
          <w:rFonts w:hint="eastAsia" w:ascii="仿宋" w:hAnsi="仿宋" w:eastAsia="仿宋"/>
          <w:sz w:val="28"/>
          <w:szCs w:val="28"/>
        </w:rPr>
        <w:t xml:space="preserve">（2）为采购项目提供整体设计、规范编制或者项目管理、监理、检测等服务的投标人； </w:t>
      </w:r>
    </w:p>
    <w:p w14:paraId="10FF828C">
      <w:pPr>
        <w:spacing w:line="400" w:lineRule="exact"/>
        <w:ind w:firstLine="560" w:firstLineChars="200"/>
        <w:rPr>
          <w:rFonts w:hint="eastAsia" w:ascii="仿宋" w:hAnsi="仿宋" w:eastAsia="仿宋"/>
          <w:sz w:val="28"/>
          <w:szCs w:val="28"/>
        </w:rPr>
      </w:pPr>
      <w:r>
        <w:rPr>
          <w:rFonts w:hint="eastAsia" w:ascii="仿宋" w:hAnsi="仿宋" w:eastAsia="仿宋"/>
          <w:sz w:val="28"/>
          <w:szCs w:val="28"/>
        </w:rPr>
        <w:t xml:space="preserve">（3）投标人被“信用中国”网站（www.creditchina.gov.cn）、“中国政府采购网”(www.ccgp.gov.cn)列入失信被执行人、重大税收违法案件当事人名单、政府采购严重违法失信行为记录名单； </w:t>
      </w:r>
    </w:p>
    <w:p w14:paraId="353FE2F1">
      <w:pPr>
        <w:spacing w:line="400" w:lineRule="exact"/>
        <w:ind w:firstLine="560" w:firstLineChars="200"/>
        <w:rPr>
          <w:rFonts w:hint="eastAsia" w:ascii="仿宋" w:hAnsi="仿宋" w:eastAsia="仿宋"/>
          <w:sz w:val="28"/>
          <w:szCs w:val="28"/>
        </w:rPr>
      </w:pPr>
      <w:r>
        <w:rPr>
          <w:rFonts w:hint="eastAsia" w:ascii="仿宋" w:hAnsi="仿宋" w:eastAsia="仿宋"/>
          <w:sz w:val="28"/>
          <w:szCs w:val="28"/>
        </w:rPr>
        <w:t xml:space="preserve">（4）投标人未提供《南京市政府采购投标人信用记录表暨信用承诺书》。 </w:t>
      </w:r>
    </w:p>
    <w:p w14:paraId="6EF20639">
      <w:pPr>
        <w:pStyle w:val="27"/>
        <w:spacing w:line="400" w:lineRule="exact"/>
        <w:ind w:firstLine="560"/>
        <w:rPr>
          <w:rFonts w:eastAsia="仿宋"/>
        </w:rPr>
      </w:pPr>
      <w:r>
        <w:rPr>
          <w:rFonts w:hint="eastAsia" w:ascii="仿宋" w:hAnsi="仿宋" w:eastAsia="仿宋"/>
          <w:sz w:val="28"/>
          <w:szCs w:val="28"/>
        </w:rPr>
        <w:t>1.8本项目不接收进口产品投标。</w:t>
      </w:r>
    </w:p>
    <w:p w14:paraId="55E5AE45">
      <w:pPr>
        <w:spacing w:line="400" w:lineRule="exact"/>
        <w:ind w:firstLine="560" w:firstLineChars="200"/>
        <w:rPr>
          <w:rFonts w:hint="eastAsia" w:ascii="仿宋" w:hAnsi="仿宋" w:eastAsia="仿宋"/>
          <w:sz w:val="28"/>
          <w:szCs w:val="28"/>
        </w:rPr>
      </w:pPr>
      <w:r>
        <w:rPr>
          <w:rFonts w:hint="eastAsia" w:ascii="仿宋" w:hAnsi="仿宋" w:eastAsia="仿宋"/>
          <w:sz w:val="28"/>
          <w:szCs w:val="28"/>
        </w:rPr>
        <w:t>1.9政府采购信用承诺</w:t>
      </w:r>
    </w:p>
    <w:p w14:paraId="675B66C1">
      <w:pPr>
        <w:spacing w:line="400" w:lineRule="exact"/>
        <w:ind w:firstLine="560" w:firstLineChars="200"/>
        <w:rPr>
          <w:rFonts w:hint="eastAsia" w:ascii="仿宋" w:hAnsi="仿宋" w:eastAsia="仿宋"/>
          <w:sz w:val="28"/>
          <w:szCs w:val="28"/>
        </w:rPr>
      </w:pPr>
      <w:r>
        <w:rPr>
          <w:rFonts w:hint="eastAsia" w:ascii="仿宋" w:hAnsi="仿宋" w:eastAsia="仿宋"/>
          <w:sz w:val="28"/>
          <w:szCs w:val="28"/>
        </w:rPr>
        <w:t>根据《关于在政府采购活动中推行信用承诺制的通知》宁财购通〔2021〕5号规定，参加南京地区政府采购活动的投标人，应以书面形式向采购人或政府采购代理机构作出信用承诺。投标人应尽早做好承诺工作，点击‘南京公共采购信息网’首页 （https://njgc.jfh.com/）‘南京市政府采购投标人诚信档案’系统链接打开系统页面（http://180.101.238.212:8280/hodeframe2018_cxda/index.action;jsessionid=769BA9C8E1729422E7173B991C8EC1E5）登录（未注册的投标人应先点击‘投标人注册点这里’并按 要求完成注册），然后在“信用记录”模块页面点击“信用记录打印”下载本单位《南京市政府采购投标人信用记录表暨信用承诺书》，由法人签字并盖单位投标人公章，随响应文件一并递交。</w:t>
      </w:r>
    </w:p>
    <w:p w14:paraId="3881E436">
      <w:pPr>
        <w:spacing w:line="400" w:lineRule="exact"/>
        <w:ind w:firstLine="560" w:firstLineChars="200"/>
        <w:rPr>
          <w:rFonts w:hint="eastAsia" w:ascii="仿宋" w:hAnsi="仿宋" w:eastAsia="仿宋"/>
          <w:sz w:val="28"/>
          <w:szCs w:val="28"/>
        </w:rPr>
      </w:pPr>
      <w:r>
        <w:rPr>
          <w:rFonts w:hint="eastAsia" w:ascii="仿宋" w:hAnsi="仿宋" w:eastAsia="仿宋"/>
          <w:sz w:val="28"/>
          <w:szCs w:val="28"/>
        </w:rPr>
        <w:t>在政府采购资格审查环节，投标人只需提供书面《南京市政府采购投标人信用记录表暨信用承诺书》，即可替代以下证明材料:(1)符合国家相关规定的财务状况报告;(2)依法缴纳税收的证明材料;(3)依法缴纳社会保障资金的证明材料;(4)具备履行政府采购合同所必需的货物和专业技术能力的证明材料;(5)参加政府采购活动前三年内在经营活动中没有重大违法记录的证明材料;(6)未被列入失信被执行人、重大税收违法失信主体、政府采购严重违法失信行为记录名单的证明材料。投标人在中标(成交)后，应按采购文件要求，将上述由信用承诺书替代的证明材料提交采购人或采购代理机构核验。经核验无误后。由采购人或采购代理机构发出中标(成交)通知书。</w:t>
      </w:r>
    </w:p>
    <w:p w14:paraId="6A1CCD3F">
      <w:pPr>
        <w:spacing w:line="400" w:lineRule="exact"/>
        <w:ind w:firstLine="560" w:firstLineChars="200"/>
        <w:rPr>
          <w:rFonts w:hint="eastAsia" w:ascii="仿宋" w:hAnsi="仿宋" w:eastAsia="仿宋"/>
          <w:sz w:val="28"/>
          <w:szCs w:val="28"/>
        </w:rPr>
      </w:pPr>
      <w:r>
        <w:rPr>
          <w:rFonts w:hint="eastAsia" w:ascii="仿宋" w:hAnsi="仿宋" w:eastAsia="仿宋"/>
          <w:sz w:val="28"/>
          <w:szCs w:val="28"/>
        </w:rPr>
        <w:t>投标人涉及以下情形的，不适用信用承诺:(1)投标人被列入严重失信主体名单;(2)被相关监管部门作出行政处罚且尚在处罚有效期内;(3)其他法律、行政法规规定的不适用信用承诺的情形。 投标人对信用承诺内容的真实性、合法性、有效性负责。如作出虚假信用承诺，视同为“提供虚假材料谋取中标、成交”的违法行为。</w:t>
      </w:r>
    </w:p>
    <w:p w14:paraId="6DFADDB9">
      <w:pPr>
        <w:spacing w:line="400" w:lineRule="exact"/>
        <w:ind w:firstLine="560" w:firstLineChars="200"/>
        <w:rPr>
          <w:rFonts w:hint="eastAsia" w:ascii="仿宋" w:hAnsi="仿宋" w:eastAsia="仿宋"/>
          <w:sz w:val="28"/>
          <w:szCs w:val="28"/>
        </w:rPr>
      </w:pPr>
      <w:bookmarkStart w:id="16" w:name="_Toc28359081"/>
      <w:bookmarkStart w:id="17" w:name="_Toc28359004"/>
      <w:r>
        <w:rPr>
          <w:rFonts w:hint="eastAsia" w:ascii="仿宋" w:hAnsi="仿宋" w:eastAsia="仿宋"/>
          <w:sz w:val="28"/>
          <w:szCs w:val="28"/>
        </w:rPr>
        <w:t>2.落实政府采购政策需满足的资格要求：</w:t>
      </w:r>
    </w:p>
    <w:p w14:paraId="4C18FB5E">
      <w:pPr>
        <w:spacing w:line="400" w:lineRule="exact"/>
        <w:ind w:firstLine="560" w:firstLineChars="200"/>
        <w:rPr>
          <w:rFonts w:hint="eastAsia" w:ascii="仿宋" w:hAnsi="仿宋" w:eastAsia="仿宋"/>
          <w:sz w:val="28"/>
          <w:szCs w:val="28"/>
        </w:rPr>
      </w:pPr>
      <w:r>
        <w:rPr>
          <w:rFonts w:hint="eastAsia" w:ascii="仿宋" w:hAnsi="仿宋" w:eastAsia="仿宋"/>
          <w:sz w:val="28"/>
          <w:szCs w:val="28"/>
        </w:rPr>
        <w:t xml:space="preserve">本项目按照以下第(4)种方式落实政府采购促进中小企业发展的要求： </w:t>
      </w:r>
    </w:p>
    <w:p w14:paraId="7570140C">
      <w:pPr>
        <w:spacing w:line="400" w:lineRule="exact"/>
        <w:ind w:firstLine="560" w:firstLineChars="200"/>
        <w:rPr>
          <w:rFonts w:hint="eastAsia" w:ascii="仿宋" w:hAnsi="仿宋" w:eastAsia="仿宋"/>
          <w:sz w:val="28"/>
          <w:szCs w:val="28"/>
        </w:rPr>
      </w:pPr>
      <w:r>
        <w:rPr>
          <w:rFonts w:hint="eastAsia" w:ascii="仿宋" w:hAnsi="仿宋" w:eastAsia="仿宋"/>
          <w:sz w:val="28"/>
          <w:szCs w:val="28"/>
        </w:rPr>
        <w:t xml:space="preserve">（1）本项目整体专门面向中小企业采购货物。 </w:t>
      </w:r>
    </w:p>
    <w:p w14:paraId="67BDF476">
      <w:pPr>
        <w:spacing w:line="400" w:lineRule="exact"/>
        <w:ind w:firstLine="560" w:firstLineChars="200"/>
        <w:rPr>
          <w:rFonts w:hint="eastAsia" w:ascii="仿宋" w:hAnsi="仿宋" w:eastAsia="仿宋"/>
          <w:sz w:val="28"/>
          <w:szCs w:val="28"/>
        </w:rPr>
      </w:pPr>
      <w:r>
        <w:rPr>
          <w:rFonts w:hint="eastAsia" w:ascii="仿宋" w:hAnsi="仿宋" w:eastAsia="仿宋"/>
          <w:sz w:val="28"/>
          <w:szCs w:val="28"/>
        </w:rPr>
        <w:t xml:space="preserve">（2）本项目整体专门面向小微企业采购货物。 </w:t>
      </w:r>
    </w:p>
    <w:p w14:paraId="7D58467A">
      <w:pPr>
        <w:spacing w:line="400" w:lineRule="exact"/>
        <w:ind w:firstLine="560" w:firstLineChars="200"/>
        <w:rPr>
          <w:rFonts w:hint="eastAsia" w:ascii="仿宋" w:hAnsi="仿宋" w:eastAsia="仿宋"/>
          <w:sz w:val="28"/>
          <w:szCs w:val="28"/>
        </w:rPr>
      </w:pPr>
      <w:r>
        <w:rPr>
          <w:rFonts w:hint="eastAsia" w:ascii="仿宋" w:hAnsi="仿宋" w:eastAsia="仿宋"/>
          <w:sz w:val="28"/>
          <w:szCs w:val="28"/>
        </w:rPr>
        <w:t xml:space="preserve">（3）本项目通过以下第（/） 种方式预留部分采购份额采购中小企业货物： </w:t>
      </w:r>
    </w:p>
    <w:p w14:paraId="3E94C0F0">
      <w:pPr>
        <w:spacing w:line="400" w:lineRule="exact"/>
        <w:ind w:firstLine="560" w:firstLineChars="200"/>
        <w:rPr>
          <w:rFonts w:hint="eastAsia" w:ascii="仿宋" w:hAnsi="仿宋" w:eastAsia="仿宋"/>
          <w:sz w:val="28"/>
          <w:szCs w:val="28"/>
        </w:rPr>
      </w:pPr>
      <w:r>
        <w:rPr>
          <w:rFonts w:hint="eastAsia" w:ascii="仿宋" w:hAnsi="仿宋" w:eastAsia="仿宋"/>
          <w:sz w:val="28"/>
          <w:szCs w:val="28"/>
        </w:rPr>
        <w:t>①要求投标人以联合体形式参加，企业合同金额应当达到的比例为</w:t>
      </w:r>
      <w:r>
        <w:rPr>
          <w:rFonts w:hint="eastAsia" w:ascii="仿宋" w:hAnsi="仿宋" w:eastAsia="仿宋"/>
          <w:sz w:val="28"/>
          <w:szCs w:val="28"/>
          <w:u w:val="single"/>
        </w:rPr>
        <w:t>/</w:t>
      </w:r>
      <w:r>
        <w:rPr>
          <w:rFonts w:hint="eastAsia" w:ascii="仿宋" w:hAnsi="仿宋" w:eastAsia="仿宋"/>
          <w:sz w:val="28"/>
          <w:szCs w:val="28"/>
        </w:rPr>
        <w:t xml:space="preserve">%。 </w:t>
      </w:r>
    </w:p>
    <w:p w14:paraId="6BBA9286">
      <w:pPr>
        <w:spacing w:line="400" w:lineRule="exact"/>
        <w:ind w:firstLine="560" w:firstLineChars="200"/>
        <w:rPr>
          <w:rFonts w:hint="eastAsia" w:ascii="仿宋" w:hAnsi="仿宋" w:eastAsia="仿宋"/>
          <w:sz w:val="28"/>
          <w:szCs w:val="28"/>
        </w:rPr>
      </w:pPr>
      <w:r>
        <w:rPr>
          <w:rFonts w:hint="eastAsia" w:ascii="仿宋" w:hAnsi="仿宋" w:eastAsia="仿宋"/>
          <w:sz w:val="28"/>
          <w:szCs w:val="28"/>
        </w:rPr>
        <w:t>②要求投标人进行合同分包，企业合同金额应当达到的比例为</w:t>
      </w:r>
      <w:r>
        <w:rPr>
          <w:rFonts w:hint="eastAsia" w:ascii="仿宋" w:hAnsi="仿宋" w:eastAsia="仿宋"/>
          <w:sz w:val="28"/>
          <w:szCs w:val="28"/>
          <w:u w:val="single"/>
        </w:rPr>
        <w:t>/</w:t>
      </w:r>
      <w:r>
        <w:rPr>
          <w:rFonts w:hint="eastAsia" w:ascii="仿宋" w:hAnsi="仿宋" w:eastAsia="仿宋"/>
          <w:sz w:val="28"/>
          <w:szCs w:val="28"/>
        </w:rPr>
        <w:t xml:space="preserve">%。 </w:t>
      </w:r>
    </w:p>
    <w:p w14:paraId="6F9408A0">
      <w:pPr>
        <w:spacing w:line="400" w:lineRule="exact"/>
        <w:ind w:firstLine="560" w:firstLineChars="200"/>
        <w:rPr>
          <w:rFonts w:hint="eastAsia" w:ascii="仿宋" w:hAnsi="仿宋" w:eastAsia="仿宋"/>
          <w:sz w:val="28"/>
          <w:szCs w:val="28"/>
        </w:rPr>
      </w:pPr>
      <w:r>
        <w:rPr>
          <w:rFonts w:hint="eastAsia" w:ascii="仿宋" w:hAnsi="仿宋" w:eastAsia="仿宋"/>
          <w:sz w:val="28"/>
          <w:szCs w:val="28"/>
        </w:rPr>
        <w:t>（4）本项目为非预留份额的采购项目或采购包，执行价格扣除优惠政策，具体详见评标办法与标准。</w:t>
      </w:r>
    </w:p>
    <w:p w14:paraId="1D1BDC56">
      <w:pPr>
        <w:spacing w:line="400" w:lineRule="exact"/>
        <w:ind w:firstLine="560" w:firstLineChars="200"/>
        <w:rPr>
          <w:rFonts w:hint="eastAsia" w:ascii="仿宋" w:hAnsi="仿宋" w:eastAsia="仿宋"/>
          <w:sz w:val="28"/>
          <w:szCs w:val="28"/>
          <w:u w:val="single"/>
        </w:rPr>
      </w:pPr>
      <w:r>
        <w:rPr>
          <w:rFonts w:hint="eastAsia" w:ascii="仿宋" w:hAnsi="仿宋" w:eastAsia="仿宋"/>
          <w:sz w:val="28"/>
          <w:szCs w:val="28"/>
        </w:rPr>
        <w:t>3.本项目的特定资格要求：</w:t>
      </w:r>
      <w:r>
        <w:rPr>
          <w:rFonts w:hint="eastAsia" w:ascii="仿宋" w:hAnsi="仿宋" w:eastAsia="仿宋"/>
          <w:sz w:val="28"/>
          <w:szCs w:val="28"/>
          <w:u w:val="single"/>
        </w:rPr>
        <w:t>无。</w:t>
      </w:r>
    </w:p>
    <w:p w14:paraId="50E08C9C">
      <w:pPr>
        <w:pStyle w:val="4"/>
        <w:spacing w:line="360" w:lineRule="exact"/>
        <w:rPr>
          <w:rFonts w:hint="eastAsia" w:ascii="黑体" w:hAnsi="黑体" w:cs="宋体"/>
          <w:b w:val="0"/>
          <w:sz w:val="28"/>
          <w:szCs w:val="28"/>
        </w:rPr>
      </w:pPr>
      <w:bookmarkStart w:id="18" w:name="_Toc35393792"/>
      <w:bookmarkStart w:id="19" w:name="_Toc35393623"/>
      <w:r>
        <w:rPr>
          <w:rFonts w:hint="eastAsia" w:ascii="黑体" w:hAnsi="黑体" w:cs="宋体"/>
          <w:b w:val="0"/>
          <w:sz w:val="28"/>
          <w:szCs w:val="28"/>
        </w:rPr>
        <w:t>三、获取招标文件</w:t>
      </w:r>
      <w:bookmarkEnd w:id="16"/>
      <w:bookmarkEnd w:id="17"/>
      <w:bookmarkEnd w:id="18"/>
      <w:bookmarkEnd w:id="19"/>
    </w:p>
    <w:p w14:paraId="517F0D72">
      <w:pPr>
        <w:spacing w:line="360" w:lineRule="exact"/>
        <w:ind w:firstLine="540"/>
        <w:rPr>
          <w:rFonts w:hint="eastAsia" w:ascii="仿宋" w:hAnsi="仿宋" w:eastAsia="仿宋" w:cs="宋体"/>
          <w:sz w:val="28"/>
          <w:szCs w:val="28"/>
        </w:rPr>
      </w:pPr>
      <w:r>
        <w:rPr>
          <w:rFonts w:hint="eastAsia" w:ascii="仿宋" w:hAnsi="仿宋" w:eastAsia="仿宋" w:cs="宋体"/>
          <w:sz w:val="28"/>
          <w:szCs w:val="28"/>
        </w:rPr>
        <w:t>时间：</w:t>
      </w:r>
      <w:r>
        <w:rPr>
          <w:rFonts w:hint="eastAsia" w:ascii="仿宋" w:hAnsi="仿宋" w:eastAsia="仿宋" w:cs="宋体"/>
          <w:sz w:val="28"/>
          <w:szCs w:val="28"/>
          <w:highlight w:val="none"/>
          <w:u w:val="single"/>
        </w:rPr>
        <w:t>2025年</w:t>
      </w:r>
      <w:r>
        <w:rPr>
          <w:rFonts w:hint="eastAsia" w:ascii="仿宋" w:hAnsi="仿宋" w:eastAsia="仿宋" w:cs="宋体"/>
          <w:sz w:val="28"/>
          <w:szCs w:val="28"/>
          <w:highlight w:val="none"/>
          <w:u w:val="single"/>
          <w:lang w:val="en-US" w:eastAsia="zh-CN"/>
        </w:rPr>
        <w:t>11</w:t>
      </w:r>
      <w:r>
        <w:rPr>
          <w:rFonts w:hint="eastAsia" w:ascii="仿宋" w:hAnsi="仿宋" w:eastAsia="仿宋" w:cs="宋体"/>
          <w:sz w:val="28"/>
          <w:szCs w:val="28"/>
          <w:highlight w:val="none"/>
          <w:u w:val="single"/>
        </w:rPr>
        <w:t>月</w:t>
      </w:r>
      <w:r>
        <w:rPr>
          <w:rFonts w:hint="eastAsia" w:ascii="仿宋" w:hAnsi="仿宋" w:eastAsia="仿宋" w:cs="宋体"/>
          <w:sz w:val="28"/>
          <w:szCs w:val="28"/>
          <w:highlight w:val="none"/>
          <w:u w:val="single"/>
          <w:lang w:val="en-US" w:eastAsia="zh-CN"/>
        </w:rPr>
        <w:t>20</w:t>
      </w:r>
      <w:r>
        <w:rPr>
          <w:rFonts w:hint="eastAsia" w:ascii="仿宋" w:hAnsi="仿宋" w:eastAsia="仿宋" w:cs="宋体"/>
          <w:sz w:val="28"/>
          <w:szCs w:val="28"/>
          <w:highlight w:val="none"/>
          <w:u w:val="single"/>
        </w:rPr>
        <w:t>日</w:t>
      </w:r>
      <w:r>
        <w:rPr>
          <w:rFonts w:hint="eastAsia" w:ascii="仿宋" w:hAnsi="仿宋" w:eastAsia="仿宋" w:cs="宋体"/>
          <w:sz w:val="28"/>
          <w:szCs w:val="28"/>
          <w:highlight w:val="none"/>
        </w:rPr>
        <w:t>至</w:t>
      </w:r>
      <w:r>
        <w:rPr>
          <w:rFonts w:hint="eastAsia" w:ascii="仿宋" w:hAnsi="仿宋" w:eastAsia="仿宋" w:cs="宋体"/>
          <w:sz w:val="28"/>
          <w:szCs w:val="28"/>
          <w:highlight w:val="none"/>
          <w:u w:val="single"/>
        </w:rPr>
        <w:t>2025年</w:t>
      </w:r>
      <w:r>
        <w:rPr>
          <w:rFonts w:hint="eastAsia" w:ascii="仿宋" w:hAnsi="仿宋" w:eastAsia="仿宋" w:cs="宋体"/>
          <w:sz w:val="28"/>
          <w:szCs w:val="28"/>
          <w:highlight w:val="none"/>
          <w:u w:val="single"/>
          <w:lang w:val="en-US" w:eastAsia="zh-CN"/>
        </w:rPr>
        <w:t>11</w:t>
      </w:r>
      <w:r>
        <w:rPr>
          <w:rFonts w:hint="eastAsia" w:ascii="仿宋" w:hAnsi="仿宋" w:eastAsia="仿宋" w:cs="宋体"/>
          <w:sz w:val="28"/>
          <w:szCs w:val="28"/>
          <w:highlight w:val="none"/>
          <w:u w:val="single"/>
        </w:rPr>
        <w:t>月</w:t>
      </w:r>
      <w:r>
        <w:rPr>
          <w:rFonts w:hint="eastAsia" w:ascii="仿宋" w:hAnsi="仿宋" w:eastAsia="仿宋" w:cs="宋体"/>
          <w:sz w:val="28"/>
          <w:szCs w:val="28"/>
          <w:highlight w:val="none"/>
          <w:u w:val="single"/>
          <w:lang w:val="en-US" w:eastAsia="zh-CN"/>
        </w:rPr>
        <w:t>26</w:t>
      </w:r>
      <w:r>
        <w:rPr>
          <w:rFonts w:hint="eastAsia" w:ascii="仿宋" w:hAnsi="仿宋" w:eastAsia="仿宋" w:cs="宋体"/>
          <w:sz w:val="28"/>
          <w:szCs w:val="28"/>
          <w:highlight w:val="none"/>
          <w:u w:val="single"/>
        </w:rPr>
        <w:t>日</w:t>
      </w:r>
      <w:r>
        <w:rPr>
          <w:rFonts w:hint="eastAsia" w:ascii="仿宋" w:hAnsi="仿宋" w:eastAsia="仿宋" w:cs="宋体"/>
          <w:sz w:val="28"/>
          <w:szCs w:val="28"/>
        </w:rPr>
        <w:t>，每天上午8：30至11：30，下午14：00至17：30</w:t>
      </w:r>
    </w:p>
    <w:p w14:paraId="1233A0EA">
      <w:pPr>
        <w:spacing w:line="360" w:lineRule="exact"/>
        <w:ind w:firstLine="540"/>
        <w:rPr>
          <w:rFonts w:hint="eastAsia" w:ascii="仿宋" w:hAnsi="仿宋" w:eastAsia="仿宋" w:cs="宋体"/>
          <w:sz w:val="28"/>
          <w:szCs w:val="28"/>
        </w:rPr>
      </w:pPr>
      <w:r>
        <w:rPr>
          <w:rFonts w:hint="eastAsia" w:ascii="仿宋" w:hAnsi="仿宋" w:eastAsia="仿宋" w:cs="宋体"/>
          <w:sz w:val="28"/>
          <w:szCs w:val="28"/>
        </w:rPr>
        <w:t>纸质文件获取地点：南京市建邺区楠溪江东街58号9楼</w:t>
      </w:r>
    </w:p>
    <w:p w14:paraId="61B0E3F5">
      <w:pPr>
        <w:spacing w:line="360" w:lineRule="exact"/>
        <w:ind w:firstLine="540"/>
        <w:rPr>
          <w:rFonts w:hint="eastAsia" w:ascii="仿宋" w:hAnsi="仿宋" w:eastAsia="仿宋" w:cs="宋体"/>
          <w:sz w:val="28"/>
          <w:szCs w:val="28"/>
        </w:rPr>
      </w:pPr>
      <w:r>
        <w:rPr>
          <w:rFonts w:hint="eastAsia" w:ascii="仿宋" w:hAnsi="仿宋" w:eastAsia="仿宋" w:cs="宋体"/>
          <w:sz w:val="28"/>
          <w:szCs w:val="28"/>
        </w:rPr>
        <w:t>方式：</w:t>
      </w:r>
    </w:p>
    <w:p w14:paraId="5A261B9F">
      <w:pPr>
        <w:spacing w:line="360" w:lineRule="exact"/>
        <w:ind w:firstLine="540"/>
        <w:rPr>
          <w:rFonts w:hint="eastAsia" w:ascii="仿宋" w:hAnsi="仿宋" w:eastAsia="仿宋" w:cs="宋体"/>
          <w:sz w:val="28"/>
          <w:szCs w:val="28"/>
        </w:rPr>
      </w:pPr>
      <w:r>
        <w:rPr>
          <w:rFonts w:hint="eastAsia" w:ascii="仿宋" w:hAnsi="仿宋" w:eastAsia="仿宋" w:cs="宋体"/>
          <w:sz w:val="28"/>
          <w:szCs w:val="28"/>
        </w:rPr>
        <w:t>报名需将下述资料盖章扫描件（1份）发邮件至 chenshu_xm@cicdi.cn，进行报名：</w:t>
      </w:r>
    </w:p>
    <w:p w14:paraId="02FE9901">
      <w:pPr>
        <w:spacing w:line="360" w:lineRule="exact"/>
        <w:ind w:firstLine="540"/>
        <w:rPr>
          <w:rFonts w:hint="eastAsia" w:ascii="仿宋" w:hAnsi="仿宋" w:eastAsia="仿宋" w:cs="宋体"/>
          <w:sz w:val="28"/>
          <w:szCs w:val="28"/>
        </w:rPr>
      </w:pPr>
      <w:r>
        <w:rPr>
          <w:rFonts w:hint="eastAsia" w:ascii="仿宋" w:hAnsi="仿宋" w:eastAsia="仿宋" w:cs="宋体"/>
          <w:sz w:val="28"/>
          <w:szCs w:val="28"/>
        </w:rPr>
        <w:t>（1）营业执照扫描件；</w:t>
      </w:r>
    </w:p>
    <w:p w14:paraId="7C406099">
      <w:pPr>
        <w:spacing w:line="360" w:lineRule="exact"/>
        <w:ind w:firstLine="540"/>
        <w:rPr>
          <w:rFonts w:hint="eastAsia" w:ascii="仿宋" w:hAnsi="仿宋" w:eastAsia="仿宋" w:cs="宋体"/>
          <w:sz w:val="28"/>
          <w:szCs w:val="28"/>
        </w:rPr>
      </w:pPr>
      <w:r>
        <w:rPr>
          <w:rFonts w:hint="eastAsia" w:ascii="仿宋" w:hAnsi="仿宋" w:eastAsia="仿宋" w:cs="宋体"/>
          <w:sz w:val="28"/>
          <w:szCs w:val="28"/>
        </w:rPr>
        <w:t>（2）授权委托书及被授权人身份证扫描件。</w:t>
      </w:r>
    </w:p>
    <w:p w14:paraId="4CC6D85A">
      <w:pPr>
        <w:spacing w:line="360" w:lineRule="exact"/>
        <w:ind w:firstLine="540"/>
        <w:rPr>
          <w:rFonts w:hint="eastAsia" w:ascii="仿宋" w:hAnsi="仿宋" w:eastAsia="仿宋" w:cs="宋体"/>
          <w:sz w:val="28"/>
          <w:szCs w:val="28"/>
        </w:rPr>
      </w:pPr>
      <w:r>
        <w:rPr>
          <w:rFonts w:hint="eastAsia" w:ascii="仿宋" w:hAnsi="仿宋" w:eastAsia="仿宋" w:cs="宋体"/>
          <w:sz w:val="28"/>
          <w:szCs w:val="28"/>
        </w:rPr>
        <w:t>（3）标书费付款凭证。</w:t>
      </w:r>
    </w:p>
    <w:p w14:paraId="0366CE8A">
      <w:pPr>
        <w:spacing w:line="360" w:lineRule="exact"/>
        <w:ind w:firstLine="540"/>
        <w:rPr>
          <w:rFonts w:hint="eastAsia" w:ascii="仿宋" w:hAnsi="仿宋" w:eastAsia="仿宋" w:cs="宋体"/>
          <w:sz w:val="28"/>
          <w:szCs w:val="28"/>
        </w:rPr>
      </w:pPr>
      <w:r>
        <w:rPr>
          <w:rFonts w:hint="eastAsia" w:ascii="仿宋" w:hAnsi="仿宋" w:eastAsia="仿宋" w:cs="宋体"/>
          <w:sz w:val="28"/>
          <w:szCs w:val="28"/>
        </w:rPr>
        <w:t>售价：100元人民币（纸质文件）</w:t>
      </w:r>
    </w:p>
    <w:p w14:paraId="1A0E2F72">
      <w:pPr>
        <w:spacing w:line="360" w:lineRule="exact"/>
        <w:ind w:firstLine="540"/>
        <w:rPr>
          <w:rFonts w:hint="eastAsia" w:ascii="仿宋" w:hAnsi="仿宋" w:eastAsia="仿宋" w:cs="宋体"/>
          <w:sz w:val="28"/>
          <w:szCs w:val="28"/>
        </w:rPr>
      </w:pPr>
      <w:r>
        <w:rPr>
          <w:rFonts w:hint="eastAsia" w:ascii="仿宋" w:hAnsi="仿宋" w:eastAsia="仿宋" w:cs="宋体"/>
          <w:sz w:val="28"/>
          <w:szCs w:val="28"/>
        </w:rPr>
        <w:t>汇款账号信息如下：</w:t>
      </w:r>
    </w:p>
    <w:p w14:paraId="2D3EDB71">
      <w:pPr>
        <w:spacing w:line="360" w:lineRule="exact"/>
        <w:ind w:firstLine="540"/>
        <w:rPr>
          <w:rFonts w:hint="eastAsia" w:ascii="仿宋" w:hAnsi="仿宋" w:eastAsia="仿宋" w:cs="宋体"/>
          <w:sz w:val="28"/>
          <w:szCs w:val="28"/>
        </w:rPr>
      </w:pPr>
      <w:r>
        <w:rPr>
          <w:rFonts w:hint="eastAsia" w:ascii="仿宋" w:hAnsi="仿宋" w:eastAsia="仿宋" w:cs="宋体"/>
          <w:sz w:val="28"/>
          <w:szCs w:val="28"/>
        </w:rPr>
        <w:t>收款单位：中通服咨询设计研究院有限公司</w:t>
      </w:r>
    </w:p>
    <w:p w14:paraId="5F754C46">
      <w:pPr>
        <w:spacing w:line="360" w:lineRule="exact"/>
        <w:ind w:firstLine="540"/>
        <w:rPr>
          <w:rFonts w:hint="eastAsia" w:ascii="仿宋" w:hAnsi="仿宋" w:eastAsia="仿宋" w:cs="宋体"/>
          <w:sz w:val="28"/>
          <w:szCs w:val="28"/>
        </w:rPr>
      </w:pPr>
      <w:r>
        <w:rPr>
          <w:rFonts w:hint="eastAsia" w:ascii="仿宋" w:hAnsi="仿宋" w:eastAsia="仿宋" w:cs="宋体"/>
          <w:sz w:val="28"/>
          <w:szCs w:val="28"/>
        </w:rPr>
        <w:t>开户银行：招商银行南京分行城北支行</w:t>
      </w:r>
    </w:p>
    <w:p w14:paraId="31FC0B8C">
      <w:pPr>
        <w:spacing w:line="360" w:lineRule="exact"/>
        <w:ind w:firstLine="540"/>
        <w:rPr>
          <w:rFonts w:hint="eastAsia" w:ascii="仿宋" w:hAnsi="仿宋" w:eastAsia="仿宋" w:cs="宋体"/>
          <w:sz w:val="28"/>
          <w:szCs w:val="28"/>
        </w:rPr>
      </w:pPr>
      <w:r>
        <w:rPr>
          <w:rFonts w:hint="eastAsia" w:ascii="仿宋" w:hAnsi="仿宋" w:eastAsia="仿宋" w:cs="宋体"/>
          <w:sz w:val="28"/>
          <w:szCs w:val="28"/>
        </w:rPr>
        <w:t>账    号：12590209571000100000069</w:t>
      </w:r>
    </w:p>
    <w:p w14:paraId="2D53C5D7">
      <w:pPr>
        <w:spacing w:line="360" w:lineRule="exact"/>
        <w:ind w:firstLine="540"/>
        <w:rPr>
          <w:rFonts w:hint="eastAsia" w:ascii="仿宋" w:hAnsi="仿宋" w:eastAsia="仿宋" w:cs="宋体"/>
          <w:sz w:val="28"/>
          <w:szCs w:val="28"/>
          <w:u w:val="single"/>
        </w:rPr>
      </w:pPr>
      <w:r>
        <w:rPr>
          <w:rFonts w:hint="eastAsia" w:ascii="仿宋" w:hAnsi="仿宋" w:eastAsia="仿宋" w:cs="宋体"/>
          <w:sz w:val="28"/>
          <w:szCs w:val="28"/>
        </w:rPr>
        <w:t>转账事由：API安全网关系统采购项目标书费</w:t>
      </w:r>
    </w:p>
    <w:p w14:paraId="01D983A1">
      <w:pPr>
        <w:pStyle w:val="4"/>
        <w:spacing w:line="360" w:lineRule="exact"/>
        <w:rPr>
          <w:rFonts w:hint="eastAsia" w:ascii="黑体" w:hAnsi="黑体" w:cs="宋体"/>
          <w:b w:val="0"/>
          <w:sz w:val="28"/>
          <w:szCs w:val="28"/>
        </w:rPr>
      </w:pPr>
      <w:bookmarkStart w:id="20" w:name="_Toc28359005"/>
      <w:bookmarkStart w:id="21" w:name="_Toc28359082"/>
      <w:bookmarkStart w:id="22" w:name="_Toc35393624"/>
      <w:bookmarkStart w:id="23" w:name="_Toc35393793"/>
      <w:r>
        <w:rPr>
          <w:rFonts w:hint="eastAsia" w:ascii="黑体" w:hAnsi="黑体" w:cs="宋体"/>
          <w:b w:val="0"/>
          <w:sz w:val="28"/>
          <w:szCs w:val="28"/>
        </w:rPr>
        <w:t>四、提交投标文件</w:t>
      </w:r>
      <w:bookmarkEnd w:id="20"/>
      <w:bookmarkEnd w:id="21"/>
      <w:r>
        <w:rPr>
          <w:rFonts w:hint="eastAsia" w:ascii="黑体" w:hAnsi="黑体" w:cs="宋体"/>
          <w:b w:val="0"/>
          <w:sz w:val="28"/>
          <w:szCs w:val="28"/>
        </w:rPr>
        <w:t>截止时间、开标时间和地点</w:t>
      </w:r>
      <w:bookmarkEnd w:id="22"/>
      <w:bookmarkEnd w:id="23"/>
    </w:p>
    <w:p w14:paraId="109B65A6">
      <w:pPr>
        <w:spacing w:line="360" w:lineRule="exact"/>
        <w:ind w:firstLine="560" w:firstLineChars="200"/>
        <w:rPr>
          <w:rFonts w:hint="eastAsia" w:ascii="仿宋" w:hAnsi="仿宋" w:eastAsia="仿宋"/>
          <w:bCs/>
          <w:sz w:val="28"/>
          <w:szCs w:val="28"/>
          <w:u w:val="single"/>
        </w:rPr>
      </w:pPr>
      <w:r>
        <w:rPr>
          <w:rFonts w:hint="eastAsia" w:ascii="仿宋" w:hAnsi="仿宋" w:eastAsia="仿宋"/>
          <w:bCs/>
          <w:sz w:val="28"/>
          <w:szCs w:val="28"/>
          <w:highlight w:val="none"/>
          <w:u w:val="single"/>
        </w:rPr>
        <w:t xml:space="preserve"> 20</w:t>
      </w:r>
      <w:r>
        <w:rPr>
          <w:rFonts w:ascii="仿宋" w:hAnsi="仿宋" w:eastAsia="仿宋"/>
          <w:bCs/>
          <w:sz w:val="28"/>
          <w:szCs w:val="28"/>
          <w:highlight w:val="none"/>
          <w:u w:val="single"/>
        </w:rPr>
        <w:t>2</w:t>
      </w:r>
      <w:r>
        <w:rPr>
          <w:rFonts w:hint="eastAsia" w:ascii="仿宋" w:hAnsi="仿宋" w:eastAsia="仿宋"/>
          <w:bCs/>
          <w:sz w:val="28"/>
          <w:szCs w:val="28"/>
          <w:highlight w:val="none"/>
          <w:u w:val="single"/>
        </w:rPr>
        <w:t>5年</w:t>
      </w:r>
      <w:r>
        <w:rPr>
          <w:rFonts w:hint="eastAsia" w:ascii="仿宋" w:hAnsi="仿宋" w:eastAsia="仿宋"/>
          <w:bCs/>
          <w:sz w:val="28"/>
          <w:szCs w:val="28"/>
          <w:highlight w:val="none"/>
          <w:u w:val="single"/>
          <w:lang w:val="en-US" w:eastAsia="zh-CN"/>
        </w:rPr>
        <w:t>12</w:t>
      </w:r>
      <w:r>
        <w:rPr>
          <w:rFonts w:hint="eastAsia" w:ascii="仿宋" w:hAnsi="仿宋" w:eastAsia="仿宋"/>
          <w:bCs/>
          <w:sz w:val="28"/>
          <w:szCs w:val="28"/>
          <w:highlight w:val="none"/>
          <w:u w:val="single"/>
        </w:rPr>
        <w:t>月</w:t>
      </w:r>
      <w:r>
        <w:rPr>
          <w:rFonts w:hint="eastAsia" w:ascii="仿宋" w:hAnsi="仿宋" w:eastAsia="仿宋"/>
          <w:bCs/>
          <w:sz w:val="28"/>
          <w:szCs w:val="28"/>
          <w:highlight w:val="none"/>
          <w:u w:val="single"/>
          <w:lang w:val="en-US" w:eastAsia="zh-CN"/>
        </w:rPr>
        <w:t>10</w:t>
      </w:r>
      <w:r>
        <w:rPr>
          <w:rFonts w:hint="eastAsia" w:ascii="仿宋" w:hAnsi="仿宋" w:eastAsia="仿宋"/>
          <w:bCs/>
          <w:sz w:val="28"/>
          <w:szCs w:val="28"/>
          <w:highlight w:val="none"/>
          <w:u w:val="single"/>
        </w:rPr>
        <w:t>日下午14点30分</w:t>
      </w:r>
      <w:r>
        <w:rPr>
          <w:rFonts w:hint="eastAsia" w:ascii="仿宋" w:hAnsi="仿宋" w:eastAsia="仿宋"/>
          <w:bCs/>
          <w:sz w:val="28"/>
          <w:szCs w:val="28"/>
          <w:highlight w:val="none"/>
        </w:rPr>
        <w:t>（</w:t>
      </w:r>
      <w:r>
        <w:rPr>
          <w:rFonts w:hint="eastAsia" w:ascii="仿宋" w:hAnsi="仿宋" w:eastAsia="仿宋"/>
          <w:bCs/>
          <w:sz w:val="28"/>
          <w:szCs w:val="28"/>
        </w:rPr>
        <w:t>北京时间）</w:t>
      </w:r>
    </w:p>
    <w:p w14:paraId="34974096">
      <w:pPr>
        <w:spacing w:line="360" w:lineRule="exact"/>
        <w:ind w:firstLine="560" w:firstLineChars="200"/>
        <w:rPr>
          <w:rFonts w:hint="eastAsia" w:ascii="仿宋" w:hAnsi="仿宋" w:eastAsia="仿宋"/>
          <w:bCs/>
          <w:sz w:val="28"/>
          <w:szCs w:val="28"/>
          <w:u w:val="single"/>
        </w:rPr>
      </w:pPr>
      <w:r>
        <w:rPr>
          <w:rFonts w:hint="eastAsia" w:ascii="仿宋" w:hAnsi="仿宋" w:eastAsia="仿宋"/>
          <w:sz w:val="28"/>
          <w:szCs w:val="28"/>
        </w:rPr>
        <w:t>地点：南京市秦淮区中山南路371号605号会议室</w:t>
      </w:r>
    </w:p>
    <w:p w14:paraId="29959C93">
      <w:pPr>
        <w:pStyle w:val="4"/>
        <w:spacing w:line="360" w:lineRule="exact"/>
        <w:rPr>
          <w:rFonts w:hint="eastAsia" w:ascii="黑体" w:hAnsi="黑体" w:cs="宋体"/>
          <w:b w:val="0"/>
          <w:sz w:val="28"/>
          <w:szCs w:val="28"/>
        </w:rPr>
      </w:pPr>
      <w:bookmarkStart w:id="24" w:name="_Toc35393625"/>
      <w:bookmarkStart w:id="25" w:name="_Toc35393794"/>
      <w:bookmarkStart w:id="26" w:name="_Toc28359007"/>
      <w:bookmarkStart w:id="27" w:name="_Toc28359084"/>
      <w:r>
        <w:rPr>
          <w:rFonts w:hint="eastAsia" w:ascii="黑体" w:hAnsi="黑体" w:cs="宋体"/>
          <w:b w:val="0"/>
          <w:sz w:val="28"/>
          <w:szCs w:val="28"/>
        </w:rPr>
        <w:t>五、公告期限</w:t>
      </w:r>
      <w:bookmarkEnd w:id="24"/>
      <w:bookmarkEnd w:id="25"/>
      <w:bookmarkEnd w:id="26"/>
      <w:bookmarkEnd w:id="27"/>
    </w:p>
    <w:p w14:paraId="6BA48453">
      <w:pPr>
        <w:spacing w:line="360" w:lineRule="exact"/>
        <w:ind w:firstLine="560" w:firstLineChars="200"/>
        <w:rPr>
          <w:rFonts w:hint="eastAsia" w:ascii="仿宋" w:hAnsi="仿宋" w:eastAsia="仿宋" w:cs="宋体"/>
          <w:kern w:val="0"/>
          <w:sz w:val="28"/>
          <w:szCs w:val="28"/>
        </w:rPr>
      </w:pPr>
      <w:r>
        <w:rPr>
          <w:rFonts w:hint="eastAsia" w:ascii="仿宋" w:hAnsi="仿宋" w:eastAsia="仿宋" w:cs="宋体"/>
          <w:kern w:val="0"/>
          <w:sz w:val="28"/>
          <w:szCs w:val="28"/>
        </w:rPr>
        <w:t>自本公告发布之日起5个工作日。</w:t>
      </w:r>
    </w:p>
    <w:p w14:paraId="21754496">
      <w:pPr>
        <w:pStyle w:val="4"/>
        <w:spacing w:line="360" w:lineRule="exact"/>
        <w:rPr>
          <w:rFonts w:hint="eastAsia" w:ascii="黑体" w:hAnsi="黑体" w:cs="宋体"/>
          <w:b w:val="0"/>
          <w:sz w:val="28"/>
          <w:szCs w:val="28"/>
        </w:rPr>
      </w:pPr>
      <w:bookmarkStart w:id="28" w:name="_Toc35393795"/>
      <w:bookmarkStart w:id="29" w:name="_Toc35393626"/>
      <w:r>
        <w:rPr>
          <w:rFonts w:hint="eastAsia" w:ascii="黑体" w:hAnsi="黑体" w:cs="宋体"/>
          <w:b w:val="0"/>
          <w:sz w:val="28"/>
          <w:szCs w:val="28"/>
        </w:rPr>
        <w:t>六、其他补充事宜</w:t>
      </w:r>
      <w:bookmarkEnd w:id="28"/>
      <w:bookmarkEnd w:id="29"/>
    </w:p>
    <w:p w14:paraId="2AD4FFA4">
      <w:pPr>
        <w:pStyle w:val="4"/>
        <w:spacing w:before="0" w:after="0" w:line="400" w:lineRule="exact"/>
        <w:ind w:firstLine="560" w:firstLineChars="200"/>
        <w:rPr>
          <w:rFonts w:hint="eastAsia" w:ascii="仿宋" w:hAnsi="仿宋" w:eastAsia="仿宋" w:cs="宋体"/>
          <w:b w:val="0"/>
          <w:bCs w:val="0"/>
          <w:kern w:val="0"/>
          <w:sz w:val="28"/>
          <w:szCs w:val="28"/>
        </w:rPr>
      </w:pPr>
      <w:bookmarkStart w:id="30" w:name="_Toc28359085"/>
      <w:bookmarkStart w:id="31" w:name="_Toc28359008"/>
      <w:bookmarkStart w:id="32" w:name="_Toc35393796"/>
      <w:bookmarkStart w:id="33" w:name="_Toc35393627"/>
      <w:r>
        <w:rPr>
          <w:rFonts w:ascii="仿宋" w:hAnsi="仿宋" w:eastAsia="仿宋" w:cs="宋体"/>
          <w:b w:val="0"/>
          <w:bCs w:val="0"/>
          <w:kern w:val="0"/>
          <w:sz w:val="28"/>
          <w:szCs w:val="28"/>
        </w:rPr>
        <w:t>1、投标文件一式伍份（正本壹份，副本肆份），电子版一份（U盘单独封装）。</w:t>
      </w:r>
    </w:p>
    <w:p w14:paraId="4860058D">
      <w:pPr>
        <w:pStyle w:val="4"/>
        <w:spacing w:before="0" w:after="0" w:line="400" w:lineRule="exact"/>
        <w:ind w:firstLine="560" w:firstLineChars="200"/>
        <w:rPr>
          <w:rFonts w:hint="eastAsia" w:ascii="仿宋" w:hAnsi="仿宋" w:eastAsia="仿宋" w:cs="宋体"/>
          <w:b w:val="0"/>
          <w:bCs w:val="0"/>
          <w:kern w:val="0"/>
          <w:sz w:val="28"/>
          <w:szCs w:val="28"/>
        </w:rPr>
      </w:pPr>
      <w:r>
        <w:rPr>
          <w:rFonts w:hint="eastAsia" w:ascii="仿宋" w:hAnsi="仿宋" w:eastAsia="仿宋" w:cs="宋体"/>
          <w:b w:val="0"/>
          <w:bCs w:val="0"/>
          <w:kern w:val="0"/>
          <w:sz w:val="28"/>
          <w:szCs w:val="28"/>
        </w:rPr>
        <w:t>2、</w:t>
      </w:r>
      <w:r>
        <w:rPr>
          <w:rFonts w:ascii="仿宋" w:hAnsi="仿宋" w:eastAsia="仿宋" w:cs="宋体"/>
          <w:b w:val="0"/>
          <w:bCs w:val="0"/>
          <w:kern w:val="0"/>
          <w:sz w:val="28"/>
          <w:szCs w:val="28"/>
        </w:rPr>
        <w:t>有关本次采购的事项若存在变动或修改，敬请及时关注“南京市公共采购信息网”发布的信息。</w:t>
      </w:r>
    </w:p>
    <w:p w14:paraId="26C1DD4C">
      <w:pPr>
        <w:pStyle w:val="4"/>
        <w:spacing w:line="360" w:lineRule="exact"/>
        <w:rPr>
          <w:rFonts w:hint="eastAsia" w:ascii="黑体" w:hAnsi="黑体" w:cs="宋体"/>
          <w:b w:val="0"/>
          <w:sz w:val="28"/>
          <w:szCs w:val="28"/>
        </w:rPr>
      </w:pPr>
      <w:r>
        <w:rPr>
          <w:rFonts w:hint="eastAsia" w:ascii="黑体" w:hAnsi="黑体" w:cs="宋体"/>
          <w:b w:val="0"/>
          <w:sz w:val="28"/>
          <w:szCs w:val="28"/>
        </w:rPr>
        <w:t>七、对本次招标提出询问，请按</w:t>
      </w:r>
      <w:r>
        <w:rPr>
          <w:rFonts w:ascii="黑体" w:hAnsi="黑体" w:cs="宋体"/>
          <w:b w:val="0"/>
          <w:sz w:val="28"/>
          <w:szCs w:val="28"/>
        </w:rPr>
        <w:t>以下方式</w:t>
      </w:r>
      <w:r>
        <w:rPr>
          <w:rFonts w:hint="eastAsia" w:ascii="黑体" w:hAnsi="黑体" w:cs="宋体"/>
          <w:b w:val="0"/>
          <w:sz w:val="28"/>
          <w:szCs w:val="28"/>
        </w:rPr>
        <w:t>联系。</w:t>
      </w:r>
      <w:bookmarkEnd w:id="30"/>
      <w:bookmarkEnd w:id="31"/>
      <w:bookmarkEnd w:id="32"/>
      <w:bookmarkEnd w:id="33"/>
    </w:p>
    <w:p w14:paraId="765375BD">
      <w:pPr>
        <w:widowControl/>
        <w:spacing w:line="400" w:lineRule="exact"/>
        <w:rPr>
          <w:rFonts w:ascii="仿宋_GB2312" w:eastAsia="仿宋_GB2312"/>
          <w:sz w:val="28"/>
          <w:szCs w:val="28"/>
        </w:rPr>
      </w:pPr>
      <w:r>
        <w:rPr>
          <w:rFonts w:hint="eastAsia" w:ascii="仿宋" w:hAnsi="仿宋" w:eastAsia="仿宋" w:cs="宋体"/>
          <w:sz w:val="28"/>
          <w:szCs w:val="28"/>
        </w:rPr>
        <w:t>　　1.采购人信息</w:t>
      </w:r>
    </w:p>
    <w:p w14:paraId="7AD8B849">
      <w:pPr>
        <w:spacing w:line="400" w:lineRule="exact"/>
        <w:ind w:firstLine="560" w:firstLineChars="200"/>
        <w:rPr>
          <w:rFonts w:hint="eastAsia" w:ascii="仿宋" w:hAnsi="仿宋" w:eastAsia="仿宋"/>
          <w:sz w:val="28"/>
          <w:szCs w:val="28"/>
        </w:rPr>
      </w:pPr>
      <w:r>
        <w:rPr>
          <w:rFonts w:hint="eastAsia" w:ascii="仿宋" w:hAnsi="仿宋" w:eastAsia="仿宋"/>
          <w:sz w:val="28"/>
          <w:szCs w:val="28"/>
        </w:rPr>
        <w:t>名 称：</w:t>
      </w:r>
      <w:r>
        <w:rPr>
          <w:rFonts w:hint="eastAsia" w:ascii="仿宋" w:hAnsi="仿宋" w:eastAsia="仿宋"/>
          <w:sz w:val="28"/>
          <w:szCs w:val="28"/>
          <w:u w:val="single"/>
        </w:rPr>
        <w:t>　紫金山实验室　</w:t>
      </w:r>
    </w:p>
    <w:p w14:paraId="6722C69F">
      <w:pPr>
        <w:spacing w:line="400" w:lineRule="exact"/>
        <w:ind w:firstLine="560" w:firstLineChars="200"/>
        <w:rPr>
          <w:rFonts w:hint="eastAsia" w:ascii="仿宋" w:hAnsi="仿宋" w:eastAsia="仿宋"/>
          <w:sz w:val="28"/>
          <w:szCs w:val="28"/>
        </w:rPr>
      </w:pPr>
      <w:r>
        <w:rPr>
          <w:rFonts w:hint="eastAsia" w:ascii="仿宋" w:hAnsi="仿宋" w:eastAsia="仿宋"/>
          <w:sz w:val="28"/>
          <w:szCs w:val="28"/>
        </w:rPr>
        <w:t>地址：</w:t>
      </w:r>
      <w:r>
        <w:rPr>
          <w:rFonts w:hint="eastAsia" w:ascii="仿宋" w:hAnsi="仿宋" w:eastAsia="仿宋"/>
          <w:sz w:val="28"/>
          <w:szCs w:val="28"/>
          <w:u w:val="single"/>
        </w:rPr>
        <w:t xml:space="preserve">　 南京市江宁区秣周东路9号　  </w:t>
      </w:r>
    </w:p>
    <w:p w14:paraId="3C2AB693">
      <w:pPr>
        <w:spacing w:line="400" w:lineRule="exact"/>
        <w:ind w:firstLine="560" w:firstLineChars="200"/>
        <w:rPr>
          <w:rFonts w:hint="eastAsia" w:ascii="仿宋" w:hAnsi="仿宋" w:eastAsia="仿宋"/>
          <w:sz w:val="28"/>
          <w:szCs w:val="28"/>
          <w:u w:val="single"/>
        </w:rPr>
      </w:pPr>
      <w:r>
        <w:rPr>
          <w:rFonts w:hint="eastAsia" w:ascii="仿宋" w:hAnsi="仿宋" w:eastAsia="仿宋"/>
          <w:sz w:val="28"/>
          <w:szCs w:val="28"/>
        </w:rPr>
        <w:t>联系方式：</w:t>
      </w:r>
      <w:r>
        <w:rPr>
          <w:rFonts w:hint="eastAsia" w:ascii="仿宋" w:hAnsi="仿宋" w:eastAsia="仿宋"/>
          <w:sz w:val="28"/>
          <w:szCs w:val="28"/>
          <w:u w:val="single"/>
        </w:rPr>
        <w:t xml:space="preserve">　李工（025-57918372）   </w:t>
      </w:r>
      <w:bookmarkStart w:id="34" w:name="_Toc28359009"/>
      <w:bookmarkStart w:id="35" w:name="_Toc28359086"/>
      <w:r>
        <w:rPr>
          <w:rFonts w:hint="eastAsia" w:ascii="仿宋" w:hAnsi="仿宋" w:eastAsia="仿宋"/>
          <w:sz w:val="28"/>
          <w:szCs w:val="28"/>
          <w:u w:val="single"/>
        </w:rPr>
        <w:t xml:space="preserve">  </w:t>
      </w:r>
    </w:p>
    <w:p w14:paraId="4DAB060F">
      <w:pPr>
        <w:spacing w:line="400" w:lineRule="exact"/>
        <w:ind w:firstLine="560" w:firstLineChars="200"/>
        <w:rPr>
          <w:rFonts w:hint="eastAsia" w:ascii="仿宋" w:hAnsi="仿宋" w:eastAsia="仿宋"/>
          <w:sz w:val="28"/>
          <w:szCs w:val="28"/>
        </w:rPr>
      </w:pPr>
      <w:r>
        <w:rPr>
          <w:rFonts w:hint="eastAsia" w:ascii="仿宋" w:hAnsi="仿宋" w:eastAsia="仿宋" w:cs="宋体"/>
          <w:sz w:val="28"/>
          <w:szCs w:val="28"/>
        </w:rPr>
        <w:t>2.采购代理机构信息</w:t>
      </w:r>
      <w:bookmarkEnd w:id="34"/>
      <w:bookmarkEnd w:id="35"/>
    </w:p>
    <w:p w14:paraId="3514536D">
      <w:pPr>
        <w:spacing w:line="400" w:lineRule="exact"/>
        <w:ind w:firstLine="560" w:firstLineChars="200"/>
        <w:rPr>
          <w:rFonts w:hint="eastAsia" w:ascii="仿宋" w:hAnsi="仿宋" w:eastAsia="仿宋"/>
          <w:sz w:val="28"/>
          <w:szCs w:val="28"/>
        </w:rPr>
      </w:pPr>
      <w:r>
        <w:rPr>
          <w:rFonts w:hint="eastAsia" w:ascii="仿宋" w:hAnsi="仿宋" w:eastAsia="仿宋"/>
          <w:sz w:val="28"/>
          <w:szCs w:val="28"/>
        </w:rPr>
        <w:t>名 称：</w:t>
      </w:r>
      <w:r>
        <w:rPr>
          <w:rFonts w:hint="eastAsia" w:ascii="仿宋" w:hAnsi="仿宋" w:eastAsia="仿宋"/>
          <w:sz w:val="28"/>
          <w:szCs w:val="28"/>
          <w:u w:val="single"/>
        </w:rPr>
        <w:t>　中通服咨询设计研究院有限公司　</w:t>
      </w:r>
    </w:p>
    <w:p w14:paraId="67D15E9A">
      <w:pPr>
        <w:spacing w:line="400" w:lineRule="exact"/>
        <w:ind w:firstLine="560" w:firstLineChars="200"/>
        <w:rPr>
          <w:rFonts w:hint="eastAsia" w:ascii="仿宋" w:hAnsi="仿宋" w:eastAsia="仿宋"/>
          <w:sz w:val="28"/>
          <w:szCs w:val="28"/>
        </w:rPr>
      </w:pPr>
      <w:r>
        <w:rPr>
          <w:rFonts w:hint="eastAsia" w:ascii="仿宋" w:hAnsi="仿宋" w:eastAsia="仿宋"/>
          <w:sz w:val="28"/>
          <w:szCs w:val="28"/>
        </w:rPr>
        <w:t>地　址：</w:t>
      </w:r>
      <w:r>
        <w:rPr>
          <w:rFonts w:hint="eastAsia" w:ascii="仿宋" w:hAnsi="仿宋" w:eastAsia="仿宋"/>
          <w:sz w:val="28"/>
          <w:szCs w:val="28"/>
          <w:u w:val="single"/>
        </w:rPr>
        <w:t>　南京市建邺区楠溪江东街58号　</w:t>
      </w:r>
    </w:p>
    <w:p w14:paraId="66272A43">
      <w:pPr>
        <w:spacing w:line="400" w:lineRule="exact"/>
        <w:ind w:firstLine="560" w:firstLineChars="200"/>
        <w:rPr>
          <w:rFonts w:hint="eastAsia" w:ascii="仿宋" w:hAnsi="仿宋" w:eastAsia="仿宋"/>
          <w:sz w:val="28"/>
          <w:szCs w:val="28"/>
        </w:rPr>
      </w:pPr>
      <w:r>
        <w:rPr>
          <w:rFonts w:hint="eastAsia" w:ascii="仿宋" w:hAnsi="仿宋" w:eastAsia="仿宋"/>
          <w:sz w:val="28"/>
          <w:szCs w:val="28"/>
        </w:rPr>
        <w:t>联系方式：</w:t>
      </w:r>
      <w:bookmarkStart w:id="36" w:name="_Toc28359087"/>
      <w:bookmarkStart w:id="37" w:name="_Toc28359010"/>
      <w:r>
        <w:rPr>
          <w:rFonts w:hint="eastAsia" w:ascii="仿宋" w:hAnsi="仿宋" w:eastAsia="仿宋"/>
          <w:sz w:val="28"/>
          <w:szCs w:val="28"/>
          <w:u w:val="single"/>
        </w:rPr>
        <w:t xml:space="preserve"> 陈沭、郑春雅、</w:t>
      </w:r>
      <w:bookmarkEnd w:id="36"/>
      <w:bookmarkEnd w:id="37"/>
      <w:r>
        <w:rPr>
          <w:rFonts w:hint="eastAsia" w:ascii="仿宋" w:hAnsi="仿宋" w:eastAsia="仿宋"/>
          <w:sz w:val="28"/>
          <w:szCs w:val="28"/>
          <w:u w:val="single"/>
        </w:rPr>
        <w:t>李谦、徐磊、胡洋、夏宜宁、朱晓琦、周明珠</w:t>
      </w:r>
    </w:p>
    <w:p w14:paraId="078D30E6">
      <w:pPr>
        <w:spacing w:line="400" w:lineRule="exact"/>
        <w:ind w:firstLine="560" w:firstLineChars="200"/>
        <w:rPr>
          <w:rFonts w:hint="eastAsia" w:ascii="仿宋" w:hAnsi="仿宋" w:eastAsia="仿宋" w:cs="宋体"/>
          <w:sz w:val="28"/>
          <w:szCs w:val="28"/>
        </w:rPr>
      </w:pPr>
      <w:bookmarkStart w:id="38" w:name="_Toc35393788"/>
      <w:bookmarkStart w:id="39" w:name="_Toc28359000"/>
      <w:bookmarkStart w:id="40" w:name="_Toc35393619"/>
      <w:bookmarkStart w:id="41" w:name="_Toc28359077"/>
      <w:r>
        <w:rPr>
          <w:rFonts w:hint="eastAsia" w:ascii="仿宋" w:hAnsi="仿宋" w:eastAsia="仿宋" w:cs="宋体"/>
          <w:sz w:val="28"/>
          <w:szCs w:val="28"/>
        </w:rPr>
        <w:t>3.项目联系方式</w:t>
      </w:r>
      <w:bookmarkEnd w:id="38"/>
      <w:bookmarkEnd w:id="39"/>
      <w:bookmarkEnd w:id="40"/>
      <w:bookmarkEnd w:id="41"/>
    </w:p>
    <w:p w14:paraId="4E9991E3">
      <w:pPr>
        <w:spacing w:line="400" w:lineRule="exact"/>
        <w:ind w:firstLine="560" w:firstLineChars="200"/>
        <w:rPr>
          <w:rFonts w:hint="eastAsia" w:ascii="仿宋" w:hAnsi="仿宋" w:eastAsia="仿宋" w:cs="宋体"/>
          <w:sz w:val="28"/>
          <w:szCs w:val="28"/>
        </w:rPr>
      </w:pPr>
      <w:r>
        <w:rPr>
          <w:rFonts w:hint="eastAsia" w:ascii="仿宋" w:hAnsi="仿宋" w:eastAsia="仿宋" w:cs="宋体"/>
          <w:sz w:val="28"/>
          <w:szCs w:val="28"/>
        </w:rPr>
        <w:t>项目联系人：</w:t>
      </w:r>
      <w:r>
        <w:rPr>
          <w:rFonts w:hint="eastAsia" w:ascii="仿宋" w:hAnsi="仿宋" w:eastAsia="仿宋" w:cs="宋体"/>
          <w:sz w:val="28"/>
          <w:szCs w:val="28"/>
          <w:u w:val="single"/>
        </w:rPr>
        <w:t xml:space="preserve"> 陈沭 </w:t>
      </w:r>
    </w:p>
    <w:p w14:paraId="747EA35A">
      <w:pPr>
        <w:spacing w:line="400" w:lineRule="exact"/>
        <w:ind w:firstLine="560" w:firstLineChars="200"/>
        <w:rPr>
          <w:lang w:val="zh-TW"/>
        </w:rPr>
      </w:pPr>
      <w:r>
        <w:rPr>
          <w:rFonts w:hint="eastAsia" w:ascii="仿宋" w:hAnsi="仿宋" w:eastAsia="仿宋" w:cs="宋体"/>
          <w:sz w:val="28"/>
          <w:szCs w:val="28"/>
        </w:rPr>
        <w:t>电　话：</w:t>
      </w:r>
      <w:r>
        <w:rPr>
          <w:rFonts w:hint="eastAsia" w:ascii="仿宋" w:hAnsi="仿宋" w:eastAsia="仿宋" w:cs="宋体"/>
          <w:sz w:val="28"/>
          <w:szCs w:val="28"/>
          <w:u w:val="single"/>
        </w:rPr>
        <w:t xml:space="preserve">  13913913997  </w:t>
      </w:r>
      <w:bookmarkEnd w:id="10"/>
      <w:r>
        <w:rPr>
          <w:rFonts w:hint="eastAsia" w:ascii="仿宋" w:hAnsi="仿宋" w:eastAsia="仿宋" w:cs="宋体"/>
          <w:sz w:val="28"/>
          <w:szCs w:val="28"/>
        </w:rPr>
        <w:t>　　　　　　　　　　</w:t>
      </w:r>
      <w:bookmarkStart w:id="42" w:name="_Toc448069941"/>
      <w:bookmarkStart w:id="43" w:name="_Toc11859486"/>
      <w:bookmarkStart w:id="44" w:name="_Toc415494524"/>
      <w:bookmarkStart w:id="45" w:name="_Toc1"/>
      <w:bookmarkStart w:id="84" w:name="_GoBack"/>
      <w:bookmarkEnd w:id="84"/>
    </w:p>
    <w:p w14:paraId="394DB77F">
      <w:pPr>
        <w:jc w:val="left"/>
        <w:rPr>
          <w:rFonts w:hint="eastAsia" w:ascii="黑体" w:hAnsi="黑体" w:eastAsia="黑体" w:cs="黑体"/>
          <w:color w:val="000000" w:themeColor="text1"/>
          <w:kern w:val="44"/>
          <w:sz w:val="36"/>
          <w:szCs w:val="36"/>
          <w:u w:color="000000"/>
          <w:lang w:val="zh-TW"/>
          <w14:textFill>
            <w14:solidFill>
              <w14:schemeClr w14:val="tx1"/>
            </w14:solidFill>
          </w14:textFill>
        </w:rPr>
      </w:pPr>
      <w:r>
        <w:rPr>
          <w:rFonts w:ascii="黑体" w:hAnsi="黑体" w:eastAsia="黑体" w:cs="黑体"/>
          <w:color w:val="000000" w:themeColor="text1"/>
          <w:kern w:val="44"/>
          <w:sz w:val="36"/>
          <w:szCs w:val="36"/>
          <w:u w:color="000000"/>
          <w:lang w:val="zh-TW"/>
          <w14:textFill>
            <w14:solidFill>
              <w14:schemeClr w14:val="tx1"/>
            </w14:solidFill>
          </w14:textFill>
        </w:rPr>
        <w:br w:type="page"/>
      </w:r>
    </w:p>
    <w:p w14:paraId="75854A17">
      <w:pPr>
        <w:jc w:val="center"/>
        <w:rPr>
          <w:rFonts w:hint="eastAsia" w:ascii="黑体" w:hAnsi="黑体" w:eastAsia="黑体" w:cs="黑体"/>
          <w:color w:val="000000" w:themeColor="text1"/>
          <w:kern w:val="44"/>
          <w:sz w:val="36"/>
          <w:szCs w:val="36"/>
          <w:u w:color="000000"/>
          <w:lang w:val="zh-TW"/>
          <w14:textFill>
            <w14:solidFill>
              <w14:schemeClr w14:val="tx1"/>
            </w14:solidFill>
          </w14:textFill>
        </w:rPr>
      </w:pPr>
      <w:r>
        <w:rPr>
          <w:rFonts w:ascii="黑体" w:hAnsi="黑体" w:eastAsia="黑体" w:cs="黑体"/>
          <w:color w:val="000000" w:themeColor="text1"/>
          <w:kern w:val="44"/>
          <w:sz w:val="36"/>
          <w:szCs w:val="36"/>
          <w:u w:color="000000"/>
          <w:lang w:val="zh-TW"/>
          <w14:textFill>
            <w14:solidFill>
              <w14:schemeClr w14:val="tx1"/>
            </w14:solidFill>
          </w14:textFill>
        </w:rPr>
        <w:t xml:space="preserve">第二章  </w:t>
      </w:r>
      <w:r>
        <w:rPr>
          <w:rFonts w:hint="eastAsia" w:ascii="黑体" w:hAnsi="黑体" w:eastAsia="黑体" w:cs="黑体"/>
          <w:color w:val="000000" w:themeColor="text1"/>
          <w:kern w:val="44"/>
          <w:sz w:val="36"/>
          <w:szCs w:val="36"/>
          <w:u w:color="000000"/>
          <w:lang w:val="zh-TW"/>
          <w14:textFill>
            <w14:solidFill>
              <w14:schemeClr w14:val="tx1"/>
            </w14:solidFill>
          </w14:textFill>
        </w:rPr>
        <w:t>投标人</w:t>
      </w:r>
      <w:r>
        <w:rPr>
          <w:rFonts w:ascii="黑体" w:hAnsi="黑体" w:eastAsia="黑体" w:cs="黑体"/>
          <w:color w:val="000000" w:themeColor="text1"/>
          <w:kern w:val="44"/>
          <w:sz w:val="36"/>
          <w:szCs w:val="36"/>
          <w:u w:color="000000"/>
          <w:lang w:val="zh-TW"/>
          <w14:textFill>
            <w14:solidFill>
              <w14:schemeClr w14:val="tx1"/>
            </w14:solidFill>
          </w14:textFill>
        </w:rPr>
        <w:t>须知</w:t>
      </w:r>
      <w:bookmarkEnd w:id="42"/>
      <w:bookmarkEnd w:id="43"/>
      <w:bookmarkEnd w:id="44"/>
      <w:bookmarkEnd w:id="45"/>
    </w:p>
    <w:p w14:paraId="15785516">
      <w:pPr>
        <w:snapToGrid w:val="0"/>
        <w:spacing w:line="360" w:lineRule="auto"/>
        <w:ind w:firstLine="482" w:firstLineChars="200"/>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一、总则</w:t>
      </w:r>
    </w:p>
    <w:p w14:paraId="4464E2DE">
      <w:pPr>
        <w:snapToGrid w:val="0"/>
        <w:spacing w:line="360" w:lineRule="auto"/>
        <w:ind w:firstLine="482" w:firstLineChars="200"/>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l、采购方式</w:t>
      </w:r>
    </w:p>
    <w:p w14:paraId="6D602920">
      <w:pPr>
        <w:adjustRightInd w:val="0"/>
        <w:snapToGrid w:val="0"/>
        <w:spacing w:line="360" w:lineRule="auto"/>
        <w:ind w:firstLine="480" w:firstLineChars="20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1.1本次采购采用公开</w:t>
      </w:r>
      <w:r>
        <w:rPr>
          <w:rFonts w:hint="eastAsia" w:ascii="Times New Roman" w:hAnsi="Times New Roman" w:cs="Times New Roman"/>
          <w:color w:val="000000" w:themeColor="text1"/>
          <w:sz w:val="24"/>
          <w:szCs w:val="24"/>
          <w14:textFill>
            <w14:solidFill>
              <w14:schemeClr w14:val="tx1"/>
            </w14:solidFill>
          </w14:textFill>
        </w:rPr>
        <w:t>采购人</w:t>
      </w:r>
      <w:r>
        <w:rPr>
          <w:rFonts w:ascii="Times New Roman" w:hAnsi="Times New Roman" w:cs="Times New Roman"/>
          <w:color w:val="000000" w:themeColor="text1"/>
          <w:sz w:val="24"/>
          <w:szCs w:val="24"/>
          <w14:textFill>
            <w14:solidFill>
              <w14:schemeClr w14:val="tx1"/>
            </w14:solidFill>
          </w14:textFill>
        </w:rPr>
        <w:t>式，本采购文件仅适用于采购公告中所述项目。</w:t>
      </w:r>
    </w:p>
    <w:p w14:paraId="1D169F99">
      <w:pPr>
        <w:snapToGrid w:val="0"/>
        <w:spacing w:line="360" w:lineRule="auto"/>
        <w:ind w:firstLine="482" w:firstLineChars="200"/>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2、合格的投标人</w:t>
      </w:r>
    </w:p>
    <w:p w14:paraId="07F56483">
      <w:pPr>
        <w:snapToGrid w:val="0"/>
        <w:spacing w:line="360" w:lineRule="auto"/>
        <w:ind w:firstLine="480" w:firstLineChars="20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2.1满足采购公告中投标人资质要求的规定。</w:t>
      </w:r>
    </w:p>
    <w:p w14:paraId="6C1DA458">
      <w:pPr>
        <w:snapToGrid w:val="0"/>
        <w:spacing w:line="360" w:lineRule="auto"/>
        <w:ind w:firstLine="480" w:firstLineChars="20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2.2 满足本文件实质性条款的规定。</w:t>
      </w:r>
    </w:p>
    <w:p w14:paraId="4836AAFF">
      <w:pPr>
        <w:snapToGrid w:val="0"/>
        <w:spacing w:line="360" w:lineRule="auto"/>
        <w:ind w:firstLine="482" w:firstLineChars="200"/>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3、适用法律</w:t>
      </w:r>
    </w:p>
    <w:p w14:paraId="744AC92F">
      <w:pPr>
        <w:snapToGrid w:val="0"/>
        <w:spacing w:line="360" w:lineRule="auto"/>
        <w:ind w:firstLine="480" w:firstLineChars="20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3.1本次采购及由本次采购产生的合同受中华人民共和国有关法律法规制约和保护。</w:t>
      </w:r>
    </w:p>
    <w:p w14:paraId="7414F407">
      <w:pPr>
        <w:snapToGrid w:val="0"/>
        <w:spacing w:line="360" w:lineRule="auto"/>
        <w:ind w:firstLine="48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3.2 政策功能</w:t>
      </w:r>
    </w:p>
    <w:p w14:paraId="62E2965E">
      <w:pPr>
        <w:snapToGrid w:val="0"/>
        <w:spacing w:line="360" w:lineRule="auto"/>
        <w:ind w:firstLine="480" w:firstLineChars="200"/>
        <w:rPr>
          <w:rFonts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color w:val="000000" w:themeColor="text1"/>
          <w:sz w:val="24"/>
          <w:szCs w:val="24"/>
          <w14:textFill>
            <w14:solidFill>
              <w14:schemeClr w14:val="tx1"/>
            </w14:solidFill>
          </w14:textFill>
        </w:rPr>
        <w:t xml:space="preserve">3.2.1 促进中小企业发展。在政府采购活动中，投标人提供的货物、工程或者服务符合下列情形的，享受中小企业扶持政策： </w:t>
      </w:r>
    </w:p>
    <w:p w14:paraId="29AF8EA8">
      <w:pPr>
        <w:snapToGrid w:val="0"/>
        <w:spacing w:line="360" w:lineRule="auto"/>
        <w:ind w:firstLine="480" w:firstLineChars="200"/>
        <w:rPr>
          <w:rFonts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color w:val="000000" w:themeColor="text1"/>
          <w:sz w:val="24"/>
          <w:szCs w:val="24"/>
          <w14:textFill>
            <w14:solidFill>
              <w14:schemeClr w14:val="tx1"/>
            </w14:solidFill>
          </w14:textFill>
        </w:rPr>
        <w:t xml:space="preserve">（1）在货物采购项目中，货物由中小企业制造，即货物由中小企业生产且使用该中小企业商号或者注册商标； </w:t>
      </w:r>
    </w:p>
    <w:p w14:paraId="4F009C32">
      <w:pPr>
        <w:snapToGrid w:val="0"/>
        <w:spacing w:line="360" w:lineRule="auto"/>
        <w:ind w:firstLine="480" w:firstLineChars="200"/>
        <w:rPr>
          <w:rFonts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color w:val="000000" w:themeColor="text1"/>
          <w:sz w:val="24"/>
          <w:szCs w:val="24"/>
          <w14:textFill>
            <w14:solidFill>
              <w14:schemeClr w14:val="tx1"/>
            </w14:solidFill>
          </w14:textFill>
        </w:rPr>
        <w:t xml:space="preserve">（2）在工程采购项目中，工程由中小企业承建，即工程施工单位为中小企业； </w:t>
      </w:r>
    </w:p>
    <w:p w14:paraId="657509D8">
      <w:pPr>
        <w:snapToGrid w:val="0"/>
        <w:spacing w:line="360" w:lineRule="auto"/>
        <w:ind w:firstLine="480" w:firstLineChars="200"/>
        <w:rPr>
          <w:rFonts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color w:val="000000" w:themeColor="text1"/>
          <w:sz w:val="24"/>
          <w:szCs w:val="24"/>
          <w14:textFill>
            <w14:solidFill>
              <w14:schemeClr w14:val="tx1"/>
            </w14:solidFill>
          </w14:textFill>
        </w:rPr>
        <w:t xml:space="preserve">（3）在服务采购项目中，服务由中小企业承接，即提供服务的人员为中小企业依照《中华人民共和国劳动合同法》订立劳动合同的从业人员。在货物采购项目中，投标人提供的货物既有中小企业制造货物，也有大型企业制造货物的，不享受中小企业扶持政策。以联合体形式参加政府采购活动，联合体各方均为中小企业的，联合体视同中小企业。其中，联合体各方均为小微企业的，联合体视同小微企业。中小企业投标人参加政府采购活动，应当出具《中小企业声明函》，否则不得享受相关中小企业扶持政策。中小企业，是指在中华人民共和国境内依法设立，依据国务院批准的中小企业划分标准（详见《关于印发中小企业划型标准规定的通知》工信部联企业〔2011〕300号及《国家统计局关于印发〈统计上大中小微型企业划分办法（2017）〉的通知》国统字〔2017〕213号）确定的中型企业、小型企业和微型企业，但与大企业的负责人为同一人，或者与大企业存在直接控股、管理关系的除外。符合中小企业划分标准的个体工商户，在政府采购活动中视同中小企业。 </w:t>
      </w:r>
    </w:p>
    <w:p w14:paraId="5607A1F2">
      <w:pPr>
        <w:snapToGrid w:val="0"/>
        <w:spacing w:line="360" w:lineRule="auto"/>
        <w:ind w:firstLine="480" w:firstLineChars="200"/>
        <w:rPr>
          <w:rFonts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color w:val="000000" w:themeColor="text1"/>
          <w:sz w:val="24"/>
          <w:szCs w:val="24"/>
          <w14:textFill>
            <w14:solidFill>
              <w14:schemeClr w14:val="tx1"/>
            </w14:solidFill>
          </w14:textFill>
        </w:rPr>
        <w:t xml:space="preserve">3.2.2 支持监狱和戒毒企业。监狱和戒毒企业提供的产品和服务，在评标时将按照财库〔2014〕68号获得优势，参加投标的监狱和戒毒企业，应当提供由省级以上监狱管理局、戒毒管理局（含新疆生产建设兵团）出具的属于监狱企业的证明文件。 </w:t>
      </w:r>
    </w:p>
    <w:p w14:paraId="7DDCB221">
      <w:pPr>
        <w:snapToGrid w:val="0"/>
        <w:spacing w:line="360" w:lineRule="auto"/>
        <w:ind w:firstLine="480" w:firstLineChars="200"/>
        <w:rPr>
          <w:rFonts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color w:val="000000" w:themeColor="text1"/>
          <w:sz w:val="24"/>
          <w:szCs w:val="24"/>
          <w14:textFill>
            <w14:solidFill>
              <w14:schemeClr w14:val="tx1"/>
            </w14:solidFill>
          </w14:textFill>
        </w:rPr>
        <w:t xml:space="preserve">3.2.3 促进残疾人就业。残疾人福利性单位提供的产品和服务，在评标时将按照财库〔2017〕141号获得优势，参加投标的残疾人福利性单位，应当提供《残疾人福利性单位声明函》（格式见附件）。 </w:t>
      </w:r>
    </w:p>
    <w:p w14:paraId="16AA8770">
      <w:pPr>
        <w:snapToGrid w:val="0"/>
        <w:spacing w:line="360" w:lineRule="auto"/>
        <w:ind w:firstLine="480" w:firstLineChars="200"/>
        <w:rPr>
          <w:rFonts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color w:val="000000" w:themeColor="text1"/>
          <w:sz w:val="24"/>
          <w:szCs w:val="24"/>
          <w14:textFill>
            <w14:solidFill>
              <w14:schemeClr w14:val="tx1"/>
            </w14:solidFill>
          </w14:textFill>
        </w:rPr>
        <w:t xml:space="preserve">3.2.4 强制采购节能产品、信息安全产品，优先采购环境标志产品。节能产品是指列入财政部、国家发展和改革委员会制定的《节能产品政府采购品目清单》，且经过认定的节能产品；信息安全产品是指列入国家质检总局、国家认监委《信息安全产品强制性认证目录》，并获得强制性产品认证证书的产品；环境标志产品是指列入财政部、生态环境部制定的《环境标志产品政府采购品目清单》，且依据相关标准的最新版本认证的环境标志产品。 </w:t>
      </w:r>
    </w:p>
    <w:p w14:paraId="271A9973">
      <w:pPr>
        <w:snapToGrid w:val="0"/>
        <w:spacing w:line="360" w:lineRule="auto"/>
        <w:ind w:firstLine="480" w:firstLineChars="200"/>
        <w:rPr>
          <w:rFonts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color w:val="000000" w:themeColor="text1"/>
          <w:sz w:val="24"/>
          <w:szCs w:val="24"/>
          <w14:textFill>
            <w14:solidFill>
              <w14:schemeClr w14:val="tx1"/>
            </w14:solidFill>
          </w14:textFill>
        </w:rPr>
        <w:t xml:space="preserve">3.2.5 采购的产品属于信息安全产品的，投标人应当选择经国家认证的信息安全产品投标，并提供由中国信息安全认证中心按国家标准认证颁发的有效认证证书。 </w:t>
      </w:r>
    </w:p>
    <w:p w14:paraId="427D8860">
      <w:pPr>
        <w:snapToGrid w:val="0"/>
        <w:spacing w:line="360" w:lineRule="auto"/>
        <w:ind w:firstLine="480" w:firstLineChars="200"/>
        <w:rPr>
          <w:rFonts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color w:val="000000" w:themeColor="text1"/>
          <w:sz w:val="24"/>
          <w:szCs w:val="24"/>
          <w14:textFill>
            <w14:solidFill>
              <w14:schemeClr w14:val="tx1"/>
            </w14:solidFill>
          </w14:textFill>
        </w:rPr>
        <w:t xml:space="preserve">3.2.6 采购的产品属于政府强制采购节能产品的，投标人应当选择依据国家标准中二级能效（水效）指标认证的节能产品投标，并提供有效的节能产品认证证书。 </w:t>
      </w:r>
    </w:p>
    <w:p w14:paraId="64E59C2C">
      <w:pPr>
        <w:snapToGrid w:val="0"/>
        <w:spacing w:line="360" w:lineRule="auto"/>
        <w:ind w:firstLine="480" w:firstLineChars="200"/>
      </w:pPr>
      <w:r>
        <w:rPr>
          <w:rFonts w:hint="eastAsia" w:ascii="Times New Roman" w:hAnsi="Times New Roman" w:cs="Times New Roman"/>
          <w:color w:val="000000" w:themeColor="text1"/>
          <w:sz w:val="24"/>
          <w:szCs w:val="24"/>
          <w14:textFill>
            <w14:solidFill>
              <w14:schemeClr w14:val="tx1"/>
            </w14:solidFill>
          </w14:textFill>
        </w:rPr>
        <w:t>3.2.7采购的产品属于环境标志产品的,投标人应当选择依据相关标准的最新版本认证的环境标志产品投标,并提供有效的环境标志产品认证证书。</w:t>
      </w:r>
    </w:p>
    <w:p w14:paraId="57A520E5">
      <w:pPr>
        <w:snapToGrid w:val="0"/>
        <w:spacing w:line="360" w:lineRule="auto"/>
        <w:ind w:firstLine="482" w:firstLineChars="200"/>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4、投标费用</w:t>
      </w:r>
    </w:p>
    <w:p w14:paraId="74EBD405">
      <w:pPr>
        <w:snapToGrid w:val="0"/>
        <w:spacing w:line="360" w:lineRule="auto"/>
        <w:ind w:firstLine="480" w:firstLineChars="20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4.1投标人应自行承担所有参与投标有关费用，无论投标过程中的做法和结果如何，采购人在任何情况下均无义务和责任承担这些费用。</w:t>
      </w:r>
    </w:p>
    <w:p w14:paraId="1631B410">
      <w:pPr>
        <w:snapToGrid w:val="0"/>
        <w:spacing w:line="360" w:lineRule="auto"/>
        <w:ind w:firstLine="480" w:firstLineChars="20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4.2本项目收取投标人标书费见公告，招标代理服务费由中标人支付，按照国家发展和改革委员会下发的《关于降低部分建设项目收费标准规范收费行为等有关问题的通知》（发改价格[2011]534号）所列招标代理服务费收费标准下浮</w:t>
      </w:r>
      <w:r>
        <w:rPr>
          <w:rFonts w:hint="eastAsia" w:ascii="Times New Roman" w:hAnsi="Times New Roman" w:cs="Times New Roman"/>
          <w:color w:val="000000" w:themeColor="text1"/>
          <w:sz w:val="24"/>
          <w:szCs w:val="24"/>
          <w14:textFill>
            <w14:solidFill>
              <w14:schemeClr w14:val="tx1"/>
            </w14:solidFill>
          </w14:textFill>
        </w:rPr>
        <w:t>47</w:t>
      </w:r>
      <w:r>
        <w:rPr>
          <w:rFonts w:ascii="Times New Roman" w:hAnsi="Times New Roman" w:cs="Times New Roman"/>
          <w:color w:val="000000" w:themeColor="text1"/>
          <w:sz w:val="24"/>
          <w:szCs w:val="24"/>
          <w14:textFill>
            <w14:solidFill>
              <w14:schemeClr w14:val="tx1"/>
            </w14:solidFill>
          </w14:textFill>
        </w:rPr>
        <w:t>%（优惠率）收取。</w:t>
      </w:r>
    </w:p>
    <w:p w14:paraId="0BD58130">
      <w:pPr>
        <w:snapToGrid w:val="0"/>
        <w:spacing w:line="360" w:lineRule="auto"/>
        <w:ind w:firstLine="482" w:firstLineChars="200"/>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5、采购文件的约束力</w:t>
      </w:r>
    </w:p>
    <w:p w14:paraId="18C9CAD5">
      <w:pPr>
        <w:snapToGrid w:val="0"/>
        <w:spacing w:line="360" w:lineRule="auto"/>
        <w:ind w:firstLine="480" w:firstLineChars="20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5.1投标人一旦</w:t>
      </w:r>
      <w:r>
        <w:rPr>
          <w:rFonts w:hint="eastAsia" w:ascii="Times New Roman" w:hAnsi="Times New Roman" w:cs="Times New Roman"/>
          <w:color w:val="000000" w:themeColor="text1"/>
          <w:sz w:val="24"/>
          <w:szCs w:val="24"/>
          <w14:textFill>
            <w14:solidFill>
              <w14:schemeClr w14:val="tx1"/>
            </w14:solidFill>
          </w14:textFill>
        </w:rPr>
        <w:t>接收</w:t>
      </w:r>
      <w:r>
        <w:rPr>
          <w:rFonts w:ascii="Times New Roman" w:hAnsi="Times New Roman" w:cs="Times New Roman"/>
          <w:color w:val="000000" w:themeColor="text1"/>
          <w:sz w:val="24"/>
          <w:szCs w:val="24"/>
          <w14:textFill>
            <w14:solidFill>
              <w14:schemeClr w14:val="tx1"/>
            </w14:solidFill>
          </w14:textFill>
        </w:rPr>
        <w:t>了本采购文件并参与投标，即被认为接受了本采购文件中的所有条件和规定。</w:t>
      </w:r>
    </w:p>
    <w:p w14:paraId="1077104B">
      <w:pPr>
        <w:snapToGrid w:val="0"/>
        <w:spacing w:line="360" w:lineRule="auto"/>
        <w:ind w:firstLine="482" w:firstLineChars="200"/>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二、采购文件</w:t>
      </w:r>
    </w:p>
    <w:p w14:paraId="42B8C897">
      <w:pPr>
        <w:snapToGrid w:val="0"/>
        <w:spacing w:line="360" w:lineRule="auto"/>
        <w:ind w:firstLine="482" w:firstLineChars="200"/>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6、采购文件的构成</w:t>
      </w:r>
    </w:p>
    <w:p w14:paraId="45F41D4D">
      <w:pPr>
        <w:snapToGrid w:val="0"/>
        <w:spacing w:line="360" w:lineRule="auto"/>
        <w:ind w:firstLine="480" w:firstLineChars="20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6.1采购文件由以下部分组成：</w:t>
      </w:r>
    </w:p>
    <w:p w14:paraId="4114E1A6">
      <w:pPr>
        <w:snapToGrid w:val="0"/>
        <w:spacing w:line="360" w:lineRule="auto"/>
        <w:ind w:firstLine="360" w:firstLineChars="15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（1）</w:t>
      </w:r>
      <w:r>
        <w:rPr>
          <w:rFonts w:hint="eastAsia" w:ascii="Times New Roman" w:hAnsi="Times New Roman" w:cs="Times New Roman"/>
          <w:color w:val="000000" w:themeColor="text1"/>
          <w:sz w:val="24"/>
          <w:szCs w:val="24"/>
          <w14:textFill>
            <w14:solidFill>
              <w14:schemeClr w14:val="tx1"/>
            </w14:solidFill>
          </w14:textFill>
        </w:rPr>
        <w:t>招标</w:t>
      </w:r>
      <w:r>
        <w:rPr>
          <w:rFonts w:ascii="Times New Roman" w:hAnsi="Times New Roman" w:cs="Times New Roman"/>
          <w:color w:val="000000" w:themeColor="text1"/>
          <w:sz w:val="24"/>
          <w:szCs w:val="24"/>
          <w14:textFill>
            <w14:solidFill>
              <w14:schemeClr w14:val="tx1"/>
            </w14:solidFill>
          </w14:textFill>
        </w:rPr>
        <w:t>公告</w:t>
      </w:r>
    </w:p>
    <w:p w14:paraId="59216C81">
      <w:pPr>
        <w:snapToGrid w:val="0"/>
        <w:spacing w:line="360" w:lineRule="auto"/>
        <w:ind w:firstLine="360" w:firstLineChars="15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（2）投标人须知</w:t>
      </w:r>
    </w:p>
    <w:p w14:paraId="724C6A7A">
      <w:pPr>
        <w:snapToGrid w:val="0"/>
        <w:spacing w:line="360" w:lineRule="auto"/>
        <w:ind w:firstLine="360" w:firstLineChars="15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（3）合同条款及格式</w:t>
      </w:r>
    </w:p>
    <w:p w14:paraId="789DAD73">
      <w:pPr>
        <w:snapToGrid w:val="0"/>
        <w:spacing w:line="360" w:lineRule="auto"/>
        <w:ind w:firstLine="360" w:firstLineChars="15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（4）项目需求</w:t>
      </w:r>
    </w:p>
    <w:p w14:paraId="5413FA9B">
      <w:pPr>
        <w:snapToGrid w:val="0"/>
        <w:spacing w:line="360" w:lineRule="auto"/>
        <w:ind w:firstLine="360" w:firstLineChars="15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（5）评标方法与评标标准</w:t>
      </w:r>
    </w:p>
    <w:p w14:paraId="1D81E075">
      <w:pPr>
        <w:snapToGrid w:val="0"/>
        <w:spacing w:line="360" w:lineRule="auto"/>
        <w:ind w:firstLine="360" w:firstLineChars="15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（6）投标文件格式</w:t>
      </w:r>
    </w:p>
    <w:p w14:paraId="1A8C9B4F">
      <w:pPr>
        <w:snapToGrid w:val="0"/>
        <w:spacing w:line="360" w:lineRule="auto"/>
        <w:ind w:firstLine="480" w:firstLineChars="20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请仔细检查采购文件是否齐全，如有缺漏请立即与</w:t>
      </w:r>
      <w:r>
        <w:rPr>
          <w:rFonts w:hint="eastAsia" w:ascii="Times New Roman" w:hAnsi="Times New Roman" w:cs="Times New Roman"/>
          <w:color w:val="000000" w:themeColor="text1"/>
          <w:sz w:val="24"/>
          <w:szCs w:val="24"/>
          <w14:textFill>
            <w14:solidFill>
              <w14:schemeClr w14:val="tx1"/>
            </w14:solidFill>
          </w14:textFill>
        </w:rPr>
        <w:t>招标</w:t>
      </w:r>
      <w:r>
        <w:rPr>
          <w:rFonts w:ascii="Times New Roman" w:hAnsi="Times New Roman" w:cs="Times New Roman"/>
          <w:color w:val="000000" w:themeColor="text1"/>
          <w:sz w:val="24"/>
          <w:szCs w:val="24"/>
          <w14:textFill>
            <w14:solidFill>
              <w14:schemeClr w14:val="tx1"/>
            </w14:solidFill>
          </w14:textFill>
        </w:rPr>
        <w:t>代理机构联系解决。</w:t>
      </w:r>
    </w:p>
    <w:p w14:paraId="1F2EDF06">
      <w:pPr>
        <w:snapToGrid w:val="0"/>
        <w:spacing w:line="360" w:lineRule="auto"/>
        <w:ind w:firstLine="480" w:firstLineChars="20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6.2投标人应认真阅读采购文件中所有的事项、格式、条款和规范等要求。按采购文件要求和规定编制投标文件，并保证所提供的全部资料的真实性，以使其投标文件对采购文件作出实质性响应，否则其风险由投标人自行承担。</w:t>
      </w:r>
    </w:p>
    <w:p w14:paraId="642E9AEE">
      <w:pPr>
        <w:snapToGrid w:val="0"/>
        <w:spacing w:line="360" w:lineRule="auto"/>
        <w:ind w:firstLine="482" w:firstLineChars="200"/>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7、采购文件的澄清</w:t>
      </w:r>
    </w:p>
    <w:p w14:paraId="6AFA8DAD">
      <w:pPr>
        <w:snapToGrid w:val="0"/>
        <w:spacing w:line="360" w:lineRule="auto"/>
        <w:ind w:firstLine="480" w:firstLineChars="20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任何要求对采购文件进行澄清的投标人，均应在投标截止期前十日前以书面形式通知采购人。</w:t>
      </w:r>
    </w:p>
    <w:p w14:paraId="291A114C">
      <w:pPr>
        <w:snapToGrid w:val="0"/>
        <w:spacing w:line="360" w:lineRule="auto"/>
        <w:ind w:firstLine="482" w:firstLineChars="200"/>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8、采购文件的修改</w:t>
      </w:r>
    </w:p>
    <w:p w14:paraId="6816565E">
      <w:pPr>
        <w:snapToGrid w:val="0"/>
        <w:spacing w:line="360" w:lineRule="auto"/>
        <w:ind w:firstLine="480" w:firstLineChars="20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8.l在投标截止日期前，无论何种原因，采购人均可主动或在解答投标人提出的澄清问题时对采购文件进行修改。</w:t>
      </w:r>
    </w:p>
    <w:p w14:paraId="3BFC321C">
      <w:pPr>
        <w:snapToGrid w:val="0"/>
        <w:spacing w:line="360" w:lineRule="auto"/>
        <w:ind w:firstLine="480" w:firstLineChars="20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8.2采购文件的修改将在“</w:t>
      </w:r>
      <w:bookmarkStart w:id="46" w:name="OLE_LINK7"/>
      <w:r>
        <w:rPr>
          <w:rFonts w:hint="eastAsia" w:ascii="Times New Roman" w:hAnsi="Times New Roman" w:cs="Times New Roman"/>
          <w:color w:val="000000" w:themeColor="text1"/>
          <w:sz w:val="24"/>
          <w:szCs w:val="24"/>
          <w14:textFill>
            <w14:solidFill>
              <w14:schemeClr w14:val="tx1"/>
            </w14:solidFill>
          </w14:textFill>
        </w:rPr>
        <w:t>南京市公共采购信息网</w:t>
      </w:r>
      <w:bookmarkEnd w:id="46"/>
      <w:r>
        <w:rPr>
          <w:rFonts w:ascii="Times New Roman" w:hAnsi="Times New Roman" w:cs="Times New Roman"/>
          <w:color w:val="000000" w:themeColor="text1"/>
          <w:sz w:val="24"/>
          <w:szCs w:val="24"/>
          <w14:textFill>
            <w14:solidFill>
              <w14:schemeClr w14:val="tx1"/>
            </w14:solidFill>
          </w14:textFill>
        </w:rPr>
        <w:t>”网站上公布，并对所有投标人具有约束力。</w:t>
      </w:r>
    </w:p>
    <w:p w14:paraId="551B2D78">
      <w:pPr>
        <w:snapToGrid w:val="0"/>
        <w:spacing w:line="360" w:lineRule="auto"/>
        <w:ind w:firstLine="480" w:firstLineChars="20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8.3为使投标人编写标书有充分时间对标书文件的修改部分进行分析、研究，采购人有权推迟投标截止日期和开标日期，并将此变更书面通知所有购买采购文件的投标人。</w:t>
      </w:r>
    </w:p>
    <w:p w14:paraId="0EAC3182">
      <w:pPr>
        <w:snapToGrid w:val="0"/>
        <w:spacing w:line="360" w:lineRule="auto"/>
        <w:ind w:firstLine="482" w:firstLineChars="200"/>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三、投标文件的编制</w:t>
      </w:r>
    </w:p>
    <w:p w14:paraId="7EF404B1">
      <w:pPr>
        <w:snapToGrid w:val="0"/>
        <w:spacing w:line="360" w:lineRule="auto"/>
        <w:ind w:firstLine="482" w:firstLineChars="200"/>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9、投标语言及度量衡单位</w:t>
      </w:r>
    </w:p>
    <w:p w14:paraId="7264EA8A">
      <w:pPr>
        <w:snapToGrid w:val="0"/>
        <w:spacing w:line="360" w:lineRule="auto"/>
        <w:ind w:firstLine="480" w:firstLineChars="20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9.1投标人提供的投标文件以及投标人与采购人就有关投标的所有来往通知、函件和文件均使用</w:t>
      </w:r>
      <w:r>
        <w:rPr>
          <w:rFonts w:ascii="Times New Roman" w:hAnsi="Times New Roman" w:cs="Times New Roman"/>
          <w:b/>
          <w:color w:val="000000" w:themeColor="text1"/>
          <w:sz w:val="24"/>
          <w:szCs w:val="24"/>
          <w14:textFill>
            <w14:solidFill>
              <w14:schemeClr w14:val="tx1"/>
            </w14:solidFill>
          </w14:textFill>
        </w:rPr>
        <w:t>简体中文</w:t>
      </w:r>
      <w:r>
        <w:rPr>
          <w:rFonts w:ascii="Times New Roman" w:hAnsi="Times New Roman" w:cs="Times New Roman"/>
          <w:color w:val="000000" w:themeColor="text1"/>
          <w:sz w:val="24"/>
          <w:szCs w:val="24"/>
          <w14:textFill>
            <w14:solidFill>
              <w14:schemeClr w14:val="tx1"/>
            </w14:solidFill>
          </w14:textFill>
        </w:rPr>
        <w:t>。</w:t>
      </w:r>
    </w:p>
    <w:p w14:paraId="2486B43C">
      <w:pPr>
        <w:snapToGrid w:val="0"/>
        <w:spacing w:line="360" w:lineRule="auto"/>
        <w:ind w:firstLine="480" w:firstLineChars="20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9.2除技术性能另有规定外，投标文件所使用的度量衡单位，均采用国家法定计量单位。</w:t>
      </w:r>
    </w:p>
    <w:p w14:paraId="5EBD1E43">
      <w:pPr>
        <w:snapToGrid w:val="0"/>
        <w:spacing w:line="360" w:lineRule="auto"/>
        <w:ind w:firstLine="482" w:firstLineChars="200"/>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10、投标文件的构成</w:t>
      </w:r>
    </w:p>
    <w:p w14:paraId="183EE096">
      <w:pPr>
        <w:snapToGrid w:val="0"/>
        <w:spacing w:line="360" w:lineRule="auto"/>
        <w:ind w:firstLine="480" w:firstLineChars="20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投标人编写的投标文件应包括下列部分：</w:t>
      </w:r>
    </w:p>
    <w:p w14:paraId="3F3A91B7">
      <w:pPr>
        <w:snapToGrid w:val="0"/>
        <w:spacing w:line="360" w:lineRule="auto"/>
        <w:ind w:firstLine="480" w:firstLineChars="20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10.1投标文件目录；</w:t>
      </w:r>
    </w:p>
    <w:p w14:paraId="44F4EE4D">
      <w:pPr>
        <w:snapToGrid w:val="0"/>
        <w:spacing w:line="360" w:lineRule="auto"/>
        <w:ind w:firstLine="480" w:firstLineChars="20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10.2投标函：须含投标人的开户名称、开户银行、账号、电话、传真、E-mail等联系方式；</w:t>
      </w:r>
    </w:p>
    <w:p w14:paraId="0366CB21">
      <w:pPr>
        <w:snapToGrid w:val="0"/>
        <w:spacing w:line="360" w:lineRule="auto"/>
        <w:ind w:firstLine="480" w:firstLineChars="20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10.3投标人资格证明材料；</w:t>
      </w:r>
    </w:p>
    <w:p w14:paraId="198B6B96">
      <w:pPr>
        <w:snapToGrid w:val="0"/>
        <w:spacing w:line="360" w:lineRule="auto"/>
        <w:ind w:firstLine="480" w:firstLineChars="20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（1）法人或者其他组织的营业执照等证明文件（复印件）；</w:t>
      </w:r>
    </w:p>
    <w:p w14:paraId="14AB0E9F">
      <w:pPr>
        <w:snapToGrid w:val="0"/>
        <w:spacing w:line="360" w:lineRule="auto"/>
        <w:ind w:firstLine="480" w:firstLineChars="20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（2）相关资质证明材料（复印件）；</w:t>
      </w:r>
    </w:p>
    <w:p w14:paraId="015C94ED">
      <w:pPr>
        <w:snapToGrid w:val="0"/>
        <w:spacing w:line="360" w:lineRule="auto"/>
        <w:ind w:firstLine="480" w:firstLineChars="20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（3）法人授权委托书（复印件）；</w:t>
      </w:r>
    </w:p>
    <w:p w14:paraId="57C9ED30">
      <w:pPr>
        <w:snapToGrid w:val="0"/>
        <w:spacing w:line="360" w:lineRule="auto"/>
        <w:ind w:firstLine="480" w:firstLineChars="20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（4）法定代表人的身份证复印件；</w:t>
      </w:r>
    </w:p>
    <w:p w14:paraId="789D20E7">
      <w:pPr>
        <w:snapToGrid w:val="0"/>
        <w:spacing w:line="360" w:lineRule="auto"/>
        <w:ind w:firstLine="480" w:firstLineChars="20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（5）授权代表的身份证复印件（开标现场查验原件）；</w:t>
      </w:r>
    </w:p>
    <w:p w14:paraId="3F043AC0">
      <w:pPr>
        <w:snapToGrid w:val="0"/>
        <w:spacing w:line="360" w:lineRule="auto"/>
        <w:ind w:firstLine="480" w:firstLineChars="20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（6）具有项目必须的技术条件或经营能力的书面声明；</w:t>
      </w:r>
    </w:p>
    <w:p w14:paraId="204EA2E8">
      <w:pPr>
        <w:snapToGrid w:val="0"/>
        <w:spacing w:line="360" w:lineRule="auto"/>
        <w:ind w:firstLine="480" w:firstLineChars="20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（7）无违法违规记录声明；</w:t>
      </w:r>
    </w:p>
    <w:p w14:paraId="03CC58E1">
      <w:pPr>
        <w:snapToGrid w:val="0"/>
        <w:spacing w:line="360" w:lineRule="auto"/>
        <w:ind w:firstLine="480" w:firstLineChars="20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（8）采购文件中的其他资格性要求（详见采购公告第三条投标人资格要求）。</w:t>
      </w:r>
    </w:p>
    <w:p w14:paraId="517A64DD">
      <w:pPr>
        <w:snapToGrid w:val="0"/>
        <w:spacing w:line="360" w:lineRule="auto"/>
        <w:ind w:firstLine="480" w:firstLineChars="20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上述文件均应</w:t>
      </w:r>
      <w:r>
        <w:rPr>
          <w:rFonts w:hint="eastAsia" w:ascii="Times New Roman" w:hAnsi="Times New Roman" w:cs="Times New Roman"/>
          <w:color w:val="000000" w:themeColor="text1"/>
          <w:sz w:val="24"/>
          <w:szCs w:val="24"/>
          <w14:textFill>
            <w14:solidFill>
              <w14:schemeClr w14:val="tx1"/>
            </w14:solidFill>
          </w14:textFill>
        </w:rPr>
        <w:t>加盖投标人公章</w:t>
      </w:r>
      <w:r>
        <w:rPr>
          <w:rFonts w:ascii="Times New Roman" w:hAnsi="Times New Roman" w:cs="Times New Roman"/>
          <w:color w:val="000000" w:themeColor="text1"/>
          <w:sz w:val="24"/>
          <w:szCs w:val="24"/>
          <w14:textFill>
            <w14:solidFill>
              <w14:schemeClr w14:val="tx1"/>
            </w14:solidFill>
          </w14:textFill>
        </w:rPr>
        <w:t>。</w:t>
      </w:r>
    </w:p>
    <w:p w14:paraId="5F7C43CE">
      <w:pPr>
        <w:snapToGrid w:val="0"/>
        <w:spacing w:line="360" w:lineRule="auto"/>
        <w:ind w:firstLine="480" w:firstLineChars="20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10.4开标一览表：</w:t>
      </w:r>
    </w:p>
    <w:p w14:paraId="3D4227A7">
      <w:pPr>
        <w:snapToGrid w:val="0"/>
        <w:spacing w:line="360" w:lineRule="auto"/>
        <w:ind w:firstLine="480" w:firstLineChars="20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（1）投标人应按照采购文件中提供的格式完整、正确地填写开标一览表。</w:t>
      </w:r>
    </w:p>
    <w:p w14:paraId="2DF80823">
      <w:pPr>
        <w:snapToGrid w:val="0"/>
        <w:spacing w:line="360" w:lineRule="auto"/>
        <w:ind w:firstLine="480" w:firstLineChars="20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（2）投标人应采用分项报价最终汇总的方式进行，按照采购文件要求报价，在表中标明所提供的</w:t>
      </w:r>
      <w:r>
        <w:rPr>
          <w:rFonts w:hint="eastAsia" w:ascii="Times New Roman" w:hAnsi="Times New Roman" w:cs="Times New Roman"/>
          <w:color w:val="000000" w:themeColor="text1"/>
          <w:sz w:val="24"/>
          <w:szCs w:val="24"/>
          <w14:textFill>
            <w14:solidFill>
              <w14:schemeClr w14:val="tx1"/>
            </w14:solidFill>
          </w14:textFill>
        </w:rPr>
        <w:t>货物</w:t>
      </w:r>
      <w:r>
        <w:rPr>
          <w:rFonts w:ascii="Times New Roman" w:hAnsi="Times New Roman" w:cs="Times New Roman"/>
          <w:color w:val="000000" w:themeColor="text1"/>
          <w:sz w:val="24"/>
          <w:szCs w:val="24"/>
          <w14:textFill>
            <w14:solidFill>
              <w14:schemeClr w14:val="tx1"/>
            </w14:solidFill>
          </w14:textFill>
        </w:rPr>
        <w:t>品牌、规格型号和原产地，主要部件型号及其功能的中文说明，供货期等；每项货物和服务只允许有一个报价，任何有选择的报价将不予接受（如有备选配件，备选配件的报价不属于选择的报价）。</w:t>
      </w:r>
    </w:p>
    <w:p w14:paraId="1F5CF1B8">
      <w:pPr>
        <w:snapToGrid w:val="0"/>
        <w:spacing w:line="360" w:lineRule="auto"/>
        <w:ind w:firstLine="480" w:firstLineChars="20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（3）报价采取总承包方式，包括所投产品、安装调试、服务、运输、税金及其它有关的为完成本项目发生的所有费用，采购文件中另有规定的除外。国产</w:t>
      </w:r>
      <w:r>
        <w:rPr>
          <w:rFonts w:hint="eastAsia" w:ascii="Times New Roman" w:hAnsi="Times New Roman" w:cs="Times New Roman"/>
          <w:color w:val="000000" w:themeColor="text1"/>
          <w:sz w:val="24"/>
          <w:szCs w:val="24"/>
          <w14:textFill>
            <w14:solidFill>
              <w14:schemeClr w14:val="tx1"/>
            </w14:solidFill>
          </w14:textFill>
        </w:rPr>
        <w:t>货物</w:t>
      </w:r>
      <w:r>
        <w:rPr>
          <w:rFonts w:ascii="Times New Roman" w:hAnsi="Times New Roman" w:cs="Times New Roman"/>
          <w:color w:val="000000" w:themeColor="text1"/>
          <w:sz w:val="24"/>
          <w:szCs w:val="24"/>
          <w14:textFill>
            <w14:solidFill>
              <w14:schemeClr w14:val="tx1"/>
            </w14:solidFill>
          </w14:textFill>
        </w:rPr>
        <w:t>以人民币报价。</w:t>
      </w:r>
    </w:p>
    <w:p w14:paraId="4BB1F2DD">
      <w:pPr>
        <w:snapToGrid w:val="0"/>
        <w:spacing w:line="360" w:lineRule="auto"/>
        <w:ind w:firstLine="480" w:firstLineChars="20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（4）开标一览表中的价格应与投标文件中的报价表中价格一致，如不一致，评标时一律按开标一览表中价格为准。开标一览表必须盖章，</w:t>
      </w:r>
      <w:r>
        <w:rPr>
          <w:rFonts w:hint="eastAsia" w:ascii="Times New Roman" w:hAnsi="Times New Roman" w:cs="Times New Roman"/>
          <w:color w:val="000000" w:themeColor="text1"/>
          <w:sz w:val="24"/>
          <w:szCs w:val="24"/>
          <w14:textFill>
            <w14:solidFill>
              <w14:schemeClr w14:val="tx1"/>
            </w14:solidFill>
          </w14:textFill>
        </w:rPr>
        <w:t>加盖投标人公章</w:t>
      </w:r>
      <w:r>
        <w:rPr>
          <w:rFonts w:ascii="Times New Roman" w:hAnsi="Times New Roman" w:cs="Times New Roman"/>
          <w:color w:val="000000" w:themeColor="text1"/>
          <w:sz w:val="24"/>
          <w:szCs w:val="24"/>
          <w14:textFill>
            <w14:solidFill>
              <w14:schemeClr w14:val="tx1"/>
            </w14:solidFill>
          </w14:textFill>
        </w:rPr>
        <w:t>后的“开标一览表”除应装订在投标文件中，还必须单独（此份不放在投标文件内）装在小信封内于投标截止时间前与投标文件一起递交。</w:t>
      </w:r>
    </w:p>
    <w:p w14:paraId="04BEEC05">
      <w:pPr>
        <w:snapToGrid w:val="0"/>
        <w:spacing w:line="360" w:lineRule="auto"/>
        <w:ind w:firstLine="480" w:firstLineChars="20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（5）报价必须充分考虑所有可能影响到报价的价格因素，一旦投标结束最终成交，总价将包定，合同期内不予调整。如发生漏、缺、少项，都将被认为是中标人的报价让利行为。</w:t>
      </w:r>
    </w:p>
    <w:p w14:paraId="2B71263A">
      <w:pPr>
        <w:snapToGrid w:val="0"/>
        <w:spacing w:line="360" w:lineRule="auto"/>
        <w:ind w:firstLine="480" w:firstLineChars="20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10.5投标人参照投标文件中技术条款对本项目所投产品的技术指标响应进行准确描述，并附《技术参数响应及偏离表》；定型产品须提供所投产品带有技术参数的产品说明书；加工定制及配套装置须提供所投产品的性能指标、实施方案，其中主要部件为定型产品的，则须提供与投标文件相一致的带有技术参数的产品说明书；</w:t>
      </w:r>
    </w:p>
    <w:p w14:paraId="2ED45191">
      <w:pPr>
        <w:snapToGrid w:val="0"/>
        <w:spacing w:line="360" w:lineRule="auto"/>
        <w:ind w:firstLine="480" w:firstLineChars="20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10.6投标人按照投标文件中商务条款提供交货安装、工期保证等方案以及产品售后服务和质量承诺，并附《商务条款响应及偏离表》；</w:t>
      </w:r>
    </w:p>
    <w:p w14:paraId="224A00FE">
      <w:pPr>
        <w:snapToGrid w:val="0"/>
        <w:spacing w:line="360" w:lineRule="auto"/>
        <w:ind w:firstLine="480" w:firstLineChars="20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10.7投标人的业绩情况；</w:t>
      </w:r>
    </w:p>
    <w:p w14:paraId="0C14D789">
      <w:pPr>
        <w:snapToGrid w:val="0"/>
        <w:spacing w:line="360" w:lineRule="auto"/>
        <w:ind w:firstLine="480" w:firstLineChars="20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10.8投标人认为有必要提供的文件材料；</w:t>
      </w:r>
    </w:p>
    <w:p w14:paraId="169D4C48">
      <w:pPr>
        <w:snapToGrid w:val="0"/>
        <w:spacing w:line="360" w:lineRule="auto"/>
        <w:ind w:firstLine="480" w:firstLineChars="20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10.9投标人应将投标文件按上述顺序分别装订成册。</w:t>
      </w:r>
    </w:p>
    <w:p w14:paraId="2B8431C3">
      <w:pPr>
        <w:snapToGrid w:val="0"/>
        <w:spacing w:line="360" w:lineRule="auto"/>
        <w:ind w:firstLine="482" w:firstLineChars="200"/>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11、其它费用处理</w:t>
      </w:r>
    </w:p>
    <w:p w14:paraId="0975C3E2">
      <w:pPr>
        <w:snapToGrid w:val="0"/>
        <w:spacing w:line="360" w:lineRule="auto"/>
        <w:ind w:firstLine="480" w:firstLineChars="20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采购文件未列明，而投标单位认为必需的费用也需列入报价。</w:t>
      </w:r>
    </w:p>
    <w:p w14:paraId="05E877DE">
      <w:pPr>
        <w:snapToGrid w:val="0"/>
        <w:spacing w:line="360" w:lineRule="auto"/>
        <w:ind w:firstLine="482" w:firstLineChars="200"/>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12、投标保证金</w:t>
      </w:r>
    </w:p>
    <w:p w14:paraId="424B2D0E">
      <w:pPr>
        <w:snapToGrid w:val="0"/>
        <w:spacing w:line="360" w:lineRule="auto"/>
        <w:ind w:firstLine="480" w:firstLineChars="200"/>
        <w:rPr>
          <w:rFonts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color w:val="000000" w:themeColor="text1"/>
          <w:sz w:val="24"/>
          <w:szCs w:val="24"/>
          <w14:textFill>
            <w14:solidFill>
              <w14:schemeClr w14:val="tx1"/>
            </w14:solidFill>
          </w14:textFill>
        </w:rPr>
        <w:t>本项目不收取投标保证金。</w:t>
      </w:r>
    </w:p>
    <w:p w14:paraId="590C4EC5">
      <w:pPr>
        <w:snapToGrid w:val="0"/>
        <w:spacing w:line="360" w:lineRule="auto"/>
        <w:ind w:firstLine="482" w:firstLineChars="200"/>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13、投标有效期</w:t>
      </w:r>
    </w:p>
    <w:p w14:paraId="4836CFDB">
      <w:pPr>
        <w:snapToGrid w:val="0"/>
        <w:spacing w:line="360" w:lineRule="auto"/>
        <w:ind w:firstLine="480" w:firstLineChars="20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投标有效期为采购人规定的开标之日后九十</w:t>
      </w:r>
      <w:r>
        <w:rPr>
          <w:rFonts w:hint="eastAsia" w:ascii="Times New Roman" w:hAnsi="Times New Roman" w:cs="Times New Roman"/>
          <w:color w:val="000000" w:themeColor="text1"/>
          <w:sz w:val="24"/>
          <w:szCs w:val="24"/>
          <w14:textFill>
            <w14:solidFill>
              <w14:schemeClr w14:val="tx1"/>
            </w14:solidFill>
          </w14:textFill>
        </w:rPr>
        <w:t>（90）</w:t>
      </w:r>
      <w:r>
        <w:rPr>
          <w:rFonts w:ascii="Times New Roman" w:hAnsi="Times New Roman" w:cs="Times New Roman"/>
          <w:color w:val="000000" w:themeColor="text1"/>
          <w:sz w:val="24"/>
          <w:szCs w:val="24"/>
          <w14:textFill>
            <w14:solidFill>
              <w14:schemeClr w14:val="tx1"/>
            </w14:solidFill>
          </w14:textFill>
        </w:rPr>
        <w:t>天内有效。如果采购人在有效期之内，可向投标人提出延长投标有效期的要求。要求与答复均应采用书面形式。</w:t>
      </w:r>
      <w:r>
        <w:rPr>
          <w:rFonts w:ascii="Times New Roman" w:hAnsi="Times New Roman" w:cs="Times New Roman"/>
          <w:bCs/>
          <w:snapToGrid w:val="0"/>
          <w:color w:val="000000" w:themeColor="text1"/>
          <w:kern w:val="21"/>
          <w:sz w:val="24"/>
          <w:szCs w:val="24"/>
          <w14:textFill>
            <w14:solidFill>
              <w14:schemeClr w14:val="tx1"/>
            </w14:solidFill>
          </w14:textFill>
        </w:rPr>
        <w:t>投标人可以拒绝采购人的这一要求而放弃投标</w:t>
      </w:r>
      <w:r>
        <w:rPr>
          <w:rFonts w:ascii="Times New Roman" w:hAnsi="Times New Roman" w:cs="Times New Roman"/>
          <w:snapToGrid w:val="0"/>
          <w:color w:val="000000" w:themeColor="text1"/>
          <w:kern w:val="21"/>
          <w:sz w:val="24"/>
          <w:szCs w:val="24"/>
          <w14:textFill>
            <w14:solidFill>
              <w14:schemeClr w14:val="tx1"/>
            </w14:solidFill>
          </w14:textFill>
        </w:rPr>
        <w:t>。</w:t>
      </w:r>
      <w:r>
        <w:rPr>
          <w:rFonts w:ascii="Times New Roman" w:hAnsi="Times New Roman" w:cs="Times New Roman"/>
          <w:bCs/>
          <w:snapToGrid w:val="0"/>
          <w:color w:val="000000" w:themeColor="text1"/>
          <w:kern w:val="21"/>
          <w:sz w:val="24"/>
          <w:szCs w:val="24"/>
          <w14:textFill>
            <w14:solidFill>
              <w14:schemeClr w14:val="tx1"/>
            </w14:solidFill>
          </w14:textFill>
        </w:rPr>
        <w:t>同意延</w:t>
      </w:r>
      <w:r>
        <w:rPr>
          <w:rFonts w:ascii="Times New Roman" w:hAnsi="Times New Roman" w:cs="Times New Roman"/>
          <w:color w:val="000000" w:themeColor="text1"/>
          <w:sz w:val="24"/>
          <w:szCs w:val="24"/>
          <w14:textFill>
            <w14:solidFill>
              <w14:schemeClr w14:val="tx1"/>
            </w14:solidFill>
          </w14:textFill>
        </w:rPr>
        <w:t>长投标有效期的投标人既不能要求也不允许修改其投标文件。</w:t>
      </w:r>
    </w:p>
    <w:p w14:paraId="79D0DACC">
      <w:pPr>
        <w:snapToGrid w:val="0"/>
        <w:spacing w:line="360" w:lineRule="auto"/>
        <w:ind w:firstLine="482" w:firstLineChars="200"/>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14、投标文件份数和签署</w:t>
      </w:r>
    </w:p>
    <w:p w14:paraId="5C66C6EF">
      <w:pPr>
        <w:snapToGrid w:val="0"/>
        <w:spacing w:line="360" w:lineRule="auto"/>
        <w:ind w:firstLine="480" w:firstLineChars="20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14.l投标文件一式</w:t>
      </w:r>
      <w:r>
        <w:rPr>
          <w:rFonts w:hint="eastAsia" w:ascii="Times New Roman" w:hAnsi="Times New Roman" w:cs="Times New Roman"/>
          <w:color w:val="000000" w:themeColor="text1"/>
          <w:sz w:val="24"/>
          <w:szCs w:val="24"/>
          <w14:textFill>
            <w14:solidFill>
              <w14:schemeClr w14:val="tx1"/>
            </w14:solidFill>
          </w14:textFill>
        </w:rPr>
        <w:t>伍</w:t>
      </w:r>
      <w:r>
        <w:rPr>
          <w:rFonts w:ascii="Times New Roman" w:hAnsi="Times New Roman" w:cs="Times New Roman"/>
          <w:color w:val="000000" w:themeColor="text1"/>
          <w:sz w:val="24"/>
          <w:szCs w:val="24"/>
          <w14:textFill>
            <w14:solidFill>
              <w14:schemeClr w14:val="tx1"/>
            </w14:solidFill>
          </w14:textFill>
        </w:rPr>
        <w:t>份</w:t>
      </w:r>
      <w:r>
        <w:rPr>
          <w:rFonts w:hint="eastAsia" w:ascii="Times New Roman" w:hAnsi="Times New Roman" w:cs="Times New Roman"/>
          <w:color w:val="000000" w:themeColor="text1"/>
          <w:sz w:val="24"/>
          <w:szCs w:val="24"/>
          <w14:textFill>
            <w14:solidFill>
              <w14:schemeClr w14:val="tx1"/>
            </w14:solidFill>
          </w14:textFill>
        </w:rPr>
        <w:t>（</w:t>
      </w:r>
      <w:r>
        <w:rPr>
          <w:rFonts w:ascii="Times New Roman" w:hAnsi="Times New Roman" w:cs="Times New Roman"/>
          <w:color w:val="000000" w:themeColor="text1"/>
          <w:sz w:val="24"/>
          <w:szCs w:val="24"/>
          <w14:textFill>
            <w14:solidFill>
              <w14:schemeClr w14:val="tx1"/>
            </w14:solidFill>
          </w14:textFill>
        </w:rPr>
        <w:t>正本壹份，副本</w:t>
      </w:r>
      <w:r>
        <w:rPr>
          <w:rFonts w:hint="eastAsia" w:ascii="Times New Roman" w:hAnsi="Times New Roman" w:cs="Times New Roman"/>
          <w:color w:val="000000" w:themeColor="text1"/>
          <w:sz w:val="24"/>
          <w:szCs w:val="24"/>
          <w14:textFill>
            <w14:solidFill>
              <w14:schemeClr w14:val="tx1"/>
            </w14:solidFill>
          </w14:textFill>
        </w:rPr>
        <w:t>肆</w:t>
      </w:r>
      <w:r>
        <w:rPr>
          <w:rFonts w:ascii="Times New Roman" w:hAnsi="Times New Roman" w:cs="Times New Roman"/>
          <w:color w:val="000000" w:themeColor="text1"/>
          <w:sz w:val="24"/>
          <w:szCs w:val="24"/>
          <w14:textFill>
            <w14:solidFill>
              <w14:schemeClr w14:val="tx1"/>
            </w14:solidFill>
          </w14:textFill>
        </w:rPr>
        <w:t>份</w:t>
      </w:r>
      <w:r>
        <w:rPr>
          <w:rFonts w:hint="eastAsia" w:ascii="Times New Roman" w:hAnsi="Times New Roman" w:cs="Times New Roman"/>
          <w:color w:val="000000" w:themeColor="text1"/>
          <w:sz w:val="24"/>
          <w:szCs w:val="24"/>
          <w14:textFill>
            <w14:solidFill>
              <w14:schemeClr w14:val="tx1"/>
            </w14:solidFill>
          </w14:textFill>
        </w:rPr>
        <w:t>）</w:t>
      </w:r>
      <w:r>
        <w:rPr>
          <w:rFonts w:ascii="Times New Roman" w:hAnsi="Times New Roman" w:cs="Times New Roman"/>
          <w:color w:val="000000" w:themeColor="text1"/>
          <w:sz w:val="24"/>
          <w:szCs w:val="24"/>
          <w14:textFill>
            <w14:solidFill>
              <w14:schemeClr w14:val="tx1"/>
            </w14:solidFill>
          </w14:textFill>
        </w:rPr>
        <w:t xml:space="preserve">。一旦正本和副本不符，以正本为准。 </w:t>
      </w:r>
    </w:p>
    <w:p w14:paraId="6DEA9E5B">
      <w:pPr>
        <w:snapToGrid w:val="0"/>
        <w:spacing w:line="360" w:lineRule="auto"/>
        <w:ind w:firstLine="480" w:firstLineChars="20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14.2投标文件中法定代表人或其授权代表签字。授权代表须将法人代表人以书面形式出具法人代表授权书</w:t>
      </w:r>
      <w:r>
        <w:rPr>
          <w:rFonts w:hint="eastAsia" w:ascii="Times New Roman" w:hAnsi="Times New Roman" w:cs="Times New Roman"/>
          <w:color w:val="000000" w:themeColor="text1"/>
          <w:sz w:val="24"/>
          <w:szCs w:val="24"/>
          <w14:textFill>
            <w14:solidFill>
              <w14:schemeClr w14:val="tx1"/>
            </w14:solidFill>
          </w14:textFill>
        </w:rPr>
        <w:t>（</w:t>
      </w:r>
      <w:r>
        <w:rPr>
          <w:rFonts w:ascii="Times New Roman" w:hAnsi="Times New Roman" w:cs="Times New Roman"/>
          <w:color w:val="000000" w:themeColor="text1"/>
          <w:sz w:val="24"/>
          <w:szCs w:val="24"/>
          <w14:textFill>
            <w14:solidFill>
              <w14:schemeClr w14:val="tx1"/>
            </w14:solidFill>
          </w14:textFill>
        </w:rPr>
        <w:t>原件</w:t>
      </w:r>
      <w:r>
        <w:rPr>
          <w:rFonts w:hint="eastAsia" w:ascii="Times New Roman" w:hAnsi="Times New Roman" w:cs="Times New Roman"/>
          <w:color w:val="000000" w:themeColor="text1"/>
          <w:sz w:val="24"/>
          <w:szCs w:val="24"/>
          <w14:textFill>
            <w14:solidFill>
              <w14:schemeClr w14:val="tx1"/>
            </w14:solidFill>
          </w14:textFill>
        </w:rPr>
        <w:t>）</w:t>
      </w:r>
      <w:r>
        <w:rPr>
          <w:rFonts w:ascii="Times New Roman" w:hAnsi="Times New Roman" w:cs="Times New Roman"/>
          <w:color w:val="000000" w:themeColor="text1"/>
          <w:sz w:val="24"/>
          <w:szCs w:val="24"/>
          <w14:textFill>
            <w14:solidFill>
              <w14:schemeClr w14:val="tx1"/>
            </w14:solidFill>
          </w14:textFill>
        </w:rPr>
        <w:t>附在投标文件中。</w:t>
      </w:r>
    </w:p>
    <w:p w14:paraId="5CC9F999">
      <w:pPr>
        <w:snapToGrid w:val="0"/>
        <w:spacing w:line="360" w:lineRule="auto"/>
        <w:ind w:firstLine="480" w:firstLineChars="20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14.3除投标人对错处做必要修改时，投标文件不得行间插字、涂改或增删。如有修改错漏处，必须由投标文件签署人签字并</w:t>
      </w:r>
      <w:r>
        <w:rPr>
          <w:rFonts w:hint="eastAsia" w:ascii="Times New Roman" w:hAnsi="Times New Roman" w:cs="Times New Roman"/>
          <w:color w:val="000000" w:themeColor="text1"/>
          <w:sz w:val="24"/>
          <w:szCs w:val="24"/>
          <w14:textFill>
            <w14:solidFill>
              <w14:schemeClr w14:val="tx1"/>
            </w14:solidFill>
          </w14:textFill>
        </w:rPr>
        <w:t>加盖投标人公章</w:t>
      </w:r>
      <w:r>
        <w:rPr>
          <w:rFonts w:ascii="Times New Roman" w:hAnsi="Times New Roman" w:cs="Times New Roman"/>
          <w:color w:val="000000" w:themeColor="text1"/>
          <w:sz w:val="24"/>
          <w:szCs w:val="24"/>
          <w14:textFill>
            <w14:solidFill>
              <w14:schemeClr w14:val="tx1"/>
            </w14:solidFill>
          </w14:textFill>
        </w:rPr>
        <w:t>。</w:t>
      </w:r>
    </w:p>
    <w:p w14:paraId="4B795C31">
      <w:pPr>
        <w:snapToGrid w:val="0"/>
        <w:spacing w:line="360" w:lineRule="auto"/>
        <w:ind w:firstLine="482" w:firstLineChars="200"/>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四、投标文件的递交</w:t>
      </w:r>
    </w:p>
    <w:p w14:paraId="09D29613">
      <w:pPr>
        <w:snapToGrid w:val="0"/>
        <w:spacing w:line="360" w:lineRule="auto"/>
        <w:ind w:firstLine="482" w:firstLineChars="200"/>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15、投标文件的密封和标记</w:t>
      </w:r>
    </w:p>
    <w:p w14:paraId="6ED41B4F">
      <w:pPr>
        <w:snapToGrid w:val="0"/>
        <w:spacing w:line="360" w:lineRule="auto"/>
        <w:ind w:firstLine="480" w:firstLineChars="20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15.1</w:t>
      </w:r>
      <w:r>
        <w:rPr>
          <w:rFonts w:ascii="Times New Roman" w:hAnsi="Times New Roman" w:cs="Times New Roman"/>
          <w:b/>
          <w:i/>
          <w:color w:val="000000" w:themeColor="text1"/>
          <w:sz w:val="24"/>
          <w:szCs w:val="24"/>
          <w14:textFill>
            <w14:solidFill>
              <w14:schemeClr w14:val="tx1"/>
            </w14:solidFill>
          </w14:textFill>
        </w:rPr>
        <w:t>投标人应将投标文件密封，封口处要贴封签并加盖投标单位</w:t>
      </w:r>
      <w:r>
        <w:rPr>
          <w:rFonts w:hint="eastAsia" w:ascii="Times New Roman" w:hAnsi="Times New Roman" w:cs="Times New Roman"/>
          <w:b/>
          <w:i/>
          <w:color w:val="000000" w:themeColor="text1"/>
          <w:sz w:val="24"/>
          <w:szCs w:val="24"/>
          <w14:textFill>
            <w14:solidFill>
              <w14:schemeClr w14:val="tx1"/>
            </w14:solidFill>
          </w14:textFill>
        </w:rPr>
        <w:t>投标人公章</w:t>
      </w:r>
      <w:r>
        <w:rPr>
          <w:rFonts w:ascii="Times New Roman" w:hAnsi="Times New Roman" w:cs="Times New Roman"/>
          <w:b/>
          <w:i/>
          <w:color w:val="000000" w:themeColor="text1"/>
          <w:sz w:val="24"/>
          <w:szCs w:val="24"/>
          <w14:textFill>
            <w14:solidFill>
              <w14:schemeClr w14:val="tx1"/>
            </w14:solidFill>
          </w14:textFill>
        </w:rPr>
        <w:t>。</w:t>
      </w:r>
      <w:r>
        <w:rPr>
          <w:rFonts w:ascii="Times New Roman" w:hAnsi="Times New Roman" w:cs="Times New Roman"/>
          <w:color w:val="000000" w:themeColor="text1"/>
          <w:sz w:val="24"/>
          <w:szCs w:val="24"/>
          <w14:textFill>
            <w14:solidFill>
              <w14:schemeClr w14:val="tx1"/>
            </w14:solidFill>
          </w14:textFill>
        </w:rPr>
        <w:t>不论投标人中标与否，投标文件均不退回。</w:t>
      </w:r>
    </w:p>
    <w:p w14:paraId="5A289FAE">
      <w:pPr>
        <w:snapToGrid w:val="0"/>
        <w:spacing w:line="360" w:lineRule="auto"/>
        <w:ind w:firstLine="480" w:firstLineChars="20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15.2文件袋上应注明投标项目名称、正、副本、投标单位、授权代表姓名及联系方式。如因标注不清而产生的后果由投标人自负。</w:t>
      </w:r>
    </w:p>
    <w:p w14:paraId="6382CB52">
      <w:pPr>
        <w:snapToGrid w:val="0"/>
        <w:spacing w:line="360" w:lineRule="auto"/>
        <w:ind w:firstLine="480" w:firstLineChars="20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15.3</w:t>
      </w:r>
      <w:r>
        <w:rPr>
          <w:rFonts w:ascii="Times New Roman" w:hAnsi="Times New Roman" w:cs="Times New Roman"/>
          <w:bCs/>
          <w:color w:val="000000" w:themeColor="text1"/>
          <w:sz w:val="24"/>
          <w:szCs w:val="24"/>
          <w14:textFill>
            <w14:solidFill>
              <w14:schemeClr w14:val="tx1"/>
            </w14:solidFill>
          </w14:textFill>
        </w:rPr>
        <w:t>未按要求密封和加写标记，采购人对误投或过早启封概不负责。对由此造成提前开封的投标文件，采购人将予以拒绝，作无效投标处理。</w:t>
      </w:r>
    </w:p>
    <w:p w14:paraId="2BBF0552">
      <w:pPr>
        <w:snapToGrid w:val="0"/>
        <w:spacing w:line="360" w:lineRule="auto"/>
        <w:ind w:firstLine="482" w:firstLineChars="200"/>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16、投标截止日期</w:t>
      </w:r>
    </w:p>
    <w:p w14:paraId="5A3BF048">
      <w:pPr>
        <w:snapToGrid w:val="0"/>
        <w:spacing w:line="360" w:lineRule="auto"/>
        <w:ind w:firstLine="480" w:firstLineChars="200"/>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16.1</w:t>
      </w:r>
      <w:r>
        <w:rPr>
          <w:rFonts w:ascii="Times New Roman" w:hAnsi="Times New Roman" w:cs="Times New Roman"/>
          <w:bCs/>
          <w:color w:val="000000" w:themeColor="text1"/>
          <w:sz w:val="24"/>
          <w:szCs w:val="24"/>
          <w14:textFill>
            <w14:solidFill>
              <w14:schemeClr w14:val="tx1"/>
            </w14:solidFill>
          </w14:textFill>
        </w:rPr>
        <w:t xml:space="preserve"> 采购人收到投标文件的时间不得迟于采购公告中规定的截止时间。</w:t>
      </w:r>
    </w:p>
    <w:p w14:paraId="487DDDA9">
      <w:pPr>
        <w:snapToGrid w:val="0"/>
        <w:spacing w:line="360" w:lineRule="auto"/>
        <w:ind w:firstLine="480" w:firstLineChars="200"/>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16.2</w:t>
      </w:r>
      <w:r>
        <w:rPr>
          <w:rFonts w:ascii="Times New Roman" w:hAnsi="Times New Roman" w:cs="Times New Roman"/>
          <w:bCs/>
          <w:color w:val="000000" w:themeColor="text1"/>
          <w:sz w:val="24"/>
          <w:szCs w:val="24"/>
          <w14:textFill>
            <w14:solidFill>
              <w14:schemeClr w14:val="tx1"/>
            </w14:solidFill>
          </w14:textFill>
        </w:rPr>
        <w:t xml:space="preserve"> 采购人可以按照规定，通过修改采购文件有权酌情延长投标截止日期，在此情况下，投标人的所有权利和义务以及投标人受制的截止日期均应以延长后新的截止日期为准。</w:t>
      </w:r>
    </w:p>
    <w:p w14:paraId="1FAD7EA1">
      <w:pPr>
        <w:snapToGrid w:val="0"/>
        <w:spacing w:line="360" w:lineRule="auto"/>
        <w:ind w:firstLine="482" w:firstLineChars="200"/>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17、迟交的投标文件</w:t>
      </w:r>
    </w:p>
    <w:p w14:paraId="5DDF9EFC">
      <w:pPr>
        <w:snapToGrid w:val="0"/>
        <w:spacing w:line="360" w:lineRule="auto"/>
        <w:ind w:firstLine="480" w:firstLineChars="20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迟交的投标文件将被拒收并原封退回。</w:t>
      </w:r>
    </w:p>
    <w:p w14:paraId="66E301BC">
      <w:pPr>
        <w:snapToGrid w:val="0"/>
        <w:spacing w:line="360" w:lineRule="auto"/>
        <w:ind w:firstLine="482" w:firstLineChars="200"/>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18、投标文件的修改和撤回</w:t>
      </w:r>
    </w:p>
    <w:p w14:paraId="2DC6817C">
      <w:pPr>
        <w:snapToGrid w:val="0"/>
        <w:spacing w:line="360" w:lineRule="auto"/>
        <w:ind w:firstLine="480" w:firstLineChars="20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18.1投标人在递交投标书后，在规定的投标截止日期前可以修改或撤回其投标文件。修改文件必须在投标截止时间前送达。</w:t>
      </w:r>
    </w:p>
    <w:p w14:paraId="33623303">
      <w:pPr>
        <w:snapToGrid w:val="0"/>
        <w:spacing w:line="360" w:lineRule="auto"/>
        <w:ind w:firstLine="480" w:firstLineChars="20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18.2投标截止日期后不可对其投标文件作任何修改或撤回。</w:t>
      </w:r>
    </w:p>
    <w:p w14:paraId="594BC012">
      <w:pPr>
        <w:snapToGrid w:val="0"/>
        <w:spacing w:line="360" w:lineRule="auto"/>
        <w:ind w:firstLine="482" w:firstLineChars="200"/>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五、开标与评标</w:t>
      </w:r>
    </w:p>
    <w:p w14:paraId="4A146567">
      <w:pPr>
        <w:snapToGrid w:val="0"/>
        <w:spacing w:line="360" w:lineRule="auto"/>
        <w:ind w:firstLine="482" w:firstLineChars="200"/>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19、开标</w:t>
      </w:r>
    </w:p>
    <w:p w14:paraId="0B830BB8">
      <w:pPr>
        <w:snapToGrid w:val="0"/>
        <w:spacing w:line="360" w:lineRule="auto"/>
        <w:ind w:firstLine="480" w:firstLineChars="20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19.l采购人将在采购文件中规定的时间和地址组织公开开标。投标人法人代表或授权代表须携本人身份证原件参加，如有必要可以让投标人有一定时间的陈述，或接收评标工作组成员的提问后退场。</w:t>
      </w:r>
    </w:p>
    <w:p w14:paraId="3D654984">
      <w:pPr>
        <w:snapToGrid w:val="0"/>
        <w:spacing w:line="360" w:lineRule="auto"/>
        <w:ind w:firstLine="480" w:firstLineChars="20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19.2开标时请投标人授权代表查验投标文件密封情况，确认无误后，采购人当众拆封宣读每份投标文件中“开标一览表”的各项内容，未列入开标一览表的内容一律不在开标时宣读。开标时未宣读的投标报价信息，不得在评标时采用。采购人将指定专人负责开标记录并存档备查，各投标人需仔细核对开标记录相关内容并签字确认。</w:t>
      </w:r>
    </w:p>
    <w:p w14:paraId="71C22537">
      <w:pPr>
        <w:snapToGrid w:val="0"/>
        <w:spacing w:line="360" w:lineRule="auto"/>
        <w:ind w:firstLine="482" w:firstLineChars="200"/>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20、评标过程的保密与公正</w:t>
      </w:r>
    </w:p>
    <w:p w14:paraId="401AAE22">
      <w:pPr>
        <w:snapToGrid w:val="0"/>
        <w:spacing w:line="360" w:lineRule="auto"/>
        <w:ind w:firstLine="480" w:firstLineChars="20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20.l公开开标后，直至通知投标人中标为止，凡是与审查、澄清、评价和比较投标的有关资料，均不得向投标人或与评标无关的人员透露。</w:t>
      </w:r>
    </w:p>
    <w:p w14:paraId="5A9731A1">
      <w:pPr>
        <w:snapToGrid w:val="0"/>
        <w:spacing w:line="360" w:lineRule="auto"/>
        <w:ind w:firstLine="480" w:firstLineChars="20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20.2投标人试图影响评标或授予合同方面的任何尝试，可能导致该投标人的标被废弃。</w:t>
      </w:r>
    </w:p>
    <w:p w14:paraId="7557E12D">
      <w:pPr>
        <w:snapToGrid w:val="0"/>
        <w:spacing w:line="360" w:lineRule="auto"/>
        <w:ind w:firstLine="482" w:firstLineChars="200"/>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21、投标的澄清</w:t>
      </w:r>
    </w:p>
    <w:p w14:paraId="47666692">
      <w:pPr>
        <w:snapToGrid w:val="0"/>
        <w:spacing w:line="360" w:lineRule="auto"/>
        <w:ind w:firstLine="480" w:firstLineChars="20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21.1评标期间，为有助于对投标文件的审查、评价和比较，评标工作组有权要求投标人对其投标文件进行澄清，但并非对每个投标人都作澄清要求。</w:t>
      </w:r>
    </w:p>
    <w:p w14:paraId="3E79C62E">
      <w:pPr>
        <w:snapToGrid w:val="0"/>
        <w:spacing w:line="360" w:lineRule="auto"/>
        <w:ind w:firstLine="480" w:firstLineChars="20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21.2接到澄清要求的投标人应派人按要求做出澄清，书面澄清的内容须由投标人法定代表人或授权代表签署，并作为投标文件的补充部分，但投标的价格和实质性的内容不得做任何更改。</w:t>
      </w:r>
    </w:p>
    <w:p w14:paraId="60B4B610">
      <w:pPr>
        <w:snapToGrid w:val="0"/>
        <w:spacing w:line="360" w:lineRule="auto"/>
        <w:ind w:firstLine="48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21.3接到澄清要求的投标人如未按规定做出澄清，其风险由投标人自行承担。</w:t>
      </w:r>
    </w:p>
    <w:p w14:paraId="0FB97E79">
      <w:pPr>
        <w:snapToGrid w:val="0"/>
        <w:spacing w:line="360" w:lineRule="auto"/>
        <w:ind w:firstLine="482" w:firstLineChars="200"/>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22、对投标文件的初审</w:t>
      </w:r>
    </w:p>
    <w:p w14:paraId="5A35A8B2">
      <w:pPr>
        <w:snapToGrid w:val="0"/>
        <w:spacing w:line="360" w:lineRule="auto"/>
        <w:ind w:firstLine="480" w:firstLineChars="20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22.1投标文件初审分为资格性检查和符合性检查。</w:t>
      </w:r>
    </w:p>
    <w:p w14:paraId="57958C1B">
      <w:pPr>
        <w:snapToGrid w:val="0"/>
        <w:spacing w:line="360" w:lineRule="auto"/>
        <w:ind w:firstLine="480" w:firstLineChars="20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资格性检查：依据法律法规和采购文件的规定，由采购人对投标文件中的资格证明文件进行审查。资格审查的结论，采购人以书面形式向评标工作组进行反馈。</w:t>
      </w:r>
    </w:p>
    <w:p w14:paraId="1F2CC0AD">
      <w:pPr>
        <w:snapToGrid w:val="0"/>
        <w:spacing w:line="360" w:lineRule="auto"/>
        <w:ind w:firstLine="480" w:firstLineChars="20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符合性检查：依据采购文件的规定，由评标工作组从投标文件的有效性、完整性和对采购文件的响应程度进行审查，以确定是否对采购文件的实质性要求作出响应。</w:t>
      </w:r>
    </w:p>
    <w:p w14:paraId="12E870A9">
      <w:pPr>
        <w:snapToGrid w:val="0"/>
        <w:spacing w:line="360" w:lineRule="auto"/>
        <w:ind w:firstLine="480" w:firstLineChars="20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22.2在详细评标之前，评标工作组将首先审查每份投标文件是否实质性响应了采购文件的要求。实质性响应的投标应该是与采购文件要求的全部条款、条件和规格相符，没有重大偏离或保留的投标。</w:t>
      </w:r>
    </w:p>
    <w:p w14:paraId="7A36C5A1">
      <w:pPr>
        <w:snapToGrid w:val="0"/>
        <w:spacing w:line="360" w:lineRule="auto"/>
        <w:ind w:firstLine="480" w:firstLineChars="20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所谓重大偏离或保留是指与采购文件规定的实质性要求存在负偏离，或者在实质上与采购文件不一致，而且限制了合同中买方和见证方的权利或投标人的义务，纠正这些偏离或保留将会对其他实质性响应要求的投标人的竞争地位产生不公正的影响。重大偏离的认定需经过评标工作组三分二及以上成员的认定。评委决定投标文件的响应性只根据投标文件本身的内容，而不寻求外部的证据。</w:t>
      </w:r>
    </w:p>
    <w:p w14:paraId="2248A135">
      <w:pPr>
        <w:snapToGrid w:val="0"/>
        <w:spacing w:line="360" w:lineRule="auto"/>
        <w:ind w:firstLine="480" w:firstLineChars="20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22.3如果投标文件实质上没有响应采购文件的要求，评标工作组将予以拒绝，投标人不得通过修改或撤销不合要求的偏离或保留而使其投标成为实质性响应的投标。</w:t>
      </w:r>
    </w:p>
    <w:p w14:paraId="575D4180">
      <w:pPr>
        <w:snapToGrid w:val="0"/>
        <w:spacing w:line="360" w:lineRule="auto"/>
        <w:ind w:firstLine="480" w:firstLineChars="20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22.4评标工作组将对确定为实质性响应的投标进行进一步审核，看其是否有计算上或累加上的算术错误，修正错误的原则如下：</w:t>
      </w:r>
    </w:p>
    <w:p w14:paraId="2FA69DC6">
      <w:pPr>
        <w:snapToGrid w:val="0"/>
        <w:spacing w:line="360" w:lineRule="auto"/>
        <w:ind w:firstLine="480" w:firstLineChars="200"/>
        <w:rPr>
          <w:rFonts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color w:val="000000" w:themeColor="text1"/>
          <w:sz w:val="24"/>
          <w:szCs w:val="24"/>
          <w14:textFill>
            <w14:solidFill>
              <w14:schemeClr w14:val="tx1"/>
            </w14:solidFill>
          </w14:textFill>
        </w:rPr>
        <w:t>（1）</w:t>
      </w:r>
      <w:r>
        <w:rPr>
          <w:rFonts w:ascii="Times New Roman" w:hAnsi="Times New Roman" w:cs="Times New Roman"/>
          <w:color w:val="000000" w:themeColor="text1"/>
          <w:sz w:val="24"/>
          <w:szCs w:val="24"/>
          <w14:textFill>
            <w14:solidFill>
              <w14:schemeClr w14:val="tx1"/>
            </w14:solidFill>
          </w14:textFill>
        </w:rPr>
        <w:t>如果用数字表示的金额和用文字表示的金额不一致时，应以文字表示的金额为准进行修正；</w:t>
      </w:r>
    </w:p>
    <w:p w14:paraId="25FF7957">
      <w:pPr>
        <w:snapToGrid w:val="0"/>
        <w:spacing w:line="360" w:lineRule="auto"/>
        <w:ind w:firstLine="480" w:firstLineChars="200"/>
        <w:rPr>
          <w:rFonts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color w:val="000000" w:themeColor="text1"/>
          <w:sz w:val="24"/>
          <w:szCs w:val="24"/>
          <w14:textFill>
            <w14:solidFill>
              <w14:schemeClr w14:val="tx1"/>
            </w14:solidFill>
          </w14:textFill>
        </w:rPr>
        <w:t>（2）</w:t>
      </w:r>
      <w:r>
        <w:rPr>
          <w:rFonts w:ascii="Times New Roman" w:hAnsi="Times New Roman" w:cs="Times New Roman"/>
          <w:color w:val="000000" w:themeColor="text1"/>
          <w:sz w:val="24"/>
          <w:szCs w:val="24"/>
          <w14:textFill>
            <w14:solidFill>
              <w14:schemeClr w14:val="tx1"/>
            </w14:solidFill>
          </w14:textFill>
        </w:rPr>
        <w:t>当单价与数量的乘积和总价不一致时，以单价为准进行修正。只有在评标工作组认为单价有明显的小数点错误时，才能以标出的总价为准，并修改单价。</w:t>
      </w:r>
    </w:p>
    <w:p w14:paraId="54DED239">
      <w:pPr>
        <w:snapToGrid w:val="0"/>
        <w:spacing w:line="360" w:lineRule="auto"/>
        <w:ind w:firstLine="480" w:firstLineChars="20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22.5评标工作组将按上述修正错误的方法调整投标文件中的投标报价，调整后的价格应对投标人具有约束力。如果投标人不接受修正后的价格，则其投标将被拒绝。</w:t>
      </w:r>
    </w:p>
    <w:p w14:paraId="0333C9D3">
      <w:pPr>
        <w:snapToGrid w:val="0"/>
        <w:spacing w:line="360" w:lineRule="auto"/>
        <w:ind w:firstLine="480" w:firstLineChars="20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22.6评标工作组将允许修正投标文件中不构成重大偏离的、微小的、非正规的、不一致的或不规则的地方，但这些修改不能影响任何投标人相应的名次排列。</w:t>
      </w:r>
    </w:p>
    <w:p w14:paraId="74D25374">
      <w:pPr>
        <w:shd w:val="clear" w:color="auto" w:fill="FFFFFF"/>
        <w:snapToGrid w:val="0"/>
        <w:spacing w:line="360" w:lineRule="auto"/>
        <w:ind w:firstLine="482" w:firstLineChars="200"/>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23、无效投标条款和废标条款</w:t>
      </w:r>
    </w:p>
    <w:p w14:paraId="43D88500">
      <w:pPr>
        <w:snapToGrid w:val="0"/>
        <w:spacing w:line="360" w:lineRule="auto"/>
        <w:ind w:firstLine="480" w:firstLineChars="20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23.1无效投标条款：</w:t>
      </w:r>
    </w:p>
    <w:p w14:paraId="64732524">
      <w:pPr>
        <w:snapToGrid w:val="0"/>
        <w:spacing w:line="360" w:lineRule="auto"/>
        <w:ind w:firstLine="480" w:firstLineChars="20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w:t>
      </w:r>
      <w:r>
        <w:rPr>
          <w:rFonts w:hint="eastAsia" w:ascii="Times New Roman" w:hAnsi="Times New Roman" w:cs="Times New Roman"/>
          <w:color w:val="000000" w:themeColor="text1"/>
          <w:sz w:val="24"/>
          <w:szCs w:val="24"/>
          <w14:textFill>
            <w14:solidFill>
              <w14:schemeClr w14:val="tx1"/>
            </w14:solidFill>
          </w14:textFill>
        </w:rPr>
        <w:t>1</w:t>
      </w:r>
      <w:r>
        <w:rPr>
          <w:rFonts w:ascii="Times New Roman" w:hAnsi="Times New Roman" w:cs="Times New Roman"/>
          <w:color w:val="000000" w:themeColor="text1"/>
          <w:sz w:val="24"/>
          <w:szCs w:val="24"/>
          <w14:textFill>
            <w14:solidFill>
              <w14:schemeClr w14:val="tx1"/>
            </w14:solidFill>
          </w14:textFill>
        </w:rPr>
        <w:t>）未按照采购文件规定要求密封、签署、盖章的；</w:t>
      </w:r>
    </w:p>
    <w:p w14:paraId="3064D59B">
      <w:pPr>
        <w:snapToGrid w:val="0"/>
        <w:spacing w:line="360" w:lineRule="auto"/>
        <w:ind w:firstLine="480" w:firstLineChars="20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w:t>
      </w:r>
      <w:r>
        <w:rPr>
          <w:rFonts w:hint="eastAsia" w:ascii="Times New Roman" w:hAnsi="Times New Roman" w:cs="Times New Roman"/>
          <w:color w:val="000000" w:themeColor="text1"/>
          <w:sz w:val="24"/>
          <w:szCs w:val="24"/>
          <w14:textFill>
            <w14:solidFill>
              <w14:schemeClr w14:val="tx1"/>
            </w14:solidFill>
          </w14:textFill>
        </w:rPr>
        <w:t>2</w:t>
      </w:r>
      <w:r>
        <w:rPr>
          <w:rFonts w:ascii="Times New Roman" w:hAnsi="Times New Roman" w:cs="Times New Roman"/>
          <w:color w:val="000000" w:themeColor="text1"/>
          <w:sz w:val="24"/>
          <w:szCs w:val="24"/>
          <w14:textFill>
            <w14:solidFill>
              <w14:schemeClr w14:val="tx1"/>
            </w14:solidFill>
          </w14:textFill>
        </w:rPr>
        <w:t>）投标人在报价时采用选择性报价的；</w:t>
      </w:r>
    </w:p>
    <w:p w14:paraId="27637AFE">
      <w:pPr>
        <w:snapToGrid w:val="0"/>
        <w:spacing w:line="360" w:lineRule="auto"/>
        <w:ind w:firstLine="480" w:firstLineChars="20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w:t>
      </w:r>
      <w:r>
        <w:rPr>
          <w:rFonts w:hint="eastAsia" w:ascii="Times New Roman" w:hAnsi="Times New Roman" w:cs="Times New Roman"/>
          <w:color w:val="000000" w:themeColor="text1"/>
          <w:sz w:val="24"/>
          <w:szCs w:val="24"/>
          <w14:textFill>
            <w14:solidFill>
              <w14:schemeClr w14:val="tx1"/>
            </w14:solidFill>
          </w14:textFill>
        </w:rPr>
        <w:t>3</w:t>
      </w:r>
      <w:r>
        <w:rPr>
          <w:rFonts w:ascii="Times New Roman" w:hAnsi="Times New Roman" w:cs="Times New Roman"/>
          <w:color w:val="000000" w:themeColor="text1"/>
          <w:sz w:val="24"/>
          <w:szCs w:val="24"/>
          <w14:textFill>
            <w14:solidFill>
              <w14:schemeClr w14:val="tx1"/>
            </w14:solidFill>
          </w14:textFill>
        </w:rPr>
        <w:t>）投标人不具备采购文件中规定资格要求的；</w:t>
      </w:r>
    </w:p>
    <w:p w14:paraId="2E723A64">
      <w:pPr>
        <w:snapToGrid w:val="0"/>
        <w:spacing w:line="360" w:lineRule="auto"/>
        <w:ind w:firstLine="480" w:firstLineChars="20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w:t>
      </w:r>
      <w:r>
        <w:rPr>
          <w:rFonts w:hint="eastAsia" w:ascii="Times New Roman" w:hAnsi="Times New Roman" w:cs="Times New Roman"/>
          <w:color w:val="000000" w:themeColor="text1"/>
          <w:sz w:val="24"/>
          <w:szCs w:val="24"/>
          <w14:textFill>
            <w14:solidFill>
              <w14:schemeClr w14:val="tx1"/>
            </w14:solidFill>
          </w14:textFill>
        </w:rPr>
        <w:t>4</w:t>
      </w:r>
      <w:r>
        <w:rPr>
          <w:rFonts w:ascii="Times New Roman" w:hAnsi="Times New Roman" w:cs="Times New Roman"/>
          <w:color w:val="000000" w:themeColor="text1"/>
          <w:sz w:val="24"/>
          <w:szCs w:val="24"/>
          <w14:textFill>
            <w14:solidFill>
              <w14:schemeClr w14:val="tx1"/>
            </w14:solidFill>
          </w14:textFill>
        </w:rPr>
        <w:t>）投标人的报价超过了采购预算或最高限价的；</w:t>
      </w:r>
    </w:p>
    <w:p w14:paraId="6F36D92E">
      <w:pPr>
        <w:snapToGrid w:val="0"/>
        <w:spacing w:line="360" w:lineRule="auto"/>
        <w:ind w:firstLine="480" w:firstLineChars="20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w:t>
      </w:r>
      <w:r>
        <w:rPr>
          <w:rFonts w:hint="eastAsia" w:ascii="Times New Roman" w:hAnsi="Times New Roman" w:cs="Times New Roman"/>
          <w:color w:val="000000" w:themeColor="text1"/>
          <w:sz w:val="24"/>
          <w:szCs w:val="24"/>
          <w14:textFill>
            <w14:solidFill>
              <w14:schemeClr w14:val="tx1"/>
            </w14:solidFill>
          </w14:textFill>
        </w:rPr>
        <w:t>5</w:t>
      </w:r>
      <w:r>
        <w:rPr>
          <w:rFonts w:ascii="Times New Roman" w:hAnsi="Times New Roman" w:cs="Times New Roman"/>
          <w:color w:val="000000" w:themeColor="text1"/>
          <w:sz w:val="24"/>
          <w:szCs w:val="24"/>
          <w14:textFill>
            <w14:solidFill>
              <w14:schemeClr w14:val="tx1"/>
            </w14:solidFill>
          </w14:textFill>
        </w:rPr>
        <w:t>）未通过符合性检查的；</w:t>
      </w:r>
    </w:p>
    <w:p w14:paraId="2636A529">
      <w:pPr>
        <w:snapToGrid w:val="0"/>
        <w:spacing w:line="360" w:lineRule="auto"/>
        <w:ind w:firstLine="480" w:firstLineChars="20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w:t>
      </w:r>
      <w:r>
        <w:rPr>
          <w:rFonts w:hint="eastAsia" w:ascii="Times New Roman" w:hAnsi="Times New Roman" w:cs="Times New Roman"/>
          <w:color w:val="000000" w:themeColor="text1"/>
          <w:sz w:val="24"/>
          <w:szCs w:val="24"/>
          <w14:textFill>
            <w14:solidFill>
              <w14:schemeClr w14:val="tx1"/>
            </w14:solidFill>
          </w14:textFill>
        </w:rPr>
        <w:t>6</w:t>
      </w:r>
      <w:r>
        <w:rPr>
          <w:rFonts w:ascii="Times New Roman" w:hAnsi="Times New Roman" w:cs="Times New Roman"/>
          <w:color w:val="000000" w:themeColor="text1"/>
          <w:sz w:val="24"/>
          <w:szCs w:val="24"/>
          <w14:textFill>
            <w14:solidFill>
              <w14:schemeClr w14:val="tx1"/>
            </w14:solidFill>
          </w14:textFill>
        </w:rPr>
        <w:t>）不符合采购文件中规定的其他实质性要求和条件的；</w:t>
      </w:r>
    </w:p>
    <w:p w14:paraId="196ADBA8">
      <w:pPr>
        <w:snapToGrid w:val="0"/>
        <w:spacing w:line="360" w:lineRule="auto"/>
        <w:ind w:firstLine="480" w:firstLineChars="20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w:t>
      </w:r>
      <w:r>
        <w:rPr>
          <w:rFonts w:hint="eastAsia" w:ascii="Times New Roman" w:hAnsi="Times New Roman" w:cs="Times New Roman"/>
          <w:color w:val="000000" w:themeColor="text1"/>
          <w:sz w:val="24"/>
          <w:szCs w:val="24"/>
          <w14:textFill>
            <w14:solidFill>
              <w14:schemeClr w14:val="tx1"/>
            </w14:solidFill>
          </w14:textFill>
        </w:rPr>
        <w:t>7</w:t>
      </w:r>
      <w:r>
        <w:rPr>
          <w:rFonts w:ascii="Times New Roman" w:hAnsi="Times New Roman" w:cs="Times New Roman"/>
          <w:color w:val="000000" w:themeColor="text1"/>
          <w:sz w:val="24"/>
          <w:szCs w:val="24"/>
          <w14:textFill>
            <w14:solidFill>
              <w14:schemeClr w14:val="tx1"/>
            </w14:solidFill>
          </w14:textFill>
        </w:rPr>
        <w:t>）投标文件含有采购人不能接受的附加条件的；</w:t>
      </w:r>
    </w:p>
    <w:p w14:paraId="337973A1">
      <w:pPr>
        <w:snapToGrid w:val="0"/>
        <w:spacing w:line="360" w:lineRule="auto"/>
        <w:ind w:firstLine="480" w:firstLineChars="20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w:t>
      </w:r>
      <w:r>
        <w:rPr>
          <w:rFonts w:hint="eastAsia" w:ascii="Times New Roman" w:hAnsi="Times New Roman" w:cs="Times New Roman"/>
          <w:color w:val="000000" w:themeColor="text1"/>
          <w:sz w:val="24"/>
          <w:szCs w:val="24"/>
          <w14:textFill>
            <w14:solidFill>
              <w14:schemeClr w14:val="tx1"/>
            </w14:solidFill>
          </w14:textFill>
        </w:rPr>
        <w:t>8</w:t>
      </w:r>
      <w:r>
        <w:rPr>
          <w:rFonts w:ascii="Times New Roman" w:hAnsi="Times New Roman" w:cs="Times New Roman"/>
          <w:color w:val="000000" w:themeColor="text1"/>
          <w:sz w:val="24"/>
          <w:szCs w:val="24"/>
          <w14:textFill>
            <w14:solidFill>
              <w14:schemeClr w14:val="tx1"/>
            </w14:solidFill>
          </w14:textFill>
        </w:rPr>
        <w:t>）</w:t>
      </w:r>
      <w:r>
        <w:rPr>
          <w:rFonts w:hint="eastAsia" w:ascii="Times New Roman" w:hAnsi="Times New Roman" w:cs="Times New Roman"/>
          <w:color w:val="000000" w:themeColor="text1"/>
          <w:sz w:val="24"/>
          <w:szCs w:val="24"/>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评标工作组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工作组应当将其作为无效投标处理。</w:t>
      </w:r>
    </w:p>
    <w:p w14:paraId="5555B8C9">
      <w:pPr>
        <w:snapToGrid w:val="0"/>
        <w:spacing w:line="360" w:lineRule="auto"/>
        <w:ind w:firstLine="480" w:firstLineChars="20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w:t>
      </w:r>
      <w:r>
        <w:rPr>
          <w:rFonts w:hint="eastAsia" w:ascii="Times New Roman" w:hAnsi="Times New Roman" w:cs="Times New Roman"/>
          <w:color w:val="000000" w:themeColor="text1"/>
          <w:sz w:val="24"/>
          <w:szCs w:val="24"/>
          <w14:textFill>
            <w14:solidFill>
              <w14:schemeClr w14:val="tx1"/>
            </w14:solidFill>
          </w14:textFill>
        </w:rPr>
        <w:t>9</w:t>
      </w:r>
      <w:r>
        <w:rPr>
          <w:rFonts w:ascii="Times New Roman" w:hAnsi="Times New Roman" w:cs="Times New Roman"/>
          <w:color w:val="000000" w:themeColor="text1"/>
          <w:sz w:val="24"/>
          <w:szCs w:val="24"/>
          <w14:textFill>
            <w14:solidFill>
              <w14:schemeClr w14:val="tx1"/>
            </w14:solidFill>
          </w14:textFill>
        </w:rPr>
        <w:t>）</w:t>
      </w:r>
      <w:r>
        <w:rPr>
          <w:rFonts w:ascii="Times New Roman" w:hAnsi="Times New Roman" w:cs="Times New Roman"/>
          <w:bCs/>
          <w:color w:val="000000" w:themeColor="text1"/>
          <w:sz w:val="24"/>
          <w:szCs w:val="24"/>
          <w14:textFill>
            <w14:solidFill>
              <w14:schemeClr w14:val="tx1"/>
            </w14:solidFill>
          </w14:textFill>
        </w:rPr>
        <w:t>其他法律、法规及本采购文件规定的属无效投标的情形。</w:t>
      </w:r>
    </w:p>
    <w:p w14:paraId="549ED3EE">
      <w:pPr>
        <w:snapToGrid w:val="0"/>
        <w:spacing w:line="360" w:lineRule="auto"/>
        <w:ind w:left="479" w:leftChars="228"/>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23.2</w:t>
      </w:r>
      <w:r>
        <w:rPr>
          <w:rFonts w:ascii="Times New Roman" w:hAnsi="Times New Roman" w:cs="Times New Roman"/>
          <w:bCs/>
          <w:color w:val="000000" w:themeColor="text1"/>
          <w:sz w:val="24"/>
          <w:szCs w:val="24"/>
          <w14:textFill>
            <w14:solidFill>
              <w14:schemeClr w14:val="tx1"/>
            </w14:solidFill>
          </w14:textFill>
        </w:rPr>
        <w:t>废标条款：</w:t>
      </w:r>
    </w:p>
    <w:p w14:paraId="6C35344A">
      <w:pPr>
        <w:snapToGrid w:val="0"/>
        <w:spacing w:line="360" w:lineRule="auto"/>
        <w:ind w:firstLine="480" w:firstLineChars="20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（1）符合专业条件的</w:t>
      </w:r>
      <w:r>
        <w:rPr>
          <w:rFonts w:hint="eastAsia" w:ascii="Times New Roman" w:hAnsi="Times New Roman" w:cs="Times New Roman"/>
          <w:color w:val="000000" w:themeColor="text1"/>
          <w:sz w:val="24"/>
          <w:szCs w:val="24"/>
          <w14:textFill>
            <w14:solidFill>
              <w14:schemeClr w14:val="tx1"/>
            </w14:solidFill>
          </w14:textFill>
        </w:rPr>
        <w:t>投标人</w:t>
      </w:r>
      <w:r>
        <w:rPr>
          <w:rFonts w:ascii="Times New Roman" w:hAnsi="Times New Roman" w:cs="Times New Roman"/>
          <w:color w:val="000000" w:themeColor="text1"/>
          <w:sz w:val="24"/>
          <w:szCs w:val="24"/>
          <w14:textFill>
            <w14:solidFill>
              <w14:schemeClr w14:val="tx1"/>
            </w14:solidFill>
          </w14:textFill>
        </w:rPr>
        <w:t>或者对采购文件作实质响应的投标人不足三家的；</w:t>
      </w:r>
    </w:p>
    <w:p w14:paraId="5023EB20">
      <w:pPr>
        <w:snapToGrid w:val="0"/>
        <w:spacing w:line="360" w:lineRule="auto"/>
        <w:ind w:firstLine="480" w:firstLineChars="20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（2）出现影响采购公正的违法、违规行为的；</w:t>
      </w:r>
    </w:p>
    <w:p w14:paraId="0D00085D">
      <w:pPr>
        <w:snapToGrid w:val="0"/>
        <w:spacing w:line="360" w:lineRule="auto"/>
        <w:ind w:firstLine="480" w:firstLineChars="20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（3）因重大变故，采购任务取消的；</w:t>
      </w:r>
    </w:p>
    <w:p w14:paraId="554D942D">
      <w:pPr>
        <w:snapToGrid w:val="0"/>
        <w:spacing w:line="360" w:lineRule="auto"/>
        <w:ind w:left="479" w:leftChars="228"/>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bCs/>
          <w:color w:val="000000" w:themeColor="text1"/>
          <w:sz w:val="24"/>
          <w:szCs w:val="24"/>
          <w14:textFill>
            <w14:solidFill>
              <w14:schemeClr w14:val="tx1"/>
            </w14:solidFill>
          </w14:textFill>
        </w:rPr>
        <w:t>（4）</w:t>
      </w:r>
      <w:r>
        <w:rPr>
          <w:rFonts w:ascii="Times New Roman" w:hAnsi="Times New Roman" w:cs="Times New Roman"/>
          <w:color w:val="000000" w:themeColor="text1"/>
          <w:sz w:val="24"/>
          <w:szCs w:val="24"/>
          <w14:textFill>
            <w14:solidFill>
              <w14:schemeClr w14:val="tx1"/>
            </w14:solidFill>
          </w14:textFill>
        </w:rPr>
        <w:t>评标工作组</w:t>
      </w:r>
      <w:r>
        <w:rPr>
          <w:rFonts w:ascii="Times New Roman" w:hAnsi="Times New Roman" w:cs="Times New Roman"/>
          <w:bCs/>
          <w:color w:val="000000" w:themeColor="text1"/>
          <w:sz w:val="24"/>
          <w:szCs w:val="24"/>
          <w14:textFill>
            <w14:solidFill>
              <w14:schemeClr w14:val="tx1"/>
            </w14:solidFill>
          </w14:textFill>
        </w:rPr>
        <w:t>会认定采购文件存在歧义、重大缺陷导致评审工作无法进行。</w:t>
      </w:r>
    </w:p>
    <w:p w14:paraId="1C3A6BA0">
      <w:pPr>
        <w:snapToGrid w:val="0"/>
        <w:spacing w:line="360" w:lineRule="auto"/>
        <w:ind w:firstLine="482" w:firstLineChars="200"/>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六、定标</w:t>
      </w:r>
    </w:p>
    <w:p w14:paraId="083F9479">
      <w:pPr>
        <w:snapToGrid w:val="0"/>
        <w:spacing w:line="360" w:lineRule="auto"/>
        <w:ind w:firstLine="482" w:firstLineChars="200"/>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24、确定中标单位</w:t>
      </w:r>
    </w:p>
    <w:p w14:paraId="0A2F940B">
      <w:pPr>
        <w:snapToGrid w:val="0"/>
        <w:spacing w:line="360" w:lineRule="auto"/>
        <w:ind w:firstLine="480" w:firstLineChars="20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24.1评标工作组首先对所有合格投标人按评标办法进行打分，根据综合得分，由高到低排列，向采购人推荐中标候选人。</w:t>
      </w:r>
      <w:r>
        <w:rPr>
          <w:rFonts w:ascii="Times New Roman" w:hAnsi="Times New Roman" w:cs="Times New Roman"/>
          <w:bCs/>
          <w:snapToGrid w:val="0"/>
          <w:color w:val="000000" w:themeColor="text1"/>
          <w:kern w:val="21"/>
          <w:sz w:val="24"/>
          <w:szCs w:val="24"/>
          <w14:textFill>
            <w14:solidFill>
              <w14:schemeClr w14:val="tx1"/>
            </w14:solidFill>
          </w14:textFill>
        </w:rPr>
        <w:t>采购人应根据</w:t>
      </w:r>
      <w:r>
        <w:rPr>
          <w:rFonts w:ascii="Times New Roman" w:hAnsi="Times New Roman" w:cs="Times New Roman"/>
          <w:color w:val="000000" w:themeColor="text1"/>
          <w:sz w:val="24"/>
          <w:szCs w:val="24"/>
          <w14:textFill>
            <w14:solidFill>
              <w14:schemeClr w14:val="tx1"/>
            </w14:solidFill>
          </w14:textFill>
        </w:rPr>
        <w:t>评标工作组</w:t>
      </w:r>
      <w:r>
        <w:rPr>
          <w:rFonts w:ascii="Times New Roman" w:hAnsi="Times New Roman" w:cs="Times New Roman"/>
          <w:bCs/>
          <w:snapToGrid w:val="0"/>
          <w:color w:val="000000" w:themeColor="text1"/>
          <w:kern w:val="21"/>
          <w:sz w:val="24"/>
          <w:szCs w:val="24"/>
          <w14:textFill>
            <w14:solidFill>
              <w14:schemeClr w14:val="tx1"/>
            </w14:solidFill>
          </w14:textFill>
        </w:rPr>
        <w:t>推荐的中标候选人确定中标人</w:t>
      </w:r>
      <w:r>
        <w:rPr>
          <w:rFonts w:ascii="Times New Roman" w:hAnsi="Times New Roman" w:cs="Times New Roman"/>
          <w:color w:val="000000" w:themeColor="text1"/>
          <w:sz w:val="24"/>
          <w:szCs w:val="24"/>
          <w14:textFill>
            <w14:solidFill>
              <w14:schemeClr w14:val="tx1"/>
            </w14:solidFill>
          </w14:textFill>
        </w:rPr>
        <w:t>。</w:t>
      </w:r>
    </w:p>
    <w:p w14:paraId="5E4F124E">
      <w:pPr>
        <w:snapToGrid w:val="0"/>
        <w:spacing w:line="360" w:lineRule="auto"/>
        <w:ind w:firstLine="480" w:firstLineChars="20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24.2中标人名单将在</w:t>
      </w:r>
      <w:r>
        <w:rPr>
          <w:rFonts w:hint="eastAsia" w:ascii="Times New Roman" w:hAnsi="Times New Roman" w:cs="Times New Roman"/>
          <w:color w:val="000000" w:themeColor="text1"/>
          <w:sz w:val="24"/>
          <w:szCs w:val="24"/>
          <w14:textFill>
            <w14:solidFill>
              <w14:schemeClr w14:val="tx1"/>
            </w14:solidFill>
          </w14:textFill>
        </w:rPr>
        <w:t>相关网站</w:t>
      </w:r>
      <w:r>
        <w:rPr>
          <w:rFonts w:ascii="Times New Roman" w:hAnsi="Times New Roman" w:cs="Times New Roman"/>
          <w:color w:val="000000" w:themeColor="text1"/>
          <w:sz w:val="24"/>
          <w:szCs w:val="24"/>
          <w14:textFill>
            <w14:solidFill>
              <w14:schemeClr w14:val="tx1"/>
            </w14:solidFill>
          </w14:textFill>
        </w:rPr>
        <w:t>上进行公示。</w:t>
      </w:r>
    </w:p>
    <w:p w14:paraId="1A7E2FE7">
      <w:pPr>
        <w:snapToGrid w:val="0"/>
        <w:spacing w:line="360" w:lineRule="auto"/>
        <w:ind w:firstLine="480" w:firstLineChars="20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24.3若有充分证据证明，中标人出现下列情况之一的，一经查实，将被取消中标资格：</w:t>
      </w:r>
    </w:p>
    <w:p w14:paraId="7600642A">
      <w:pPr>
        <w:snapToGrid w:val="0"/>
        <w:spacing w:line="360" w:lineRule="auto"/>
        <w:ind w:firstLine="480" w:firstLineChars="20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（1）提供虚假材料谋取中标的；</w:t>
      </w:r>
    </w:p>
    <w:p w14:paraId="080FA8C1">
      <w:pPr>
        <w:snapToGrid w:val="0"/>
        <w:spacing w:line="360" w:lineRule="auto"/>
        <w:ind w:firstLine="480" w:firstLineChars="20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（2）与评审专家、采购人或者其他</w:t>
      </w:r>
      <w:r>
        <w:rPr>
          <w:rFonts w:hint="eastAsia" w:ascii="Times New Roman" w:hAnsi="Times New Roman" w:cs="Times New Roman"/>
          <w:color w:val="000000" w:themeColor="text1"/>
          <w:sz w:val="24"/>
          <w:szCs w:val="24"/>
          <w14:textFill>
            <w14:solidFill>
              <w14:schemeClr w14:val="tx1"/>
            </w14:solidFill>
          </w14:textFill>
        </w:rPr>
        <w:t>投标人</w:t>
      </w:r>
      <w:r>
        <w:rPr>
          <w:rFonts w:ascii="Times New Roman" w:hAnsi="Times New Roman" w:cs="Times New Roman"/>
          <w:color w:val="000000" w:themeColor="text1"/>
          <w:sz w:val="24"/>
          <w:szCs w:val="24"/>
          <w14:textFill>
            <w14:solidFill>
              <w14:schemeClr w14:val="tx1"/>
            </w14:solidFill>
          </w14:textFill>
        </w:rPr>
        <w:t>恶意串通的；</w:t>
      </w:r>
    </w:p>
    <w:p w14:paraId="5BC9B394">
      <w:pPr>
        <w:snapToGrid w:val="0"/>
        <w:spacing w:line="360" w:lineRule="auto"/>
        <w:ind w:firstLine="480" w:firstLineChars="20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（3）向评审专家、采购人行贿或者提供其它不正当利益的；</w:t>
      </w:r>
    </w:p>
    <w:p w14:paraId="63FB08D5">
      <w:pPr>
        <w:snapToGrid w:val="0"/>
        <w:spacing w:line="360" w:lineRule="auto"/>
        <w:ind w:left="48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（4）恶意竞争，投标总报价明显低于其自身合理成本且又无法提供证明的；</w:t>
      </w:r>
    </w:p>
    <w:p w14:paraId="308ECBF1">
      <w:pPr>
        <w:snapToGrid w:val="0"/>
        <w:spacing w:line="360" w:lineRule="auto"/>
        <w:ind w:firstLine="480" w:firstLineChars="20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（5）不满足本采购文件规定的实质性要求，但在评标过程中又未被评标工作组发现的；</w:t>
      </w:r>
    </w:p>
    <w:p w14:paraId="713299FD">
      <w:pPr>
        <w:snapToGrid w:val="0"/>
        <w:spacing w:line="360" w:lineRule="auto"/>
        <w:ind w:firstLine="480" w:firstLineChars="20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（6）不符合法律、法规的规定的其它情形。</w:t>
      </w:r>
    </w:p>
    <w:p w14:paraId="3D4A7D04">
      <w:pPr>
        <w:snapToGrid w:val="0"/>
        <w:spacing w:line="360" w:lineRule="auto"/>
        <w:ind w:firstLine="480" w:firstLineChars="20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24.4有下列情形之一的，视为投标人串通投标，投标无效：</w:t>
      </w:r>
    </w:p>
    <w:p w14:paraId="6DAAD0E7">
      <w:pPr>
        <w:snapToGrid w:val="0"/>
        <w:spacing w:line="360" w:lineRule="auto"/>
        <w:ind w:firstLine="480" w:firstLineChars="20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（1）不同投标人的投标文件由同一单位或者个人编制。</w:t>
      </w:r>
    </w:p>
    <w:p w14:paraId="4D1D0E93">
      <w:pPr>
        <w:snapToGrid w:val="0"/>
        <w:spacing w:line="360" w:lineRule="auto"/>
        <w:ind w:firstLine="480" w:firstLineChars="20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（2）不同投标人委托同一单位或者个人办理投标事宜。</w:t>
      </w:r>
    </w:p>
    <w:p w14:paraId="6EC50387">
      <w:pPr>
        <w:snapToGrid w:val="0"/>
        <w:spacing w:line="360" w:lineRule="auto"/>
        <w:ind w:firstLine="480" w:firstLineChars="20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（3）不同投标人的投标文件载明的项目管理成员或者联系人员为同一人。</w:t>
      </w:r>
    </w:p>
    <w:p w14:paraId="172541FD">
      <w:pPr>
        <w:snapToGrid w:val="0"/>
        <w:spacing w:line="360" w:lineRule="auto"/>
        <w:ind w:firstLine="480" w:firstLineChars="20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（4）不同投标人的投标文件异常一致或者投标报价呈规律性差异。</w:t>
      </w:r>
    </w:p>
    <w:p w14:paraId="0B6148C7">
      <w:pPr>
        <w:snapToGrid w:val="0"/>
        <w:spacing w:line="360" w:lineRule="auto"/>
        <w:ind w:firstLine="480" w:firstLineChars="20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（5）不同投标人的投标文件相互混装。</w:t>
      </w:r>
    </w:p>
    <w:p w14:paraId="2E31A0CF">
      <w:pPr>
        <w:snapToGrid w:val="0"/>
        <w:spacing w:line="360" w:lineRule="auto"/>
        <w:ind w:firstLine="482" w:firstLineChars="200"/>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25、质疑处理</w:t>
      </w:r>
    </w:p>
    <w:p w14:paraId="40F2E69D">
      <w:pPr>
        <w:snapToGrid w:val="0"/>
        <w:spacing w:line="360" w:lineRule="auto"/>
        <w:ind w:firstLine="480" w:firstLineChars="20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25.1参加投标</w:t>
      </w:r>
      <w:r>
        <w:rPr>
          <w:rFonts w:hint="eastAsia" w:ascii="Times New Roman" w:hAnsi="Times New Roman" w:cs="Times New Roman"/>
          <w:color w:val="000000" w:themeColor="text1"/>
          <w:sz w:val="24"/>
          <w:szCs w:val="24"/>
          <w14:textFill>
            <w14:solidFill>
              <w14:schemeClr w14:val="tx1"/>
            </w14:solidFill>
          </w14:textFill>
        </w:rPr>
        <w:t>投标人</w:t>
      </w:r>
      <w:r>
        <w:rPr>
          <w:rFonts w:ascii="Times New Roman" w:hAnsi="Times New Roman" w:cs="Times New Roman"/>
          <w:color w:val="000000" w:themeColor="text1"/>
          <w:sz w:val="24"/>
          <w:szCs w:val="24"/>
          <w14:textFill>
            <w14:solidFill>
              <w14:schemeClr w14:val="tx1"/>
            </w14:solidFill>
          </w14:textFill>
        </w:rPr>
        <w:t>认为采购文件、采购过程和采购结果使自己的权益受到损害的，可以在知道或应知其权益受到损害之日起7个工作日内，以书面形式向采购人提出质疑。</w:t>
      </w:r>
    </w:p>
    <w:p w14:paraId="4185DE77">
      <w:pPr>
        <w:snapToGrid w:val="0"/>
        <w:spacing w:line="360" w:lineRule="auto"/>
        <w:ind w:firstLine="480" w:firstLineChars="20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（1）对可以质疑的采购文件提出质疑的，为收到采购文件之日或者采购文件公告期限届满之日；</w:t>
      </w:r>
    </w:p>
    <w:p w14:paraId="47B4555E">
      <w:pPr>
        <w:snapToGrid w:val="0"/>
        <w:spacing w:line="360" w:lineRule="auto"/>
        <w:ind w:firstLine="480" w:firstLineChars="20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（2）对采购过程提出质疑的，为各采购程序环节结束之日；</w:t>
      </w:r>
    </w:p>
    <w:p w14:paraId="6C3BE4B1">
      <w:pPr>
        <w:snapToGrid w:val="0"/>
        <w:spacing w:line="360" w:lineRule="auto"/>
        <w:ind w:firstLine="480" w:firstLineChars="20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（3）对中标或者成交结果提出质疑的，为中标或者成交结果公告期限届满之日。</w:t>
      </w:r>
    </w:p>
    <w:p w14:paraId="50C14992">
      <w:pPr>
        <w:snapToGrid w:val="0"/>
        <w:spacing w:line="360" w:lineRule="auto"/>
        <w:ind w:firstLine="472" w:firstLineChars="197"/>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25.2质疑必须以参加投标</w:t>
      </w:r>
      <w:r>
        <w:rPr>
          <w:rFonts w:hint="eastAsia" w:ascii="Times New Roman" w:hAnsi="Times New Roman" w:cs="Times New Roman"/>
          <w:color w:val="000000" w:themeColor="text1"/>
          <w:sz w:val="24"/>
          <w:szCs w:val="24"/>
          <w14:textFill>
            <w14:solidFill>
              <w14:schemeClr w14:val="tx1"/>
            </w14:solidFill>
          </w14:textFill>
        </w:rPr>
        <w:t>投标人</w:t>
      </w:r>
      <w:r>
        <w:rPr>
          <w:rFonts w:ascii="Times New Roman" w:hAnsi="Times New Roman" w:cs="Times New Roman"/>
          <w:color w:val="000000" w:themeColor="text1"/>
          <w:sz w:val="24"/>
          <w:szCs w:val="24"/>
          <w14:textFill>
            <w14:solidFill>
              <w14:schemeClr w14:val="tx1"/>
            </w14:solidFill>
          </w14:textFill>
        </w:rPr>
        <w:t>法人代表或授权代表（投标文件中所确定的）送达的方式提交，未按上述要求提交的质疑函（含传真、电子邮件等）采购人有权不予受理。</w:t>
      </w:r>
    </w:p>
    <w:p w14:paraId="223035D7">
      <w:pPr>
        <w:snapToGrid w:val="0"/>
        <w:spacing w:line="360" w:lineRule="auto"/>
        <w:ind w:firstLine="480" w:firstLineChars="20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25.3未参加投标的</w:t>
      </w:r>
      <w:r>
        <w:rPr>
          <w:rFonts w:hint="eastAsia" w:ascii="Times New Roman" w:hAnsi="Times New Roman" w:cs="Times New Roman"/>
          <w:color w:val="000000" w:themeColor="text1"/>
          <w:sz w:val="24"/>
          <w:szCs w:val="24"/>
          <w14:textFill>
            <w14:solidFill>
              <w14:schemeClr w14:val="tx1"/>
            </w14:solidFill>
          </w14:textFill>
        </w:rPr>
        <w:t>投标人</w:t>
      </w:r>
      <w:r>
        <w:rPr>
          <w:rFonts w:ascii="Times New Roman" w:hAnsi="Times New Roman" w:cs="Times New Roman"/>
          <w:color w:val="000000" w:themeColor="text1"/>
          <w:sz w:val="24"/>
          <w:szCs w:val="24"/>
          <w14:textFill>
            <w14:solidFill>
              <w14:schemeClr w14:val="tx1"/>
            </w14:solidFill>
          </w14:textFill>
        </w:rPr>
        <w:t>或在投标活动中本身权益未受到损害或从投标活动中受益的</w:t>
      </w:r>
      <w:r>
        <w:rPr>
          <w:rFonts w:hint="eastAsia" w:ascii="Times New Roman" w:hAnsi="Times New Roman" w:cs="Times New Roman"/>
          <w:color w:val="000000" w:themeColor="text1"/>
          <w:sz w:val="24"/>
          <w:szCs w:val="24"/>
          <w14:textFill>
            <w14:solidFill>
              <w14:schemeClr w14:val="tx1"/>
            </w14:solidFill>
          </w14:textFill>
        </w:rPr>
        <w:t>投标人</w:t>
      </w:r>
      <w:r>
        <w:rPr>
          <w:rFonts w:ascii="Times New Roman" w:hAnsi="Times New Roman" w:cs="Times New Roman"/>
          <w:color w:val="000000" w:themeColor="text1"/>
          <w:sz w:val="24"/>
          <w:szCs w:val="24"/>
          <w14:textFill>
            <w14:solidFill>
              <w14:schemeClr w14:val="tx1"/>
            </w14:solidFill>
          </w14:textFill>
        </w:rPr>
        <w:t>所提出的质疑也不予受理。</w:t>
      </w:r>
    </w:p>
    <w:p w14:paraId="2E8E3DBE">
      <w:pPr>
        <w:snapToGrid w:val="0"/>
        <w:spacing w:line="360" w:lineRule="auto"/>
        <w:ind w:firstLine="468" w:firstLineChars="195"/>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25.4投标人提出书面质疑必须有理、有据，不得恶意质疑或提交虚假质疑。否则，采购人将不予受理。</w:t>
      </w:r>
    </w:p>
    <w:p w14:paraId="21E36430">
      <w:pPr>
        <w:snapToGrid w:val="0"/>
        <w:spacing w:line="360" w:lineRule="auto"/>
        <w:ind w:firstLine="468" w:firstLineChars="195"/>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25.5采购人将在收到投标</w:t>
      </w:r>
      <w:r>
        <w:rPr>
          <w:rFonts w:hint="eastAsia" w:ascii="Times New Roman" w:hAnsi="Times New Roman" w:cs="Times New Roman"/>
          <w:color w:val="000000" w:themeColor="text1"/>
          <w:sz w:val="24"/>
          <w:szCs w:val="24"/>
          <w14:textFill>
            <w14:solidFill>
              <w14:schemeClr w14:val="tx1"/>
            </w14:solidFill>
          </w14:textFill>
        </w:rPr>
        <w:t>投标人</w:t>
      </w:r>
      <w:r>
        <w:rPr>
          <w:rFonts w:ascii="Times New Roman" w:hAnsi="Times New Roman" w:cs="Times New Roman"/>
          <w:color w:val="000000" w:themeColor="text1"/>
          <w:sz w:val="24"/>
          <w:szCs w:val="24"/>
          <w14:textFill>
            <w14:solidFill>
              <w14:schemeClr w14:val="tx1"/>
            </w14:solidFill>
          </w14:textFill>
        </w:rPr>
        <w:t>的书面质疑后在规定时间内作出答复，但答复的内容不得涉及商业秘密。</w:t>
      </w:r>
    </w:p>
    <w:p w14:paraId="2B8747D3">
      <w:pPr>
        <w:snapToGrid w:val="0"/>
        <w:spacing w:line="360" w:lineRule="auto"/>
        <w:ind w:firstLine="470" w:firstLineChars="195"/>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26、中标通知书</w:t>
      </w:r>
    </w:p>
    <w:p w14:paraId="7FDB40F1">
      <w:pPr>
        <w:snapToGrid w:val="0"/>
        <w:spacing w:line="360" w:lineRule="auto"/>
        <w:ind w:firstLine="468" w:firstLineChars="195"/>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26.l中标结果质疑期满后，采购人将向中标</w:t>
      </w:r>
      <w:r>
        <w:rPr>
          <w:rFonts w:hint="eastAsia" w:ascii="Times New Roman" w:hAnsi="Times New Roman" w:cs="Times New Roman"/>
          <w:color w:val="000000" w:themeColor="text1"/>
          <w:sz w:val="24"/>
          <w:szCs w:val="24"/>
          <w14:textFill>
            <w14:solidFill>
              <w14:schemeClr w14:val="tx1"/>
            </w14:solidFill>
          </w14:textFill>
        </w:rPr>
        <w:t>投标人</w:t>
      </w:r>
      <w:r>
        <w:rPr>
          <w:rFonts w:ascii="Times New Roman" w:hAnsi="Times New Roman" w:cs="Times New Roman"/>
          <w:color w:val="000000" w:themeColor="text1"/>
          <w:sz w:val="24"/>
          <w:szCs w:val="24"/>
          <w14:textFill>
            <w14:solidFill>
              <w14:schemeClr w14:val="tx1"/>
            </w14:solidFill>
          </w14:textFill>
        </w:rPr>
        <w:t>发出中标通知书。</w:t>
      </w:r>
    </w:p>
    <w:p w14:paraId="19574ED8">
      <w:pPr>
        <w:snapToGrid w:val="0"/>
        <w:spacing w:line="360" w:lineRule="auto"/>
        <w:ind w:firstLine="468" w:firstLineChars="195"/>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26.2中标人收到中标通知书后，须立即以书面形式回复采购人，确认中标通知书已收到。若无书面回复，则公告后视同中标人已经知悉并同意接受。</w:t>
      </w:r>
    </w:p>
    <w:p w14:paraId="45788085">
      <w:pPr>
        <w:snapToGrid w:val="0"/>
        <w:spacing w:line="360" w:lineRule="auto"/>
        <w:ind w:firstLine="468" w:firstLineChars="195"/>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26.3中标通知书将是合同的一个组成部分。对采购人和中标</w:t>
      </w:r>
      <w:r>
        <w:rPr>
          <w:rFonts w:hint="eastAsia" w:ascii="Times New Roman" w:hAnsi="Times New Roman" w:cs="Times New Roman"/>
          <w:color w:val="000000" w:themeColor="text1"/>
          <w:sz w:val="24"/>
          <w:szCs w:val="24"/>
          <w14:textFill>
            <w14:solidFill>
              <w14:schemeClr w14:val="tx1"/>
            </w14:solidFill>
          </w14:textFill>
        </w:rPr>
        <w:t>投标人</w:t>
      </w:r>
      <w:r>
        <w:rPr>
          <w:rFonts w:ascii="Times New Roman" w:hAnsi="Times New Roman" w:cs="Times New Roman"/>
          <w:color w:val="000000" w:themeColor="text1"/>
          <w:sz w:val="24"/>
          <w:szCs w:val="24"/>
          <w14:textFill>
            <w14:solidFill>
              <w14:schemeClr w14:val="tx1"/>
            </w14:solidFill>
          </w14:textFill>
        </w:rPr>
        <w:t>均具有法律效力。中标通知书发出后，采购人改变中标结果的，或者中标</w:t>
      </w:r>
      <w:r>
        <w:rPr>
          <w:rFonts w:hint="eastAsia" w:ascii="Times New Roman" w:hAnsi="Times New Roman" w:cs="Times New Roman"/>
          <w:color w:val="000000" w:themeColor="text1"/>
          <w:sz w:val="24"/>
          <w:szCs w:val="24"/>
          <w14:textFill>
            <w14:solidFill>
              <w14:schemeClr w14:val="tx1"/>
            </w14:solidFill>
          </w14:textFill>
        </w:rPr>
        <w:t>投标人</w:t>
      </w:r>
      <w:r>
        <w:rPr>
          <w:rFonts w:ascii="Times New Roman" w:hAnsi="Times New Roman" w:cs="Times New Roman"/>
          <w:color w:val="000000" w:themeColor="text1"/>
          <w:sz w:val="24"/>
          <w:szCs w:val="24"/>
          <w14:textFill>
            <w14:solidFill>
              <w14:schemeClr w14:val="tx1"/>
            </w14:solidFill>
          </w14:textFill>
        </w:rPr>
        <w:t>放弃中标项目的，应当依法承担法律责任。</w:t>
      </w:r>
    </w:p>
    <w:p w14:paraId="3AE7562B">
      <w:pPr>
        <w:snapToGrid w:val="0"/>
        <w:spacing w:line="360" w:lineRule="auto"/>
        <w:ind w:firstLine="482" w:firstLineChars="200"/>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七、授予合同</w:t>
      </w:r>
    </w:p>
    <w:p w14:paraId="57E18005">
      <w:pPr>
        <w:snapToGrid w:val="0"/>
        <w:spacing w:line="360" w:lineRule="auto"/>
        <w:ind w:firstLine="482" w:firstLineChars="200"/>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27、签订合同</w:t>
      </w:r>
    </w:p>
    <w:p w14:paraId="00F915D7">
      <w:pPr>
        <w:snapToGrid w:val="0"/>
        <w:spacing w:line="360" w:lineRule="auto"/>
        <w:ind w:firstLine="480" w:firstLineChars="20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27.1中标人在</w:t>
      </w:r>
      <w:r>
        <w:rPr>
          <w:rFonts w:ascii="Times New Roman" w:hAnsi="Times New Roman" w:cs="Times New Roman"/>
          <w:snapToGrid w:val="0"/>
          <w:color w:val="000000" w:themeColor="text1"/>
          <w:kern w:val="21"/>
          <w:sz w:val="24"/>
          <w:szCs w:val="24"/>
          <w14:textFill>
            <w14:solidFill>
              <w14:schemeClr w14:val="tx1"/>
            </w14:solidFill>
          </w14:textFill>
        </w:rPr>
        <w:t>中标通知书发出之日</w:t>
      </w:r>
      <w:r>
        <w:rPr>
          <w:rFonts w:ascii="Times New Roman" w:hAnsi="Times New Roman" w:cs="Times New Roman"/>
          <w:color w:val="000000" w:themeColor="text1"/>
          <w:sz w:val="24"/>
          <w:szCs w:val="24"/>
          <w14:textFill>
            <w14:solidFill>
              <w14:schemeClr w14:val="tx1"/>
            </w14:solidFill>
          </w14:textFill>
        </w:rPr>
        <w:t>起30日内派代表前来与采购人具体商谈签订合同，若因中标人延误签订合同并由此给采购人造成损失的，中标人应承担赔偿责任。</w:t>
      </w:r>
    </w:p>
    <w:p w14:paraId="6EC77A4C">
      <w:pPr>
        <w:snapToGrid w:val="0"/>
        <w:spacing w:line="360" w:lineRule="auto"/>
        <w:ind w:firstLine="480" w:firstLineChars="20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27.2采购文件、中标人的投标文件及澄清文件等，均为签订合同的依据。</w:t>
      </w:r>
    </w:p>
    <w:p w14:paraId="75ABA15B">
      <w:pPr>
        <w:snapToGrid w:val="0"/>
        <w:spacing w:line="360" w:lineRule="auto"/>
        <w:ind w:firstLine="480" w:firstLineChars="20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27.3签订合同后，</w:t>
      </w:r>
      <w:r>
        <w:rPr>
          <w:rFonts w:ascii="Times New Roman" w:hAnsi="Times New Roman" w:cs="Times New Roman"/>
          <w:b/>
          <w:color w:val="000000" w:themeColor="text1"/>
          <w:sz w:val="24"/>
          <w:szCs w:val="24"/>
          <w14:textFill>
            <w14:solidFill>
              <w14:schemeClr w14:val="tx1"/>
            </w14:solidFill>
          </w14:textFill>
        </w:rPr>
        <w:t>中标人不得将相关服务进行全部或部分转包。</w:t>
      </w:r>
      <w:r>
        <w:rPr>
          <w:rFonts w:ascii="Times New Roman" w:hAnsi="Times New Roman" w:cs="Times New Roman"/>
          <w:color w:val="000000" w:themeColor="text1"/>
          <w:sz w:val="24"/>
          <w:szCs w:val="24"/>
          <w14:textFill>
            <w14:solidFill>
              <w14:schemeClr w14:val="tx1"/>
            </w14:solidFill>
          </w14:textFill>
        </w:rPr>
        <w:t>未经采购人同意，中标人也不得采用分包的形式履行合同，否则采购人有权终止合同，中标人的履约保证金将不予退还。转包或分包造成采购人损失的，中标人应承担相应赔偿责任。</w:t>
      </w:r>
    </w:p>
    <w:p w14:paraId="545A0D14">
      <w:pPr>
        <w:snapToGrid w:val="0"/>
        <w:spacing w:line="360" w:lineRule="auto"/>
        <w:ind w:firstLine="482" w:firstLineChars="200"/>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28、服务的追加和减少</w:t>
      </w:r>
    </w:p>
    <w:p w14:paraId="1DB49D32">
      <w:pPr>
        <w:snapToGrid w:val="0"/>
        <w:spacing w:line="360" w:lineRule="auto"/>
        <w:ind w:firstLine="480" w:firstLineChars="20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28.1采购合同履行中，需追加与合同标的相同的服务的，在不改变价格水平、合同及其它条款的前提下，采购人可以与中标人协商签订补充合同，追加量不得超过合同总额的10%。</w:t>
      </w:r>
    </w:p>
    <w:p w14:paraId="34FF5457">
      <w:pPr>
        <w:snapToGrid w:val="0"/>
        <w:spacing w:line="360" w:lineRule="auto"/>
        <w:ind w:firstLine="480" w:firstLineChars="200"/>
        <w:rPr>
          <w:rFonts w:hint="eastAsia" w:ascii="黑体" w:hAnsi="黑体" w:eastAsia="黑体" w:cs="黑体"/>
          <w:color w:val="000000" w:themeColor="text1"/>
          <w:kern w:val="44"/>
          <w:sz w:val="36"/>
          <w:szCs w:val="36"/>
          <w:u w:color="000000"/>
          <w:lang w:val="zh-TW"/>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28.2采购结束后，采购人若由于各种客观原因，必须对采购项目所牵涉的服务进行适当的减少时，在双方协商一致的前提下，可以按照中标时价格水平做相应的调减，并据此签订补充合同。</w:t>
      </w:r>
      <w:r>
        <w:rPr>
          <w:rFonts w:ascii="黑体" w:hAnsi="黑体" w:eastAsia="黑体" w:cs="黑体"/>
          <w:color w:val="000000" w:themeColor="text1"/>
          <w:kern w:val="44"/>
          <w:sz w:val="36"/>
          <w:szCs w:val="36"/>
          <w:u w:color="000000"/>
          <w:lang w:val="zh-TW"/>
          <w14:textFill>
            <w14:solidFill>
              <w14:schemeClr w14:val="tx1"/>
            </w14:solidFill>
          </w14:textFill>
        </w:rPr>
        <w:br w:type="page"/>
      </w:r>
    </w:p>
    <w:p w14:paraId="42536AE4">
      <w:pPr>
        <w:spacing w:before="312" w:beforeLines="100" w:after="312" w:afterLines="100" w:line="360" w:lineRule="auto"/>
        <w:jc w:val="center"/>
        <w:outlineLvl w:val="0"/>
        <w:rPr>
          <w:rFonts w:hint="eastAsia" w:ascii="黑体" w:hAnsi="黑体" w:eastAsia="黑体" w:cs="黑体"/>
          <w:color w:val="000000" w:themeColor="text1"/>
          <w:kern w:val="44"/>
          <w:sz w:val="36"/>
          <w:szCs w:val="36"/>
          <w:u w:color="000000"/>
          <w:lang w:val="zh-TW"/>
          <w14:textFill>
            <w14:solidFill>
              <w14:schemeClr w14:val="tx1"/>
            </w14:solidFill>
          </w14:textFill>
        </w:rPr>
      </w:pPr>
      <w:bookmarkStart w:id="47" w:name="_Toc11859487"/>
      <w:r>
        <w:rPr>
          <w:rFonts w:ascii="黑体" w:hAnsi="黑体" w:eastAsia="黑体" w:cs="黑体"/>
          <w:color w:val="000000" w:themeColor="text1"/>
          <w:kern w:val="44"/>
          <w:sz w:val="36"/>
          <w:szCs w:val="36"/>
          <w:u w:color="000000"/>
          <w:lang w:val="zh-TW"/>
          <w14:textFill>
            <w14:solidFill>
              <w14:schemeClr w14:val="tx1"/>
            </w14:solidFill>
          </w14:textFill>
        </w:rPr>
        <w:t>第</w:t>
      </w:r>
      <w:r>
        <w:rPr>
          <w:rFonts w:hint="eastAsia" w:ascii="黑体" w:hAnsi="黑体" w:eastAsia="黑体" w:cs="黑体"/>
          <w:color w:val="000000" w:themeColor="text1"/>
          <w:kern w:val="44"/>
          <w:sz w:val="36"/>
          <w:szCs w:val="36"/>
          <w:u w:color="000000"/>
          <w:lang w:val="zh-TW"/>
          <w14:textFill>
            <w14:solidFill>
              <w14:schemeClr w14:val="tx1"/>
            </w14:solidFill>
          </w14:textFill>
        </w:rPr>
        <w:t>三</w:t>
      </w:r>
      <w:r>
        <w:rPr>
          <w:rFonts w:ascii="黑体" w:hAnsi="黑体" w:eastAsia="黑体" w:cs="黑体"/>
          <w:color w:val="000000" w:themeColor="text1"/>
          <w:kern w:val="44"/>
          <w:sz w:val="36"/>
          <w:szCs w:val="36"/>
          <w:u w:color="000000"/>
          <w:lang w:val="zh-TW"/>
          <w14:textFill>
            <w14:solidFill>
              <w14:schemeClr w14:val="tx1"/>
            </w14:solidFill>
          </w14:textFill>
        </w:rPr>
        <w:t xml:space="preserve">章  </w:t>
      </w:r>
      <w:r>
        <w:rPr>
          <w:rFonts w:hint="eastAsia" w:ascii="黑体" w:hAnsi="黑体" w:eastAsia="黑体" w:cs="黑体"/>
          <w:color w:val="000000" w:themeColor="text1"/>
          <w:kern w:val="44"/>
          <w:sz w:val="36"/>
          <w:szCs w:val="36"/>
          <w:u w:color="000000"/>
          <w:lang w:val="zh-TW"/>
          <w14:textFill>
            <w14:solidFill>
              <w14:schemeClr w14:val="tx1"/>
            </w14:solidFill>
          </w14:textFill>
        </w:rPr>
        <w:t>合同条款及格式</w:t>
      </w:r>
      <w:bookmarkEnd w:id="47"/>
    </w:p>
    <w:p w14:paraId="3564F65A">
      <w:pPr>
        <w:spacing w:line="360" w:lineRule="auto"/>
        <w:ind w:firstLine="480" w:firstLineChars="200"/>
        <w:jc w:val="left"/>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本章不接受负偏离，商务条款响应及偏离表如有相关负偏离内容，视为无效投标。</w:t>
      </w:r>
    </w:p>
    <w:p w14:paraId="7D4BBA27">
      <w:pPr>
        <w:jc w:val="left"/>
        <w:rPr>
          <w:rFonts w:hint="eastAsia" w:ascii="黑体" w:hAnsi="黑体" w:eastAsia="黑体" w:cs="黑体"/>
          <w:color w:val="000000" w:themeColor="text1"/>
          <w:kern w:val="44"/>
          <w:sz w:val="36"/>
          <w:szCs w:val="36"/>
          <w:u w:color="000000"/>
          <w14:textFill>
            <w14:solidFill>
              <w14:schemeClr w14:val="tx1"/>
            </w14:solidFill>
          </w14:textFill>
        </w:rPr>
      </w:pPr>
      <w:r>
        <w:rPr>
          <w:rFonts w:ascii="黑体" w:hAnsi="黑体" w:eastAsia="黑体" w:cs="黑体"/>
          <w:color w:val="000000" w:themeColor="text1"/>
          <w:kern w:val="44"/>
          <w:sz w:val="36"/>
          <w:szCs w:val="36"/>
          <w:u w:color="000000"/>
          <w14:textFill>
            <w14:solidFill>
              <w14:schemeClr w14:val="tx1"/>
            </w14:solidFill>
          </w14:textFill>
        </w:rPr>
        <w:br w:type="page"/>
      </w:r>
    </w:p>
    <w:p w14:paraId="5D3153BE">
      <w:pPr>
        <w:rPr>
          <w:rFonts w:hint="eastAsia" w:ascii="宋体" w:hAnsi="宋体" w:eastAsia="宋体" w:cs="宋体"/>
          <w:sz w:val="44"/>
          <w:szCs w:val="44"/>
        </w:rPr>
      </w:pPr>
      <w:bookmarkStart w:id="48" w:name="_Toc11859488"/>
      <w:r>
        <w:rPr>
          <w:color w:val="000000" w:themeColor="text1"/>
          <w14:textFill>
            <w14:solidFill>
              <w14:schemeClr w14:val="tx1"/>
            </w14:solidFill>
          </w14:textFill>
        </w:rPr>
        <w:drawing>
          <wp:inline distT="0" distB="0" distL="0" distR="0">
            <wp:extent cx="1200150" cy="476250"/>
            <wp:effectExtent l="0" t="0" r="0" b="0"/>
            <wp:docPr id="1" name="图片 1" descr="说明: C:\Users\xulp\AppData\Local\Microsoft\Windows\INetCache\Content.Word\LOGO修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C:\Users\xulp\AppData\Local\Microsoft\Windows\INetCache\Content.Word\LOGO修改.jpg"/>
                    <pic:cNvPicPr>
                      <a:picLocks noChangeAspect="1" noChangeArrowheads="1"/>
                    </pic:cNvPicPr>
                  </pic:nvPicPr>
                  <pic:blipFill>
                    <a:blip r:embed="rId10" cstate="print">
                      <a:extLst>
                        <a:ext uri="{28A0092B-C50C-407E-A947-70E740481C1C}">
                          <a14:useLocalDpi xmlns:a14="http://schemas.microsoft.com/office/drawing/2010/main" val="0"/>
                        </a:ext>
                      </a:extLst>
                    </a:blip>
                    <a:srcRect r="3725"/>
                    <a:stretch>
                      <a:fillRect/>
                    </a:stretch>
                  </pic:blipFill>
                  <pic:spPr>
                    <a:xfrm>
                      <a:off x="0" y="0"/>
                      <a:ext cx="1200150" cy="476250"/>
                    </a:xfrm>
                    <a:prstGeom prst="rect">
                      <a:avLst/>
                    </a:prstGeom>
                    <a:noFill/>
                    <a:ln>
                      <a:noFill/>
                    </a:ln>
                  </pic:spPr>
                </pic:pic>
              </a:graphicData>
            </a:graphic>
          </wp:inline>
        </w:drawing>
      </w:r>
    </w:p>
    <w:p w14:paraId="48667751">
      <w:pPr>
        <w:spacing w:line="360" w:lineRule="auto"/>
        <w:jc w:val="right"/>
        <w:rPr>
          <w:rFonts w:hint="eastAsia" w:ascii="方正仿宋_GBK" w:hAnsi="方正仿宋_GBK" w:eastAsia="方正仿宋_GBK" w:cs="方正仿宋_GBK"/>
        </w:rPr>
      </w:pPr>
      <w:r>
        <w:rPr>
          <w:rFonts w:hint="eastAsia" w:ascii="宋体" w:hAnsi="宋体" w:eastAsia="宋体" w:cs="宋体"/>
          <w:sz w:val="44"/>
          <w:szCs w:val="44"/>
          <w:lang w:bidi="ar"/>
        </w:rPr>
        <w:t xml:space="preserve">      </w:t>
      </w:r>
      <w:r>
        <w:rPr>
          <w:rFonts w:hint="eastAsia" w:ascii="宋体" w:hAnsi="宋体" w:eastAsia="宋体" w:cs="宋体"/>
          <w:sz w:val="44"/>
          <w:szCs w:val="44"/>
          <w:lang w:bidi="ar"/>
        </w:rPr>
        <w:tab/>
      </w:r>
      <w:r>
        <w:rPr>
          <w:rFonts w:ascii="Times New Roman" w:hAnsi="Times New Roman" w:eastAsia="宋体" w:cs="Times New Roman"/>
          <w:sz w:val="22"/>
          <w:szCs w:val="24"/>
          <w:lang w:bidi="ar"/>
        </w:rPr>
        <w:tab/>
      </w:r>
      <w:r>
        <w:rPr>
          <w:rFonts w:hint="eastAsia" w:ascii="方正仿宋_GBK" w:hAnsi="宋体" w:eastAsia="方正仿宋_GBK" w:cs="方正仿宋_GBK"/>
          <w:b/>
          <w:bCs/>
          <w:sz w:val="32"/>
          <w:szCs w:val="28"/>
          <w:lang w:bidi="ar"/>
        </w:rPr>
        <w:t>协议编号：【</w:t>
      </w:r>
      <w:r>
        <w:rPr>
          <w:rFonts w:hint="eastAsia" w:ascii="方正仿宋_GBK" w:hAnsi="宋体" w:eastAsia="方正仿宋_GBK" w:cs="方正仿宋_GBK"/>
          <w:b/>
          <w:bCs/>
          <w:color w:val="000000"/>
          <w:sz w:val="32"/>
          <w:szCs w:val="28"/>
          <w:lang w:bidi="ar"/>
        </w:rPr>
        <w:t>2025A**00**</w:t>
      </w:r>
      <w:r>
        <w:rPr>
          <w:rFonts w:hint="eastAsia" w:ascii="方正仿宋_GBK" w:hAnsi="宋体" w:eastAsia="方正仿宋_GBK" w:cs="方正仿宋_GBK"/>
          <w:b/>
          <w:bCs/>
          <w:sz w:val="32"/>
          <w:szCs w:val="28"/>
          <w:lang w:bidi="ar"/>
        </w:rPr>
        <w:t>】</w:t>
      </w:r>
    </w:p>
    <w:p w14:paraId="1DFC295B">
      <w:pPr>
        <w:tabs>
          <w:tab w:val="left" w:pos="7064"/>
        </w:tabs>
        <w:jc w:val="left"/>
        <w:rPr>
          <w:rFonts w:hint="eastAsia" w:ascii="宋体" w:hAnsi="宋体" w:eastAsia="宋体" w:cs="宋体"/>
          <w:sz w:val="44"/>
          <w:szCs w:val="44"/>
        </w:rPr>
      </w:pPr>
    </w:p>
    <w:p w14:paraId="6DCB541C">
      <w:pPr>
        <w:jc w:val="center"/>
        <w:rPr>
          <w:rFonts w:hint="eastAsia" w:ascii="宋体" w:hAnsi="宋体" w:eastAsia="宋体" w:cs="宋体"/>
          <w:sz w:val="44"/>
          <w:szCs w:val="44"/>
        </w:rPr>
      </w:pPr>
    </w:p>
    <w:p w14:paraId="2C669E06">
      <w:pPr>
        <w:autoSpaceDE w:val="0"/>
        <w:autoSpaceDN w:val="0"/>
        <w:adjustRightInd w:val="0"/>
        <w:jc w:val="center"/>
        <w:rPr>
          <w:rFonts w:hint="eastAsia" w:ascii="方正仿宋_GBK" w:hAnsi="宋体" w:eastAsia="方正仿宋_GBK" w:cs="方正仿宋_GBK"/>
          <w:color w:val="000000"/>
          <w:sz w:val="52"/>
          <w:szCs w:val="52"/>
        </w:rPr>
      </w:pPr>
      <w:r>
        <w:rPr>
          <w:rFonts w:hint="eastAsia" w:ascii="方正仿宋_GBK" w:hAnsi="宋体" w:eastAsia="方正仿宋_GBK" w:cs="方正仿宋_GBK"/>
          <w:color w:val="000000"/>
          <w:sz w:val="52"/>
          <w:szCs w:val="52"/>
          <w:lang w:bidi="ar"/>
        </w:rPr>
        <w:t>货</w:t>
      </w:r>
    </w:p>
    <w:p w14:paraId="77C91CB9">
      <w:pPr>
        <w:autoSpaceDE w:val="0"/>
        <w:autoSpaceDN w:val="0"/>
        <w:adjustRightInd w:val="0"/>
        <w:jc w:val="center"/>
        <w:rPr>
          <w:rFonts w:hint="eastAsia" w:ascii="方正仿宋_GBK" w:hAnsi="宋体" w:eastAsia="方正仿宋_GBK" w:cs="方正仿宋_GBK"/>
          <w:color w:val="000000"/>
          <w:sz w:val="52"/>
          <w:szCs w:val="52"/>
        </w:rPr>
      </w:pPr>
      <w:r>
        <w:rPr>
          <w:rFonts w:hint="eastAsia" w:ascii="方正仿宋_GBK" w:hAnsi="宋体" w:eastAsia="方正仿宋_GBK" w:cs="方正仿宋_GBK"/>
          <w:color w:val="000000"/>
          <w:sz w:val="52"/>
          <w:szCs w:val="52"/>
          <w:lang w:bidi="ar"/>
        </w:rPr>
        <w:t>物</w:t>
      </w:r>
    </w:p>
    <w:p w14:paraId="795FEF86">
      <w:pPr>
        <w:autoSpaceDE w:val="0"/>
        <w:autoSpaceDN w:val="0"/>
        <w:adjustRightInd w:val="0"/>
        <w:jc w:val="center"/>
        <w:rPr>
          <w:rFonts w:hint="eastAsia" w:ascii="方正仿宋_GBK" w:hAnsi="宋体" w:eastAsia="方正仿宋_GBK" w:cs="方正仿宋_GBK"/>
          <w:color w:val="000000"/>
          <w:sz w:val="52"/>
          <w:szCs w:val="52"/>
        </w:rPr>
      </w:pPr>
      <w:r>
        <w:rPr>
          <w:rFonts w:hint="eastAsia" w:ascii="方正仿宋_GBK" w:hAnsi="宋体" w:eastAsia="方正仿宋_GBK" w:cs="方正仿宋_GBK"/>
          <w:color w:val="000000"/>
          <w:sz w:val="52"/>
          <w:szCs w:val="52"/>
          <w:lang w:bidi="ar"/>
        </w:rPr>
        <w:t>采</w:t>
      </w:r>
    </w:p>
    <w:p w14:paraId="7074CD81">
      <w:pPr>
        <w:autoSpaceDE w:val="0"/>
        <w:autoSpaceDN w:val="0"/>
        <w:adjustRightInd w:val="0"/>
        <w:jc w:val="center"/>
        <w:rPr>
          <w:rFonts w:hint="eastAsia" w:ascii="方正仿宋_GBK" w:hAnsi="宋体" w:eastAsia="方正仿宋_GBK" w:cs="方正仿宋_GBK"/>
          <w:color w:val="000000"/>
          <w:sz w:val="52"/>
          <w:szCs w:val="52"/>
        </w:rPr>
      </w:pPr>
      <w:r>
        <w:rPr>
          <w:rFonts w:hint="eastAsia" w:ascii="方正仿宋_GBK" w:hAnsi="宋体" w:eastAsia="方正仿宋_GBK" w:cs="方正仿宋_GBK"/>
          <w:color w:val="000000"/>
          <w:sz w:val="52"/>
          <w:szCs w:val="52"/>
          <w:lang w:bidi="ar"/>
        </w:rPr>
        <w:t>购</w:t>
      </w:r>
    </w:p>
    <w:p w14:paraId="4BFCC85F">
      <w:pPr>
        <w:autoSpaceDE w:val="0"/>
        <w:autoSpaceDN w:val="0"/>
        <w:adjustRightInd w:val="0"/>
        <w:jc w:val="center"/>
        <w:rPr>
          <w:rFonts w:hint="eastAsia" w:ascii="方正仿宋_GBK" w:hAnsi="宋体" w:eastAsia="方正仿宋_GBK" w:cs="方正仿宋_GBK"/>
          <w:color w:val="000000"/>
          <w:sz w:val="52"/>
          <w:szCs w:val="52"/>
        </w:rPr>
      </w:pPr>
      <w:r>
        <w:rPr>
          <w:rFonts w:hint="eastAsia" w:ascii="方正仿宋_GBK" w:hAnsi="宋体" w:eastAsia="方正仿宋_GBK" w:cs="方正仿宋_GBK"/>
          <w:color w:val="000000"/>
          <w:sz w:val="52"/>
          <w:szCs w:val="52"/>
          <w:lang w:bidi="ar"/>
        </w:rPr>
        <w:t>合</w:t>
      </w:r>
    </w:p>
    <w:p w14:paraId="3B9FBDC0">
      <w:pPr>
        <w:autoSpaceDE w:val="0"/>
        <w:autoSpaceDN w:val="0"/>
        <w:adjustRightInd w:val="0"/>
        <w:jc w:val="center"/>
        <w:rPr>
          <w:rFonts w:hint="eastAsia" w:ascii="宋体" w:hAnsi="宋体" w:eastAsia="宋体" w:cs="宋体"/>
          <w:color w:val="000000"/>
          <w:sz w:val="44"/>
          <w:szCs w:val="44"/>
        </w:rPr>
      </w:pPr>
      <w:r>
        <w:rPr>
          <w:rFonts w:hint="eastAsia" w:ascii="方正仿宋_GBK" w:hAnsi="宋体" w:eastAsia="方正仿宋_GBK" w:cs="方正仿宋_GBK"/>
          <w:color w:val="000000"/>
          <w:sz w:val="52"/>
          <w:szCs w:val="52"/>
          <w:lang w:bidi="ar"/>
        </w:rPr>
        <w:t>同</w:t>
      </w:r>
    </w:p>
    <w:p w14:paraId="7A3F5566">
      <w:pPr>
        <w:autoSpaceDE w:val="0"/>
        <w:autoSpaceDN w:val="0"/>
        <w:adjustRightInd w:val="0"/>
        <w:rPr>
          <w:rFonts w:hint="eastAsia" w:ascii="宋体" w:hAnsi="宋体" w:eastAsia="宋体" w:cs="宋体"/>
          <w:color w:val="000000"/>
          <w:sz w:val="28"/>
          <w:szCs w:val="28"/>
        </w:rPr>
      </w:pPr>
    </w:p>
    <w:p w14:paraId="6ABC2469">
      <w:pPr>
        <w:autoSpaceDE w:val="0"/>
        <w:autoSpaceDN w:val="0"/>
        <w:adjustRightInd w:val="0"/>
        <w:rPr>
          <w:rFonts w:hint="eastAsia" w:ascii="宋体" w:hAnsi="宋体" w:eastAsia="宋体" w:cs="宋体"/>
          <w:color w:val="000000"/>
          <w:sz w:val="28"/>
          <w:szCs w:val="28"/>
        </w:rPr>
      </w:pPr>
    </w:p>
    <w:p w14:paraId="4ECDC1CF">
      <w:pPr>
        <w:autoSpaceDE w:val="0"/>
        <w:autoSpaceDN w:val="0"/>
        <w:adjustRightInd w:val="0"/>
        <w:ind w:firstLine="1120" w:firstLineChars="400"/>
        <w:rPr>
          <w:rFonts w:hint="eastAsia" w:ascii="宋体" w:hAnsi="宋体" w:eastAsia="宋体" w:cs="宋体"/>
          <w:color w:val="000000"/>
          <w:sz w:val="28"/>
          <w:szCs w:val="28"/>
        </w:rPr>
      </w:pPr>
    </w:p>
    <w:p w14:paraId="46911118">
      <w:pPr>
        <w:autoSpaceDE w:val="0"/>
        <w:autoSpaceDN w:val="0"/>
        <w:adjustRightInd w:val="0"/>
        <w:ind w:left="1400" w:hanging="1400" w:hangingChars="500"/>
        <w:rPr>
          <w:rFonts w:hint="eastAsia" w:ascii="宋体" w:hAnsi="宋体" w:eastAsia="宋体" w:cs="宋体"/>
          <w:color w:val="000000"/>
          <w:sz w:val="28"/>
          <w:szCs w:val="28"/>
          <w:u w:val="single"/>
        </w:rPr>
      </w:pPr>
      <w:r>
        <w:rPr>
          <w:rFonts w:hint="eastAsia" w:ascii="宋体" w:hAnsi="宋体" w:eastAsia="宋体" w:cs="宋体"/>
          <w:color w:val="000000"/>
          <w:sz w:val="28"/>
          <w:szCs w:val="28"/>
          <w:lang w:bidi="ar"/>
        </w:rPr>
        <w:t>项目名称：</w:t>
      </w:r>
      <w:r>
        <w:rPr>
          <w:rFonts w:hint="eastAsia" w:ascii="宋体" w:hAnsi="宋体" w:eastAsia="宋体" w:cs="宋体"/>
          <w:color w:val="000000"/>
          <w:sz w:val="28"/>
          <w:szCs w:val="28"/>
          <w:u w:val="single"/>
          <w:lang w:bidi="ar"/>
        </w:rPr>
        <w:t xml:space="preserve">  紫金山实验室API安全网关系统采购项目  </w:t>
      </w:r>
    </w:p>
    <w:p w14:paraId="464998F7">
      <w:pPr>
        <w:autoSpaceDE w:val="0"/>
        <w:autoSpaceDN w:val="0"/>
        <w:adjustRightInd w:val="0"/>
        <w:rPr>
          <w:rFonts w:hint="eastAsia" w:ascii="宋体" w:hAnsi="宋体" w:eastAsia="宋体" w:cs="宋体"/>
          <w:color w:val="000000"/>
          <w:sz w:val="28"/>
          <w:szCs w:val="28"/>
        </w:rPr>
      </w:pPr>
      <w:r>
        <w:rPr>
          <w:rFonts w:hint="eastAsia" w:ascii="宋体" w:hAnsi="宋体" w:eastAsia="宋体" w:cs="宋体"/>
          <w:color w:val="000000"/>
          <w:sz w:val="28"/>
          <w:szCs w:val="28"/>
          <w:lang w:bidi="ar"/>
        </w:rPr>
        <w:t>甲  方：</w:t>
      </w:r>
      <w:r>
        <w:rPr>
          <w:rFonts w:hint="eastAsia" w:ascii="宋体" w:hAnsi="宋体" w:eastAsia="宋体" w:cs="宋体"/>
          <w:color w:val="000000"/>
          <w:sz w:val="28"/>
          <w:szCs w:val="28"/>
          <w:u w:val="single"/>
          <w:lang w:bidi="ar"/>
        </w:rPr>
        <w:t xml:space="preserve">              紫金山实验室           </w:t>
      </w:r>
      <w:r>
        <w:rPr>
          <w:rFonts w:hint="eastAsia" w:ascii="宋体" w:hAnsi="宋体" w:eastAsia="宋体" w:cs="宋体"/>
          <w:color w:val="000000"/>
          <w:sz w:val="28"/>
          <w:szCs w:val="28"/>
          <w:lang w:bidi="ar"/>
        </w:rPr>
        <w:t>（采购人）</w:t>
      </w:r>
    </w:p>
    <w:p w14:paraId="107E0E01">
      <w:pPr>
        <w:autoSpaceDE w:val="0"/>
        <w:autoSpaceDN w:val="0"/>
        <w:adjustRightInd w:val="0"/>
        <w:rPr>
          <w:rFonts w:hint="eastAsia" w:ascii="宋体" w:hAnsi="宋体" w:eastAsia="宋体" w:cs="宋体"/>
          <w:color w:val="000000"/>
          <w:sz w:val="28"/>
          <w:szCs w:val="28"/>
        </w:rPr>
      </w:pPr>
      <w:r>
        <w:rPr>
          <w:rFonts w:hint="eastAsia" w:ascii="宋体" w:hAnsi="宋体" w:eastAsia="宋体" w:cs="宋体"/>
          <w:color w:val="000000"/>
          <w:sz w:val="28"/>
          <w:szCs w:val="28"/>
          <w:lang w:bidi="ar"/>
        </w:rPr>
        <w:t>乙  方：</w:t>
      </w:r>
      <w:r>
        <w:rPr>
          <w:rFonts w:hint="eastAsia" w:ascii="宋体" w:hAnsi="宋体" w:eastAsia="宋体" w:cs="宋体"/>
          <w:color w:val="000000"/>
          <w:sz w:val="28"/>
          <w:szCs w:val="28"/>
          <w:u w:val="single"/>
          <w:lang w:bidi="ar"/>
        </w:rPr>
        <w:t xml:space="preserve">                                     </w:t>
      </w:r>
      <w:r>
        <w:rPr>
          <w:rFonts w:hint="eastAsia" w:ascii="宋体" w:hAnsi="宋体" w:eastAsia="宋体" w:cs="宋体"/>
          <w:color w:val="000000"/>
          <w:sz w:val="28"/>
          <w:szCs w:val="28"/>
          <w:lang w:bidi="ar"/>
        </w:rPr>
        <w:t>（投标人）</w:t>
      </w:r>
    </w:p>
    <w:p w14:paraId="4EEC00C6">
      <w:pPr>
        <w:autoSpaceDE w:val="0"/>
        <w:autoSpaceDN w:val="0"/>
        <w:adjustRightInd w:val="0"/>
        <w:snapToGrid w:val="0"/>
        <w:spacing w:line="360" w:lineRule="auto"/>
        <w:rPr>
          <w:rFonts w:hint="eastAsia" w:ascii="宋体" w:hAnsi="宋体" w:eastAsia="宋体" w:cs="宋体"/>
          <w:color w:val="000000"/>
          <w:szCs w:val="21"/>
          <w:lang w:val="zh-CN"/>
        </w:rPr>
      </w:pPr>
    </w:p>
    <w:p w14:paraId="4EE67F8D">
      <w:pPr>
        <w:autoSpaceDE w:val="0"/>
        <w:autoSpaceDN w:val="0"/>
        <w:adjustRightInd w:val="0"/>
        <w:snapToGrid w:val="0"/>
        <w:spacing w:line="360" w:lineRule="auto"/>
        <w:rPr>
          <w:rFonts w:hint="eastAsia" w:ascii="宋体" w:hAnsi="宋体" w:eastAsia="宋体" w:cs="宋体"/>
          <w:color w:val="000000"/>
          <w:szCs w:val="21"/>
          <w:lang w:val="zh-CN"/>
        </w:rPr>
      </w:pPr>
    </w:p>
    <w:p w14:paraId="7BB812F8">
      <w:pPr>
        <w:autoSpaceDE w:val="0"/>
        <w:autoSpaceDN w:val="0"/>
        <w:adjustRightInd w:val="0"/>
        <w:snapToGrid w:val="0"/>
        <w:spacing w:line="360" w:lineRule="auto"/>
        <w:rPr>
          <w:rFonts w:hint="eastAsia" w:ascii="宋体" w:hAnsi="宋体" w:eastAsia="宋体" w:cs="宋体"/>
          <w:color w:val="000000"/>
          <w:szCs w:val="21"/>
          <w:lang w:val="zh-CN"/>
        </w:rPr>
      </w:pPr>
    </w:p>
    <w:p w14:paraId="5FBCB09F">
      <w:pPr>
        <w:autoSpaceDE w:val="0"/>
        <w:autoSpaceDN w:val="0"/>
        <w:adjustRightInd w:val="0"/>
        <w:snapToGrid w:val="0"/>
        <w:spacing w:line="540" w:lineRule="exact"/>
        <w:ind w:firstLine="480" w:firstLineChars="200"/>
        <w:jc w:val="left"/>
        <w:rPr>
          <w:rFonts w:hint="eastAsia" w:ascii="宋体" w:hAnsi="宋体" w:eastAsia="宋体" w:cs="宋体"/>
          <w:color w:val="000000"/>
        </w:rPr>
      </w:pPr>
      <w:r>
        <w:rPr>
          <w:rFonts w:hint="eastAsia" w:ascii="宋体" w:hAnsi="宋体" w:eastAsia="宋体" w:cs="宋体"/>
          <w:color w:val="000000"/>
          <w:sz w:val="24"/>
          <w:szCs w:val="24"/>
          <w:lang w:val="zh-CN" w:bidi="ar"/>
        </w:rPr>
        <w:t>根据《中华人民共和国政府采购法》、《中华人民共和国民法典》等法律法规的规定，甲乙双方按照招标结果签订本合同。</w:t>
      </w:r>
    </w:p>
    <w:p w14:paraId="64D0BFC4">
      <w:pPr>
        <w:numPr>
          <w:ilvl w:val="0"/>
          <w:numId w:val="2"/>
        </w:numPr>
        <w:autoSpaceDE w:val="0"/>
        <w:autoSpaceDN w:val="0"/>
        <w:adjustRightInd w:val="0"/>
        <w:snapToGrid w:val="0"/>
        <w:spacing w:line="540" w:lineRule="exact"/>
        <w:ind w:firstLine="420"/>
        <w:rPr>
          <w:rFonts w:hint="eastAsia" w:ascii="宋体" w:hAnsi="宋体" w:eastAsia="宋体" w:cs="宋体"/>
          <w:color w:val="000000"/>
          <w:sz w:val="24"/>
          <w:szCs w:val="24"/>
          <w:lang w:val="zh-CN" w:bidi="ar"/>
        </w:rPr>
      </w:pPr>
      <w:r>
        <w:rPr>
          <w:rFonts w:hint="eastAsia" w:ascii="宋体" w:hAnsi="宋体" w:eastAsia="宋体" w:cs="宋体"/>
          <w:b/>
          <w:bCs/>
          <w:color w:val="000000"/>
          <w:sz w:val="24"/>
          <w:szCs w:val="24"/>
          <w:lang w:val="zh-CN" w:bidi="ar"/>
        </w:rPr>
        <w:t>合同标的</w:t>
      </w:r>
      <w:r>
        <w:rPr>
          <w:rFonts w:hint="eastAsia" w:ascii="宋体" w:hAnsi="宋体" w:eastAsia="宋体" w:cs="宋体"/>
          <w:color w:val="000000"/>
          <w:sz w:val="24"/>
          <w:szCs w:val="24"/>
          <w:lang w:val="zh-CN" w:bidi="ar"/>
        </w:rPr>
        <w:t xml:space="preserve">  </w:t>
      </w:r>
    </w:p>
    <w:p w14:paraId="125240B7">
      <w:pPr>
        <w:autoSpaceDE w:val="0"/>
        <w:autoSpaceDN w:val="0"/>
        <w:adjustRightInd w:val="0"/>
        <w:snapToGrid w:val="0"/>
        <w:spacing w:line="540" w:lineRule="exact"/>
        <w:ind w:firstLine="420"/>
        <w:rPr>
          <w:rFonts w:hint="eastAsia" w:ascii="宋体" w:hAnsi="宋体" w:eastAsia="宋体" w:cs="宋体"/>
          <w:color w:val="000000"/>
          <w:lang w:val="zh-CN"/>
        </w:rPr>
      </w:pPr>
    </w:p>
    <w:p w14:paraId="473D7C12">
      <w:pPr>
        <w:autoSpaceDE w:val="0"/>
        <w:autoSpaceDN w:val="0"/>
        <w:adjustRightInd w:val="0"/>
        <w:snapToGrid w:val="0"/>
        <w:spacing w:line="540" w:lineRule="exact"/>
        <w:ind w:firstLine="420"/>
        <w:jc w:val="left"/>
        <w:rPr>
          <w:rFonts w:hint="eastAsia" w:ascii="宋体" w:hAnsi="宋体" w:eastAsia="宋体" w:cs="宋体"/>
          <w:color w:val="000000"/>
          <w:lang w:val="zh-CN"/>
        </w:rPr>
      </w:pPr>
      <w:r>
        <w:rPr>
          <w:rFonts w:hint="eastAsia" w:ascii="宋体" w:hAnsi="宋体" w:eastAsia="宋体" w:cs="宋体"/>
          <w:b/>
          <w:bCs/>
          <w:color w:val="000000"/>
          <w:sz w:val="24"/>
          <w:szCs w:val="24"/>
          <w:lang w:val="zh-CN" w:bidi="ar"/>
        </w:rPr>
        <w:t>第二条 合同总价款</w:t>
      </w:r>
    </w:p>
    <w:p w14:paraId="1CCD8FB0">
      <w:pPr>
        <w:autoSpaceDE w:val="0"/>
        <w:autoSpaceDN w:val="0"/>
        <w:adjustRightInd w:val="0"/>
        <w:snapToGrid w:val="0"/>
        <w:spacing w:line="540" w:lineRule="exact"/>
        <w:ind w:firstLine="420"/>
        <w:jc w:val="left"/>
        <w:rPr>
          <w:rFonts w:hint="eastAsia" w:ascii="宋体" w:hAnsi="宋体" w:eastAsia="宋体" w:cs="宋体"/>
          <w:color w:val="000000"/>
          <w:lang w:val="zh-CN"/>
        </w:rPr>
      </w:pPr>
      <w:r>
        <w:rPr>
          <w:rFonts w:hint="eastAsia" w:ascii="宋体" w:hAnsi="宋体" w:eastAsia="宋体" w:cs="宋体"/>
          <w:color w:val="000000"/>
          <w:sz w:val="24"/>
          <w:szCs w:val="24"/>
          <w:lang w:val="zh-CN" w:bidi="ar"/>
        </w:rPr>
        <w:t>本合同项下货物总价为</w:t>
      </w:r>
      <w:r>
        <w:rPr>
          <w:rFonts w:hint="eastAsia" w:ascii="宋体" w:hAnsi="宋体" w:eastAsia="宋体" w:cs="宋体"/>
          <w:sz w:val="24"/>
          <w:szCs w:val="24"/>
          <w:lang w:bidi="ar"/>
        </w:rPr>
        <w:t>人民币</w:t>
      </w:r>
      <w:r>
        <w:rPr>
          <w:rFonts w:hint="eastAsia" w:ascii="宋体" w:hAnsi="宋体" w:eastAsia="宋体" w:cs="宋体"/>
          <w:sz w:val="24"/>
          <w:szCs w:val="24"/>
          <w:u w:val="single"/>
          <w:lang w:bidi="ar"/>
        </w:rPr>
        <w:t xml:space="preserve">         元</w:t>
      </w:r>
      <w:r>
        <w:rPr>
          <w:rFonts w:hint="eastAsia" w:ascii="宋体" w:hAnsi="宋体" w:eastAsia="宋体" w:cs="宋体"/>
          <w:sz w:val="24"/>
          <w:szCs w:val="24"/>
          <w:lang w:bidi="ar"/>
        </w:rPr>
        <w:t>（大写）（¥   元）</w:t>
      </w:r>
      <w:r>
        <w:rPr>
          <w:rFonts w:hint="eastAsia" w:ascii="宋体" w:hAnsi="宋体" w:eastAsia="宋体" w:cs="宋体"/>
          <w:color w:val="000000"/>
          <w:sz w:val="24"/>
          <w:szCs w:val="24"/>
          <w:lang w:val="zh-CN" w:bidi="ar"/>
        </w:rPr>
        <w:t>，分项价款详见“附件：分项报价表”。（如有）除此之外，甲方不再向乙方支付任何其他费用。</w:t>
      </w:r>
    </w:p>
    <w:p w14:paraId="150E21EA">
      <w:pPr>
        <w:autoSpaceDE w:val="0"/>
        <w:autoSpaceDN w:val="0"/>
        <w:adjustRightInd w:val="0"/>
        <w:snapToGrid w:val="0"/>
        <w:spacing w:line="540" w:lineRule="exact"/>
        <w:ind w:firstLine="480" w:firstLineChars="200"/>
        <w:rPr>
          <w:rFonts w:hint="eastAsia" w:ascii="宋体" w:hAnsi="宋体" w:eastAsia="宋体" w:cs="宋体"/>
          <w:b/>
          <w:color w:val="000000"/>
        </w:rPr>
      </w:pPr>
      <w:r>
        <w:rPr>
          <w:rFonts w:hint="eastAsia" w:ascii="宋体" w:hAnsi="宋体" w:eastAsia="宋体" w:cs="宋体"/>
          <w:color w:val="000000"/>
          <w:sz w:val="24"/>
          <w:szCs w:val="24"/>
          <w:lang w:val="zh-CN" w:bidi="ar"/>
        </w:rPr>
        <w:t>本合同总价款是</w:t>
      </w:r>
      <w:r>
        <w:rPr>
          <w:rFonts w:hint="eastAsia" w:ascii="宋体" w:hAnsi="宋体" w:eastAsia="宋体" w:cs="宋体"/>
          <w:color w:val="000000"/>
          <w:kern w:val="0"/>
          <w:sz w:val="24"/>
          <w:szCs w:val="24"/>
          <w:lang w:val="zh-CN" w:bidi="ar"/>
        </w:rPr>
        <w:t>货物设计、制造、包装、仓储、运输装缷、保险、安装、调试及其材料及验收合格之前保管及保修期内备品备件、专用工具、伴随服务、技术图纸资料、人员培训发生的所有含税费用、支付给员工的工资和国家强制缴纳的各种社会保障资金</w:t>
      </w:r>
      <w:r>
        <w:rPr>
          <w:rFonts w:hint="eastAsia" w:ascii="宋体" w:hAnsi="宋体" w:eastAsia="宋体" w:cs="宋体"/>
          <w:bCs/>
          <w:color w:val="000000"/>
          <w:sz w:val="24"/>
          <w:szCs w:val="24"/>
          <w:lang w:bidi="ar"/>
        </w:rPr>
        <w:t>，以</w:t>
      </w:r>
      <w:r>
        <w:rPr>
          <w:rFonts w:hint="eastAsia" w:ascii="宋体" w:hAnsi="宋体" w:eastAsia="宋体" w:cs="宋体"/>
          <w:color w:val="000000"/>
          <w:sz w:val="24"/>
          <w:szCs w:val="24"/>
          <w:lang w:bidi="ar"/>
        </w:rPr>
        <w:t>及投标人认为需要的其他费用等</w:t>
      </w:r>
      <w:r>
        <w:rPr>
          <w:rFonts w:hint="eastAsia" w:ascii="宋体" w:hAnsi="宋体" w:eastAsia="宋体" w:cs="宋体"/>
          <w:color w:val="000000"/>
          <w:sz w:val="24"/>
          <w:szCs w:val="24"/>
          <w:lang w:val="zh-CN" w:bidi="ar"/>
        </w:rPr>
        <w:t>。</w:t>
      </w:r>
    </w:p>
    <w:p w14:paraId="5A37D2B7">
      <w:pPr>
        <w:widowControl/>
        <w:autoSpaceDE w:val="0"/>
        <w:autoSpaceDN w:val="0"/>
        <w:adjustRightInd w:val="0"/>
        <w:snapToGrid w:val="0"/>
        <w:spacing w:line="540" w:lineRule="exact"/>
        <w:ind w:firstLine="420"/>
        <w:jc w:val="left"/>
        <w:rPr>
          <w:rFonts w:hint="eastAsia" w:ascii="宋体" w:hAnsi="宋体" w:eastAsia="宋体" w:cs="宋体"/>
          <w:color w:val="000000"/>
          <w:lang w:val="zh-CN"/>
        </w:rPr>
      </w:pPr>
      <w:r>
        <w:rPr>
          <w:rFonts w:hint="eastAsia" w:ascii="宋体" w:hAnsi="宋体" w:eastAsia="宋体" w:cs="宋体"/>
          <w:color w:val="000000"/>
          <w:kern w:val="0"/>
          <w:sz w:val="24"/>
          <w:szCs w:val="24"/>
          <w:lang w:val="zh-CN" w:bidi="ar"/>
        </w:rPr>
        <w:t>本合同总价款还包含乙方应当提供的伴随服务/售后服务费用。</w:t>
      </w:r>
    </w:p>
    <w:p w14:paraId="2A9BA5FA">
      <w:pPr>
        <w:autoSpaceDE w:val="0"/>
        <w:autoSpaceDN w:val="0"/>
        <w:adjustRightInd w:val="0"/>
        <w:snapToGrid w:val="0"/>
        <w:spacing w:line="540" w:lineRule="exact"/>
        <w:ind w:firstLine="420"/>
        <w:jc w:val="left"/>
        <w:rPr>
          <w:rFonts w:hint="eastAsia" w:ascii="宋体" w:hAnsi="宋体" w:eastAsia="宋体" w:cs="宋体"/>
          <w:color w:val="000000"/>
          <w:lang w:val="zh-CN"/>
        </w:rPr>
      </w:pPr>
      <w:r>
        <w:rPr>
          <w:rFonts w:hint="eastAsia" w:ascii="宋体" w:hAnsi="宋体" w:eastAsia="宋体" w:cs="宋体"/>
          <w:color w:val="000000"/>
          <w:sz w:val="24"/>
          <w:szCs w:val="24"/>
          <w:lang w:val="zh-CN" w:bidi="ar"/>
        </w:rPr>
        <w:t>本合同执行期间合同总价款不变。</w:t>
      </w:r>
    </w:p>
    <w:p w14:paraId="303B2616">
      <w:pPr>
        <w:autoSpaceDE w:val="0"/>
        <w:autoSpaceDN w:val="0"/>
        <w:adjustRightInd w:val="0"/>
        <w:snapToGrid w:val="0"/>
        <w:spacing w:line="540" w:lineRule="exact"/>
        <w:ind w:firstLine="472" w:firstLineChars="196"/>
        <w:rPr>
          <w:rFonts w:hint="eastAsia" w:ascii="宋体" w:hAnsi="宋体" w:eastAsia="宋体" w:cs="宋体"/>
          <w:color w:val="000000"/>
          <w:lang w:val="zh-CN"/>
        </w:rPr>
      </w:pPr>
      <w:r>
        <w:rPr>
          <w:rFonts w:hint="eastAsia" w:ascii="宋体" w:hAnsi="宋体" w:eastAsia="宋体" w:cs="宋体"/>
          <w:b/>
          <w:bCs/>
          <w:color w:val="000000"/>
          <w:sz w:val="24"/>
          <w:szCs w:val="24"/>
          <w:lang w:val="zh-CN" w:bidi="ar"/>
        </w:rPr>
        <w:t>第三条 组成本合同的有关文件</w:t>
      </w:r>
    </w:p>
    <w:p w14:paraId="6830F1A8">
      <w:pPr>
        <w:autoSpaceDE w:val="0"/>
        <w:autoSpaceDN w:val="0"/>
        <w:adjustRightInd w:val="0"/>
        <w:snapToGrid w:val="0"/>
        <w:spacing w:line="540" w:lineRule="exact"/>
        <w:ind w:firstLine="470" w:firstLineChars="196"/>
        <w:rPr>
          <w:rFonts w:hint="eastAsia" w:ascii="宋体" w:hAnsi="宋体" w:eastAsia="宋体" w:cs="宋体"/>
          <w:color w:val="000000"/>
          <w:lang w:val="zh-CN"/>
        </w:rPr>
      </w:pPr>
      <w:r>
        <w:rPr>
          <w:rFonts w:hint="eastAsia" w:ascii="宋体" w:hAnsi="宋体" w:eastAsia="宋体" w:cs="宋体"/>
          <w:color w:val="000000"/>
          <w:sz w:val="24"/>
          <w:szCs w:val="24"/>
          <w:lang w:val="zh-CN" w:bidi="ar"/>
        </w:rPr>
        <w:t>下列关于紫金山实验室</w:t>
      </w:r>
      <w:r>
        <w:rPr>
          <w:rFonts w:hint="eastAsia" w:ascii="宋体" w:hAnsi="宋体" w:eastAsia="宋体" w:cs="宋体"/>
          <w:color w:val="000000"/>
          <w:kern w:val="0"/>
          <w:sz w:val="24"/>
          <w:szCs w:val="24"/>
          <w:u w:val="single"/>
          <w:lang w:val="zh-CN" w:bidi="ar"/>
        </w:rPr>
        <w:t xml:space="preserve">      </w:t>
      </w:r>
      <w:r>
        <w:rPr>
          <w:rFonts w:hint="eastAsia" w:ascii="宋体" w:hAnsi="宋体" w:eastAsia="宋体" w:cs="宋体"/>
          <w:color w:val="000000"/>
          <w:sz w:val="24"/>
          <w:szCs w:val="24"/>
          <w:lang w:val="zh-CN" w:bidi="ar"/>
        </w:rPr>
        <w:t>标的招标文件或本次采购活动方式相适应的文件及有关附件是本合同不可分割的组成部分，与本合同具有同等法律效力，这些文件包括但不限于：</w:t>
      </w:r>
    </w:p>
    <w:p w14:paraId="38B3A7CD">
      <w:pPr>
        <w:autoSpaceDE w:val="0"/>
        <w:autoSpaceDN w:val="0"/>
        <w:adjustRightInd w:val="0"/>
        <w:snapToGrid w:val="0"/>
        <w:spacing w:line="540" w:lineRule="exact"/>
        <w:ind w:firstLine="420"/>
        <w:jc w:val="left"/>
        <w:rPr>
          <w:rFonts w:hint="eastAsia" w:ascii="宋体" w:hAnsi="宋体" w:eastAsia="宋体" w:cs="宋体"/>
          <w:color w:val="000000"/>
          <w:lang w:val="zh-CN"/>
        </w:rPr>
      </w:pPr>
      <w:r>
        <w:rPr>
          <w:rFonts w:hint="eastAsia" w:ascii="宋体" w:hAnsi="宋体" w:eastAsia="宋体" w:cs="宋体"/>
          <w:color w:val="000000"/>
          <w:sz w:val="24"/>
          <w:szCs w:val="24"/>
          <w:lang w:val="zh-CN" w:bidi="ar"/>
        </w:rPr>
        <w:t>（1）乙方提供的响应文件和报价表；（2）函件；</w:t>
      </w:r>
    </w:p>
    <w:p w14:paraId="5F394148">
      <w:pPr>
        <w:autoSpaceDE w:val="0"/>
        <w:autoSpaceDN w:val="0"/>
        <w:adjustRightInd w:val="0"/>
        <w:snapToGrid w:val="0"/>
        <w:spacing w:line="540" w:lineRule="exact"/>
        <w:ind w:firstLine="420"/>
        <w:jc w:val="left"/>
        <w:rPr>
          <w:rFonts w:hint="eastAsia" w:ascii="宋体" w:hAnsi="宋体" w:eastAsia="宋体" w:cs="宋体"/>
          <w:color w:val="000000"/>
          <w:lang w:val="zh-CN"/>
        </w:rPr>
      </w:pPr>
      <w:r>
        <w:rPr>
          <w:rFonts w:hint="eastAsia" w:ascii="宋体" w:hAnsi="宋体" w:eastAsia="宋体" w:cs="宋体"/>
          <w:color w:val="000000"/>
          <w:sz w:val="24"/>
          <w:szCs w:val="24"/>
          <w:lang w:val="zh-CN" w:bidi="ar"/>
        </w:rPr>
        <w:t>（3）分项报价表；              （4）项目实施方案与服务说明；</w:t>
      </w:r>
    </w:p>
    <w:p w14:paraId="328A50E2">
      <w:pPr>
        <w:autoSpaceDE w:val="0"/>
        <w:autoSpaceDN w:val="0"/>
        <w:adjustRightInd w:val="0"/>
        <w:snapToGrid w:val="0"/>
        <w:spacing w:line="540" w:lineRule="exact"/>
        <w:ind w:firstLine="420"/>
        <w:jc w:val="left"/>
        <w:rPr>
          <w:rFonts w:hint="eastAsia" w:ascii="宋体" w:hAnsi="宋体" w:eastAsia="宋体" w:cs="宋体"/>
          <w:color w:val="000000"/>
          <w:lang w:val="zh-CN"/>
        </w:rPr>
      </w:pPr>
      <w:r>
        <w:rPr>
          <w:rFonts w:hint="eastAsia" w:ascii="宋体" w:hAnsi="宋体" w:eastAsia="宋体" w:cs="宋体"/>
          <w:color w:val="000000"/>
          <w:sz w:val="24"/>
          <w:szCs w:val="24"/>
          <w:lang w:val="zh-CN" w:bidi="ar"/>
        </w:rPr>
        <w:t>（5）偏离表及说明；            （6）服务承诺；</w:t>
      </w:r>
    </w:p>
    <w:p w14:paraId="7F4DACE3">
      <w:pPr>
        <w:autoSpaceDE w:val="0"/>
        <w:autoSpaceDN w:val="0"/>
        <w:adjustRightInd w:val="0"/>
        <w:snapToGrid w:val="0"/>
        <w:spacing w:line="540" w:lineRule="exact"/>
        <w:ind w:firstLine="420"/>
        <w:jc w:val="left"/>
        <w:rPr>
          <w:rFonts w:hint="eastAsia" w:ascii="宋体" w:hAnsi="宋体" w:eastAsia="宋体" w:cs="宋体"/>
          <w:color w:val="000000"/>
          <w:lang w:val="zh-CN"/>
        </w:rPr>
      </w:pPr>
      <w:r>
        <w:rPr>
          <w:rFonts w:hint="eastAsia" w:ascii="宋体" w:hAnsi="宋体" w:eastAsia="宋体" w:cs="宋体"/>
          <w:color w:val="000000"/>
          <w:sz w:val="24"/>
          <w:szCs w:val="24"/>
          <w:lang w:val="zh-CN" w:bidi="ar"/>
        </w:rPr>
        <w:t>（7）中标通知书；              （8）甲乙双方商定的其他文件等。</w:t>
      </w:r>
    </w:p>
    <w:p w14:paraId="61EE88E8">
      <w:pPr>
        <w:autoSpaceDE w:val="0"/>
        <w:autoSpaceDN w:val="0"/>
        <w:adjustRightInd w:val="0"/>
        <w:snapToGrid w:val="0"/>
        <w:spacing w:line="540" w:lineRule="exact"/>
        <w:ind w:firstLine="420"/>
        <w:jc w:val="left"/>
        <w:rPr>
          <w:rFonts w:hint="eastAsia" w:ascii="宋体" w:hAnsi="宋体" w:eastAsia="宋体" w:cs="宋体"/>
          <w:b/>
          <w:bCs/>
          <w:color w:val="000000"/>
          <w:lang w:val="zh-CN"/>
        </w:rPr>
      </w:pPr>
      <w:r>
        <w:rPr>
          <w:rFonts w:hint="eastAsia" w:ascii="宋体" w:hAnsi="宋体" w:eastAsia="宋体" w:cs="宋体"/>
          <w:b/>
          <w:bCs/>
          <w:color w:val="000000"/>
          <w:sz w:val="24"/>
          <w:szCs w:val="24"/>
          <w:lang w:val="zh-CN" w:bidi="ar"/>
        </w:rPr>
        <w:t>第四条 权利保证</w:t>
      </w:r>
    </w:p>
    <w:p w14:paraId="170723A5">
      <w:pPr>
        <w:autoSpaceDE w:val="0"/>
        <w:autoSpaceDN w:val="0"/>
        <w:adjustRightInd w:val="0"/>
        <w:snapToGrid w:val="0"/>
        <w:spacing w:line="540" w:lineRule="exact"/>
        <w:ind w:firstLine="420"/>
        <w:jc w:val="left"/>
        <w:rPr>
          <w:rFonts w:hint="eastAsia" w:ascii="宋体" w:hAnsi="宋体" w:eastAsia="宋体" w:cs="宋体"/>
          <w:color w:val="000000"/>
          <w:lang w:val="zh-CN"/>
        </w:rPr>
      </w:pPr>
      <w:r>
        <w:rPr>
          <w:rFonts w:hint="eastAsia" w:ascii="宋体" w:hAnsi="宋体" w:eastAsia="宋体" w:cs="宋体"/>
          <w:color w:val="000000"/>
          <w:sz w:val="24"/>
          <w:szCs w:val="24"/>
          <w:lang w:val="zh-CN" w:bidi="ar"/>
        </w:rPr>
        <w:t>1. 乙方保证对其所供货物享有完全所有权或合法处分权，有权履行本合同，保证甲方在使用采购合同项下货物或其任何一部分在中国境内、合同产品的进口国以及销售国不侵犯任何第三人的权利（包括但不限于知识产权、名称权、肖像权或其他权益）、免受任何第三方提出权利主张。</w:t>
      </w:r>
    </w:p>
    <w:p w14:paraId="07EF31FC">
      <w:pPr>
        <w:autoSpaceDE w:val="0"/>
        <w:autoSpaceDN w:val="0"/>
        <w:adjustRightInd w:val="0"/>
        <w:snapToGrid w:val="0"/>
        <w:spacing w:line="540" w:lineRule="exact"/>
        <w:ind w:firstLine="420"/>
        <w:jc w:val="left"/>
        <w:rPr>
          <w:rFonts w:hint="eastAsia" w:ascii="宋体" w:hAnsi="宋体" w:eastAsia="宋体" w:cs="宋体"/>
          <w:color w:val="000000"/>
          <w:lang w:val="zh-CN"/>
        </w:rPr>
      </w:pPr>
      <w:r>
        <w:rPr>
          <w:rFonts w:hint="eastAsia" w:ascii="宋体" w:hAnsi="宋体" w:eastAsia="宋体" w:cs="宋体"/>
          <w:color w:val="000000"/>
          <w:sz w:val="24"/>
          <w:szCs w:val="24"/>
          <w:lang w:val="zh-CN" w:bidi="ar"/>
        </w:rPr>
        <w:t>2. 乙方同意，如有第三方声称甲方或甲方的客户使用本合同项下货物侵犯了第三方的知识产权或其它权利，乙方须承担有关判决或和解所确定的赔偿金额，并承担甲方因此支出的全部费用（包括但不限于诉讼费、保全费、公证费、律师费、差旅费等）和损失（包括但不限于甲方向其客户承担的赔偿、继续使用费用）。甲方同意，一旦发生此类诉讼或请求，甲方将及时通知乙方，以便乙方获得应有的权利。</w:t>
      </w:r>
    </w:p>
    <w:p w14:paraId="7E5D3722">
      <w:pPr>
        <w:autoSpaceDE w:val="0"/>
        <w:autoSpaceDN w:val="0"/>
        <w:adjustRightInd w:val="0"/>
        <w:snapToGrid w:val="0"/>
        <w:spacing w:line="540" w:lineRule="exact"/>
        <w:ind w:firstLine="420"/>
        <w:jc w:val="left"/>
        <w:rPr>
          <w:rFonts w:hint="eastAsia" w:ascii="宋体" w:hAnsi="宋体" w:eastAsia="宋体" w:cs="宋体"/>
          <w:color w:val="000000"/>
          <w:lang w:val="zh-CN"/>
        </w:rPr>
      </w:pPr>
      <w:r>
        <w:rPr>
          <w:rFonts w:hint="eastAsia" w:ascii="宋体" w:hAnsi="宋体" w:eastAsia="宋体" w:cs="宋体"/>
          <w:color w:val="000000"/>
          <w:sz w:val="24"/>
          <w:szCs w:val="24"/>
          <w:lang w:val="zh-CN" w:bidi="ar"/>
        </w:rPr>
        <w:t>3. 经判决或和解协议确认乙方所供货物侵犯第三方权利的，乙方须向甲方承担合同总价20%的违约金；另，除第三方权利人同意甲方或甲方客户继续使用本合同项下货物且乙方已承担继续使用费用外，则乙方须全额退还甲方已付货款。</w:t>
      </w:r>
    </w:p>
    <w:p w14:paraId="59190218">
      <w:pPr>
        <w:autoSpaceDE w:val="0"/>
        <w:autoSpaceDN w:val="0"/>
        <w:adjustRightInd w:val="0"/>
        <w:snapToGrid w:val="0"/>
        <w:spacing w:line="540" w:lineRule="exact"/>
        <w:ind w:firstLine="420"/>
        <w:jc w:val="left"/>
        <w:rPr>
          <w:rFonts w:hint="eastAsia" w:ascii="宋体" w:hAnsi="宋体" w:eastAsia="宋体" w:cs="宋体"/>
          <w:b/>
          <w:bCs/>
          <w:color w:val="000000"/>
          <w:lang w:val="zh-CN"/>
        </w:rPr>
      </w:pPr>
      <w:r>
        <w:rPr>
          <w:rFonts w:hint="eastAsia" w:ascii="宋体" w:hAnsi="宋体" w:eastAsia="宋体" w:cs="宋体"/>
          <w:b/>
          <w:bCs/>
          <w:color w:val="000000"/>
          <w:sz w:val="24"/>
          <w:szCs w:val="24"/>
          <w:lang w:val="zh-CN" w:bidi="ar"/>
        </w:rPr>
        <w:t>第五条 质量保证</w:t>
      </w:r>
    </w:p>
    <w:p w14:paraId="2F723E8B">
      <w:pPr>
        <w:autoSpaceDE w:val="0"/>
        <w:autoSpaceDN w:val="0"/>
        <w:adjustRightInd w:val="0"/>
        <w:snapToGrid w:val="0"/>
        <w:spacing w:line="540" w:lineRule="exact"/>
        <w:ind w:firstLine="420"/>
        <w:jc w:val="left"/>
        <w:rPr>
          <w:rFonts w:hint="eastAsia" w:ascii="宋体" w:hAnsi="宋体" w:eastAsia="宋体" w:cs="宋体"/>
          <w:color w:val="000000"/>
          <w:lang w:val="zh-CN"/>
        </w:rPr>
      </w:pPr>
      <w:r>
        <w:rPr>
          <w:rFonts w:hint="eastAsia" w:ascii="宋体" w:hAnsi="宋体" w:eastAsia="宋体" w:cs="宋体"/>
          <w:color w:val="000000"/>
          <w:sz w:val="24"/>
          <w:szCs w:val="24"/>
          <w:lang w:val="zh-CN" w:bidi="ar"/>
        </w:rPr>
        <w:t>1、乙方所提供的货物的技术规格应与招投标文件规定的技术规格及所附的“技术偏离表”相一致；若技术性能无特殊说明，按国家有关部门颁布的标准及规范为准。</w:t>
      </w:r>
    </w:p>
    <w:p w14:paraId="4CD61C95">
      <w:pPr>
        <w:autoSpaceDE w:val="0"/>
        <w:autoSpaceDN w:val="0"/>
        <w:adjustRightInd w:val="0"/>
        <w:snapToGrid w:val="0"/>
        <w:spacing w:line="540" w:lineRule="exact"/>
        <w:ind w:firstLine="420"/>
        <w:jc w:val="left"/>
        <w:rPr>
          <w:rFonts w:hint="eastAsia" w:ascii="宋体" w:hAnsi="宋体" w:eastAsia="宋体" w:cs="宋体"/>
          <w:color w:val="000000"/>
          <w:lang w:val="zh-CN"/>
        </w:rPr>
      </w:pPr>
      <w:r>
        <w:rPr>
          <w:rFonts w:hint="eastAsia" w:ascii="宋体" w:hAnsi="宋体" w:eastAsia="宋体" w:cs="宋体"/>
          <w:color w:val="000000"/>
          <w:sz w:val="24"/>
          <w:szCs w:val="24"/>
          <w:lang w:val="zh-CN" w:bidi="ar"/>
        </w:rPr>
        <w:t>2、乙方应保证货物是全新、未使用过的原装合格正品，并完全符合合同规定的质量、规格和性能的要求。乙方应保证其提供的货物在正确安装、正常使用和保养条件下，在其使用寿命内具有良好的性能。</w:t>
      </w:r>
    </w:p>
    <w:p w14:paraId="4D1361E9">
      <w:pPr>
        <w:autoSpaceDE w:val="0"/>
        <w:autoSpaceDN w:val="0"/>
        <w:adjustRightInd w:val="0"/>
        <w:snapToGrid w:val="0"/>
        <w:spacing w:line="540" w:lineRule="exact"/>
        <w:ind w:firstLine="420"/>
        <w:jc w:val="left"/>
        <w:rPr>
          <w:rFonts w:hint="eastAsia" w:ascii="宋体" w:hAnsi="宋体" w:eastAsia="宋体" w:cs="宋体"/>
          <w:color w:val="000000"/>
          <w:lang w:val="zh-CN"/>
        </w:rPr>
      </w:pPr>
      <w:r>
        <w:rPr>
          <w:rFonts w:hint="eastAsia" w:ascii="宋体" w:hAnsi="宋体" w:eastAsia="宋体" w:cs="宋体"/>
          <w:color w:val="000000"/>
          <w:sz w:val="24"/>
          <w:szCs w:val="24"/>
          <w:lang w:val="zh-CN" w:bidi="ar"/>
        </w:rPr>
        <w:t>3、在质量保证期内，货物出现质量问题，甲方有权选择要求乙方修理、更换或退货。甲方要求乙方修理、更换，而乙方不能提供无偿修理、更换，或经修理、更换后质量仍不符合约定的，或者甲方要求退货的，乙方应负责退货并赔偿损失。</w:t>
      </w:r>
    </w:p>
    <w:p w14:paraId="7BA0030E">
      <w:pPr>
        <w:autoSpaceDE w:val="0"/>
        <w:autoSpaceDN w:val="0"/>
        <w:adjustRightInd w:val="0"/>
        <w:snapToGrid w:val="0"/>
        <w:spacing w:line="540" w:lineRule="exact"/>
        <w:ind w:firstLine="420"/>
        <w:jc w:val="left"/>
        <w:rPr>
          <w:rFonts w:hint="eastAsia" w:ascii="宋体" w:hAnsi="宋体" w:eastAsia="宋体" w:cs="宋体"/>
          <w:b/>
          <w:bCs/>
          <w:color w:val="000000"/>
          <w:lang w:val="zh-CN"/>
        </w:rPr>
      </w:pPr>
      <w:r>
        <w:rPr>
          <w:rFonts w:hint="eastAsia" w:ascii="宋体" w:hAnsi="宋体" w:eastAsia="宋体" w:cs="宋体"/>
          <w:b/>
          <w:bCs/>
          <w:color w:val="000000"/>
          <w:sz w:val="24"/>
          <w:szCs w:val="24"/>
          <w:lang w:val="zh-CN" w:bidi="ar"/>
        </w:rPr>
        <w:t>第六条 包装要求</w:t>
      </w:r>
    </w:p>
    <w:p w14:paraId="44A22101">
      <w:pPr>
        <w:autoSpaceDE w:val="0"/>
        <w:autoSpaceDN w:val="0"/>
        <w:adjustRightInd w:val="0"/>
        <w:snapToGrid w:val="0"/>
        <w:spacing w:line="540" w:lineRule="exact"/>
        <w:ind w:firstLine="420"/>
        <w:jc w:val="left"/>
        <w:rPr>
          <w:rFonts w:hint="eastAsia" w:ascii="宋体" w:hAnsi="宋体" w:eastAsia="宋体" w:cs="宋体"/>
          <w:color w:val="000000"/>
          <w:lang w:val="zh-CN"/>
        </w:rPr>
      </w:pPr>
      <w:bookmarkStart w:id="49" w:name="_Hlk81813376"/>
      <w:r>
        <w:rPr>
          <w:rFonts w:hint="eastAsia" w:ascii="宋体" w:hAnsi="宋体" w:eastAsia="宋体" w:cs="宋体"/>
          <w:color w:val="000000"/>
          <w:sz w:val="24"/>
          <w:szCs w:val="24"/>
          <w:lang w:val="zh-CN" w:bidi="ar"/>
        </w:rPr>
        <w:t>1、除合同另有规定外，乙方提供的全部货物均应按标准保护措施进行包装。该包装应适应于远距离运输、防潮、防震、防锈和防野蛮装卸，以确保货物安全无损运抵指定地点。由于包装不善所引起的货物损失均由乙方承担。</w:t>
      </w:r>
    </w:p>
    <w:p w14:paraId="1AD8F304">
      <w:pPr>
        <w:autoSpaceDE w:val="0"/>
        <w:autoSpaceDN w:val="0"/>
        <w:adjustRightInd w:val="0"/>
        <w:snapToGrid w:val="0"/>
        <w:spacing w:line="540" w:lineRule="exact"/>
        <w:ind w:firstLine="420"/>
        <w:jc w:val="left"/>
        <w:rPr>
          <w:rFonts w:hint="eastAsia" w:ascii="宋体" w:hAnsi="宋体" w:eastAsia="宋体" w:cs="宋体"/>
          <w:color w:val="000000"/>
          <w:lang w:val="zh-CN"/>
        </w:rPr>
      </w:pPr>
      <w:r>
        <w:rPr>
          <w:rFonts w:hint="eastAsia" w:ascii="宋体" w:hAnsi="宋体" w:eastAsia="宋体" w:cs="宋体"/>
          <w:color w:val="000000"/>
          <w:sz w:val="24"/>
          <w:szCs w:val="24"/>
          <w:lang w:val="zh-CN" w:bidi="ar"/>
        </w:rPr>
        <w:t>2、每一包装单元内应附详细的装箱单和质量合格凭证。</w:t>
      </w:r>
    </w:p>
    <w:bookmarkEnd w:id="49"/>
    <w:p w14:paraId="0FEF9727">
      <w:pPr>
        <w:autoSpaceDE w:val="0"/>
        <w:autoSpaceDN w:val="0"/>
        <w:adjustRightInd w:val="0"/>
        <w:snapToGrid w:val="0"/>
        <w:spacing w:line="540" w:lineRule="exact"/>
        <w:ind w:firstLine="420"/>
        <w:jc w:val="left"/>
        <w:rPr>
          <w:rFonts w:hint="eastAsia" w:ascii="宋体" w:hAnsi="宋体" w:eastAsia="宋体" w:cs="宋体"/>
          <w:b/>
          <w:bCs/>
          <w:color w:val="000000"/>
          <w:lang w:val="zh-CN"/>
        </w:rPr>
      </w:pPr>
      <w:r>
        <w:rPr>
          <w:rFonts w:hint="eastAsia" w:ascii="宋体" w:hAnsi="宋体" w:eastAsia="宋体" w:cs="宋体"/>
          <w:b/>
          <w:bCs/>
          <w:color w:val="000000"/>
          <w:sz w:val="24"/>
          <w:szCs w:val="24"/>
          <w:lang w:val="zh-CN" w:bidi="ar"/>
        </w:rPr>
        <w:t>第七条 交货和验收</w:t>
      </w:r>
    </w:p>
    <w:p w14:paraId="75867D92">
      <w:pPr>
        <w:autoSpaceDE w:val="0"/>
        <w:autoSpaceDN w:val="0"/>
        <w:adjustRightInd w:val="0"/>
        <w:snapToGrid w:val="0"/>
        <w:spacing w:line="540" w:lineRule="exact"/>
        <w:ind w:firstLine="420"/>
        <w:jc w:val="left"/>
        <w:rPr>
          <w:rFonts w:hint="eastAsia" w:ascii="宋体" w:hAnsi="宋体" w:eastAsia="宋体" w:cs="宋体"/>
          <w:color w:val="000000"/>
          <w:u w:val="single"/>
          <w:lang w:val="zh-CN"/>
        </w:rPr>
      </w:pPr>
      <w:r>
        <w:rPr>
          <w:rFonts w:hint="eastAsia" w:ascii="宋体" w:hAnsi="宋体" w:eastAsia="宋体" w:cs="宋体"/>
          <w:color w:val="000000"/>
          <w:sz w:val="24"/>
          <w:szCs w:val="24"/>
          <w:lang w:val="zh-CN" w:bidi="ar"/>
        </w:rPr>
        <w:t>1、乙方应当在</w:t>
      </w:r>
      <w:r>
        <w:rPr>
          <w:rFonts w:hint="eastAsia" w:ascii="宋体" w:hAnsi="宋体" w:eastAsia="宋体" w:cs="宋体"/>
          <w:b/>
          <w:color w:val="000000"/>
          <w:sz w:val="24"/>
          <w:szCs w:val="24"/>
          <w:lang w:val="zh-CN" w:bidi="ar"/>
        </w:rPr>
        <w:t>合同签订后</w:t>
      </w:r>
      <w:r>
        <w:rPr>
          <w:rFonts w:hint="eastAsia" w:ascii="宋体" w:hAnsi="宋体" w:eastAsia="宋体" w:cs="宋体"/>
          <w:b/>
          <w:color w:val="000000"/>
          <w:sz w:val="24"/>
          <w:szCs w:val="24"/>
          <w:u w:val="single"/>
          <w:lang w:val="zh-CN" w:bidi="ar"/>
        </w:rPr>
        <w:t xml:space="preserve">   </w:t>
      </w:r>
      <w:r>
        <w:rPr>
          <w:rFonts w:hint="eastAsia" w:ascii="宋体" w:hAnsi="宋体" w:eastAsia="宋体" w:cs="宋体"/>
          <w:b/>
          <w:color w:val="000000"/>
          <w:sz w:val="24"/>
          <w:szCs w:val="24"/>
          <w:lang w:val="zh-CN" w:bidi="ar"/>
        </w:rPr>
        <w:t>天内</w:t>
      </w:r>
      <w:r>
        <w:rPr>
          <w:rFonts w:hint="eastAsia" w:ascii="宋体" w:hAnsi="宋体" w:eastAsia="宋体" w:cs="宋体"/>
          <w:color w:val="000000"/>
          <w:sz w:val="24"/>
          <w:szCs w:val="24"/>
          <w:lang w:val="zh-CN" w:bidi="ar"/>
        </w:rPr>
        <w:t>将货物安装调试完毕交付甲方正常使用（以下简称“交付验收”），地点由甲方指定，货物的所有权自乙方将货物运送至甲方指定地点后转移至甲方。</w:t>
      </w:r>
    </w:p>
    <w:p w14:paraId="438C320A">
      <w:pPr>
        <w:autoSpaceDE w:val="0"/>
        <w:autoSpaceDN w:val="0"/>
        <w:adjustRightInd w:val="0"/>
        <w:snapToGrid w:val="0"/>
        <w:spacing w:line="540" w:lineRule="exact"/>
        <w:ind w:firstLine="420"/>
        <w:jc w:val="left"/>
        <w:rPr>
          <w:rFonts w:hint="eastAsia" w:ascii="宋体" w:hAnsi="宋体" w:eastAsia="宋体" w:cs="宋体"/>
          <w:color w:val="000000"/>
          <w:lang w:val="zh-CN"/>
        </w:rPr>
      </w:pPr>
      <w:r>
        <w:rPr>
          <w:rFonts w:hint="eastAsia" w:ascii="宋体" w:hAnsi="宋体" w:eastAsia="宋体" w:cs="宋体"/>
          <w:color w:val="000000"/>
          <w:sz w:val="24"/>
          <w:szCs w:val="24"/>
          <w:lang w:val="zh-CN" w:bidi="ar"/>
        </w:rPr>
        <w:t>2、乙方交付的货物应当完全符合本合同、招标文件和响应文件所规定的货物、数量和规格要求。乙方提供的货物不符合招标文件、响应文件和合同规定的，甲方有权拒收货物，由此引起的风险，由乙方承担。</w:t>
      </w:r>
    </w:p>
    <w:p w14:paraId="746887F7">
      <w:pPr>
        <w:autoSpaceDE w:val="0"/>
        <w:autoSpaceDN w:val="0"/>
        <w:adjustRightInd w:val="0"/>
        <w:snapToGrid w:val="0"/>
        <w:spacing w:line="540" w:lineRule="exact"/>
        <w:ind w:firstLine="420"/>
        <w:jc w:val="left"/>
        <w:rPr>
          <w:rFonts w:hint="eastAsia" w:ascii="宋体" w:hAnsi="宋体" w:eastAsia="宋体" w:cs="宋体"/>
          <w:color w:val="000000"/>
          <w:lang w:val="zh-CN"/>
        </w:rPr>
      </w:pPr>
      <w:r>
        <w:rPr>
          <w:rFonts w:hint="eastAsia" w:ascii="宋体" w:hAnsi="宋体" w:eastAsia="宋体" w:cs="宋体"/>
          <w:color w:val="000000"/>
          <w:sz w:val="24"/>
          <w:szCs w:val="24"/>
          <w:lang w:val="zh-CN" w:bidi="ar"/>
        </w:rPr>
        <w:t>3、货物的到货验收包括：型号、规格、数量、外观质量、及货物包装是否完好。到货验收不影响乙方对于货物承担质量保证责任。货物在经甲方验收合格前，其毁损、灭失等风险由乙方承担。</w:t>
      </w:r>
    </w:p>
    <w:p w14:paraId="693502DE">
      <w:pPr>
        <w:autoSpaceDE w:val="0"/>
        <w:autoSpaceDN w:val="0"/>
        <w:adjustRightInd w:val="0"/>
        <w:snapToGrid w:val="0"/>
        <w:spacing w:line="540" w:lineRule="exact"/>
        <w:ind w:firstLine="420"/>
        <w:jc w:val="left"/>
        <w:rPr>
          <w:rFonts w:hint="eastAsia" w:ascii="宋体" w:hAnsi="宋体" w:eastAsia="宋体" w:cs="宋体"/>
          <w:color w:val="000000"/>
          <w:lang w:val="zh-CN"/>
        </w:rPr>
      </w:pPr>
      <w:r>
        <w:rPr>
          <w:rFonts w:hint="eastAsia" w:ascii="宋体" w:hAnsi="宋体" w:eastAsia="宋体" w:cs="宋体"/>
          <w:color w:val="000000"/>
          <w:sz w:val="24"/>
          <w:szCs w:val="24"/>
          <w:lang w:val="zh-CN" w:bidi="ar"/>
        </w:rPr>
        <w:t>4、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14:paraId="31BBED78">
      <w:pPr>
        <w:autoSpaceDE w:val="0"/>
        <w:autoSpaceDN w:val="0"/>
        <w:adjustRightInd w:val="0"/>
        <w:snapToGrid w:val="0"/>
        <w:spacing w:line="540" w:lineRule="exact"/>
        <w:ind w:firstLine="420"/>
        <w:jc w:val="left"/>
        <w:rPr>
          <w:rFonts w:hint="eastAsia" w:ascii="宋体" w:hAnsi="宋体" w:eastAsia="宋体" w:cs="宋体"/>
          <w:color w:val="000000"/>
          <w:lang w:val="zh-CN"/>
        </w:rPr>
      </w:pPr>
      <w:r>
        <w:rPr>
          <w:rFonts w:hint="eastAsia" w:ascii="宋体" w:hAnsi="宋体" w:eastAsia="宋体" w:cs="宋体"/>
          <w:color w:val="000000"/>
          <w:sz w:val="24"/>
          <w:szCs w:val="24"/>
          <w:lang w:val="zh-CN" w:bidi="ar"/>
        </w:rPr>
        <w:t>5、货物和系统调试验收的标准：按行业通行标准、厂方出厂标准和乙方投标文件的承诺（详见合同附件载明的标准，并不低于国家相关标准）。</w:t>
      </w:r>
    </w:p>
    <w:p w14:paraId="1191E0E0">
      <w:pPr>
        <w:autoSpaceDE w:val="0"/>
        <w:autoSpaceDN w:val="0"/>
        <w:adjustRightInd w:val="0"/>
        <w:snapToGrid w:val="0"/>
        <w:spacing w:line="540" w:lineRule="exact"/>
        <w:ind w:firstLine="420"/>
        <w:jc w:val="left"/>
        <w:rPr>
          <w:rFonts w:hint="eastAsia" w:ascii="宋体" w:hAnsi="宋体" w:eastAsia="宋体" w:cs="宋体"/>
          <w:b/>
          <w:bCs/>
          <w:color w:val="000000"/>
          <w:lang w:val="zh-CN"/>
        </w:rPr>
      </w:pPr>
      <w:r>
        <w:rPr>
          <w:rFonts w:hint="eastAsia" w:ascii="宋体" w:hAnsi="宋体" w:eastAsia="宋体" w:cs="宋体"/>
          <w:b/>
          <w:bCs/>
          <w:color w:val="000000"/>
          <w:sz w:val="24"/>
          <w:szCs w:val="24"/>
          <w:lang w:val="zh-CN" w:bidi="ar"/>
        </w:rPr>
        <w:t>第八条 售后服务</w:t>
      </w:r>
    </w:p>
    <w:p w14:paraId="246CA168">
      <w:pPr>
        <w:tabs>
          <w:tab w:val="left" w:pos="1620"/>
        </w:tabs>
        <w:autoSpaceDE w:val="0"/>
        <w:autoSpaceDN w:val="0"/>
        <w:adjustRightInd w:val="0"/>
        <w:snapToGrid w:val="0"/>
        <w:spacing w:line="540" w:lineRule="exact"/>
        <w:ind w:firstLine="420"/>
        <w:jc w:val="left"/>
        <w:rPr>
          <w:rFonts w:hint="eastAsia" w:ascii="宋体" w:hAnsi="宋体" w:eastAsia="宋体" w:cs="宋体"/>
          <w:color w:val="000000"/>
          <w:lang w:val="zh-CN"/>
        </w:rPr>
      </w:pPr>
      <w:r>
        <w:rPr>
          <w:rFonts w:hint="eastAsia" w:ascii="宋体" w:hAnsi="宋体" w:eastAsia="宋体" w:cs="宋体"/>
          <w:color w:val="000000"/>
          <w:sz w:val="24"/>
          <w:szCs w:val="24"/>
          <w:lang w:val="zh-CN" w:bidi="ar"/>
        </w:rPr>
        <w:t>1、乙方应按照国家有关法律法规规章和以及合同所附的“服务承诺”提供服务。</w:t>
      </w:r>
    </w:p>
    <w:p w14:paraId="7678D6D0">
      <w:pPr>
        <w:autoSpaceDE w:val="0"/>
        <w:autoSpaceDN w:val="0"/>
        <w:adjustRightInd w:val="0"/>
        <w:snapToGrid w:val="0"/>
        <w:spacing w:line="540" w:lineRule="exact"/>
        <w:ind w:firstLine="420"/>
        <w:jc w:val="left"/>
        <w:rPr>
          <w:rFonts w:hint="eastAsia" w:ascii="宋体" w:hAnsi="宋体" w:eastAsia="宋体" w:cs="宋体"/>
          <w:color w:val="000000"/>
          <w:lang w:val="zh-CN"/>
        </w:rPr>
      </w:pPr>
      <w:r>
        <w:rPr>
          <w:rFonts w:hint="eastAsia" w:ascii="宋体" w:hAnsi="宋体" w:eastAsia="宋体" w:cs="宋体"/>
          <w:color w:val="000000"/>
          <w:sz w:val="24"/>
          <w:szCs w:val="24"/>
          <w:lang w:val="zh-CN" w:bidi="ar"/>
        </w:rPr>
        <w:t>2、除前款规定外，乙方还应提供下列服务：</w:t>
      </w:r>
    </w:p>
    <w:p w14:paraId="14D5E712">
      <w:pPr>
        <w:autoSpaceDE w:val="0"/>
        <w:autoSpaceDN w:val="0"/>
        <w:adjustRightInd w:val="0"/>
        <w:snapToGrid w:val="0"/>
        <w:spacing w:line="540" w:lineRule="exact"/>
        <w:ind w:firstLine="420"/>
        <w:jc w:val="left"/>
        <w:rPr>
          <w:rFonts w:hint="eastAsia" w:ascii="宋体" w:hAnsi="宋体" w:eastAsia="宋体" w:cs="宋体"/>
          <w:color w:val="000000"/>
          <w:lang w:val="zh-CN"/>
        </w:rPr>
      </w:pPr>
      <w:r>
        <w:rPr>
          <w:rFonts w:hint="eastAsia" w:ascii="宋体" w:hAnsi="宋体" w:eastAsia="宋体" w:cs="宋体"/>
          <w:color w:val="000000"/>
          <w:sz w:val="24"/>
          <w:szCs w:val="24"/>
          <w:lang w:val="zh-CN" w:bidi="ar"/>
        </w:rPr>
        <w:t>（1）货物的现场安装、调试和/或启动监督；</w:t>
      </w:r>
    </w:p>
    <w:p w14:paraId="6D0E5A9A">
      <w:pPr>
        <w:autoSpaceDE w:val="0"/>
        <w:autoSpaceDN w:val="0"/>
        <w:adjustRightInd w:val="0"/>
        <w:snapToGrid w:val="0"/>
        <w:spacing w:line="540" w:lineRule="exact"/>
        <w:ind w:firstLine="420"/>
        <w:jc w:val="left"/>
        <w:rPr>
          <w:rFonts w:hint="eastAsia" w:ascii="宋体" w:hAnsi="宋体" w:eastAsia="宋体" w:cs="宋体"/>
          <w:color w:val="000000"/>
          <w:lang w:val="zh-CN"/>
        </w:rPr>
      </w:pPr>
      <w:r>
        <w:rPr>
          <w:rFonts w:hint="eastAsia" w:ascii="宋体" w:hAnsi="宋体" w:eastAsia="宋体" w:cs="宋体"/>
          <w:color w:val="000000"/>
          <w:sz w:val="24"/>
          <w:szCs w:val="24"/>
          <w:lang w:val="zh-CN" w:bidi="ar"/>
        </w:rPr>
        <w:t>（2）就货物的安装、启动、运行及维护等对甲方人员进行免费培训。</w:t>
      </w:r>
    </w:p>
    <w:p w14:paraId="5AB6C792">
      <w:pPr>
        <w:autoSpaceDE w:val="0"/>
        <w:autoSpaceDN w:val="0"/>
        <w:adjustRightInd w:val="0"/>
        <w:snapToGrid w:val="0"/>
        <w:spacing w:line="540" w:lineRule="exact"/>
        <w:ind w:firstLine="420"/>
        <w:jc w:val="left"/>
        <w:rPr>
          <w:rFonts w:hint="eastAsia" w:ascii="宋体" w:hAnsi="宋体" w:eastAsia="宋体" w:cs="宋体"/>
          <w:color w:val="000000"/>
          <w:lang w:val="zh-CN"/>
        </w:rPr>
      </w:pPr>
      <w:r>
        <w:rPr>
          <w:rFonts w:hint="eastAsia" w:ascii="宋体" w:hAnsi="宋体" w:eastAsia="宋体" w:cs="宋体"/>
          <w:color w:val="000000"/>
          <w:sz w:val="24"/>
          <w:szCs w:val="24"/>
          <w:lang w:val="zh-CN" w:bidi="ar"/>
        </w:rPr>
        <w:t>3、售后服务的承诺，双方作如下约定：</w:t>
      </w:r>
    </w:p>
    <w:p w14:paraId="31130F2C">
      <w:pPr>
        <w:autoSpaceDE w:val="0"/>
        <w:autoSpaceDN w:val="0"/>
        <w:adjustRightInd w:val="0"/>
        <w:snapToGrid w:val="0"/>
        <w:spacing w:line="540" w:lineRule="exact"/>
        <w:ind w:firstLine="420"/>
        <w:jc w:val="left"/>
        <w:rPr>
          <w:rFonts w:hint="eastAsia" w:ascii="宋体" w:hAnsi="宋体" w:eastAsia="宋体" w:cs="宋体"/>
          <w:color w:val="000000"/>
          <w:lang w:val="zh-CN"/>
        </w:rPr>
      </w:pPr>
      <w:r>
        <w:rPr>
          <w:rFonts w:hint="eastAsia" w:ascii="宋体" w:hAnsi="宋体" w:eastAsia="宋体" w:cs="宋体"/>
          <w:color w:val="000000"/>
          <w:sz w:val="24"/>
          <w:szCs w:val="24"/>
          <w:lang w:val="zh-CN" w:bidi="ar"/>
        </w:rPr>
        <w:t>3.1 乙方应为甲方提供免费培训服务，并指派专人负责与甲方联系售后服务事宜。</w:t>
      </w:r>
    </w:p>
    <w:p w14:paraId="4339CA60">
      <w:pPr>
        <w:autoSpaceDE w:val="0"/>
        <w:autoSpaceDN w:val="0"/>
        <w:adjustRightInd w:val="0"/>
        <w:snapToGrid w:val="0"/>
        <w:spacing w:line="540" w:lineRule="exact"/>
        <w:ind w:firstLine="420"/>
        <w:jc w:val="left"/>
        <w:rPr>
          <w:rFonts w:hint="eastAsia" w:ascii="宋体" w:hAnsi="宋体" w:eastAsia="宋体" w:cs="宋体"/>
          <w:color w:val="000000"/>
          <w:lang w:val="zh-CN"/>
        </w:rPr>
      </w:pPr>
      <w:r>
        <w:rPr>
          <w:rFonts w:hint="eastAsia" w:ascii="宋体" w:hAnsi="宋体" w:eastAsia="宋体" w:cs="宋体"/>
          <w:color w:val="000000"/>
          <w:sz w:val="24"/>
          <w:szCs w:val="24"/>
          <w:lang w:val="zh-CN" w:bidi="ar"/>
        </w:rPr>
        <w:t>3.2 所购货物按乙方投标承诺</w:t>
      </w:r>
      <w:r>
        <w:rPr>
          <w:rFonts w:hint="eastAsia" w:ascii="宋体" w:hAnsi="宋体" w:eastAsia="宋体" w:cs="宋体"/>
          <w:color w:val="000000"/>
          <w:sz w:val="24"/>
          <w:szCs w:val="24"/>
          <w:lang w:bidi="ar"/>
        </w:rPr>
        <w:t>自货物交付验收合格之日起</w:t>
      </w:r>
      <w:r>
        <w:rPr>
          <w:rFonts w:hint="eastAsia" w:ascii="宋体" w:hAnsi="宋体" w:eastAsia="宋体" w:cs="宋体"/>
          <w:color w:val="000000"/>
          <w:sz w:val="24"/>
          <w:szCs w:val="24"/>
          <w:lang w:val="zh-CN" w:bidi="ar"/>
        </w:rPr>
        <w:t>提供</w:t>
      </w:r>
      <w:r>
        <w:rPr>
          <w:rFonts w:hint="eastAsia" w:ascii="宋体" w:hAnsi="宋体" w:eastAsia="宋体" w:cs="宋体"/>
          <w:b/>
          <w:color w:val="000000"/>
          <w:sz w:val="24"/>
          <w:szCs w:val="24"/>
          <w:u w:val="single"/>
          <w:lang w:val="zh-CN" w:bidi="ar"/>
        </w:rPr>
        <w:t xml:space="preserve">   </w:t>
      </w:r>
      <w:r>
        <w:rPr>
          <w:rFonts w:hint="eastAsia" w:ascii="宋体" w:hAnsi="宋体" w:eastAsia="宋体" w:cs="宋体"/>
          <w:b/>
          <w:color w:val="000000"/>
          <w:sz w:val="24"/>
          <w:szCs w:val="24"/>
          <w:lang w:val="zh-CN" w:bidi="ar"/>
        </w:rPr>
        <w:t>年</w:t>
      </w:r>
      <w:r>
        <w:rPr>
          <w:rFonts w:hint="eastAsia" w:ascii="宋体" w:hAnsi="宋体" w:eastAsia="宋体" w:cs="宋体"/>
          <w:color w:val="000000"/>
          <w:sz w:val="24"/>
          <w:szCs w:val="24"/>
          <w:lang w:val="zh-CN" w:bidi="ar"/>
        </w:rPr>
        <w:t>免费质保服务，该费用计入总价。</w:t>
      </w:r>
    </w:p>
    <w:p w14:paraId="1B1591FB">
      <w:pPr>
        <w:autoSpaceDE w:val="0"/>
        <w:autoSpaceDN w:val="0"/>
        <w:adjustRightInd w:val="0"/>
        <w:snapToGrid w:val="0"/>
        <w:spacing w:line="540" w:lineRule="exact"/>
        <w:ind w:firstLine="420"/>
        <w:jc w:val="left"/>
        <w:rPr>
          <w:rFonts w:hint="eastAsia" w:ascii="宋体" w:hAnsi="宋体" w:eastAsia="宋体" w:cs="宋体"/>
          <w:color w:val="000000"/>
          <w:lang w:val="zh-CN"/>
        </w:rPr>
      </w:pPr>
      <w:r>
        <w:rPr>
          <w:rFonts w:hint="eastAsia" w:ascii="宋体" w:hAnsi="宋体" w:eastAsia="宋体" w:cs="宋体"/>
          <w:color w:val="000000"/>
          <w:sz w:val="24"/>
          <w:szCs w:val="24"/>
          <w:lang w:val="zh-CN" w:bidi="ar"/>
        </w:rPr>
        <w:t>3.3 保修期内，乙方负责对其提供的货物整机进行维修和系统维护，不再收取任何费用，但不可抗力（如火灾、雷击等）造成的故障除外。</w:t>
      </w:r>
    </w:p>
    <w:p w14:paraId="258DFA24">
      <w:pPr>
        <w:autoSpaceDE w:val="0"/>
        <w:autoSpaceDN w:val="0"/>
        <w:adjustRightInd w:val="0"/>
        <w:snapToGrid w:val="0"/>
        <w:spacing w:line="540" w:lineRule="exact"/>
        <w:ind w:firstLine="420"/>
        <w:jc w:val="left"/>
        <w:rPr>
          <w:rFonts w:hint="eastAsia" w:ascii="宋体" w:hAnsi="宋体" w:eastAsia="宋体" w:cs="宋体"/>
          <w:color w:val="000000"/>
          <w:lang w:val="zh-CN"/>
        </w:rPr>
      </w:pPr>
      <w:r>
        <w:rPr>
          <w:rFonts w:hint="eastAsia" w:ascii="宋体" w:hAnsi="宋体" w:eastAsia="宋体" w:cs="宋体"/>
          <w:color w:val="000000"/>
          <w:sz w:val="24"/>
          <w:szCs w:val="24"/>
          <w:lang w:val="zh-CN" w:bidi="ar"/>
        </w:rPr>
        <w:t>3.4 货物故障报修的响应时间按乙方投标响应文件承诺执行。</w:t>
      </w:r>
    </w:p>
    <w:p w14:paraId="52C1F425">
      <w:pPr>
        <w:autoSpaceDE w:val="0"/>
        <w:autoSpaceDN w:val="0"/>
        <w:adjustRightInd w:val="0"/>
        <w:snapToGrid w:val="0"/>
        <w:spacing w:line="540" w:lineRule="exact"/>
        <w:ind w:firstLine="420"/>
        <w:jc w:val="left"/>
        <w:rPr>
          <w:rFonts w:hint="eastAsia" w:ascii="宋体" w:hAnsi="宋体" w:eastAsia="宋体" w:cs="宋体"/>
          <w:color w:val="000000"/>
          <w:lang w:val="zh-CN"/>
        </w:rPr>
      </w:pPr>
      <w:r>
        <w:rPr>
          <w:rFonts w:hint="eastAsia" w:ascii="宋体" w:hAnsi="宋体" w:eastAsia="宋体" w:cs="宋体"/>
          <w:color w:val="000000"/>
          <w:sz w:val="24"/>
          <w:szCs w:val="24"/>
          <w:lang w:val="zh-CN" w:bidi="ar"/>
        </w:rPr>
        <w:t>3.5 若货物故障在检修8工作小时后仍无法排除，乙方应在48小时内免费提供不低于故障货物规格型号档次的备用货物供甲方使用，直至故障货物修复。</w:t>
      </w:r>
    </w:p>
    <w:p w14:paraId="75C00AB3">
      <w:pPr>
        <w:autoSpaceDE w:val="0"/>
        <w:autoSpaceDN w:val="0"/>
        <w:adjustRightInd w:val="0"/>
        <w:snapToGrid w:val="0"/>
        <w:spacing w:line="540" w:lineRule="exact"/>
        <w:ind w:firstLine="420"/>
        <w:jc w:val="left"/>
        <w:rPr>
          <w:rFonts w:hint="eastAsia" w:ascii="宋体" w:hAnsi="宋体" w:eastAsia="宋体" w:cs="宋体"/>
          <w:color w:val="000000"/>
          <w:lang w:val="zh-CN"/>
        </w:rPr>
      </w:pPr>
      <w:r>
        <w:rPr>
          <w:rFonts w:hint="eastAsia" w:ascii="宋体" w:hAnsi="宋体" w:eastAsia="宋体" w:cs="宋体"/>
          <w:color w:val="000000"/>
          <w:sz w:val="24"/>
          <w:szCs w:val="24"/>
          <w:lang w:val="zh-CN" w:bidi="ar"/>
        </w:rPr>
        <w:t>3.6 所有货物保修服务方式均为乙方上门保修，即由乙方派员到货物使用现场维修，由此产生的一切费用均由乙方承担。</w:t>
      </w:r>
    </w:p>
    <w:p w14:paraId="63677E5E">
      <w:pPr>
        <w:autoSpaceDE w:val="0"/>
        <w:autoSpaceDN w:val="0"/>
        <w:adjustRightInd w:val="0"/>
        <w:snapToGrid w:val="0"/>
        <w:spacing w:line="540" w:lineRule="exact"/>
        <w:ind w:firstLine="420"/>
        <w:jc w:val="left"/>
        <w:rPr>
          <w:rFonts w:hint="eastAsia" w:ascii="宋体" w:hAnsi="宋体" w:eastAsia="宋体" w:cs="宋体"/>
          <w:color w:val="000000"/>
          <w:lang w:val="zh-CN"/>
        </w:rPr>
      </w:pPr>
      <w:r>
        <w:rPr>
          <w:rFonts w:hint="eastAsia" w:ascii="宋体" w:hAnsi="宋体" w:eastAsia="宋体" w:cs="宋体"/>
          <w:color w:val="000000"/>
          <w:sz w:val="24"/>
          <w:szCs w:val="24"/>
          <w:lang w:val="zh-CN" w:bidi="ar"/>
        </w:rPr>
        <w:t>3.7 保修期后的货物维护由双方协商再定。</w:t>
      </w:r>
    </w:p>
    <w:p w14:paraId="1467DA68">
      <w:pPr>
        <w:autoSpaceDE w:val="0"/>
        <w:autoSpaceDN w:val="0"/>
        <w:adjustRightInd w:val="0"/>
        <w:snapToGrid w:val="0"/>
        <w:spacing w:line="540" w:lineRule="exact"/>
        <w:ind w:firstLine="420"/>
        <w:jc w:val="left"/>
        <w:rPr>
          <w:rFonts w:hint="eastAsia" w:ascii="宋体" w:hAnsi="宋体" w:eastAsia="宋体" w:cs="宋体"/>
          <w:color w:val="000000"/>
          <w:lang w:val="zh-CN"/>
        </w:rPr>
      </w:pPr>
      <w:r>
        <w:rPr>
          <w:rFonts w:hint="eastAsia" w:ascii="宋体" w:hAnsi="宋体" w:eastAsia="宋体" w:cs="宋体"/>
          <w:color w:val="000000"/>
          <w:sz w:val="24"/>
          <w:szCs w:val="24"/>
          <w:lang w:val="zh-CN" w:bidi="ar"/>
        </w:rPr>
        <w:t>3.8 保修期内如乙方未能按约提供维护服务，或如遇紧急情况甲方与乙方无法取得联系或乙方无法及时安排的，甲方可自行委托第三方机构提供维护服务或租用类似货物，实际发生费用由乙方承担，可直接从应付乙方费用中扣除</w:t>
      </w:r>
      <w:r>
        <w:rPr>
          <w:rFonts w:hint="eastAsia" w:ascii="宋体" w:hAnsi="宋体" w:eastAsia="宋体" w:cs="宋体"/>
          <w:color w:val="000000"/>
          <w:sz w:val="24"/>
          <w:szCs w:val="24"/>
          <w:lang w:bidi="ar"/>
        </w:rPr>
        <w:t>或乙方另行支付甲方</w:t>
      </w:r>
      <w:r>
        <w:rPr>
          <w:rFonts w:hint="eastAsia" w:ascii="宋体" w:hAnsi="宋体" w:eastAsia="宋体" w:cs="宋体"/>
          <w:color w:val="000000"/>
          <w:sz w:val="24"/>
          <w:szCs w:val="24"/>
          <w:lang w:val="zh-CN" w:bidi="ar"/>
        </w:rPr>
        <w:t>。</w:t>
      </w:r>
    </w:p>
    <w:p w14:paraId="6F327DBA">
      <w:pPr>
        <w:autoSpaceDE w:val="0"/>
        <w:autoSpaceDN w:val="0"/>
        <w:adjustRightInd w:val="0"/>
        <w:snapToGrid w:val="0"/>
        <w:spacing w:line="540" w:lineRule="exact"/>
        <w:ind w:firstLine="420"/>
        <w:jc w:val="left"/>
        <w:rPr>
          <w:rFonts w:hint="eastAsia" w:ascii="宋体" w:hAnsi="宋体" w:eastAsia="宋体" w:cs="宋体"/>
          <w:b/>
          <w:bCs/>
          <w:i/>
          <w:iCs/>
          <w:color w:val="000000"/>
          <w:lang w:val="zh-CN"/>
        </w:rPr>
      </w:pPr>
      <w:r>
        <w:rPr>
          <w:rFonts w:hint="eastAsia" w:ascii="宋体" w:hAnsi="宋体" w:eastAsia="宋体" w:cs="宋体"/>
          <w:b/>
          <w:bCs/>
          <w:color w:val="000000"/>
          <w:sz w:val="24"/>
          <w:szCs w:val="24"/>
          <w:lang w:val="zh-CN" w:bidi="ar"/>
        </w:rPr>
        <w:t>第九条 合同款支付</w:t>
      </w:r>
    </w:p>
    <w:p w14:paraId="7F0E4061">
      <w:pPr>
        <w:autoSpaceDE w:val="0"/>
        <w:autoSpaceDN w:val="0"/>
        <w:adjustRightInd w:val="0"/>
        <w:snapToGrid w:val="0"/>
        <w:spacing w:line="540" w:lineRule="exact"/>
        <w:ind w:firstLine="420"/>
        <w:jc w:val="left"/>
        <w:rPr>
          <w:rFonts w:hint="eastAsia" w:ascii="宋体" w:hAnsi="宋体" w:eastAsia="宋体" w:cs="宋体"/>
          <w:color w:val="000000"/>
          <w:lang w:val="zh-CN"/>
        </w:rPr>
      </w:pPr>
      <w:r>
        <w:rPr>
          <w:rFonts w:hint="eastAsia" w:ascii="宋体" w:hAnsi="宋体" w:eastAsia="宋体" w:cs="宋体"/>
          <w:color w:val="000000"/>
          <w:sz w:val="24"/>
          <w:szCs w:val="24"/>
          <w:lang w:val="zh-CN" w:bidi="ar"/>
        </w:rPr>
        <w:t>1、本合同项下所有款项均以人民币支付。</w:t>
      </w:r>
    </w:p>
    <w:p w14:paraId="60C8B429">
      <w:pPr>
        <w:autoSpaceDE w:val="0"/>
        <w:autoSpaceDN w:val="0"/>
        <w:adjustRightInd w:val="0"/>
        <w:snapToGrid w:val="0"/>
        <w:spacing w:line="540" w:lineRule="exact"/>
        <w:ind w:firstLine="420"/>
        <w:jc w:val="left"/>
        <w:rPr>
          <w:rFonts w:hint="eastAsia" w:ascii="宋体" w:hAnsi="宋体" w:eastAsia="宋体" w:cs="宋体"/>
          <w:color w:val="000000"/>
          <w:lang w:val="zh-CN"/>
        </w:rPr>
      </w:pPr>
      <w:r>
        <w:rPr>
          <w:rFonts w:hint="eastAsia" w:ascii="宋体" w:hAnsi="宋体" w:eastAsia="宋体" w:cs="宋体"/>
          <w:color w:val="000000"/>
          <w:sz w:val="24"/>
          <w:szCs w:val="24"/>
          <w:lang w:val="zh-CN" w:bidi="ar"/>
        </w:rPr>
        <w:t>2、本合同项下的采购资金由甲方自行支付，在甲方支付验收批次款前，乙方先行向甲方开具全额增值税发票，否则甲方有权迟延支付相应款项且不影响乙方履行本合同项下的义务。</w:t>
      </w:r>
    </w:p>
    <w:p w14:paraId="0EB46A88">
      <w:pPr>
        <w:autoSpaceDE w:val="0"/>
        <w:autoSpaceDN w:val="0"/>
        <w:adjustRightInd w:val="0"/>
        <w:snapToGrid w:val="0"/>
        <w:spacing w:line="540" w:lineRule="exact"/>
        <w:ind w:firstLine="420"/>
        <w:jc w:val="left"/>
        <w:rPr>
          <w:rFonts w:hint="eastAsia" w:ascii="宋体" w:hAnsi="宋体" w:eastAsia="宋体" w:cs="宋体"/>
          <w:b/>
          <w:color w:val="000000"/>
        </w:rPr>
      </w:pPr>
      <w:r>
        <w:rPr>
          <w:rFonts w:hint="eastAsia" w:ascii="宋体" w:hAnsi="宋体" w:eastAsia="宋体" w:cs="宋体"/>
          <w:b/>
          <w:color w:val="000000"/>
          <w:sz w:val="24"/>
          <w:szCs w:val="24"/>
          <w:lang w:val="zh-CN" w:bidi="ar"/>
        </w:rPr>
        <w:t>3、付款方式：</w:t>
      </w:r>
      <w:r>
        <w:rPr>
          <w:rFonts w:hint="eastAsia" w:ascii="宋体" w:hAnsi="宋体" w:eastAsia="宋体" w:cs="宋体"/>
          <w:b/>
          <w:color w:val="000000"/>
          <w:sz w:val="24"/>
          <w:szCs w:val="24"/>
          <w:lang w:bidi="ar"/>
        </w:rPr>
        <w:t xml:space="preserve"> </w:t>
      </w:r>
    </w:p>
    <w:p w14:paraId="3A678A85">
      <w:pPr>
        <w:autoSpaceDE w:val="0"/>
        <w:autoSpaceDN w:val="0"/>
        <w:adjustRightInd w:val="0"/>
        <w:snapToGrid w:val="0"/>
        <w:spacing w:line="540" w:lineRule="exact"/>
        <w:ind w:firstLine="420"/>
        <w:jc w:val="left"/>
        <w:rPr>
          <w:rFonts w:hint="eastAsia" w:ascii="宋体" w:hAnsi="宋体" w:eastAsia="宋体" w:cs="宋体"/>
          <w:sz w:val="24"/>
          <w:szCs w:val="24"/>
          <w:lang w:bidi="ar"/>
        </w:rPr>
      </w:pPr>
      <w:r>
        <w:rPr>
          <w:rFonts w:hint="eastAsia" w:ascii="宋体" w:hAnsi="宋体" w:eastAsia="宋体" w:cs="宋体"/>
          <w:color w:val="000000"/>
          <w:sz w:val="24"/>
          <w:szCs w:val="24"/>
          <w:lang w:bidi="ar"/>
        </w:rPr>
        <w:t>甲乙双方合同签订后，支付合同总价款的30%作为预付款，供货结束并验收合格后，</w:t>
      </w:r>
      <w:r>
        <w:rPr>
          <w:rFonts w:hint="eastAsia" w:ascii="宋体" w:hAnsi="宋体" w:eastAsia="宋体" w:cs="宋体"/>
          <w:color w:val="000000"/>
          <w:sz w:val="24"/>
          <w:szCs w:val="24"/>
          <w:lang w:val="zh-CN" w:bidi="ar"/>
        </w:rPr>
        <w:t>乙方开具全额增值税专用发票，</w:t>
      </w:r>
      <w:r>
        <w:rPr>
          <w:rFonts w:hint="eastAsia" w:ascii="宋体" w:hAnsi="宋体" w:eastAsia="宋体" w:cs="宋体"/>
          <w:color w:val="000000"/>
          <w:sz w:val="24"/>
          <w:szCs w:val="24"/>
          <w:lang w:bidi="ar"/>
        </w:rPr>
        <w:t>甲方支付合同总价款的70%</w:t>
      </w:r>
      <w:r>
        <w:rPr>
          <w:rFonts w:hint="eastAsia" w:ascii="宋体" w:hAnsi="宋体" w:eastAsia="宋体" w:cs="宋体"/>
          <w:color w:val="000000"/>
          <w:sz w:val="24"/>
          <w:szCs w:val="24"/>
          <w:lang w:val="zh-CN" w:bidi="ar"/>
        </w:rPr>
        <w:t>。</w:t>
      </w:r>
    </w:p>
    <w:p w14:paraId="3139E31D">
      <w:pPr>
        <w:autoSpaceDE w:val="0"/>
        <w:autoSpaceDN w:val="0"/>
        <w:adjustRightInd w:val="0"/>
        <w:snapToGrid w:val="0"/>
        <w:spacing w:line="540" w:lineRule="exact"/>
        <w:ind w:firstLine="420"/>
        <w:jc w:val="left"/>
        <w:rPr>
          <w:rFonts w:hint="eastAsia" w:ascii="宋体" w:hAnsi="宋体" w:eastAsia="宋体" w:cs="宋体"/>
          <w:b/>
          <w:color w:val="000000"/>
          <w:lang w:val="zh-CN"/>
        </w:rPr>
      </w:pPr>
      <w:r>
        <w:rPr>
          <w:rFonts w:hint="eastAsia" w:ascii="宋体" w:hAnsi="宋体" w:eastAsia="宋体" w:cs="宋体"/>
          <w:b/>
          <w:color w:val="000000"/>
          <w:sz w:val="24"/>
          <w:szCs w:val="24"/>
          <w:lang w:val="zh-CN" w:bidi="ar"/>
        </w:rPr>
        <w:t>4、甲方开票信息：</w:t>
      </w:r>
    </w:p>
    <w:p w14:paraId="14CA9E5D">
      <w:pPr>
        <w:autoSpaceDE w:val="0"/>
        <w:autoSpaceDN w:val="0"/>
        <w:adjustRightInd w:val="0"/>
        <w:spacing w:line="540" w:lineRule="exact"/>
        <w:ind w:firstLine="480" w:firstLineChars="200"/>
        <w:rPr>
          <w:rFonts w:hint="eastAsia" w:ascii="宋体" w:hAnsi="宋体" w:eastAsia="宋体" w:cs="宋体"/>
        </w:rPr>
      </w:pPr>
      <w:r>
        <w:rPr>
          <w:rFonts w:hint="eastAsia" w:ascii="宋体" w:hAnsi="宋体" w:eastAsia="宋体" w:cs="宋体"/>
          <w:sz w:val="24"/>
          <w:szCs w:val="24"/>
          <w:lang w:bidi="ar"/>
        </w:rPr>
        <w:t>单位名称：紫金山实验室</w:t>
      </w:r>
    </w:p>
    <w:p w14:paraId="3C2A0C8F">
      <w:pPr>
        <w:autoSpaceDE w:val="0"/>
        <w:autoSpaceDN w:val="0"/>
        <w:adjustRightInd w:val="0"/>
        <w:spacing w:line="540" w:lineRule="exact"/>
        <w:ind w:firstLine="480" w:firstLineChars="200"/>
        <w:rPr>
          <w:rFonts w:hint="eastAsia" w:ascii="宋体" w:hAnsi="宋体" w:eastAsia="宋体" w:cs="宋体"/>
        </w:rPr>
      </w:pPr>
      <w:r>
        <w:rPr>
          <w:rFonts w:hint="eastAsia" w:ascii="宋体" w:hAnsi="宋体" w:eastAsia="宋体" w:cs="宋体"/>
          <w:sz w:val="24"/>
          <w:szCs w:val="24"/>
          <w:lang w:bidi="ar"/>
        </w:rPr>
        <w:t>纳税人识别号：12320100MB19771475</w:t>
      </w:r>
    </w:p>
    <w:p w14:paraId="34309B53">
      <w:pPr>
        <w:autoSpaceDE w:val="0"/>
        <w:autoSpaceDN w:val="0"/>
        <w:adjustRightInd w:val="0"/>
        <w:spacing w:line="540" w:lineRule="exact"/>
        <w:ind w:firstLine="480" w:firstLineChars="200"/>
        <w:rPr>
          <w:rFonts w:hint="eastAsia" w:ascii="宋体" w:hAnsi="宋体" w:eastAsia="宋体" w:cs="宋体"/>
        </w:rPr>
      </w:pPr>
      <w:r>
        <w:rPr>
          <w:rFonts w:hint="eastAsia" w:ascii="宋体" w:hAnsi="宋体" w:eastAsia="宋体" w:cs="宋体"/>
          <w:sz w:val="24"/>
          <w:szCs w:val="24"/>
          <w:lang w:bidi="ar"/>
        </w:rPr>
        <w:t>开户银行：中国建设银行股份有限公司南京九龙湖支行</w:t>
      </w:r>
    </w:p>
    <w:p w14:paraId="47C37CAB">
      <w:pPr>
        <w:autoSpaceDE w:val="0"/>
        <w:autoSpaceDN w:val="0"/>
        <w:adjustRightInd w:val="0"/>
        <w:spacing w:line="540" w:lineRule="exact"/>
        <w:ind w:firstLine="480" w:firstLineChars="200"/>
        <w:rPr>
          <w:rFonts w:hint="eastAsia" w:ascii="宋体" w:hAnsi="宋体" w:eastAsia="宋体" w:cs="宋体"/>
        </w:rPr>
      </w:pPr>
      <w:r>
        <w:rPr>
          <w:rFonts w:hint="eastAsia" w:ascii="宋体" w:hAnsi="宋体" w:eastAsia="宋体" w:cs="宋体"/>
          <w:sz w:val="24"/>
          <w:szCs w:val="24"/>
          <w:lang w:bidi="ar"/>
        </w:rPr>
        <w:t>银行账号：32050159604400000585</w:t>
      </w:r>
    </w:p>
    <w:p w14:paraId="31928AD5">
      <w:pPr>
        <w:autoSpaceDE w:val="0"/>
        <w:autoSpaceDN w:val="0"/>
        <w:adjustRightInd w:val="0"/>
        <w:spacing w:line="540" w:lineRule="exact"/>
        <w:ind w:firstLine="480" w:firstLineChars="200"/>
        <w:rPr>
          <w:rFonts w:hint="eastAsia" w:ascii="宋体" w:hAnsi="宋体" w:eastAsia="宋体" w:cs="宋体"/>
        </w:rPr>
      </w:pPr>
      <w:r>
        <w:rPr>
          <w:rFonts w:hint="eastAsia" w:ascii="宋体" w:hAnsi="宋体" w:eastAsia="宋体" w:cs="宋体"/>
          <w:sz w:val="24"/>
          <w:szCs w:val="24"/>
          <w:lang w:bidi="ar"/>
        </w:rPr>
        <w:t>联行号：105301001090</w:t>
      </w:r>
    </w:p>
    <w:p w14:paraId="5DE4D7A2">
      <w:pPr>
        <w:autoSpaceDE w:val="0"/>
        <w:autoSpaceDN w:val="0"/>
        <w:adjustRightInd w:val="0"/>
        <w:spacing w:line="540" w:lineRule="exact"/>
        <w:ind w:firstLine="480" w:firstLineChars="200"/>
        <w:rPr>
          <w:rFonts w:hint="eastAsia" w:ascii="宋体" w:hAnsi="宋体" w:eastAsia="宋体" w:cs="宋体"/>
        </w:rPr>
      </w:pPr>
      <w:r>
        <w:rPr>
          <w:rFonts w:hint="eastAsia" w:ascii="宋体" w:hAnsi="宋体" w:eastAsia="宋体" w:cs="宋体"/>
          <w:sz w:val="24"/>
          <w:szCs w:val="24"/>
          <w:lang w:bidi="ar"/>
        </w:rPr>
        <w:t>单位地址：南京市江宁区秣周东路9号</w:t>
      </w:r>
    </w:p>
    <w:p w14:paraId="2F313BEB">
      <w:pPr>
        <w:autoSpaceDE w:val="0"/>
        <w:autoSpaceDN w:val="0"/>
        <w:adjustRightInd w:val="0"/>
        <w:spacing w:line="540" w:lineRule="exact"/>
        <w:ind w:firstLine="480" w:firstLineChars="200"/>
        <w:rPr>
          <w:rFonts w:hint="eastAsia" w:ascii="宋体" w:hAnsi="宋体" w:eastAsia="宋体" w:cs="宋体"/>
        </w:rPr>
      </w:pPr>
      <w:r>
        <w:rPr>
          <w:rFonts w:hint="eastAsia" w:ascii="宋体" w:hAnsi="宋体" w:eastAsia="宋体" w:cs="宋体"/>
          <w:sz w:val="24"/>
          <w:szCs w:val="24"/>
          <w:lang w:bidi="ar"/>
        </w:rPr>
        <w:t>单位电话：025-52091570</w:t>
      </w:r>
    </w:p>
    <w:p w14:paraId="0ED46697">
      <w:pPr>
        <w:autoSpaceDE w:val="0"/>
        <w:autoSpaceDN w:val="0"/>
        <w:adjustRightInd w:val="0"/>
        <w:snapToGrid w:val="0"/>
        <w:spacing w:line="540" w:lineRule="exact"/>
        <w:ind w:firstLine="420"/>
        <w:jc w:val="left"/>
        <w:rPr>
          <w:rFonts w:hint="eastAsia" w:ascii="宋体" w:hAnsi="宋体" w:eastAsia="宋体" w:cs="宋体"/>
          <w:b/>
          <w:color w:val="000000"/>
          <w:lang w:val="zh-CN"/>
        </w:rPr>
      </w:pPr>
      <w:r>
        <w:rPr>
          <w:rFonts w:hint="eastAsia" w:ascii="宋体" w:hAnsi="宋体" w:eastAsia="宋体" w:cs="宋体"/>
          <w:b/>
          <w:color w:val="000000"/>
          <w:sz w:val="24"/>
          <w:szCs w:val="24"/>
          <w:lang w:val="zh-CN" w:bidi="ar"/>
        </w:rPr>
        <w:t>5、乙方账户信息：</w:t>
      </w:r>
    </w:p>
    <w:p w14:paraId="05705586">
      <w:pPr>
        <w:autoSpaceDE w:val="0"/>
        <w:autoSpaceDN w:val="0"/>
        <w:adjustRightInd w:val="0"/>
        <w:spacing w:line="540" w:lineRule="exact"/>
        <w:ind w:firstLine="480" w:firstLineChars="200"/>
        <w:rPr>
          <w:rFonts w:hint="eastAsia" w:ascii="宋体" w:hAnsi="宋体" w:eastAsia="宋体" w:cs="宋体"/>
        </w:rPr>
      </w:pPr>
      <w:r>
        <w:rPr>
          <w:rFonts w:hint="eastAsia" w:ascii="宋体" w:hAnsi="宋体" w:eastAsia="宋体" w:cs="宋体"/>
          <w:sz w:val="24"/>
          <w:szCs w:val="24"/>
          <w:lang w:bidi="ar"/>
        </w:rPr>
        <w:t xml:space="preserve">开户名： </w:t>
      </w:r>
    </w:p>
    <w:p w14:paraId="418D9EAA">
      <w:pPr>
        <w:autoSpaceDE w:val="0"/>
        <w:autoSpaceDN w:val="0"/>
        <w:adjustRightInd w:val="0"/>
        <w:spacing w:line="540" w:lineRule="exact"/>
        <w:ind w:firstLine="480" w:firstLineChars="200"/>
        <w:rPr>
          <w:rFonts w:hint="eastAsia" w:ascii="宋体" w:hAnsi="宋体" w:eastAsia="宋体" w:cs="宋体"/>
        </w:rPr>
      </w:pPr>
      <w:r>
        <w:rPr>
          <w:rFonts w:hint="eastAsia" w:ascii="宋体" w:hAnsi="宋体" w:eastAsia="宋体" w:cs="宋体"/>
          <w:sz w:val="24"/>
          <w:szCs w:val="24"/>
          <w:lang w:bidi="ar"/>
        </w:rPr>
        <w:t>开户行：</w:t>
      </w:r>
    </w:p>
    <w:p w14:paraId="710CC74E">
      <w:pPr>
        <w:autoSpaceDE w:val="0"/>
        <w:autoSpaceDN w:val="0"/>
        <w:adjustRightInd w:val="0"/>
        <w:spacing w:line="540" w:lineRule="exact"/>
        <w:ind w:firstLine="480" w:firstLineChars="200"/>
        <w:rPr>
          <w:rFonts w:hint="eastAsia" w:ascii="宋体" w:hAnsi="宋体" w:eastAsia="宋体" w:cs="宋体"/>
        </w:rPr>
      </w:pPr>
      <w:r>
        <w:rPr>
          <w:rFonts w:hint="eastAsia" w:ascii="宋体" w:hAnsi="宋体" w:eastAsia="宋体" w:cs="宋体"/>
          <w:sz w:val="24"/>
          <w:szCs w:val="24"/>
          <w:lang w:bidi="ar"/>
        </w:rPr>
        <w:t>账  号：</w:t>
      </w:r>
    </w:p>
    <w:p w14:paraId="1246FC97">
      <w:pPr>
        <w:autoSpaceDE w:val="0"/>
        <w:autoSpaceDN w:val="0"/>
        <w:adjustRightInd w:val="0"/>
        <w:spacing w:line="540" w:lineRule="exact"/>
        <w:ind w:firstLine="480" w:firstLineChars="200"/>
        <w:rPr>
          <w:rFonts w:hint="eastAsia" w:ascii="宋体" w:hAnsi="宋体" w:eastAsia="宋体" w:cs="宋体"/>
        </w:rPr>
      </w:pPr>
      <w:r>
        <w:rPr>
          <w:rFonts w:hint="eastAsia" w:ascii="宋体" w:hAnsi="宋体" w:eastAsia="宋体" w:cs="宋体"/>
          <w:sz w:val="24"/>
          <w:szCs w:val="24"/>
          <w:lang w:bidi="ar"/>
        </w:rPr>
        <w:t>税  号：</w:t>
      </w:r>
    </w:p>
    <w:p w14:paraId="4854ED12">
      <w:pPr>
        <w:pStyle w:val="24"/>
        <w:widowControl w:val="0"/>
        <w:snapToGrid w:val="0"/>
        <w:spacing w:before="0" w:beforeAutospacing="0" w:after="0" w:afterAutospacing="0" w:line="540" w:lineRule="exact"/>
        <w:ind w:left="451" w:leftChars="100" w:hanging="241" w:hangingChars="100"/>
        <w:contextualSpacing/>
        <w:jc w:val="both"/>
        <w:rPr>
          <w:rFonts w:hint="eastAsia"/>
          <w:b/>
          <w:bCs/>
          <w:color w:val="000000"/>
          <w:lang w:val="zh-CN"/>
        </w:rPr>
      </w:pPr>
      <w:r>
        <w:rPr>
          <w:b/>
          <w:bCs/>
          <w:color w:val="000000"/>
          <w:kern w:val="2"/>
          <w:lang w:val="zh-CN" w:bidi="ar"/>
        </w:rPr>
        <w:t>第十条 违约责任</w:t>
      </w:r>
    </w:p>
    <w:p w14:paraId="7D179890">
      <w:pPr>
        <w:widowControl/>
        <w:autoSpaceDE w:val="0"/>
        <w:autoSpaceDN w:val="0"/>
        <w:adjustRightInd w:val="0"/>
        <w:snapToGrid w:val="0"/>
        <w:spacing w:line="540" w:lineRule="exact"/>
        <w:ind w:firstLine="420"/>
        <w:jc w:val="left"/>
        <w:rPr>
          <w:rFonts w:hint="eastAsia" w:ascii="宋体" w:hAnsi="宋体" w:eastAsia="宋体" w:cs="宋体"/>
          <w:color w:val="000000"/>
          <w:lang w:val="zh-CN"/>
        </w:rPr>
      </w:pPr>
      <w:r>
        <w:rPr>
          <w:rFonts w:hint="eastAsia" w:ascii="宋体" w:hAnsi="宋体" w:eastAsia="宋体" w:cs="宋体"/>
          <w:color w:val="000000"/>
          <w:kern w:val="0"/>
          <w:sz w:val="24"/>
          <w:szCs w:val="24"/>
          <w:lang w:val="zh-CN" w:bidi="ar"/>
        </w:rPr>
        <w:t>１、甲方无正当理由拒收货物、拒付货物款的，甲方向乙方偿付合同总价的5%违约金。</w:t>
      </w:r>
    </w:p>
    <w:p w14:paraId="0D44C207">
      <w:pPr>
        <w:widowControl/>
        <w:autoSpaceDE w:val="0"/>
        <w:autoSpaceDN w:val="0"/>
        <w:adjustRightInd w:val="0"/>
        <w:snapToGrid w:val="0"/>
        <w:spacing w:line="540" w:lineRule="exact"/>
        <w:ind w:firstLine="420"/>
        <w:jc w:val="left"/>
        <w:rPr>
          <w:rFonts w:hint="eastAsia" w:ascii="宋体" w:hAnsi="宋体" w:eastAsia="宋体" w:cs="宋体"/>
          <w:color w:val="000000"/>
          <w:lang w:val="zh-CN"/>
        </w:rPr>
      </w:pPr>
      <w:r>
        <w:rPr>
          <w:rFonts w:hint="eastAsia" w:ascii="宋体" w:hAnsi="宋体" w:eastAsia="宋体" w:cs="宋体"/>
          <w:color w:val="000000"/>
          <w:kern w:val="0"/>
          <w:sz w:val="24"/>
          <w:szCs w:val="24"/>
          <w:lang w:val="zh-CN" w:bidi="ar"/>
        </w:rPr>
        <w:t>２、甲方未按合同规定的期限向乙方支付货款的，每逾期1天甲方向乙方按照同期贷款市场报价利率标准支付滞纳金，但累计滞纳金总额不超过欠款总额的5%。</w:t>
      </w:r>
    </w:p>
    <w:p w14:paraId="21D447CF">
      <w:pPr>
        <w:widowControl/>
        <w:autoSpaceDE w:val="0"/>
        <w:autoSpaceDN w:val="0"/>
        <w:adjustRightInd w:val="0"/>
        <w:snapToGrid w:val="0"/>
        <w:spacing w:line="540" w:lineRule="exact"/>
        <w:ind w:firstLine="420"/>
        <w:jc w:val="left"/>
        <w:rPr>
          <w:rFonts w:hint="eastAsia" w:ascii="宋体" w:hAnsi="宋体" w:eastAsia="宋体" w:cs="宋体"/>
          <w:color w:val="000000"/>
          <w:lang w:val="zh-CN"/>
        </w:rPr>
      </w:pPr>
      <w:r>
        <w:rPr>
          <w:rFonts w:hint="eastAsia" w:ascii="宋体" w:hAnsi="宋体" w:eastAsia="宋体" w:cs="宋体"/>
          <w:color w:val="000000"/>
          <w:kern w:val="0"/>
          <w:sz w:val="24"/>
          <w:szCs w:val="24"/>
          <w:lang w:val="zh-CN" w:bidi="ar"/>
        </w:rPr>
        <w:t>３、如乙方不能交付货物、完成安装调试的，甲方有权要求乙方支付合同总价5%的违约金。</w:t>
      </w:r>
    </w:p>
    <w:p w14:paraId="67D38BB1">
      <w:pPr>
        <w:widowControl/>
        <w:autoSpaceDE w:val="0"/>
        <w:autoSpaceDN w:val="0"/>
        <w:adjustRightInd w:val="0"/>
        <w:snapToGrid w:val="0"/>
        <w:spacing w:line="540" w:lineRule="exact"/>
        <w:ind w:firstLine="420"/>
        <w:jc w:val="left"/>
        <w:rPr>
          <w:rFonts w:hint="eastAsia" w:ascii="宋体" w:hAnsi="宋体" w:eastAsia="宋体" w:cs="宋体"/>
          <w:color w:val="000000"/>
          <w:lang w:val="zh-CN"/>
        </w:rPr>
      </w:pPr>
      <w:r>
        <w:rPr>
          <w:rFonts w:hint="eastAsia" w:ascii="宋体" w:hAnsi="宋体" w:eastAsia="宋体" w:cs="宋体"/>
          <w:color w:val="000000"/>
          <w:kern w:val="0"/>
          <w:sz w:val="24"/>
          <w:szCs w:val="24"/>
          <w:lang w:val="zh-CN" w:bidi="ar"/>
        </w:rPr>
        <w:t>４、乙方逾期交付的，每逾期1天，乙方向甲方偿付合同总额的5‰的滞纳金。如乙方逾期交付达10天，甲方有权解除合同，解除合同的通知自到达乙方时生效，乙方应向甲方另行支付合同总价款25%违约金并赔偿给甲方造成全部损失。</w:t>
      </w:r>
    </w:p>
    <w:p w14:paraId="39A2E7AF">
      <w:pPr>
        <w:widowControl/>
        <w:autoSpaceDE w:val="0"/>
        <w:autoSpaceDN w:val="0"/>
        <w:adjustRightInd w:val="0"/>
        <w:snapToGrid w:val="0"/>
        <w:spacing w:line="540" w:lineRule="exact"/>
        <w:ind w:firstLine="420"/>
        <w:jc w:val="left"/>
        <w:rPr>
          <w:rFonts w:hint="eastAsia" w:ascii="宋体" w:hAnsi="宋体" w:eastAsia="宋体" w:cs="宋体"/>
          <w:color w:val="000000"/>
          <w:lang w:val="zh-CN"/>
        </w:rPr>
      </w:pPr>
      <w:r>
        <w:rPr>
          <w:rFonts w:hint="eastAsia" w:ascii="宋体" w:hAnsi="宋体" w:eastAsia="宋体" w:cs="宋体"/>
          <w:color w:val="000000"/>
          <w:kern w:val="0"/>
          <w:sz w:val="24"/>
          <w:szCs w:val="24"/>
          <w:lang w:val="zh-CN" w:bidi="ar"/>
        </w:rPr>
        <w:t>５、乙方所交付的货物品种、型号、规格不符合合同规定的，甲方有权拒收。甲方拒收的，乙方应向甲方支付货款总额5%的违约金。甲方未拒收的，发现后将向有关部门反映，并责成乙方按照采购结果提供货物和服务，同时视情况给予暂停一至三年参加紫金山实验室组织的政府采购活动的处理。</w:t>
      </w:r>
    </w:p>
    <w:p w14:paraId="399EEB02">
      <w:pPr>
        <w:widowControl/>
        <w:autoSpaceDE w:val="0"/>
        <w:autoSpaceDN w:val="0"/>
        <w:adjustRightInd w:val="0"/>
        <w:snapToGrid w:val="0"/>
        <w:spacing w:line="540" w:lineRule="exact"/>
        <w:ind w:firstLine="420"/>
        <w:jc w:val="left"/>
        <w:rPr>
          <w:rFonts w:hint="eastAsia" w:ascii="宋体" w:hAnsi="宋体" w:eastAsia="宋体" w:cs="宋体"/>
          <w:color w:val="000000"/>
          <w:lang w:val="zh-CN"/>
        </w:rPr>
      </w:pPr>
      <w:r>
        <w:rPr>
          <w:rFonts w:hint="eastAsia" w:ascii="宋体" w:hAnsi="宋体" w:eastAsia="宋体" w:cs="宋体"/>
          <w:color w:val="000000"/>
          <w:kern w:val="0"/>
          <w:sz w:val="24"/>
          <w:szCs w:val="24"/>
          <w:lang w:val="zh-CN" w:bidi="ar"/>
        </w:rPr>
        <w:t>６、在乙方承诺的或国家规定的质量保证期内（取两者中最长的期限），如经乙方两次维修或更换，货物仍不能达到合同约定的质量标准，甲方有权退货，乙方应退回全部货款，并按第3款处理，同时，乙方还须赔偿甲方因此遭受的损失。</w:t>
      </w:r>
    </w:p>
    <w:p w14:paraId="20AA7BAD">
      <w:pPr>
        <w:widowControl/>
        <w:autoSpaceDE w:val="0"/>
        <w:autoSpaceDN w:val="0"/>
        <w:adjustRightInd w:val="0"/>
        <w:snapToGrid w:val="0"/>
        <w:spacing w:line="540" w:lineRule="exact"/>
        <w:ind w:firstLine="420"/>
        <w:jc w:val="left"/>
        <w:rPr>
          <w:rFonts w:hint="eastAsia" w:ascii="宋体" w:hAnsi="宋体" w:eastAsia="宋体" w:cs="宋体"/>
          <w:color w:val="000000"/>
          <w:lang w:val="zh-CN"/>
        </w:rPr>
      </w:pPr>
      <w:r>
        <w:rPr>
          <w:rFonts w:hint="eastAsia" w:ascii="宋体" w:hAnsi="宋体" w:eastAsia="宋体" w:cs="宋体"/>
          <w:color w:val="000000"/>
          <w:kern w:val="0"/>
          <w:sz w:val="24"/>
          <w:szCs w:val="24"/>
          <w:lang w:val="zh-CN" w:bidi="ar"/>
        </w:rPr>
        <w:t>7、乙方未按本合同的规定和“服务承诺”提供售后服务的，应按合同总价款的10%向甲方承担违约责任。</w:t>
      </w:r>
    </w:p>
    <w:p w14:paraId="47576E6B">
      <w:pPr>
        <w:widowControl/>
        <w:autoSpaceDE w:val="0"/>
        <w:autoSpaceDN w:val="0"/>
        <w:adjustRightInd w:val="0"/>
        <w:snapToGrid w:val="0"/>
        <w:spacing w:line="540" w:lineRule="exact"/>
        <w:ind w:firstLine="420"/>
        <w:jc w:val="left"/>
        <w:rPr>
          <w:rFonts w:hint="eastAsia" w:ascii="宋体" w:hAnsi="宋体" w:eastAsia="宋体" w:cs="宋体"/>
          <w:color w:val="000000"/>
          <w:lang w:val="zh-CN"/>
        </w:rPr>
      </w:pPr>
      <w:r>
        <w:rPr>
          <w:rFonts w:hint="eastAsia" w:ascii="宋体" w:hAnsi="宋体" w:eastAsia="宋体" w:cs="宋体"/>
          <w:color w:val="000000"/>
          <w:kern w:val="0"/>
          <w:sz w:val="24"/>
          <w:szCs w:val="24"/>
          <w:lang w:val="zh-CN" w:bidi="ar"/>
        </w:rPr>
        <w:t>8、乙方在承担上述4-7款一项或多项违约责任后，仍应继续履行合同规定的义务（甲方解除合同的除外）。甲方未能及时追究乙方的任何一项违约责任并不表明甲方放弃追究乙方该项或其他违约责任。</w:t>
      </w:r>
    </w:p>
    <w:p w14:paraId="0033DF28">
      <w:pPr>
        <w:widowControl/>
        <w:autoSpaceDE w:val="0"/>
        <w:autoSpaceDN w:val="0"/>
        <w:adjustRightInd w:val="0"/>
        <w:snapToGrid w:val="0"/>
        <w:spacing w:line="540" w:lineRule="exact"/>
        <w:ind w:firstLine="420"/>
        <w:jc w:val="left"/>
        <w:rPr>
          <w:rFonts w:hint="eastAsia" w:ascii="宋体" w:hAnsi="宋体" w:eastAsia="宋体" w:cs="宋体"/>
          <w:color w:val="000000"/>
          <w:lang w:val="zh-CN"/>
        </w:rPr>
      </w:pPr>
      <w:r>
        <w:rPr>
          <w:rFonts w:hint="eastAsia" w:ascii="宋体" w:hAnsi="宋体" w:eastAsia="宋体" w:cs="宋体"/>
          <w:color w:val="000000"/>
          <w:kern w:val="0"/>
          <w:sz w:val="24"/>
          <w:szCs w:val="24"/>
          <w:lang w:val="zh-CN" w:bidi="ar"/>
        </w:rPr>
        <w:t>9、乙方投标属虚假承诺，或经权威部门监测提供的货物不能满足招投标文件要求，或是由于乙方的过错造成合同无法继续履行的，乙方应向甲方支付不少于合同总价30%赔偿金。</w:t>
      </w:r>
    </w:p>
    <w:p w14:paraId="6104C4AA">
      <w:pPr>
        <w:widowControl/>
        <w:autoSpaceDE w:val="0"/>
        <w:autoSpaceDN w:val="0"/>
        <w:adjustRightInd w:val="0"/>
        <w:snapToGrid w:val="0"/>
        <w:spacing w:line="540" w:lineRule="exact"/>
        <w:ind w:firstLine="420"/>
        <w:jc w:val="left"/>
        <w:rPr>
          <w:rFonts w:hint="eastAsia" w:ascii="宋体" w:hAnsi="宋体" w:eastAsia="宋体" w:cs="宋体"/>
          <w:color w:val="000000"/>
          <w:lang w:val="zh-CN"/>
        </w:rPr>
      </w:pPr>
      <w:r>
        <w:rPr>
          <w:rFonts w:hint="eastAsia" w:ascii="宋体" w:hAnsi="宋体" w:eastAsia="宋体" w:cs="宋体"/>
          <w:color w:val="000000"/>
          <w:kern w:val="0"/>
          <w:sz w:val="24"/>
          <w:szCs w:val="24"/>
          <w:lang w:val="zh-CN" w:bidi="ar"/>
        </w:rPr>
        <w:t>10、违约方须承担守约方因追索权利产生的一切费用（包括诉讼费、保全费、保全担保保险费、律师费、差旅费、公证费、鉴定费等）。</w:t>
      </w:r>
    </w:p>
    <w:p w14:paraId="0EF9A460">
      <w:pPr>
        <w:widowControl/>
        <w:autoSpaceDE w:val="0"/>
        <w:autoSpaceDN w:val="0"/>
        <w:adjustRightInd w:val="0"/>
        <w:snapToGrid w:val="0"/>
        <w:spacing w:line="540" w:lineRule="exact"/>
        <w:ind w:firstLine="420"/>
        <w:jc w:val="left"/>
        <w:rPr>
          <w:rFonts w:hint="eastAsia" w:ascii="宋体" w:hAnsi="宋体" w:eastAsia="宋体" w:cs="宋体"/>
          <w:b/>
          <w:bCs/>
          <w:color w:val="000000"/>
          <w:lang w:val="zh-CN"/>
        </w:rPr>
      </w:pPr>
      <w:r>
        <w:rPr>
          <w:rFonts w:hint="eastAsia" w:ascii="宋体" w:hAnsi="宋体" w:eastAsia="宋体" w:cs="宋体"/>
          <w:b/>
          <w:bCs/>
          <w:color w:val="000000"/>
          <w:kern w:val="0"/>
          <w:sz w:val="24"/>
          <w:szCs w:val="24"/>
          <w:lang w:val="zh-CN" w:bidi="ar"/>
        </w:rPr>
        <w:t>第十</w:t>
      </w:r>
      <w:r>
        <w:rPr>
          <w:rFonts w:hint="eastAsia" w:ascii="宋体" w:hAnsi="宋体" w:eastAsia="宋体" w:cs="宋体"/>
          <w:b/>
          <w:bCs/>
          <w:color w:val="000000"/>
          <w:kern w:val="0"/>
          <w:sz w:val="24"/>
          <w:szCs w:val="24"/>
          <w:lang w:bidi="ar"/>
        </w:rPr>
        <w:t>一</w:t>
      </w:r>
      <w:r>
        <w:rPr>
          <w:rFonts w:hint="eastAsia" w:ascii="宋体" w:hAnsi="宋体" w:eastAsia="宋体" w:cs="宋体"/>
          <w:b/>
          <w:bCs/>
          <w:color w:val="000000"/>
          <w:kern w:val="0"/>
          <w:sz w:val="24"/>
          <w:szCs w:val="24"/>
          <w:lang w:val="zh-CN" w:bidi="ar"/>
        </w:rPr>
        <w:t>条 合同的变更和终止</w:t>
      </w:r>
    </w:p>
    <w:p w14:paraId="1A23A6FB">
      <w:pPr>
        <w:widowControl/>
        <w:autoSpaceDE w:val="0"/>
        <w:autoSpaceDN w:val="0"/>
        <w:adjustRightInd w:val="0"/>
        <w:snapToGrid w:val="0"/>
        <w:spacing w:line="540" w:lineRule="exact"/>
        <w:ind w:firstLine="480" w:firstLineChars="200"/>
        <w:jc w:val="left"/>
        <w:rPr>
          <w:rFonts w:hint="eastAsia" w:ascii="宋体" w:hAnsi="宋体" w:eastAsia="宋体" w:cs="宋体"/>
          <w:color w:val="000000"/>
          <w:lang w:val="zh-CN"/>
        </w:rPr>
      </w:pPr>
      <w:r>
        <w:rPr>
          <w:rFonts w:hint="eastAsia" w:ascii="宋体" w:hAnsi="宋体" w:eastAsia="宋体" w:cs="宋体"/>
          <w:color w:val="000000"/>
          <w:kern w:val="0"/>
          <w:sz w:val="24"/>
          <w:szCs w:val="24"/>
          <w:lang w:val="zh-CN" w:bidi="ar"/>
        </w:rPr>
        <w:t>1、除《政府采购法》第49条以及第50条第二款规定的情形外，本合同一经签订，甲乙双方不得擅自变更、中止或终止合同。</w:t>
      </w:r>
    </w:p>
    <w:p w14:paraId="64C9B62F">
      <w:pPr>
        <w:widowControl/>
        <w:autoSpaceDE w:val="0"/>
        <w:autoSpaceDN w:val="0"/>
        <w:adjustRightInd w:val="0"/>
        <w:snapToGrid w:val="0"/>
        <w:spacing w:line="540" w:lineRule="exact"/>
        <w:ind w:firstLine="480" w:firstLineChars="200"/>
        <w:jc w:val="left"/>
        <w:rPr>
          <w:rFonts w:hint="eastAsia" w:ascii="宋体" w:hAnsi="宋体" w:eastAsia="宋体" w:cs="宋体"/>
          <w:color w:val="000000"/>
          <w:lang w:val="zh-CN"/>
        </w:rPr>
      </w:pPr>
      <w:r>
        <w:rPr>
          <w:rFonts w:hint="eastAsia" w:ascii="宋体" w:hAnsi="宋体" w:eastAsia="宋体" w:cs="宋体"/>
          <w:color w:val="000000"/>
          <w:kern w:val="0"/>
          <w:sz w:val="24"/>
          <w:szCs w:val="24"/>
          <w:lang w:val="zh-CN" w:bidi="ar"/>
        </w:rPr>
        <w:t>2、</w:t>
      </w:r>
      <w:r>
        <w:rPr>
          <w:rFonts w:hint="eastAsia" w:ascii="宋体" w:hAnsi="宋体" w:eastAsia="宋体" w:cs="宋体"/>
          <w:color w:val="000000"/>
          <w:kern w:val="0"/>
          <w:sz w:val="24"/>
          <w:szCs w:val="24"/>
          <w:lang w:bidi="ar"/>
        </w:rPr>
        <w:t>除发生法律规定的不能预见、不能避免并不能克服的客观情况外，甲乙双方不得放弃或拒绝履行合同。乙方放弃或拒绝履行合同，保证金（如有）不予退还，在三年内不得参加紫金山实验室组织的政府采购活动。</w:t>
      </w:r>
    </w:p>
    <w:p w14:paraId="295F2276">
      <w:pPr>
        <w:widowControl/>
        <w:autoSpaceDE w:val="0"/>
        <w:autoSpaceDN w:val="0"/>
        <w:adjustRightInd w:val="0"/>
        <w:snapToGrid w:val="0"/>
        <w:spacing w:line="540" w:lineRule="exact"/>
        <w:ind w:firstLine="420"/>
        <w:jc w:val="left"/>
        <w:rPr>
          <w:rFonts w:hint="eastAsia" w:ascii="宋体" w:hAnsi="宋体" w:eastAsia="宋体" w:cs="宋体"/>
          <w:b/>
          <w:bCs/>
          <w:color w:val="000000"/>
          <w:lang w:val="zh-CN"/>
        </w:rPr>
      </w:pPr>
      <w:r>
        <w:rPr>
          <w:rFonts w:hint="eastAsia" w:ascii="宋体" w:hAnsi="宋体" w:eastAsia="宋体" w:cs="宋体"/>
          <w:b/>
          <w:bCs/>
          <w:color w:val="000000"/>
          <w:kern w:val="0"/>
          <w:sz w:val="24"/>
          <w:szCs w:val="24"/>
          <w:lang w:val="zh-CN" w:bidi="ar"/>
        </w:rPr>
        <w:t>第十</w:t>
      </w:r>
      <w:r>
        <w:rPr>
          <w:rFonts w:hint="eastAsia" w:ascii="宋体" w:hAnsi="宋体" w:eastAsia="宋体" w:cs="宋体"/>
          <w:b/>
          <w:bCs/>
          <w:color w:val="000000"/>
          <w:kern w:val="0"/>
          <w:sz w:val="24"/>
          <w:szCs w:val="24"/>
          <w:lang w:bidi="ar"/>
        </w:rPr>
        <w:t>二</w:t>
      </w:r>
      <w:r>
        <w:rPr>
          <w:rFonts w:hint="eastAsia" w:ascii="宋体" w:hAnsi="宋体" w:eastAsia="宋体" w:cs="宋体"/>
          <w:b/>
          <w:bCs/>
          <w:color w:val="000000"/>
          <w:kern w:val="0"/>
          <w:sz w:val="24"/>
          <w:szCs w:val="24"/>
          <w:lang w:val="zh-CN" w:bidi="ar"/>
        </w:rPr>
        <w:t>条 合同的转让</w:t>
      </w:r>
    </w:p>
    <w:p w14:paraId="41B9C63C">
      <w:pPr>
        <w:widowControl/>
        <w:autoSpaceDE w:val="0"/>
        <w:autoSpaceDN w:val="0"/>
        <w:adjustRightInd w:val="0"/>
        <w:snapToGrid w:val="0"/>
        <w:spacing w:line="540" w:lineRule="exact"/>
        <w:ind w:firstLine="420"/>
        <w:jc w:val="left"/>
        <w:rPr>
          <w:rFonts w:hint="eastAsia" w:ascii="宋体" w:hAnsi="宋体" w:eastAsia="宋体" w:cs="宋体"/>
          <w:color w:val="000000"/>
          <w:lang w:val="zh-CN"/>
        </w:rPr>
      </w:pPr>
      <w:r>
        <w:rPr>
          <w:rFonts w:hint="eastAsia" w:ascii="宋体" w:hAnsi="宋体" w:eastAsia="宋体" w:cs="宋体"/>
          <w:color w:val="000000"/>
          <w:kern w:val="0"/>
          <w:sz w:val="24"/>
          <w:szCs w:val="24"/>
          <w:lang w:val="zh-CN" w:bidi="ar"/>
        </w:rPr>
        <w:t>乙方不得部分或全部转让其应履行的合同义务或其享有的合同权利。</w:t>
      </w:r>
    </w:p>
    <w:p w14:paraId="0EF6BC93">
      <w:pPr>
        <w:widowControl/>
        <w:autoSpaceDE w:val="0"/>
        <w:autoSpaceDN w:val="0"/>
        <w:adjustRightInd w:val="0"/>
        <w:snapToGrid w:val="0"/>
        <w:spacing w:line="540" w:lineRule="exact"/>
        <w:ind w:firstLine="420"/>
        <w:jc w:val="left"/>
        <w:rPr>
          <w:rFonts w:hint="eastAsia" w:ascii="宋体" w:hAnsi="宋体" w:eastAsia="宋体" w:cs="宋体"/>
          <w:b/>
          <w:bCs/>
          <w:color w:val="000000"/>
          <w:lang w:val="zh-CN"/>
        </w:rPr>
      </w:pPr>
      <w:r>
        <w:rPr>
          <w:rFonts w:hint="eastAsia" w:ascii="宋体" w:hAnsi="宋体" w:eastAsia="宋体" w:cs="宋体"/>
          <w:b/>
          <w:bCs/>
          <w:color w:val="000000"/>
          <w:kern w:val="0"/>
          <w:sz w:val="24"/>
          <w:szCs w:val="24"/>
          <w:lang w:val="zh-CN" w:bidi="ar"/>
        </w:rPr>
        <w:t>第十</w:t>
      </w:r>
      <w:r>
        <w:rPr>
          <w:rFonts w:hint="eastAsia" w:ascii="宋体" w:hAnsi="宋体" w:eastAsia="宋体" w:cs="宋体"/>
          <w:b/>
          <w:bCs/>
          <w:color w:val="000000"/>
          <w:kern w:val="0"/>
          <w:sz w:val="24"/>
          <w:szCs w:val="24"/>
          <w:lang w:bidi="ar"/>
        </w:rPr>
        <w:t>三</w:t>
      </w:r>
      <w:r>
        <w:rPr>
          <w:rFonts w:hint="eastAsia" w:ascii="宋体" w:hAnsi="宋体" w:eastAsia="宋体" w:cs="宋体"/>
          <w:b/>
          <w:bCs/>
          <w:color w:val="000000"/>
          <w:kern w:val="0"/>
          <w:sz w:val="24"/>
          <w:szCs w:val="24"/>
          <w:lang w:val="zh-CN" w:bidi="ar"/>
        </w:rPr>
        <w:t>条 争议的解决</w:t>
      </w:r>
    </w:p>
    <w:p w14:paraId="2AACFF89">
      <w:pPr>
        <w:widowControl/>
        <w:autoSpaceDE w:val="0"/>
        <w:autoSpaceDN w:val="0"/>
        <w:adjustRightInd w:val="0"/>
        <w:snapToGrid w:val="0"/>
        <w:spacing w:line="540" w:lineRule="exact"/>
        <w:ind w:firstLine="420"/>
        <w:jc w:val="left"/>
        <w:rPr>
          <w:rFonts w:hint="eastAsia" w:ascii="宋体" w:hAnsi="宋体" w:eastAsia="宋体" w:cs="宋体"/>
          <w:color w:val="000000"/>
          <w:lang w:val="zh-CN"/>
        </w:rPr>
      </w:pPr>
      <w:r>
        <w:rPr>
          <w:rFonts w:hint="eastAsia" w:ascii="宋体" w:hAnsi="宋体" w:eastAsia="宋体" w:cs="宋体"/>
          <w:color w:val="000000"/>
          <w:kern w:val="0"/>
          <w:sz w:val="24"/>
          <w:szCs w:val="24"/>
          <w:lang w:val="zh-CN" w:bidi="ar"/>
        </w:rPr>
        <w:t>1、因货物的质量问题发生争议的，一方可邀请国家认可的质量检测机构对货物质量进行鉴定。货物符合标准的，鉴定费由甲方承担；货物不符合质量标准的，鉴定费由乙方承担。</w:t>
      </w:r>
    </w:p>
    <w:p w14:paraId="49D40415">
      <w:pPr>
        <w:widowControl/>
        <w:autoSpaceDE w:val="0"/>
        <w:autoSpaceDN w:val="0"/>
        <w:adjustRightInd w:val="0"/>
        <w:snapToGrid w:val="0"/>
        <w:spacing w:line="540" w:lineRule="exact"/>
        <w:ind w:firstLine="420"/>
        <w:jc w:val="left"/>
        <w:rPr>
          <w:rFonts w:hint="eastAsia" w:ascii="宋体" w:hAnsi="宋体" w:eastAsia="宋体" w:cs="宋体"/>
          <w:color w:val="000000"/>
          <w:lang w:val="zh-CN"/>
        </w:rPr>
      </w:pPr>
      <w:r>
        <w:rPr>
          <w:rFonts w:hint="eastAsia" w:ascii="宋体" w:hAnsi="宋体" w:eastAsia="宋体" w:cs="宋体"/>
          <w:color w:val="000000"/>
          <w:kern w:val="0"/>
          <w:sz w:val="24"/>
          <w:szCs w:val="24"/>
          <w:lang w:val="zh-CN" w:bidi="ar"/>
        </w:rPr>
        <w:t>2、因履行本合同引起的或与本合同有关的争议，甲、乙双方应首先通过友好协商解决，如果协商不能解决争议，则向甲方所在地有管辖权的人民法院提起诉讼解决争议。</w:t>
      </w:r>
    </w:p>
    <w:p w14:paraId="65AD873F">
      <w:pPr>
        <w:widowControl/>
        <w:autoSpaceDE w:val="0"/>
        <w:autoSpaceDN w:val="0"/>
        <w:adjustRightInd w:val="0"/>
        <w:snapToGrid w:val="0"/>
        <w:spacing w:line="540" w:lineRule="exact"/>
        <w:ind w:firstLine="420"/>
        <w:jc w:val="left"/>
        <w:rPr>
          <w:rFonts w:hint="eastAsia" w:ascii="宋体" w:hAnsi="宋体" w:eastAsia="宋体" w:cs="宋体"/>
          <w:color w:val="000000"/>
          <w:lang w:val="zh-CN"/>
        </w:rPr>
      </w:pPr>
      <w:r>
        <w:rPr>
          <w:rFonts w:hint="eastAsia" w:ascii="宋体" w:hAnsi="宋体" w:eastAsia="宋体" w:cs="宋体"/>
          <w:color w:val="000000"/>
          <w:kern w:val="0"/>
          <w:sz w:val="24"/>
          <w:szCs w:val="24"/>
          <w:lang w:val="zh-CN" w:bidi="ar"/>
        </w:rPr>
        <w:t>3、在诉讼或仲裁期间，本合同应继续履行。</w:t>
      </w:r>
    </w:p>
    <w:p w14:paraId="4D2A7220">
      <w:pPr>
        <w:widowControl/>
        <w:autoSpaceDE w:val="0"/>
        <w:autoSpaceDN w:val="0"/>
        <w:adjustRightInd w:val="0"/>
        <w:snapToGrid w:val="0"/>
        <w:spacing w:line="540" w:lineRule="exact"/>
        <w:ind w:firstLine="420"/>
        <w:jc w:val="left"/>
        <w:rPr>
          <w:rFonts w:hint="eastAsia" w:ascii="宋体" w:hAnsi="宋体" w:eastAsia="宋体" w:cs="宋体"/>
          <w:color w:val="000000"/>
          <w:lang w:val="zh-CN"/>
        </w:rPr>
      </w:pPr>
      <w:r>
        <w:rPr>
          <w:rFonts w:hint="eastAsia" w:ascii="宋体" w:hAnsi="宋体" w:eastAsia="宋体" w:cs="宋体"/>
          <w:color w:val="000000"/>
          <w:kern w:val="0"/>
          <w:sz w:val="24"/>
          <w:szCs w:val="24"/>
          <w:lang w:val="zh-CN" w:bidi="ar"/>
        </w:rPr>
        <w:t>4、双方确认本合同载明的地址可作为合同履行过程中相关文书、法院送达诉讼文书的地址，因载明的地址有误或未及时告知变更后的地址，导致相关文书及诉讼文书没能实际被接收的、邮寄送达的，相关文书及诉讼文书退回之日即视为送达之日；因一方拒收的，相关文书及诉讼文书退回之日即视为送达之日。</w:t>
      </w:r>
    </w:p>
    <w:p w14:paraId="7069013A">
      <w:pPr>
        <w:widowControl/>
        <w:autoSpaceDE w:val="0"/>
        <w:autoSpaceDN w:val="0"/>
        <w:adjustRightInd w:val="0"/>
        <w:snapToGrid w:val="0"/>
        <w:spacing w:line="540" w:lineRule="exact"/>
        <w:ind w:firstLine="420"/>
        <w:jc w:val="left"/>
        <w:rPr>
          <w:rFonts w:hint="eastAsia" w:ascii="宋体" w:hAnsi="宋体" w:eastAsia="宋体" w:cs="宋体"/>
          <w:b/>
          <w:bCs/>
          <w:color w:val="000000"/>
          <w:lang w:val="zh-CN"/>
        </w:rPr>
      </w:pPr>
      <w:r>
        <w:rPr>
          <w:rFonts w:hint="eastAsia" w:ascii="宋体" w:hAnsi="宋体" w:eastAsia="宋体" w:cs="宋体"/>
          <w:b/>
          <w:bCs/>
          <w:color w:val="000000"/>
          <w:kern w:val="0"/>
          <w:sz w:val="24"/>
          <w:szCs w:val="24"/>
          <w:lang w:val="zh-CN" w:bidi="ar"/>
        </w:rPr>
        <w:t>第十</w:t>
      </w:r>
      <w:r>
        <w:rPr>
          <w:rFonts w:hint="eastAsia" w:ascii="宋体" w:hAnsi="宋体" w:eastAsia="宋体" w:cs="宋体"/>
          <w:b/>
          <w:bCs/>
          <w:color w:val="000000"/>
          <w:kern w:val="0"/>
          <w:sz w:val="24"/>
          <w:szCs w:val="24"/>
          <w:lang w:bidi="ar"/>
        </w:rPr>
        <w:t>四</w:t>
      </w:r>
      <w:r>
        <w:rPr>
          <w:rFonts w:hint="eastAsia" w:ascii="宋体" w:hAnsi="宋体" w:eastAsia="宋体" w:cs="宋体"/>
          <w:b/>
          <w:bCs/>
          <w:color w:val="000000"/>
          <w:kern w:val="0"/>
          <w:sz w:val="24"/>
          <w:szCs w:val="24"/>
          <w:lang w:val="zh-CN" w:bidi="ar"/>
        </w:rPr>
        <w:t xml:space="preserve">条 诚实信用 </w:t>
      </w:r>
    </w:p>
    <w:p w14:paraId="0760F27A">
      <w:pPr>
        <w:widowControl/>
        <w:autoSpaceDE w:val="0"/>
        <w:autoSpaceDN w:val="0"/>
        <w:adjustRightInd w:val="0"/>
        <w:snapToGrid w:val="0"/>
        <w:spacing w:line="540" w:lineRule="exact"/>
        <w:ind w:firstLine="420"/>
        <w:jc w:val="left"/>
        <w:rPr>
          <w:rFonts w:hint="eastAsia" w:ascii="宋体" w:hAnsi="宋体" w:eastAsia="宋体" w:cs="宋体"/>
          <w:color w:val="000000"/>
          <w:lang w:val="zh-CN"/>
        </w:rPr>
      </w:pPr>
      <w:r>
        <w:rPr>
          <w:rFonts w:hint="eastAsia" w:ascii="宋体" w:hAnsi="宋体" w:eastAsia="宋体" w:cs="宋体"/>
          <w:color w:val="000000"/>
          <w:kern w:val="0"/>
          <w:sz w:val="24"/>
          <w:szCs w:val="24"/>
          <w:lang w:val="zh-CN" w:bidi="ar"/>
        </w:rPr>
        <w:t>乙方应诚实信用，严格按照招投标文件要求和投标承诺履行合同，不向甲方进行商业贿赂或者提供不正当利益。</w:t>
      </w:r>
    </w:p>
    <w:p w14:paraId="2D42F515">
      <w:pPr>
        <w:widowControl/>
        <w:autoSpaceDE w:val="0"/>
        <w:autoSpaceDN w:val="0"/>
        <w:adjustRightInd w:val="0"/>
        <w:snapToGrid w:val="0"/>
        <w:spacing w:line="540" w:lineRule="exact"/>
        <w:ind w:firstLine="420"/>
        <w:jc w:val="left"/>
        <w:rPr>
          <w:rFonts w:hint="eastAsia" w:ascii="宋体" w:hAnsi="宋体" w:eastAsia="宋体" w:cs="宋体"/>
          <w:b/>
          <w:bCs/>
          <w:color w:val="000000"/>
          <w:lang w:val="zh-CN"/>
        </w:rPr>
      </w:pPr>
      <w:r>
        <w:rPr>
          <w:rFonts w:hint="eastAsia" w:ascii="宋体" w:hAnsi="宋体" w:eastAsia="宋体" w:cs="宋体"/>
          <w:b/>
          <w:bCs/>
          <w:color w:val="000000"/>
          <w:kern w:val="0"/>
          <w:sz w:val="24"/>
          <w:szCs w:val="24"/>
          <w:lang w:val="zh-CN" w:bidi="ar"/>
        </w:rPr>
        <w:t>第十</w:t>
      </w:r>
      <w:r>
        <w:rPr>
          <w:rFonts w:hint="eastAsia" w:ascii="宋体" w:hAnsi="宋体" w:eastAsia="宋体" w:cs="宋体"/>
          <w:b/>
          <w:bCs/>
          <w:color w:val="000000"/>
          <w:kern w:val="0"/>
          <w:sz w:val="24"/>
          <w:szCs w:val="24"/>
          <w:lang w:bidi="ar"/>
        </w:rPr>
        <w:t>五</w:t>
      </w:r>
      <w:r>
        <w:rPr>
          <w:rFonts w:hint="eastAsia" w:ascii="宋体" w:hAnsi="宋体" w:eastAsia="宋体" w:cs="宋体"/>
          <w:b/>
          <w:bCs/>
          <w:color w:val="000000"/>
          <w:kern w:val="0"/>
          <w:sz w:val="24"/>
          <w:szCs w:val="24"/>
          <w:lang w:val="zh-CN" w:bidi="ar"/>
        </w:rPr>
        <w:t>条 合同生效及其他</w:t>
      </w:r>
    </w:p>
    <w:p w14:paraId="7CC0FA65">
      <w:pPr>
        <w:widowControl/>
        <w:autoSpaceDE w:val="0"/>
        <w:autoSpaceDN w:val="0"/>
        <w:adjustRightInd w:val="0"/>
        <w:snapToGrid w:val="0"/>
        <w:spacing w:line="540" w:lineRule="exact"/>
        <w:ind w:firstLine="420"/>
        <w:jc w:val="left"/>
        <w:rPr>
          <w:rFonts w:hint="eastAsia" w:ascii="宋体" w:hAnsi="宋体" w:eastAsia="宋体" w:cs="宋体"/>
          <w:color w:val="000000"/>
          <w:lang w:val="zh-CN"/>
        </w:rPr>
      </w:pPr>
      <w:r>
        <w:rPr>
          <w:rFonts w:hint="eastAsia" w:ascii="宋体" w:hAnsi="宋体" w:eastAsia="宋体" w:cs="宋体"/>
          <w:color w:val="000000"/>
          <w:kern w:val="0"/>
          <w:sz w:val="24"/>
          <w:szCs w:val="24"/>
          <w:lang w:val="zh-CN" w:bidi="ar"/>
        </w:rPr>
        <w:t>1、本合同自双方盖章之日起生效。</w:t>
      </w:r>
    </w:p>
    <w:p w14:paraId="1252F7BE">
      <w:pPr>
        <w:widowControl/>
        <w:autoSpaceDE w:val="0"/>
        <w:autoSpaceDN w:val="0"/>
        <w:adjustRightInd w:val="0"/>
        <w:snapToGrid w:val="0"/>
        <w:spacing w:line="540" w:lineRule="exact"/>
        <w:ind w:firstLine="420"/>
        <w:jc w:val="left"/>
        <w:rPr>
          <w:rFonts w:hint="eastAsia" w:ascii="宋体" w:hAnsi="宋体" w:eastAsia="宋体" w:cs="宋体"/>
          <w:color w:val="000000"/>
          <w:lang w:val="zh-CN"/>
        </w:rPr>
      </w:pPr>
      <w:r>
        <w:rPr>
          <w:rFonts w:hint="eastAsia" w:ascii="宋体" w:hAnsi="宋体" w:eastAsia="宋体" w:cs="宋体"/>
          <w:color w:val="000000"/>
          <w:kern w:val="0"/>
          <w:sz w:val="24"/>
          <w:szCs w:val="24"/>
          <w:lang w:val="zh-CN" w:bidi="ar"/>
        </w:rPr>
        <w:t>2、本合同一式</w:t>
      </w:r>
      <w:r>
        <w:rPr>
          <w:rFonts w:hint="eastAsia" w:ascii="宋体" w:hAnsi="宋体" w:eastAsia="宋体" w:cs="宋体"/>
          <w:color w:val="000000"/>
          <w:kern w:val="0"/>
          <w:sz w:val="24"/>
          <w:szCs w:val="24"/>
          <w:u w:val="single"/>
          <w:lang w:val="zh-CN" w:bidi="ar"/>
        </w:rPr>
        <w:t xml:space="preserve">   </w:t>
      </w:r>
      <w:r>
        <w:rPr>
          <w:rFonts w:hint="eastAsia" w:ascii="宋体" w:hAnsi="宋体" w:eastAsia="宋体" w:cs="宋体"/>
          <w:color w:val="000000"/>
          <w:kern w:val="0"/>
          <w:sz w:val="24"/>
          <w:szCs w:val="24"/>
          <w:lang w:val="zh-CN" w:bidi="ar"/>
        </w:rPr>
        <w:t>份，甲方执肆份，乙方执</w:t>
      </w:r>
      <w:r>
        <w:rPr>
          <w:rFonts w:hint="eastAsia" w:ascii="宋体" w:hAnsi="宋体" w:eastAsia="宋体" w:cs="宋体"/>
          <w:color w:val="000000"/>
          <w:kern w:val="0"/>
          <w:sz w:val="24"/>
          <w:szCs w:val="24"/>
          <w:u w:val="single"/>
          <w:lang w:val="zh-CN" w:bidi="ar"/>
        </w:rPr>
        <w:t xml:space="preserve">    </w:t>
      </w:r>
      <w:r>
        <w:rPr>
          <w:rFonts w:hint="eastAsia" w:ascii="宋体" w:hAnsi="宋体" w:eastAsia="宋体" w:cs="宋体"/>
          <w:color w:val="000000"/>
          <w:kern w:val="0"/>
          <w:sz w:val="24"/>
          <w:szCs w:val="24"/>
          <w:lang w:val="zh-CN" w:bidi="ar"/>
        </w:rPr>
        <w:t>份，招标公司执壹份，具有同等法律效力。</w:t>
      </w:r>
    </w:p>
    <w:p w14:paraId="13F70207">
      <w:pPr>
        <w:widowControl/>
        <w:autoSpaceDE w:val="0"/>
        <w:autoSpaceDN w:val="0"/>
        <w:adjustRightInd w:val="0"/>
        <w:snapToGrid w:val="0"/>
        <w:spacing w:line="540" w:lineRule="exact"/>
        <w:ind w:firstLine="420"/>
        <w:jc w:val="left"/>
        <w:rPr>
          <w:rFonts w:hint="eastAsia" w:ascii="宋体" w:hAnsi="宋体" w:eastAsia="宋体" w:cs="宋体"/>
          <w:color w:val="000000"/>
          <w:lang w:val="zh-CN"/>
        </w:rPr>
      </w:pPr>
      <w:r>
        <w:rPr>
          <w:rFonts w:hint="eastAsia" w:ascii="宋体" w:hAnsi="宋体" w:eastAsia="宋体" w:cs="宋体"/>
          <w:color w:val="000000"/>
          <w:kern w:val="0"/>
          <w:sz w:val="24"/>
          <w:szCs w:val="24"/>
          <w:lang w:val="zh-CN" w:bidi="ar"/>
        </w:rPr>
        <w:t>3、本合同应按照中华人民共和国大陆地区现行有效的法律进行解释。</w:t>
      </w:r>
    </w:p>
    <w:p w14:paraId="06157D65">
      <w:pPr>
        <w:widowControl/>
        <w:autoSpaceDE w:val="0"/>
        <w:autoSpaceDN w:val="0"/>
        <w:adjustRightInd w:val="0"/>
        <w:snapToGrid w:val="0"/>
        <w:spacing w:line="540" w:lineRule="exact"/>
        <w:ind w:firstLine="420"/>
        <w:jc w:val="left"/>
        <w:rPr>
          <w:rFonts w:hint="eastAsia" w:ascii="宋体" w:hAnsi="宋体" w:eastAsia="宋体" w:cs="宋体"/>
          <w:color w:val="000000"/>
          <w:lang w:val="zh-CN"/>
        </w:rPr>
      </w:pPr>
      <w:r>
        <w:rPr>
          <w:rFonts w:hint="eastAsia" w:ascii="宋体" w:hAnsi="宋体" w:eastAsia="宋体" w:cs="宋体"/>
          <w:color w:val="000000"/>
          <w:kern w:val="0"/>
          <w:sz w:val="24"/>
          <w:szCs w:val="24"/>
          <w:lang w:val="zh-CN" w:bidi="ar"/>
        </w:rPr>
        <w:t>（以下无正文）</w:t>
      </w:r>
    </w:p>
    <w:p w14:paraId="01783DAC">
      <w:pPr>
        <w:widowControl/>
        <w:autoSpaceDE w:val="0"/>
        <w:autoSpaceDN w:val="0"/>
        <w:adjustRightInd w:val="0"/>
        <w:snapToGrid w:val="0"/>
        <w:spacing w:line="540" w:lineRule="exact"/>
        <w:ind w:firstLine="420"/>
        <w:jc w:val="left"/>
        <w:rPr>
          <w:rFonts w:hint="eastAsia" w:ascii="宋体" w:hAnsi="宋体" w:eastAsia="宋体" w:cs="宋体"/>
          <w:color w:val="000000"/>
          <w:lang w:val="zh-CN"/>
        </w:rPr>
      </w:pPr>
    </w:p>
    <w:p w14:paraId="7CE2A8E0">
      <w:pPr>
        <w:widowControl/>
        <w:autoSpaceDE w:val="0"/>
        <w:autoSpaceDN w:val="0"/>
        <w:adjustRightInd w:val="0"/>
        <w:jc w:val="left"/>
        <w:rPr>
          <w:rFonts w:hint="eastAsia" w:ascii="宋体" w:hAnsi="宋体" w:eastAsia="宋体" w:cs="宋体"/>
          <w:color w:val="000000"/>
          <w:lang w:val="zh-CN"/>
        </w:rPr>
      </w:pPr>
      <w:r>
        <w:rPr>
          <w:rFonts w:hint="eastAsia" w:ascii="宋体" w:hAnsi="宋体" w:eastAsia="宋体" w:cs="宋体"/>
          <w:color w:val="000000"/>
          <w:sz w:val="24"/>
          <w:szCs w:val="24"/>
          <w:lang w:val="zh-CN" w:bidi="ar"/>
        </w:rPr>
        <w:br w:type="page"/>
      </w:r>
    </w:p>
    <w:p w14:paraId="1E759ED3">
      <w:pPr>
        <w:widowControl/>
        <w:autoSpaceDE w:val="0"/>
        <w:autoSpaceDN w:val="0"/>
        <w:adjustRightInd w:val="0"/>
        <w:snapToGrid w:val="0"/>
        <w:spacing w:line="480" w:lineRule="auto"/>
        <w:jc w:val="center"/>
        <w:rPr>
          <w:rFonts w:hint="eastAsia" w:ascii="宋体" w:hAnsi="宋体" w:eastAsia="宋体" w:cs="宋体"/>
          <w:color w:val="000000"/>
          <w:lang w:val="zh-CN"/>
        </w:rPr>
      </w:pPr>
      <w:r>
        <w:rPr>
          <w:rFonts w:hint="eastAsia" w:ascii="宋体" w:hAnsi="宋体" w:eastAsia="宋体" w:cs="宋体"/>
          <w:color w:val="000000"/>
          <w:kern w:val="0"/>
          <w:sz w:val="24"/>
          <w:szCs w:val="24"/>
          <w:lang w:val="zh-CN" w:bidi="ar"/>
        </w:rPr>
        <w:t>（本页系编号    《货物采购合同》签署页，无正文）</w:t>
      </w:r>
    </w:p>
    <w:tbl>
      <w:tblPr>
        <w:tblStyle w:val="2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01"/>
        <w:gridCol w:w="4502"/>
      </w:tblGrid>
      <w:tr w14:paraId="66927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tcBorders>
              <w:top w:val="single" w:color="auto" w:sz="4" w:space="0"/>
              <w:left w:val="single" w:color="auto" w:sz="4" w:space="0"/>
              <w:bottom w:val="single" w:color="auto" w:sz="4" w:space="0"/>
              <w:right w:val="single" w:color="auto" w:sz="4" w:space="0"/>
            </w:tcBorders>
          </w:tcPr>
          <w:p w14:paraId="215AD700">
            <w:pPr>
              <w:autoSpaceDE w:val="0"/>
              <w:autoSpaceDN w:val="0"/>
              <w:adjustRightInd w:val="0"/>
              <w:rPr>
                <w:rFonts w:hint="eastAsia" w:ascii="宋体" w:hAnsi="宋体" w:eastAsia="宋体" w:cs="宋体"/>
              </w:rPr>
            </w:pPr>
            <w:r>
              <w:rPr>
                <w:rFonts w:hint="eastAsia" w:ascii="宋体" w:hAnsi="宋体" w:eastAsia="宋体" w:cs="宋体"/>
                <w:sz w:val="24"/>
                <w:szCs w:val="24"/>
                <w:lang w:bidi="ar"/>
              </w:rPr>
              <w:t xml:space="preserve">甲    方：紫金山实验室   </w:t>
            </w:r>
          </w:p>
          <w:p w14:paraId="34F6E661">
            <w:pPr>
              <w:autoSpaceDE w:val="0"/>
              <w:autoSpaceDN w:val="0"/>
              <w:adjustRightInd w:val="0"/>
              <w:rPr>
                <w:rFonts w:hint="eastAsia" w:ascii="宋体" w:hAnsi="宋体" w:eastAsia="宋体" w:cs="宋体"/>
              </w:rPr>
            </w:pPr>
            <w:r>
              <w:rPr>
                <w:rFonts w:hint="eastAsia" w:ascii="宋体" w:hAnsi="宋体" w:eastAsia="宋体" w:cs="宋体"/>
                <w:sz w:val="24"/>
                <w:szCs w:val="24"/>
                <w:lang w:bidi="ar"/>
              </w:rPr>
              <w:t>（盖章）</w:t>
            </w:r>
          </w:p>
          <w:p w14:paraId="7EF0E6BC">
            <w:pPr>
              <w:autoSpaceDE w:val="0"/>
              <w:autoSpaceDN w:val="0"/>
              <w:adjustRightInd w:val="0"/>
              <w:rPr>
                <w:rFonts w:hint="eastAsia" w:ascii="宋体" w:hAnsi="宋体" w:eastAsia="宋体" w:cs="宋体"/>
              </w:rPr>
            </w:pPr>
            <w:r>
              <w:rPr>
                <w:rFonts w:hint="eastAsia" w:ascii="宋体" w:hAnsi="宋体" w:eastAsia="宋体" w:cs="宋体"/>
                <w:sz w:val="24"/>
                <w:szCs w:val="24"/>
                <w:lang w:bidi="ar"/>
              </w:rPr>
              <w:t>法人代表:尤肖虎</w:t>
            </w:r>
          </w:p>
          <w:p w14:paraId="7AD0AFC8">
            <w:pPr>
              <w:autoSpaceDE w:val="0"/>
              <w:autoSpaceDN w:val="0"/>
              <w:adjustRightInd w:val="0"/>
              <w:rPr>
                <w:rFonts w:hint="eastAsia" w:ascii="宋体" w:hAnsi="宋体" w:eastAsia="宋体" w:cs="宋体"/>
              </w:rPr>
            </w:pPr>
            <w:r>
              <w:rPr>
                <w:rFonts w:hint="eastAsia" w:ascii="宋体" w:hAnsi="宋体" w:eastAsia="宋体" w:cs="宋体"/>
                <w:sz w:val="24"/>
                <w:szCs w:val="24"/>
                <w:lang w:bidi="ar"/>
              </w:rPr>
              <w:t>地址:南京市江宁区秣周东路9号</w:t>
            </w:r>
          </w:p>
          <w:p w14:paraId="32F484AB">
            <w:pPr>
              <w:autoSpaceDE w:val="0"/>
              <w:autoSpaceDN w:val="0"/>
              <w:adjustRightInd w:val="0"/>
              <w:rPr>
                <w:rFonts w:hint="eastAsia" w:ascii="宋体" w:hAnsi="宋体" w:eastAsia="宋体" w:cs="宋体"/>
              </w:rPr>
            </w:pPr>
            <w:r>
              <w:rPr>
                <w:rFonts w:hint="eastAsia" w:ascii="宋体" w:hAnsi="宋体" w:eastAsia="宋体" w:cs="宋体"/>
                <w:sz w:val="24"/>
                <w:szCs w:val="24"/>
                <w:lang w:bidi="ar"/>
              </w:rPr>
              <w:t xml:space="preserve">邮编:         </w:t>
            </w:r>
          </w:p>
          <w:p w14:paraId="69925515">
            <w:pPr>
              <w:autoSpaceDE w:val="0"/>
              <w:autoSpaceDN w:val="0"/>
              <w:adjustRightInd w:val="0"/>
              <w:rPr>
                <w:rFonts w:hint="eastAsia" w:ascii="宋体" w:hAnsi="宋体" w:eastAsia="宋体" w:cs="宋体"/>
              </w:rPr>
            </w:pPr>
            <w:r>
              <w:rPr>
                <w:rFonts w:hint="eastAsia" w:ascii="宋体" w:hAnsi="宋体" w:eastAsia="宋体" w:cs="宋体"/>
                <w:sz w:val="24"/>
                <w:szCs w:val="24"/>
                <w:lang w:bidi="ar"/>
              </w:rPr>
              <w:t>电话:</w:t>
            </w:r>
          </w:p>
          <w:p w14:paraId="2DD6F2FA">
            <w:pPr>
              <w:autoSpaceDE w:val="0"/>
              <w:autoSpaceDN w:val="0"/>
              <w:adjustRightInd w:val="0"/>
              <w:rPr>
                <w:rFonts w:hint="eastAsia" w:ascii="宋体" w:hAnsi="宋体" w:eastAsia="宋体" w:cs="宋体"/>
              </w:rPr>
            </w:pPr>
            <w:r>
              <w:rPr>
                <w:rFonts w:hint="eastAsia" w:ascii="宋体" w:hAnsi="宋体" w:eastAsia="宋体" w:cs="宋体"/>
                <w:sz w:val="24"/>
                <w:szCs w:val="24"/>
                <w:lang w:bidi="ar"/>
              </w:rPr>
              <w:t>授权代表（签字）:</w:t>
            </w:r>
          </w:p>
          <w:p w14:paraId="2A342D53">
            <w:pPr>
              <w:autoSpaceDE w:val="0"/>
              <w:autoSpaceDN w:val="0"/>
              <w:adjustRightInd w:val="0"/>
              <w:rPr>
                <w:rFonts w:hint="eastAsia" w:ascii="宋体" w:hAnsi="宋体" w:eastAsia="宋体" w:cs="宋体"/>
              </w:rPr>
            </w:pPr>
            <w:r>
              <w:rPr>
                <w:rFonts w:hint="eastAsia" w:ascii="宋体" w:hAnsi="宋体" w:eastAsia="宋体" w:cs="宋体"/>
                <w:sz w:val="24"/>
                <w:szCs w:val="24"/>
                <w:lang w:bidi="ar"/>
              </w:rPr>
              <w:t>签订日期：     年   月  日</w:t>
            </w:r>
          </w:p>
        </w:tc>
        <w:tc>
          <w:tcPr>
            <w:tcW w:w="2500" w:type="pct"/>
            <w:tcBorders>
              <w:top w:val="single" w:color="auto" w:sz="4" w:space="0"/>
              <w:left w:val="single" w:color="auto" w:sz="4" w:space="0"/>
              <w:bottom w:val="single" w:color="auto" w:sz="4" w:space="0"/>
              <w:right w:val="single" w:color="auto" w:sz="4" w:space="0"/>
            </w:tcBorders>
          </w:tcPr>
          <w:p w14:paraId="2EBB8E16">
            <w:pPr>
              <w:autoSpaceDE w:val="0"/>
              <w:autoSpaceDN w:val="0"/>
              <w:adjustRightInd w:val="0"/>
              <w:rPr>
                <w:rFonts w:hint="eastAsia" w:ascii="宋体" w:hAnsi="宋体" w:eastAsia="宋体" w:cs="宋体"/>
              </w:rPr>
            </w:pPr>
            <w:r>
              <w:rPr>
                <w:rFonts w:hint="eastAsia" w:ascii="宋体" w:hAnsi="宋体" w:eastAsia="宋体" w:cs="宋体"/>
                <w:sz w:val="24"/>
                <w:szCs w:val="24"/>
                <w:lang w:bidi="ar"/>
              </w:rPr>
              <w:t xml:space="preserve">乙    方：   </w:t>
            </w:r>
          </w:p>
          <w:p w14:paraId="6C46C006">
            <w:pPr>
              <w:autoSpaceDE w:val="0"/>
              <w:autoSpaceDN w:val="0"/>
              <w:adjustRightInd w:val="0"/>
              <w:rPr>
                <w:rFonts w:hint="eastAsia" w:ascii="宋体" w:hAnsi="宋体" w:eastAsia="宋体" w:cs="宋体"/>
              </w:rPr>
            </w:pPr>
            <w:r>
              <w:rPr>
                <w:rFonts w:hint="eastAsia" w:ascii="宋体" w:hAnsi="宋体" w:eastAsia="宋体" w:cs="宋体"/>
                <w:sz w:val="24"/>
                <w:szCs w:val="24"/>
                <w:lang w:bidi="ar"/>
              </w:rPr>
              <w:t>（盖章）</w:t>
            </w:r>
          </w:p>
          <w:p w14:paraId="7141A4CE">
            <w:pPr>
              <w:autoSpaceDE w:val="0"/>
              <w:autoSpaceDN w:val="0"/>
              <w:adjustRightInd w:val="0"/>
              <w:rPr>
                <w:rFonts w:hint="eastAsia" w:ascii="宋体" w:hAnsi="宋体" w:eastAsia="宋体" w:cs="宋体"/>
              </w:rPr>
            </w:pPr>
            <w:r>
              <w:rPr>
                <w:rFonts w:hint="eastAsia" w:ascii="宋体" w:hAnsi="宋体" w:eastAsia="宋体" w:cs="宋体"/>
                <w:sz w:val="24"/>
                <w:szCs w:val="24"/>
                <w:lang w:bidi="ar"/>
              </w:rPr>
              <w:t>法人代表:</w:t>
            </w:r>
          </w:p>
          <w:p w14:paraId="7E5C7223">
            <w:pPr>
              <w:autoSpaceDE w:val="0"/>
              <w:autoSpaceDN w:val="0"/>
              <w:adjustRightInd w:val="0"/>
              <w:rPr>
                <w:rFonts w:hint="eastAsia" w:ascii="宋体" w:hAnsi="宋体" w:eastAsia="宋体" w:cs="宋体"/>
              </w:rPr>
            </w:pPr>
            <w:r>
              <w:rPr>
                <w:rFonts w:hint="eastAsia" w:ascii="宋体" w:hAnsi="宋体" w:eastAsia="宋体" w:cs="宋体"/>
                <w:sz w:val="24"/>
                <w:szCs w:val="24"/>
                <w:lang w:bidi="ar"/>
              </w:rPr>
              <w:t>地址:</w:t>
            </w:r>
          </w:p>
          <w:p w14:paraId="3B9399EF">
            <w:pPr>
              <w:autoSpaceDE w:val="0"/>
              <w:autoSpaceDN w:val="0"/>
              <w:adjustRightInd w:val="0"/>
              <w:rPr>
                <w:rFonts w:hint="eastAsia" w:ascii="宋体" w:hAnsi="宋体" w:eastAsia="宋体" w:cs="宋体"/>
              </w:rPr>
            </w:pPr>
          </w:p>
          <w:p w14:paraId="28852AFC">
            <w:pPr>
              <w:autoSpaceDE w:val="0"/>
              <w:autoSpaceDN w:val="0"/>
              <w:adjustRightInd w:val="0"/>
              <w:rPr>
                <w:rFonts w:hint="eastAsia" w:ascii="宋体" w:hAnsi="宋体" w:eastAsia="宋体" w:cs="宋体"/>
              </w:rPr>
            </w:pPr>
            <w:r>
              <w:rPr>
                <w:rFonts w:hint="eastAsia" w:ascii="宋体" w:hAnsi="宋体" w:eastAsia="宋体" w:cs="宋体"/>
                <w:sz w:val="24"/>
                <w:szCs w:val="24"/>
                <w:lang w:bidi="ar"/>
              </w:rPr>
              <w:t>邮编:</w:t>
            </w:r>
          </w:p>
          <w:p w14:paraId="17CED220">
            <w:pPr>
              <w:autoSpaceDE w:val="0"/>
              <w:autoSpaceDN w:val="0"/>
              <w:adjustRightInd w:val="0"/>
              <w:rPr>
                <w:rFonts w:hint="eastAsia" w:ascii="宋体" w:hAnsi="宋体" w:eastAsia="宋体" w:cs="宋体"/>
              </w:rPr>
            </w:pPr>
            <w:r>
              <w:rPr>
                <w:rFonts w:hint="eastAsia" w:ascii="宋体" w:hAnsi="宋体" w:eastAsia="宋体" w:cs="宋体"/>
                <w:sz w:val="24"/>
                <w:szCs w:val="24"/>
                <w:lang w:bidi="ar"/>
              </w:rPr>
              <w:t>电话:</w:t>
            </w:r>
          </w:p>
          <w:p w14:paraId="745FE186">
            <w:pPr>
              <w:autoSpaceDE w:val="0"/>
              <w:autoSpaceDN w:val="0"/>
              <w:adjustRightInd w:val="0"/>
              <w:rPr>
                <w:rFonts w:hint="eastAsia" w:ascii="宋体" w:hAnsi="宋体" w:eastAsia="宋体" w:cs="宋体"/>
              </w:rPr>
            </w:pPr>
            <w:r>
              <w:rPr>
                <w:rFonts w:hint="eastAsia" w:ascii="宋体" w:hAnsi="宋体" w:eastAsia="宋体" w:cs="宋体"/>
                <w:sz w:val="24"/>
                <w:szCs w:val="24"/>
                <w:lang w:bidi="ar"/>
              </w:rPr>
              <w:t>授权代表（签字）：</w:t>
            </w:r>
          </w:p>
          <w:p w14:paraId="1D5BD1F6">
            <w:pPr>
              <w:autoSpaceDE w:val="0"/>
              <w:autoSpaceDN w:val="0"/>
              <w:adjustRightInd w:val="0"/>
              <w:rPr>
                <w:rFonts w:hint="eastAsia" w:ascii="宋体" w:hAnsi="宋体" w:eastAsia="宋体" w:cs="宋体"/>
                <w:highlight w:val="yellow"/>
              </w:rPr>
            </w:pPr>
            <w:r>
              <w:rPr>
                <w:rFonts w:hint="eastAsia" w:ascii="宋体" w:hAnsi="宋体" w:eastAsia="宋体" w:cs="宋体"/>
                <w:sz w:val="24"/>
                <w:szCs w:val="24"/>
                <w:lang w:bidi="ar"/>
              </w:rPr>
              <w:t>签订日期：     年   月  日</w:t>
            </w:r>
          </w:p>
        </w:tc>
      </w:tr>
    </w:tbl>
    <w:p w14:paraId="1CC49B36">
      <w:pPr>
        <w:widowControl/>
        <w:snapToGrid w:val="0"/>
        <w:spacing w:line="540" w:lineRule="exact"/>
        <w:ind w:firstLine="420"/>
        <w:contextualSpacing/>
        <w:rPr>
          <w:rFonts w:hint="eastAsia" w:cs="宋体" w:asciiTheme="minorEastAsia" w:hAnsiTheme="minorEastAsia"/>
          <w:color w:val="000000" w:themeColor="text1"/>
          <w:sz w:val="24"/>
          <w:szCs w:val="24"/>
          <w:lang w:val="zh-CN"/>
          <w14:textFill>
            <w14:solidFill>
              <w14:schemeClr w14:val="tx1"/>
            </w14:solidFill>
          </w14:textFill>
        </w:rPr>
      </w:pPr>
    </w:p>
    <w:p w14:paraId="3D833538">
      <w:pPr>
        <w:widowControl/>
        <w:snapToGrid w:val="0"/>
        <w:spacing w:line="540" w:lineRule="exact"/>
        <w:ind w:firstLine="420"/>
        <w:contextualSpacing/>
        <w:rPr>
          <w:rFonts w:hint="eastAsia" w:cs="宋体" w:asciiTheme="minorEastAsia" w:hAnsiTheme="minorEastAsia"/>
          <w:color w:val="000000" w:themeColor="text1"/>
          <w:sz w:val="24"/>
          <w:szCs w:val="24"/>
          <w:lang w:val="zh-CN"/>
          <w14:textFill>
            <w14:solidFill>
              <w14:schemeClr w14:val="tx1"/>
            </w14:solidFill>
          </w14:textFill>
        </w:rPr>
      </w:pPr>
    </w:p>
    <w:p w14:paraId="6D9D6D92">
      <w:pPr>
        <w:widowControl/>
        <w:snapToGrid w:val="0"/>
        <w:spacing w:line="540" w:lineRule="exact"/>
        <w:ind w:firstLine="420"/>
        <w:contextualSpacing/>
        <w:rPr>
          <w:rFonts w:hint="eastAsia" w:cs="宋体" w:asciiTheme="minorEastAsia" w:hAnsiTheme="minorEastAsia"/>
          <w:color w:val="000000" w:themeColor="text1"/>
          <w:sz w:val="24"/>
          <w:szCs w:val="24"/>
          <w:lang w:val="zh-CN"/>
          <w14:textFill>
            <w14:solidFill>
              <w14:schemeClr w14:val="tx1"/>
            </w14:solidFill>
          </w14:textFill>
        </w:rPr>
      </w:pPr>
    </w:p>
    <w:p w14:paraId="4B817E23">
      <w:pPr>
        <w:widowControl/>
        <w:snapToGrid w:val="0"/>
        <w:spacing w:line="540" w:lineRule="exact"/>
        <w:ind w:firstLine="420"/>
        <w:contextualSpacing/>
        <w:rPr>
          <w:rFonts w:hint="eastAsia" w:cs="宋体" w:asciiTheme="minorEastAsia" w:hAnsiTheme="minorEastAsia"/>
          <w:color w:val="000000" w:themeColor="text1"/>
          <w:sz w:val="24"/>
          <w:szCs w:val="24"/>
          <w:lang w:val="zh-CN"/>
          <w14:textFill>
            <w14:solidFill>
              <w14:schemeClr w14:val="tx1"/>
            </w14:solidFill>
          </w14:textFill>
        </w:rPr>
      </w:pPr>
    </w:p>
    <w:p w14:paraId="41D0E78C">
      <w:pPr>
        <w:widowControl/>
        <w:snapToGrid w:val="0"/>
        <w:spacing w:line="540" w:lineRule="exact"/>
        <w:ind w:firstLine="420"/>
        <w:contextualSpacing/>
        <w:rPr>
          <w:rFonts w:hint="eastAsia" w:cs="宋体" w:asciiTheme="minorEastAsia" w:hAnsiTheme="minorEastAsia"/>
          <w:color w:val="000000" w:themeColor="text1"/>
          <w:sz w:val="24"/>
          <w:szCs w:val="24"/>
          <w:lang w:val="zh-CN"/>
          <w14:textFill>
            <w14:solidFill>
              <w14:schemeClr w14:val="tx1"/>
            </w14:solidFill>
          </w14:textFill>
        </w:rPr>
      </w:pPr>
    </w:p>
    <w:p w14:paraId="064FAFBE">
      <w:pPr>
        <w:widowControl/>
        <w:snapToGrid w:val="0"/>
        <w:spacing w:line="540" w:lineRule="exact"/>
        <w:ind w:firstLine="420"/>
        <w:contextualSpacing/>
        <w:rPr>
          <w:rFonts w:hint="eastAsia" w:cs="宋体" w:asciiTheme="minorEastAsia" w:hAnsiTheme="minorEastAsia"/>
          <w:color w:val="000000" w:themeColor="text1"/>
          <w:sz w:val="24"/>
          <w:szCs w:val="24"/>
          <w:lang w:val="zh-CN"/>
          <w14:textFill>
            <w14:solidFill>
              <w14:schemeClr w14:val="tx1"/>
            </w14:solidFill>
          </w14:textFill>
        </w:rPr>
      </w:pPr>
    </w:p>
    <w:p w14:paraId="3A15C33F">
      <w:pPr>
        <w:widowControl/>
        <w:snapToGrid w:val="0"/>
        <w:spacing w:line="540" w:lineRule="exact"/>
        <w:ind w:firstLine="420"/>
        <w:contextualSpacing/>
        <w:rPr>
          <w:rFonts w:hint="eastAsia" w:cs="宋体" w:asciiTheme="minorEastAsia" w:hAnsiTheme="minorEastAsia"/>
          <w:color w:val="000000" w:themeColor="text1"/>
          <w:sz w:val="24"/>
          <w:szCs w:val="24"/>
          <w:lang w:val="zh-CN"/>
          <w14:textFill>
            <w14:solidFill>
              <w14:schemeClr w14:val="tx1"/>
            </w14:solidFill>
          </w14:textFill>
        </w:rPr>
      </w:pPr>
    </w:p>
    <w:p w14:paraId="6FF01CB4">
      <w:pPr>
        <w:widowControl/>
        <w:snapToGrid w:val="0"/>
        <w:spacing w:line="540" w:lineRule="exact"/>
        <w:ind w:firstLine="420"/>
        <w:contextualSpacing/>
        <w:rPr>
          <w:rFonts w:hint="eastAsia" w:cs="宋体" w:asciiTheme="minorEastAsia" w:hAnsiTheme="minorEastAsia"/>
          <w:color w:val="000000" w:themeColor="text1"/>
          <w:sz w:val="24"/>
          <w:szCs w:val="24"/>
          <w:lang w:val="zh-CN"/>
          <w14:textFill>
            <w14:solidFill>
              <w14:schemeClr w14:val="tx1"/>
            </w14:solidFill>
          </w14:textFill>
        </w:rPr>
      </w:pPr>
    </w:p>
    <w:p w14:paraId="698A16E8">
      <w:pPr>
        <w:pStyle w:val="27"/>
        <w:ind w:firstLine="480"/>
        <w:rPr>
          <w:rFonts w:hint="eastAsia" w:cs="宋体" w:asciiTheme="minorEastAsia" w:hAnsiTheme="minorEastAsia"/>
          <w:color w:val="000000" w:themeColor="text1"/>
          <w:sz w:val="24"/>
          <w:szCs w:val="24"/>
          <w:lang w:val="zh-CN"/>
          <w14:textFill>
            <w14:solidFill>
              <w14:schemeClr w14:val="tx1"/>
            </w14:solidFill>
          </w14:textFill>
        </w:rPr>
      </w:pPr>
    </w:p>
    <w:p w14:paraId="719DA350">
      <w:pPr>
        <w:rPr>
          <w:rFonts w:hint="eastAsia" w:cs="宋体" w:asciiTheme="minorEastAsia" w:hAnsiTheme="minorEastAsia"/>
          <w:color w:val="000000" w:themeColor="text1"/>
          <w:sz w:val="24"/>
          <w:szCs w:val="24"/>
          <w:lang w:val="zh-CN"/>
          <w14:textFill>
            <w14:solidFill>
              <w14:schemeClr w14:val="tx1"/>
            </w14:solidFill>
          </w14:textFill>
        </w:rPr>
      </w:pPr>
    </w:p>
    <w:p w14:paraId="478F1685">
      <w:pPr>
        <w:pStyle w:val="27"/>
        <w:ind w:firstLine="480"/>
        <w:rPr>
          <w:rFonts w:hint="eastAsia" w:cs="宋体" w:asciiTheme="minorEastAsia" w:hAnsiTheme="minorEastAsia"/>
          <w:color w:val="000000" w:themeColor="text1"/>
          <w:sz w:val="24"/>
          <w:szCs w:val="24"/>
          <w:lang w:val="zh-CN"/>
          <w14:textFill>
            <w14:solidFill>
              <w14:schemeClr w14:val="tx1"/>
            </w14:solidFill>
          </w14:textFill>
        </w:rPr>
      </w:pPr>
    </w:p>
    <w:p w14:paraId="575FB9DE">
      <w:pPr>
        <w:rPr>
          <w:rFonts w:hint="eastAsia" w:cs="宋体" w:asciiTheme="minorEastAsia" w:hAnsiTheme="minorEastAsia"/>
          <w:color w:val="000000" w:themeColor="text1"/>
          <w:sz w:val="24"/>
          <w:szCs w:val="24"/>
          <w:lang w:val="zh-CN"/>
          <w14:textFill>
            <w14:solidFill>
              <w14:schemeClr w14:val="tx1"/>
            </w14:solidFill>
          </w14:textFill>
        </w:rPr>
      </w:pPr>
    </w:p>
    <w:p w14:paraId="0E6A536A">
      <w:pPr>
        <w:pStyle w:val="27"/>
        <w:ind w:firstLine="480"/>
        <w:rPr>
          <w:rFonts w:hint="eastAsia" w:cs="宋体" w:asciiTheme="minorEastAsia" w:hAnsiTheme="minorEastAsia"/>
          <w:color w:val="000000" w:themeColor="text1"/>
          <w:sz w:val="24"/>
          <w:szCs w:val="24"/>
          <w:lang w:val="zh-CN"/>
          <w14:textFill>
            <w14:solidFill>
              <w14:schemeClr w14:val="tx1"/>
            </w14:solidFill>
          </w14:textFill>
        </w:rPr>
      </w:pPr>
    </w:p>
    <w:p w14:paraId="200ED437">
      <w:pPr>
        <w:rPr>
          <w:rFonts w:hint="eastAsia" w:cs="宋体" w:asciiTheme="minorEastAsia" w:hAnsiTheme="minorEastAsia"/>
          <w:color w:val="000000" w:themeColor="text1"/>
          <w:sz w:val="24"/>
          <w:szCs w:val="24"/>
          <w:lang w:val="zh-CN"/>
          <w14:textFill>
            <w14:solidFill>
              <w14:schemeClr w14:val="tx1"/>
            </w14:solidFill>
          </w14:textFill>
        </w:rPr>
      </w:pPr>
    </w:p>
    <w:p w14:paraId="73EFF920">
      <w:pPr>
        <w:pStyle w:val="27"/>
        <w:ind w:firstLine="480"/>
        <w:rPr>
          <w:rFonts w:hint="eastAsia" w:cs="宋体" w:asciiTheme="minorEastAsia" w:hAnsiTheme="minorEastAsia"/>
          <w:color w:val="000000" w:themeColor="text1"/>
          <w:sz w:val="24"/>
          <w:szCs w:val="24"/>
          <w:lang w:val="zh-CN"/>
          <w14:textFill>
            <w14:solidFill>
              <w14:schemeClr w14:val="tx1"/>
            </w14:solidFill>
          </w14:textFill>
        </w:rPr>
      </w:pPr>
    </w:p>
    <w:p w14:paraId="583534D6">
      <w:pPr>
        <w:rPr>
          <w:rFonts w:hint="eastAsia" w:cs="宋体" w:asciiTheme="minorEastAsia" w:hAnsiTheme="minorEastAsia"/>
          <w:color w:val="000000" w:themeColor="text1"/>
          <w:sz w:val="24"/>
          <w:szCs w:val="24"/>
          <w:lang w:val="zh-CN"/>
          <w14:textFill>
            <w14:solidFill>
              <w14:schemeClr w14:val="tx1"/>
            </w14:solidFill>
          </w14:textFill>
        </w:rPr>
      </w:pPr>
    </w:p>
    <w:p w14:paraId="0C38EB75">
      <w:pPr>
        <w:rPr>
          <w:rFonts w:hint="eastAsia" w:cs="宋体" w:asciiTheme="minorEastAsia" w:hAnsiTheme="minorEastAsia"/>
          <w:color w:val="000000" w:themeColor="text1"/>
          <w:sz w:val="24"/>
          <w:szCs w:val="24"/>
          <w:lang w:val="zh-CN"/>
          <w14:textFill>
            <w14:solidFill>
              <w14:schemeClr w14:val="tx1"/>
            </w14:solidFill>
          </w14:textFill>
        </w:rPr>
      </w:pPr>
      <w:r>
        <w:rPr>
          <w:rFonts w:hint="eastAsia" w:cs="宋体" w:asciiTheme="minorEastAsia" w:hAnsiTheme="minorEastAsia"/>
          <w:color w:val="000000" w:themeColor="text1"/>
          <w:sz w:val="24"/>
          <w:szCs w:val="24"/>
          <w:lang w:val="zh-CN"/>
          <w14:textFill>
            <w14:solidFill>
              <w14:schemeClr w14:val="tx1"/>
            </w14:solidFill>
          </w14:textFill>
        </w:rPr>
        <w:br w:type="page"/>
      </w:r>
    </w:p>
    <w:p w14:paraId="7EADA8B0">
      <w:pPr>
        <w:keepNext/>
        <w:keepLines/>
        <w:numPr>
          <w:ilvl w:val="0"/>
          <w:numId w:val="3"/>
        </w:numPr>
        <w:spacing w:line="360" w:lineRule="auto"/>
        <w:jc w:val="center"/>
        <w:rPr>
          <w:rFonts w:hint="eastAsia" w:ascii="黑体" w:hAnsi="黑体" w:eastAsia="黑体" w:cs="黑体"/>
          <w:color w:val="000000" w:themeColor="text1"/>
          <w:kern w:val="44"/>
          <w:sz w:val="36"/>
          <w:szCs w:val="36"/>
          <w:u w:color="000000"/>
          <w:lang w:val="zh-TW" w:eastAsia="zh-TW"/>
          <w14:textFill>
            <w14:solidFill>
              <w14:schemeClr w14:val="tx1"/>
            </w14:solidFill>
          </w14:textFill>
        </w:rPr>
      </w:pPr>
      <w:r>
        <w:rPr>
          <w:rFonts w:ascii="黑体" w:hAnsi="黑体" w:eastAsia="黑体" w:cs="黑体"/>
          <w:color w:val="000000" w:themeColor="text1"/>
          <w:kern w:val="44"/>
          <w:sz w:val="36"/>
          <w:szCs w:val="36"/>
          <w:u w:color="000000"/>
          <w:lang w:val="zh-TW" w:eastAsia="zh-TW"/>
          <w14:textFill>
            <w14:solidFill>
              <w14:schemeClr w14:val="tx1"/>
            </w14:solidFill>
          </w14:textFill>
        </w:rPr>
        <w:t>项目需求</w:t>
      </w:r>
      <w:bookmarkEnd w:id="48"/>
      <w:bookmarkStart w:id="50" w:name="_Toc11859489"/>
    </w:p>
    <w:p w14:paraId="288D3001">
      <w:pPr>
        <w:adjustRightInd w:val="0"/>
        <w:snapToGrid w:val="0"/>
        <w:spacing w:line="4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一、项目属性：货物类项目。</w:t>
      </w:r>
    </w:p>
    <w:p w14:paraId="6058F9D5">
      <w:pPr>
        <w:adjustRightInd w:val="0"/>
        <w:snapToGrid w:val="0"/>
        <w:spacing w:line="4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二、项目概况</w:t>
      </w:r>
    </w:p>
    <w:p w14:paraId="1BBC2EBF">
      <w:pPr>
        <w:adjustRightInd w:val="0"/>
        <w:snapToGrid w:val="0"/>
        <w:spacing w:line="40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（一）项目背景</w:t>
      </w:r>
    </w:p>
    <w:p w14:paraId="16D14390">
      <w:pPr>
        <w:adjustRightInd w:val="0"/>
        <w:snapToGrid w:val="0"/>
        <w:spacing w:line="40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随着数字化转型的深入推进，API（应用程序接口）已成为连接移动应用、后端服务、云平台及微服务架构的核心枢纽，支撑着内外部数据交互与业务协同。然而，API 的爆发式增长也带来了严峻的安全挑战：国际权威数据显示，2024年 API 攻击流量同比增长 681%，94% 的失窃数据涉及 API 暴露安全，95% 的企业曾遭遇 API 安全事件。当前，超过 80% 的企业在 API 敏感数据处理中安全措施薄弱，仅 27% 的企业能明确知晓 API 暴露的敏感数据范围，API 安全已成为企业数据防护的 “短板”。</w:t>
      </w:r>
    </w:p>
    <w:p w14:paraId="1E3EBA66">
      <w:pPr>
        <w:adjustRightInd w:val="0"/>
        <w:snapToGrid w:val="0"/>
        <w:spacing w:line="400" w:lineRule="exact"/>
        <w:ind w:firstLine="480" w:firstLineChars="200"/>
        <w:rPr>
          <w:rFonts w:hint="eastAsia" w:ascii="宋体" w:hAnsi="宋体" w:eastAsia="宋体" w:cs="宋体"/>
        </w:rPr>
      </w:pPr>
      <w:r>
        <w:rPr>
          <w:rFonts w:hint="eastAsia" w:ascii="宋体" w:hAnsi="宋体" w:eastAsia="宋体" w:cs="宋体"/>
          <w:bCs/>
          <w:sz w:val="24"/>
          <w:szCs w:val="24"/>
        </w:rPr>
        <w:t>结合本单位信息化建设实际，随着业务系统升级，大模型部署，以及云服务交互，API 接口数量呈指数级增长，覆盖办公 OA、科研业务平台、数据共享、大模型数据交互等关键场景，且大量接口涉及用户身份信息、业务核心数据等敏感内容。目前，现有安全防护体系（如 WAF、基础防火墙）仅能覆盖传统 Web 攻击防护，缺乏针对 API 资产梳理、异常行为监测、敏感数据流转管控的专项能力，存在显著安全隐患。为填补防护空白，保障业务安全与数据合规，亟需采购专业 API 安全监测设备。</w:t>
      </w:r>
    </w:p>
    <w:p w14:paraId="5CD95830">
      <w:pPr>
        <w:adjustRightInd w:val="0"/>
        <w:snapToGrid w:val="0"/>
        <w:spacing w:line="40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（二）项目建设遵循标准</w:t>
      </w:r>
    </w:p>
    <w:p w14:paraId="43D9B848">
      <w:pPr>
        <w:adjustRightInd w:val="0"/>
        <w:snapToGrid w:val="0"/>
        <w:spacing w:line="40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遵循国家、行业及地方现行的规范和标准。</w:t>
      </w:r>
    </w:p>
    <w:p w14:paraId="23933DFC">
      <w:pPr>
        <w:adjustRightInd w:val="0"/>
        <w:snapToGrid w:val="0"/>
        <w:spacing w:line="400" w:lineRule="exact"/>
        <w:ind w:firstLine="480" w:firstLineChars="200"/>
        <w:rPr>
          <w:rFonts w:hint="eastAsia" w:ascii="宋体" w:hAnsi="宋体" w:eastAsia="宋体" w:cs="宋体"/>
          <w:bCs/>
          <w:sz w:val="24"/>
          <w:szCs w:val="24"/>
        </w:rPr>
      </w:pPr>
      <w:r>
        <w:rPr>
          <w:rFonts w:hint="eastAsia" w:ascii="宋体" w:hAnsi="宋体" w:eastAsia="宋体" w:cs="宋体"/>
          <w:color w:val="000000"/>
          <w:sz w:val="24"/>
          <w:szCs w:val="24"/>
        </w:rPr>
        <w:t>三、产品清单</w:t>
      </w:r>
    </w:p>
    <w:tbl>
      <w:tblPr>
        <w:tblStyle w:val="28"/>
        <w:tblW w:w="5006"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646"/>
        <w:gridCol w:w="2084"/>
        <w:gridCol w:w="898"/>
        <w:gridCol w:w="684"/>
        <w:gridCol w:w="1249"/>
        <w:gridCol w:w="1175"/>
        <w:gridCol w:w="1150"/>
        <w:gridCol w:w="928"/>
      </w:tblGrid>
      <w:tr w14:paraId="0D7AFA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0" w:hRule="atLeast"/>
        </w:trPr>
        <w:tc>
          <w:tcPr>
            <w:tcW w:w="367" w:type="pct"/>
            <w:tcBorders>
              <w:top w:val="single" w:color="000000" w:sz="2" w:space="0"/>
              <w:bottom w:val="single" w:color="000000" w:sz="2" w:space="0"/>
            </w:tcBorders>
            <w:vAlign w:val="center"/>
          </w:tcPr>
          <w:p w14:paraId="53704F1D">
            <w:pPr>
              <w:adjustRightInd w:val="0"/>
              <w:snapToGrid w:val="0"/>
              <w:spacing w:line="400" w:lineRule="exact"/>
              <w:jc w:val="center"/>
              <w:rPr>
                <w:rFonts w:hint="eastAsia" w:ascii="宋体" w:hAnsi="宋体" w:eastAsia="宋体" w:cs="宋体"/>
                <w:bCs/>
                <w:sz w:val="24"/>
                <w:szCs w:val="24"/>
              </w:rPr>
            </w:pPr>
            <w:r>
              <w:rPr>
                <w:rFonts w:hint="eastAsia" w:ascii="宋体" w:hAnsi="宋体" w:eastAsia="宋体" w:cs="宋体"/>
                <w:bCs/>
                <w:sz w:val="24"/>
                <w:szCs w:val="24"/>
              </w:rPr>
              <w:t>序号</w:t>
            </w:r>
          </w:p>
        </w:tc>
        <w:tc>
          <w:tcPr>
            <w:tcW w:w="1182" w:type="pct"/>
            <w:tcBorders>
              <w:top w:val="single" w:color="000000" w:sz="2" w:space="0"/>
              <w:bottom w:val="single" w:color="000000" w:sz="2" w:space="0"/>
            </w:tcBorders>
            <w:vAlign w:val="center"/>
          </w:tcPr>
          <w:p w14:paraId="00BAA26D">
            <w:pPr>
              <w:adjustRightInd w:val="0"/>
              <w:snapToGrid w:val="0"/>
              <w:spacing w:line="400" w:lineRule="exact"/>
              <w:jc w:val="center"/>
              <w:rPr>
                <w:rFonts w:hint="eastAsia" w:ascii="宋体" w:hAnsi="宋体" w:eastAsia="宋体" w:cs="宋体"/>
                <w:bCs/>
                <w:sz w:val="24"/>
                <w:szCs w:val="24"/>
              </w:rPr>
            </w:pPr>
            <w:r>
              <w:rPr>
                <w:rFonts w:hint="eastAsia" w:ascii="宋体" w:hAnsi="宋体" w:eastAsia="宋体" w:cs="宋体"/>
                <w:bCs/>
                <w:sz w:val="24"/>
                <w:szCs w:val="24"/>
              </w:rPr>
              <w:t>名称</w:t>
            </w:r>
          </w:p>
        </w:tc>
        <w:tc>
          <w:tcPr>
            <w:tcW w:w="509" w:type="pct"/>
            <w:tcBorders>
              <w:top w:val="single" w:color="000000" w:sz="2" w:space="0"/>
              <w:bottom w:val="single" w:color="000000" w:sz="2" w:space="0"/>
            </w:tcBorders>
            <w:vAlign w:val="center"/>
          </w:tcPr>
          <w:p w14:paraId="2528D87C">
            <w:pPr>
              <w:adjustRightInd w:val="0"/>
              <w:snapToGrid w:val="0"/>
              <w:spacing w:line="400" w:lineRule="exact"/>
              <w:jc w:val="center"/>
              <w:rPr>
                <w:rFonts w:hint="eastAsia" w:ascii="宋体" w:hAnsi="宋体" w:eastAsia="宋体" w:cs="宋体"/>
                <w:bCs/>
                <w:sz w:val="24"/>
                <w:szCs w:val="24"/>
              </w:rPr>
            </w:pPr>
            <w:r>
              <w:rPr>
                <w:rFonts w:hint="eastAsia" w:ascii="宋体" w:hAnsi="宋体" w:eastAsia="宋体" w:cs="宋体"/>
                <w:bCs/>
                <w:sz w:val="24"/>
                <w:szCs w:val="24"/>
              </w:rPr>
              <w:t>数量</w:t>
            </w:r>
          </w:p>
        </w:tc>
        <w:tc>
          <w:tcPr>
            <w:tcW w:w="388" w:type="pct"/>
            <w:tcBorders>
              <w:top w:val="single" w:color="000000" w:sz="2" w:space="0"/>
              <w:bottom w:val="single" w:color="000000" w:sz="2" w:space="0"/>
            </w:tcBorders>
            <w:vAlign w:val="center"/>
          </w:tcPr>
          <w:p w14:paraId="1256C8FC">
            <w:pPr>
              <w:adjustRightInd w:val="0"/>
              <w:snapToGrid w:val="0"/>
              <w:spacing w:line="400" w:lineRule="exact"/>
              <w:jc w:val="center"/>
              <w:rPr>
                <w:rFonts w:hint="eastAsia" w:ascii="宋体" w:hAnsi="宋体" w:eastAsia="宋体" w:cs="宋体"/>
                <w:bCs/>
                <w:sz w:val="24"/>
                <w:szCs w:val="24"/>
              </w:rPr>
            </w:pPr>
            <w:r>
              <w:rPr>
                <w:rFonts w:hint="eastAsia" w:ascii="宋体" w:hAnsi="宋体" w:eastAsia="宋体" w:cs="宋体"/>
                <w:bCs/>
                <w:sz w:val="24"/>
                <w:szCs w:val="24"/>
              </w:rPr>
              <w:t>单位</w:t>
            </w:r>
          </w:p>
        </w:tc>
        <w:tc>
          <w:tcPr>
            <w:tcW w:w="708" w:type="pct"/>
            <w:tcBorders>
              <w:top w:val="single" w:color="000000" w:sz="2" w:space="0"/>
              <w:bottom w:val="single" w:color="000000" w:sz="2" w:space="0"/>
            </w:tcBorders>
            <w:vAlign w:val="center"/>
          </w:tcPr>
          <w:p w14:paraId="0003C1D5">
            <w:pPr>
              <w:adjustRightInd w:val="0"/>
              <w:snapToGrid w:val="0"/>
              <w:spacing w:line="400" w:lineRule="exact"/>
              <w:jc w:val="center"/>
              <w:rPr>
                <w:rFonts w:hint="eastAsia" w:ascii="宋体" w:hAnsi="宋体" w:eastAsia="宋体" w:cs="宋体"/>
                <w:bCs/>
                <w:sz w:val="24"/>
                <w:szCs w:val="24"/>
              </w:rPr>
            </w:pPr>
            <w:r>
              <w:rPr>
                <w:rFonts w:hint="eastAsia" w:ascii="宋体" w:hAnsi="宋体" w:eastAsia="宋体" w:cs="宋体"/>
                <w:bCs/>
                <w:sz w:val="24"/>
                <w:szCs w:val="24"/>
              </w:rPr>
              <w:t>产品类型</w:t>
            </w:r>
          </w:p>
        </w:tc>
        <w:tc>
          <w:tcPr>
            <w:tcW w:w="666" w:type="pct"/>
            <w:tcBorders>
              <w:top w:val="single" w:color="000000" w:sz="2" w:space="0"/>
              <w:bottom w:val="single" w:color="000000" w:sz="2" w:space="0"/>
            </w:tcBorders>
            <w:vAlign w:val="center"/>
          </w:tcPr>
          <w:p w14:paraId="3BCE4B65">
            <w:pPr>
              <w:adjustRightInd w:val="0"/>
              <w:snapToGrid w:val="0"/>
              <w:spacing w:line="400" w:lineRule="exact"/>
              <w:jc w:val="center"/>
              <w:rPr>
                <w:rFonts w:hint="eastAsia" w:ascii="宋体" w:hAnsi="宋体" w:eastAsia="宋体" w:cs="宋体"/>
                <w:bCs/>
                <w:sz w:val="24"/>
                <w:szCs w:val="24"/>
              </w:rPr>
            </w:pPr>
            <w:r>
              <w:rPr>
                <w:rFonts w:hint="eastAsia" w:ascii="宋体" w:hAnsi="宋体" w:eastAsia="宋体" w:cs="宋体"/>
                <w:bCs/>
                <w:sz w:val="24"/>
                <w:szCs w:val="24"/>
              </w:rPr>
              <w:t>所属行业类型</w:t>
            </w:r>
          </w:p>
        </w:tc>
        <w:tc>
          <w:tcPr>
            <w:tcW w:w="652" w:type="pct"/>
            <w:tcBorders>
              <w:top w:val="single" w:color="000000" w:sz="2" w:space="0"/>
              <w:bottom w:val="single" w:color="000000" w:sz="2" w:space="0"/>
              <w:right w:val="single" w:color="auto" w:sz="4" w:space="0"/>
            </w:tcBorders>
            <w:vAlign w:val="center"/>
          </w:tcPr>
          <w:p w14:paraId="2066A89D">
            <w:pPr>
              <w:adjustRightInd w:val="0"/>
              <w:snapToGrid w:val="0"/>
              <w:spacing w:line="400" w:lineRule="exact"/>
              <w:jc w:val="center"/>
              <w:rPr>
                <w:rFonts w:hint="eastAsia" w:ascii="宋体" w:hAnsi="宋体" w:eastAsia="宋体" w:cs="宋体"/>
                <w:bCs/>
                <w:sz w:val="24"/>
                <w:szCs w:val="24"/>
              </w:rPr>
            </w:pPr>
            <w:r>
              <w:rPr>
                <w:rFonts w:hint="eastAsia" w:ascii="宋体" w:hAnsi="宋体" w:eastAsia="宋体" w:cs="宋体"/>
                <w:bCs/>
                <w:sz w:val="24"/>
                <w:szCs w:val="24"/>
              </w:rPr>
              <w:t>产品属性</w:t>
            </w:r>
          </w:p>
        </w:tc>
        <w:tc>
          <w:tcPr>
            <w:tcW w:w="526" w:type="pct"/>
            <w:tcBorders>
              <w:top w:val="single" w:color="000000" w:sz="2" w:space="0"/>
              <w:left w:val="single" w:color="auto" w:sz="4" w:space="0"/>
              <w:bottom w:val="single" w:color="000000" w:sz="2" w:space="0"/>
            </w:tcBorders>
            <w:vAlign w:val="center"/>
          </w:tcPr>
          <w:p w14:paraId="7C3E042A">
            <w:pPr>
              <w:adjustRightInd w:val="0"/>
              <w:snapToGrid w:val="0"/>
              <w:spacing w:line="400" w:lineRule="exact"/>
              <w:jc w:val="center"/>
              <w:rPr>
                <w:rFonts w:hint="eastAsia" w:ascii="宋体" w:hAnsi="宋体" w:eastAsia="宋体" w:cs="宋体"/>
                <w:bCs/>
                <w:sz w:val="24"/>
                <w:szCs w:val="24"/>
              </w:rPr>
            </w:pPr>
            <w:r>
              <w:rPr>
                <w:rFonts w:hint="eastAsia" w:ascii="宋体" w:hAnsi="宋体" w:eastAsia="宋体" w:cs="宋体"/>
                <w:bCs/>
                <w:sz w:val="24"/>
                <w:szCs w:val="24"/>
              </w:rPr>
              <w:t>备注</w:t>
            </w:r>
          </w:p>
        </w:tc>
      </w:tr>
      <w:tr w14:paraId="0F2E09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4" w:hRule="atLeast"/>
        </w:trPr>
        <w:tc>
          <w:tcPr>
            <w:tcW w:w="367" w:type="pct"/>
            <w:tcBorders>
              <w:top w:val="single" w:color="000000" w:sz="2" w:space="0"/>
              <w:bottom w:val="single" w:color="000000" w:sz="2" w:space="0"/>
            </w:tcBorders>
            <w:vAlign w:val="center"/>
          </w:tcPr>
          <w:p w14:paraId="23DE1FD0">
            <w:pPr>
              <w:adjustRightInd w:val="0"/>
              <w:snapToGrid w:val="0"/>
              <w:spacing w:line="400" w:lineRule="exact"/>
              <w:jc w:val="center"/>
              <w:rPr>
                <w:rFonts w:hint="eastAsia" w:ascii="宋体" w:hAnsi="宋体" w:eastAsia="宋体" w:cs="宋体"/>
                <w:bCs/>
                <w:sz w:val="24"/>
                <w:szCs w:val="24"/>
              </w:rPr>
            </w:pPr>
            <w:r>
              <w:rPr>
                <w:rFonts w:hint="eastAsia" w:ascii="宋体" w:hAnsi="宋体" w:eastAsia="宋体" w:cs="宋体"/>
                <w:bCs/>
                <w:sz w:val="24"/>
                <w:szCs w:val="24"/>
              </w:rPr>
              <w:t>1</w:t>
            </w:r>
          </w:p>
        </w:tc>
        <w:tc>
          <w:tcPr>
            <w:tcW w:w="1182" w:type="pct"/>
            <w:tcBorders>
              <w:top w:val="single" w:color="000000" w:sz="2" w:space="0"/>
              <w:bottom w:val="single" w:color="000000" w:sz="2" w:space="0"/>
            </w:tcBorders>
            <w:vAlign w:val="center"/>
          </w:tcPr>
          <w:p w14:paraId="1E902998">
            <w:pPr>
              <w:adjustRightInd w:val="0"/>
              <w:snapToGrid w:val="0"/>
              <w:spacing w:line="400" w:lineRule="exact"/>
              <w:jc w:val="center"/>
              <w:rPr>
                <w:rFonts w:hint="eastAsia" w:ascii="宋体" w:hAnsi="宋体" w:eastAsia="宋体" w:cs="宋体"/>
                <w:sz w:val="24"/>
                <w:szCs w:val="24"/>
              </w:rPr>
            </w:pPr>
            <w:r>
              <w:rPr>
                <w:rFonts w:hint="eastAsia" w:ascii="宋体" w:hAnsi="宋体" w:eastAsia="宋体" w:cs="宋体"/>
                <w:sz w:val="24"/>
                <w:szCs w:val="24"/>
              </w:rPr>
              <w:t>API安全系统</w:t>
            </w:r>
          </w:p>
        </w:tc>
        <w:tc>
          <w:tcPr>
            <w:tcW w:w="509" w:type="pct"/>
            <w:tcBorders>
              <w:top w:val="single" w:color="000000" w:sz="2" w:space="0"/>
              <w:bottom w:val="single" w:color="000000" w:sz="2" w:space="0"/>
            </w:tcBorders>
            <w:vAlign w:val="center"/>
          </w:tcPr>
          <w:p w14:paraId="1682DA40">
            <w:pPr>
              <w:adjustRightInd w:val="0"/>
              <w:snapToGrid w:val="0"/>
              <w:spacing w:line="400" w:lineRule="exact"/>
              <w:jc w:val="center"/>
              <w:rPr>
                <w:rFonts w:hint="eastAsia" w:ascii="宋体" w:hAnsi="宋体" w:eastAsia="宋体" w:cs="宋体"/>
                <w:bCs/>
                <w:sz w:val="24"/>
                <w:szCs w:val="24"/>
              </w:rPr>
            </w:pPr>
            <w:r>
              <w:rPr>
                <w:rFonts w:hint="eastAsia" w:ascii="宋体" w:hAnsi="宋体" w:eastAsia="宋体" w:cs="宋体"/>
                <w:bCs/>
                <w:sz w:val="24"/>
                <w:szCs w:val="24"/>
              </w:rPr>
              <w:t>1</w:t>
            </w:r>
          </w:p>
        </w:tc>
        <w:tc>
          <w:tcPr>
            <w:tcW w:w="388" w:type="pct"/>
            <w:tcBorders>
              <w:top w:val="single" w:color="000000" w:sz="2" w:space="0"/>
              <w:bottom w:val="single" w:color="000000" w:sz="2" w:space="0"/>
            </w:tcBorders>
            <w:vAlign w:val="center"/>
          </w:tcPr>
          <w:p w14:paraId="46E155A8">
            <w:pPr>
              <w:adjustRightInd w:val="0"/>
              <w:snapToGrid w:val="0"/>
              <w:spacing w:line="400" w:lineRule="exact"/>
              <w:jc w:val="center"/>
              <w:rPr>
                <w:rFonts w:hint="eastAsia" w:ascii="宋体" w:hAnsi="宋体" w:eastAsia="宋体" w:cs="宋体"/>
                <w:bCs/>
                <w:sz w:val="24"/>
                <w:szCs w:val="24"/>
              </w:rPr>
            </w:pPr>
            <w:r>
              <w:rPr>
                <w:rFonts w:hint="eastAsia" w:ascii="宋体" w:hAnsi="宋体" w:eastAsia="宋体" w:cs="宋体"/>
                <w:bCs/>
                <w:sz w:val="24"/>
                <w:szCs w:val="24"/>
              </w:rPr>
              <w:t>套</w:t>
            </w:r>
          </w:p>
        </w:tc>
        <w:tc>
          <w:tcPr>
            <w:tcW w:w="708" w:type="pct"/>
            <w:tcBorders>
              <w:top w:val="single" w:color="000000" w:sz="2" w:space="0"/>
              <w:bottom w:val="single" w:color="000000" w:sz="2" w:space="0"/>
            </w:tcBorders>
            <w:vAlign w:val="center"/>
          </w:tcPr>
          <w:p w14:paraId="4D4360FF">
            <w:pPr>
              <w:adjustRightInd w:val="0"/>
              <w:snapToGrid w:val="0"/>
              <w:spacing w:line="400" w:lineRule="exact"/>
              <w:jc w:val="center"/>
              <w:rPr>
                <w:rFonts w:hint="eastAsia" w:ascii="宋体" w:hAnsi="宋体" w:eastAsia="宋体" w:cs="宋体"/>
                <w:bCs/>
                <w:sz w:val="24"/>
                <w:szCs w:val="24"/>
              </w:rPr>
            </w:pPr>
            <w:r>
              <w:rPr>
                <w:rFonts w:hint="eastAsia" w:ascii="宋体" w:hAnsi="宋体" w:eastAsia="宋体" w:cs="宋体"/>
                <w:bCs/>
                <w:sz w:val="24"/>
                <w:szCs w:val="24"/>
              </w:rPr>
              <w:t>核心产品</w:t>
            </w:r>
          </w:p>
        </w:tc>
        <w:tc>
          <w:tcPr>
            <w:tcW w:w="666" w:type="pct"/>
            <w:tcBorders>
              <w:top w:val="single" w:color="000000" w:sz="2" w:space="0"/>
              <w:bottom w:val="single" w:color="000000" w:sz="2" w:space="0"/>
            </w:tcBorders>
            <w:vAlign w:val="center"/>
          </w:tcPr>
          <w:p w14:paraId="5C70F2A9">
            <w:pPr>
              <w:adjustRightInd w:val="0"/>
              <w:snapToGrid w:val="0"/>
              <w:spacing w:line="400" w:lineRule="exact"/>
              <w:jc w:val="center"/>
              <w:rPr>
                <w:rFonts w:hint="eastAsia" w:ascii="宋体" w:hAnsi="宋体" w:eastAsia="宋体" w:cs="宋体"/>
                <w:bCs/>
                <w:sz w:val="24"/>
                <w:szCs w:val="24"/>
              </w:rPr>
            </w:pPr>
            <w:r>
              <w:rPr>
                <w:rFonts w:hint="eastAsia" w:ascii="宋体" w:hAnsi="宋体" w:eastAsia="宋体" w:cs="宋体"/>
                <w:bCs/>
                <w:sz w:val="24"/>
                <w:szCs w:val="24"/>
              </w:rPr>
              <w:t>工业</w:t>
            </w:r>
          </w:p>
        </w:tc>
        <w:tc>
          <w:tcPr>
            <w:tcW w:w="652" w:type="pct"/>
            <w:tcBorders>
              <w:top w:val="single" w:color="000000" w:sz="2" w:space="0"/>
              <w:bottom w:val="single" w:color="000000" w:sz="2" w:space="0"/>
              <w:right w:val="single" w:color="auto" w:sz="4" w:space="0"/>
            </w:tcBorders>
            <w:vAlign w:val="center"/>
          </w:tcPr>
          <w:p w14:paraId="3002337E">
            <w:pPr>
              <w:adjustRightInd w:val="0"/>
              <w:snapToGrid w:val="0"/>
              <w:spacing w:line="400" w:lineRule="exact"/>
              <w:jc w:val="center"/>
              <w:rPr>
                <w:rFonts w:hint="eastAsia" w:ascii="宋体" w:hAnsi="宋体" w:eastAsia="宋体" w:cs="宋体"/>
                <w:bCs/>
                <w:sz w:val="24"/>
                <w:szCs w:val="24"/>
              </w:rPr>
            </w:pPr>
            <w:r>
              <w:rPr>
                <w:rFonts w:hint="eastAsia" w:ascii="宋体" w:hAnsi="宋体" w:eastAsia="宋体" w:cs="宋体"/>
                <w:bCs/>
                <w:sz w:val="24"/>
                <w:szCs w:val="24"/>
              </w:rPr>
              <w:t>货物</w:t>
            </w:r>
          </w:p>
        </w:tc>
        <w:tc>
          <w:tcPr>
            <w:tcW w:w="526" w:type="pct"/>
            <w:tcBorders>
              <w:top w:val="single" w:color="000000" w:sz="2" w:space="0"/>
              <w:left w:val="single" w:color="auto" w:sz="4" w:space="0"/>
              <w:bottom w:val="single" w:color="000000" w:sz="2" w:space="0"/>
            </w:tcBorders>
            <w:vAlign w:val="center"/>
          </w:tcPr>
          <w:p w14:paraId="4FDD84A4">
            <w:pPr>
              <w:adjustRightInd w:val="0"/>
              <w:snapToGrid w:val="0"/>
              <w:spacing w:line="400" w:lineRule="exact"/>
              <w:jc w:val="center"/>
              <w:rPr>
                <w:rFonts w:hint="eastAsia" w:ascii="宋体" w:hAnsi="宋体" w:eastAsia="宋体" w:cs="宋体"/>
                <w:bCs/>
                <w:sz w:val="24"/>
                <w:szCs w:val="24"/>
              </w:rPr>
            </w:pPr>
            <w:r>
              <w:rPr>
                <w:rFonts w:hint="eastAsia" w:ascii="宋体" w:hAnsi="宋体" w:eastAsia="宋体" w:cs="宋体"/>
                <w:bCs/>
                <w:sz w:val="24"/>
                <w:szCs w:val="24"/>
              </w:rPr>
              <w:t>包含API</w:t>
            </w:r>
            <w:r>
              <w:rPr>
                <w:rFonts w:hint="eastAsia" w:ascii="宋体" w:hAnsi="宋体" w:eastAsia="宋体" w:cs="宋体"/>
                <w:bCs/>
                <w:sz w:val="24"/>
                <w:szCs w:val="24"/>
              </w:rPr>
              <w:tab/>
            </w:r>
            <w:r>
              <w:rPr>
                <w:rFonts w:hint="eastAsia" w:ascii="宋体" w:hAnsi="宋体" w:eastAsia="宋体" w:cs="宋体"/>
                <w:bCs/>
                <w:sz w:val="24"/>
                <w:szCs w:val="24"/>
              </w:rPr>
              <w:t>安全审计系统和API安全网关系统</w:t>
            </w:r>
          </w:p>
        </w:tc>
      </w:tr>
    </w:tbl>
    <w:p w14:paraId="286C86D8">
      <w:pPr>
        <w:adjustRightInd w:val="0"/>
        <w:snapToGrid w:val="0"/>
        <w:spacing w:line="400" w:lineRule="exact"/>
        <w:ind w:firstLine="480" w:firstLineChars="200"/>
        <w:rPr>
          <w:rFonts w:hint="eastAsia" w:ascii="宋体" w:hAnsi="宋体" w:eastAsia="宋体" w:cs="宋体"/>
          <w:b/>
          <w:sz w:val="24"/>
          <w:szCs w:val="24"/>
        </w:rPr>
      </w:pPr>
      <w:r>
        <w:rPr>
          <w:rFonts w:hint="eastAsia" w:ascii="宋体" w:hAnsi="宋体" w:eastAsia="宋体" w:cs="宋体"/>
          <w:sz w:val="24"/>
          <w:szCs w:val="24"/>
        </w:rPr>
        <w:t>四、拟采购标的需要满足的技术、商务要求</w:t>
      </w:r>
    </w:p>
    <w:p w14:paraId="06124A03">
      <w:pPr>
        <w:adjustRightInd w:val="0"/>
        <w:snapToGrid w:val="0"/>
        <w:spacing w:line="40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（一）技术要求</w:t>
      </w:r>
    </w:p>
    <w:p w14:paraId="07CD6360">
      <w:pPr>
        <w:adjustRightInd w:val="0"/>
        <w:snapToGrid w:val="0"/>
        <w:spacing w:line="400" w:lineRule="exact"/>
        <w:ind w:firstLine="480" w:firstLineChars="200"/>
        <w:rPr>
          <w:rFonts w:hint="eastAsia" w:ascii="宋体" w:hAnsi="宋体" w:eastAsia="宋体" w:cs="宋体"/>
        </w:rPr>
      </w:pPr>
      <w:r>
        <w:rPr>
          <w:rFonts w:hint="eastAsia" w:ascii="宋体" w:hAnsi="宋体" w:eastAsia="宋体" w:cs="宋体"/>
          <w:bCs/>
          <w:sz w:val="24"/>
          <w:szCs w:val="24"/>
        </w:rPr>
        <w:t>1.产品技术指标</w:t>
      </w:r>
    </w:p>
    <w:p w14:paraId="4FFD1A5C">
      <w:pPr>
        <w:adjustRightInd w:val="0"/>
        <w:snapToGrid w:val="0"/>
        <w:spacing w:line="400" w:lineRule="exact"/>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API安全审计系统</w:t>
      </w:r>
    </w:p>
    <w:tbl>
      <w:tblPr>
        <w:tblStyle w:val="28"/>
        <w:tblW w:w="4943" w:type="pct"/>
        <w:tblInd w:w="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9"/>
        <w:gridCol w:w="7611"/>
      </w:tblGrid>
      <w:tr w14:paraId="30CE9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24" w:type="pct"/>
            <w:tcBorders>
              <w:top w:val="single" w:color="auto" w:sz="4" w:space="0"/>
              <w:left w:val="single" w:color="auto" w:sz="4" w:space="0"/>
              <w:bottom w:val="single" w:color="auto" w:sz="4" w:space="0"/>
              <w:right w:val="single" w:color="auto" w:sz="4" w:space="0"/>
            </w:tcBorders>
            <w:vAlign w:val="center"/>
          </w:tcPr>
          <w:p w14:paraId="2D422FCF">
            <w:pPr>
              <w:spacing w:line="400" w:lineRule="exact"/>
              <w:jc w:val="center"/>
              <w:rPr>
                <w:rFonts w:hint="eastAsia" w:ascii="宋体" w:hAnsi="宋体" w:eastAsia="宋体" w:cs="宋体"/>
                <w:b/>
                <w:bCs/>
                <w:sz w:val="24"/>
                <w:szCs w:val="24"/>
              </w:rPr>
            </w:pPr>
            <w:r>
              <w:rPr>
                <w:rFonts w:hint="eastAsia" w:ascii="宋体" w:hAnsi="宋体" w:eastAsia="宋体" w:cs="宋体"/>
                <w:b/>
                <w:bCs/>
                <w:sz w:val="24"/>
                <w:szCs w:val="24"/>
                <w:lang w:bidi="ar"/>
              </w:rPr>
              <w:t>技术指标</w:t>
            </w:r>
          </w:p>
        </w:tc>
        <w:tc>
          <w:tcPr>
            <w:tcW w:w="4275" w:type="pct"/>
            <w:tcBorders>
              <w:top w:val="single" w:color="auto" w:sz="4" w:space="0"/>
              <w:left w:val="single" w:color="auto" w:sz="4" w:space="0"/>
              <w:bottom w:val="single" w:color="auto" w:sz="4" w:space="0"/>
              <w:right w:val="single" w:color="auto" w:sz="4" w:space="0"/>
            </w:tcBorders>
            <w:vAlign w:val="center"/>
          </w:tcPr>
          <w:p w14:paraId="26786687">
            <w:pPr>
              <w:spacing w:line="400" w:lineRule="exact"/>
              <w:jc w:val="center"/>
              <w:rPr>
                <w:rFonts w:hint="eastAsia" w:ascii="宋体" w:hAnsi="宋体" w:eastAsia="宋体" w:cs="宋体"/>
                <w:b/>
                <w:bCs/>
                <w:sz w:val="24"/>
                <w:szCs w:val="24"/>
              </w:rPr>
            </w:pPr>
            <w:r>
              <w:rPr>
                <w:rFonts w:hint="eastAsia" w:ascii="宋体" w:hAnsi="宋体" w:eastAsia="宋体" w:cs="宋体"/>
                <w:b/>
                <w:bCs/>
                <w:sz w:val="24"/>
                <w:szCs w:val="24"/>
                <w:lang w:bidi="ar"/>
              </w:rPr>
              <w:t>指标参数</w:t>
            </w:r>
          </w:p>
        </w:tc>
      </w:tr>
      <w:tr w14:paraId="1AB18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24" w:type="pct"/>
            <w:tcBorders>
              <w:top w:val="single" w:color="auto" w:sz="4" w:space="0"/>
              <w:left w:val="single" w:color="auto" w:sz="4" w:space="0"/>
              <w:bottom w:val="single" w:color="auto" w:sz="4" w:space="0"/>
              <w:right w:val="single" w:color="auto" w:sz="4" w:space="0"/>
            </w:tcBorders>
            <w:vAlign w:val="center"/>
          </w:tcPr>
          <w:p w14:paraId="17C524E4">
            <w:pPr>
              <w:spacing w:line="400" w:lineRule="exact"/>
              <w:jc w:val="center"/>
              <w:rPr>
                <w:rFonts w:hint="eastAsia" w:ascii="宋体" w:hAnsi="宋体" w:eastAsia="宋体" w:cs="宋体"/>
                <w:sz w:val="24"/>
                <w:szCs w:val="24"/>
              </w:rPr>
            </w:pPr>
            <w:r>
              <w:rPr>
                <w:rFonts w:hint="eastAsia" w:ascii="宋体" w:hAnsi="宋体" w:eastAsia="宋体" w:cs="宋体"/>
                <w:sz w:val="24"/>
                <w:szCs w:val="24"/>
                <w:lang w:bidi="ar"/>
              </w:rPr>
              <w:t>基本要求</w:t>
            </w:r>
          </w:p>
        </w:tc>
        <w:tc>
          <w:tcPr>
            <w:tcW w:w="4275" w:type="pct"/>
            <w:tcBorders>
              <w:top w:val="single" w:color="auto" w:sz="4" w:space="0"/>
              <w:left w:val="single" w:color="auto" w:sz="4" w:space="0"/>
              <w:bottom w:val="single" w:color="auto" w:sz="4" w:space="0"/>
              <w:right w:val="single" w:color="auto" w:sz="4" w:space="0"/>
            </w:tcBorders>
            <w:shd w:val="clear" w:color="auto" w:fill="FFFFFF"/>
            <w:vAlign w:val="center"/>
          </w:tcPr>
          <w:p w14:paraId="75A0BC9B">
            <w:pPr>
              <w:spacing w:line="400" w:lineRule="exact"/>
              <w:rPr>
                <w:rFonts w:hint="eastAsia" w:ascii="宋体" w:hAnsi="宋体" w:eastAsia="宋体" w:cs="宋体"/>
                <w:sz w:val="24"/>
                <w:szCs w:val="24"/>
              </w:rPr>
            </w:pPr>
            <w:r>
              <w:rPr>
                <w:rFonts w:hint="eastAsia" w:ascii="宋体" w:hAnsi="宋体" w:eastAsia="宋体" w:cs="宋体"/>
                <w:sz w:val="24"/>
                <w:szCs w:val="24"/>
                <w:lang w:bidi="ar"/>
              </w:rPr>
              <w:t>★软件一套，整机吞吐量≥1Gbps，接入agent数量无限制。</w:t>
            </w:r>
          </w:p>
        </w:tc>
      </w:tr>
      <w:tr w14:paraId="0C804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4" w:type="pct"/>
            <w:vMerge w:val="restart"/>
            <w:tcBorders>
              <w:top w:val="nil"/>
              <w:left w:val="single" w:color="auto" w:sz="4" w:space="0"/>
              <w:bottom w:val="single" w:color="auto" w:sz="4" w:space="0"/>
              <w:right w:val="single" w:color="auto" w:sz="4" w:space="0"/>
            </w:tcBorders>
            <w:vAlign w:val="center"/>
          </w:tcPr>
          <w:p w14:paraId="785097E8">
            <w:pPr>
              <w:spacing w:line="400" w:lineRule="exact"/>
              <w:jc w:val="center"/>
              <w:rPr>
                <w:rFonts w:hint="eastAsia" w:ascii="宋体" w:hAnsi="宋体" w:eastAsia="宋体" w:cs="宋体"/>
                <w:sz w:val="24"/>
                <w:szCs w:val="24"/>
              </w:rPr>
            </w:pPr>
            <w:r>
              <w:rPr>
                <w:rFonts w:hint="eastAsia" w:ascii="宋体" w:hAnsi="宋体" w:eastAsia="宋体" w:cs="宋体"/>
                <w:sz w:val="24"/>
                <w:szCs w:val="24"/>
                <w:lang w:bidi="ar"/>
              </w:rPr>
              <w:t>流量采集</w:t>
            </w:r>
          </w:p>
        </w:tc>
        <w:tc>
          <w:tcPr>
            <w:tcW w:w="4275" w:type="pct"/>
            <w:tcBorders>
              <w:top w:val="single" w:color="auto" w:sz="4" w:space="0"/>
              <w:left w:val="single" w:color="auto" w:sz="4" w:space="0"/>
              <w:bottom w:val="single" w:color="auto" w:sz="4" w:space="0"/>
              <w:right w:val="single" w:color="auto" w:sz="4" w:space="0"/>
            </w:tcBorders>
            <w:vAlign w:val="center"/>
          </w:tcPr>
          <w:p w14:paraId="7F7D7BC2">
            <w:pPr>
              <w:spacing w:line="400" w:lineRule="exact"/>
              <w:rPr>
                <w:rFonts w:hint="eastAsia" w:ascii="宋体" w:hAnsi="宋体" w:eastAsia="宋体" w:cs="宋体"/>
                <w:kern w:val="0"/>
                <w:sz w:val="24"/>
                <w:szCs w:val="24"/>
              </w:rPr>
            </w:pPr>
            <w:r>
              <w:rPr>
                <w:rFonts w:hint="eastAsia" w:ascii="宋体" w:hAnsi="宋体" w:eastAsia="宋体" w:cs="宋体"/>
                <w:color w:val="000000"/>
                <w:kern w:val="0"/>
                <w:sz w:val="24"/>
                <w:szCs w:val="24"/>
                <w:lang w:bidi="ar"/>
              </w:rPr>
              <w:t>Agent支持Linux类操作系统，并支持X86和ARM架构硬件部署；Agent支持Windows操作系统部署。</w:t>
            </w:r>
          </w:p>
        </w:tc>
      </w:tr>
      <w:tr w14:paraId="2AFBE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4" w:type="pct"/>
            <w:vMerge w:val="continue"/>
            <w:tcBorders>
              <w:top w:val="nil"/>
              <w:left w:val="single" w:color="auto" w:sz="4" w:space="0"/>
              <w:bottom w:val="single" w:color="auto" w:sz="4" w:space="0"/>
              <w:right w:val="single" w:color="auto" w:sz="4" w:space="0"/>
            </w:tcBorders>
            <w:vAlign w:val="center"/>
          </w:tcPr>
          <w:p w14:paraId="358CEC44">
            <w:pPr>
              <w:spacing w:line="400" w:lineRule="exact"/>
              <w:jc w:val="center"/>
              <w:rPr>
                <w:rFonts w:hint="eastAsia" w:ascii="宋体" w:hAnsi="宋体" w:eastAsia="宋体" w:cs="宋体"/>
                <w:sz w:val="24"/>
                <w:szCs w:val="24"/>
              </w:rPr>
            </w:pPr>
          </w:p>
        </w:tc>
        <w:tc>
          <w:tcPr>
            <w:tcW w:w="4275" w:type="pct"/>
            <w:tcBorders>
              <w:top w:val="single" w:color="auto" w:sz="4" w:space="0"/>
              <w:left w:val="single" w:color="auto" w:sz="4" w:space="0"/>
              <w:bottom w:val="single" w:color="auto" w:sz="4" w:space="0"/>
              <w:right w:val="single" w:color="auto" w:sz="4" w:space="0"/>
            </w:tcBorders>
            <w:vAlign w:val="center"/>
          </w:tcPr>
          <w:p w14:paraId="2735ED53">
            <w:pPr>
              <w:spacing w:line="400" w:lineRule="exac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bidi="ar"/>
              </w:rPr>
              <w:t>支持Agent运行监控，监控内容包括CPU占用、内存占用、转发速率、丢包数量、磁盘读取、磁盘写入等，并可以依据时间范围进行展示。</w:t>
            </w:r>
          </w:p>
        </w:tc>
      </w:tr>
      <w:tr w14:paraId="6FF20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4" w:type="pct"/>
            <w:vMerge w:val="restart"/>
            <w:tcBorders>
              <w:top w:val="nil"/>
              <w:left w:val="single" w:color="auto" w:sz="4" w:space="0"/>
              <w:bottom w:val="single" w:color="auto" w:sz="4" w:space="0"/>
              <w:right w:val="single" w:color="auto" w:sz="4" w:space="0"/>
            </w:tcBorders>
            <w:vAlign w:val="center"/>
          </w:tcPr>
          <w:p w14:paraId="06A1C0D9">
            <w:pPr>
              <w:spacing w:line="400" w:lineRule="exact"/>
              <w:jc w:val="center"/>
              <w:rPr>
                <w:rFonts w:hint="eastAsia" w:ascii="宋体" w:hAnsi="宋体" w:eastAsia="宋体" w:cs="宋体"/>
                <w:sz w:val="24"/>
                <w:szCs w:val="24"/>
              </w:rPr>
            </w:pPr>
            <w:r>
              <w:rPr>
                <w:rFonts w:hint="eastAsia" w:ascii="宋体" w:hAnsi="宋体" w:eastAsia="宋体" w:cs="宋体"/>
                <w:sz w:val="24"/>
                <w:szCs w:val="24"/>
                <w:lang w:bidi="ar"/>
              </w:rPr>
              <w:t>流量解析</w:t>
            </w:r>
          </w:p>
        </w:tc>
        <w:tc>
          <w:tcPr>
            <w:tcW w:w="4275" w:type="pct"/>
            <w:tcBorders>
              <w:top w:val="single" w:color="auto" w:sz="4" w:space="0"/>
              <w:left w:val="single" w:color="auto" w:sz="4" w:space="0"/>
              <w:bottom w:val="single" w:color="auto" w:sz="4" w:space="0"/>
              <w:right w:val="single" w:color="auto" w:sz="4" w:space="0"/>
            </w:tcBorders>
            <w:vAlign w:val="center"/>
          </w:tcPr>
          <w:p w14:paraId="2E098F5F">
            <w:pPr>
              <w:spacing w:line="400" w:lineRule="exact"/>
              <w:rPr>
                <w:rFonts w:hint="eastAsia" w:ascii="宋体" w:hAnsi="宋体" w:eastAsia="宋体" w:cs="宋体"/>
                <w:bCs/>
                <w:color w:val="000000"/>
                <w:kern w:val="0"/>
                <w:sz w:val="24"/>
                <w:szCs w:val="24"/>
              </w:rPr>
            </w:pPr>
            <w:r>
              <w:rPr>
                <w:rFonts w:hint="eastAsia" w:ascii="宋体" w:hAnsi="宋体" w:eastAsia="宋体" w:cs="宋体"/>
                <w:color w:val="000000"/>
                <w:kern w:val="0"/>
                <w:sz w:val="24"/>
                <w:szCs w:val="24"/>
                <w:lang w:bidi="ar"/>
              </w:rPr>
              <w:t>支持解析Restful、GraphQL、SOAP、JSON-RPC（以HTTP协议为传输载体）、XML-RPC、WebSocket协议的API流量。</w:t>
            </w:r>
          </w:p>
        </w:tc>
      </w:tr>
      <w:tr w14:paraId="2A28D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4" w:type="pct"/>
            <w:vMerge w:val="continue"/>
            <w:tcBorders>
              <w:top w:val="nil"/>
              <w:left w:val="single" w:color="auto" w:sz="4" w:space="0"/>
              <w:bottom w:val="single" w:color="auto" w:sz="4" w:space="0"/>
              <w:right w:val="single" w:color="auto" w:sz="4" w:space="0"/>
            </w:tcBorders>
            <w:vAlign w:val="center"/>
          </w:tcPr>
          <w:p w14:paraId="2B6EE6D9">
            <w:pPr>
              <w:spacing w:line="400" w:lineRule="exact"/>
              <w:jc w:val="center"/>
              <w:rPr>
                <w:rFonts w:hint="eastAsia" w:ascii="宋体" w:hAnsi="宋体" w:eastAsia="宋体" w:cs="宋体"/>
                <w:sz w:val="24"/>
                <w:szCs w:val="24"/>
              </w:rPr>
            </w:pPr>
          </w:p>
        </w:tc>
        <w:tc>
          <w:tcPr>
            <w:tcW w:w="4275" w:type="pct"/>
            <w:tcBorders>
              <w:top w:val="single" w:color="auto" w:sz="4" w:space="0"/>
              <w:left w:val="single" w:color="auto" w:sz="4" w:space="0"/>
              <w:bottom w:val="single" w:color="auto" w:sz="4" w:space="0"/>
              <w:right w:val="single" w:color="auto" w:sz="4" w:space="0"/>
            </w:tcBorders>
            <w:vAlign w:val="center"/>
          </w:tcPr>
          <w:p w14:paraId="107DA87B">
            <w:pPr>
              <w:spacing w:line="400" w:lineRule="exact"/>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lang w:bidi="ar"/>
              </w:rPr>
              <w:t>支持对HTTP2.0协议进行审计，支持 VXLAN、GRE 的流量接入与解析。</w:t>
            </w:r>
          </w:p>
        </w:tc>
      </w:tr>
      <w:tr w14:paraId="5D5DE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4" w:type="pct"/>
            <w:vMerge w:val="continue"/>
            <w:tcBorders>
              <w:top w:val="nil"/>
              <w:left w:val="single" w:color="auto" w:sz="4" w:space="0"/>
              <w:bottom w:val="single" w:color="auto" w:sz="4" w:space="0"/>
              <w:right w:val="single" w:color="auto" w:sz="4" w:space="0"/>
            </w:tcBorders>
            <w:vAlign w:val="center"/>
          </w:tcPr>
          <w:p w14:paraId="2DFE9D62">
            <w:pPr>
              <w:spacing w:line="400" w:lineRule="exact"/>
              <w:jc w:val="center"/>
              <w:rPr>
                <w:rFonts w:hint="eastAsia" w:ascii="宋体" w:hAnsi="宋体" w:eastAsia="宋体" w:cs="宋体"/>
                <w:sz w:val="24"/>
                <w:szCs w:val="24"/>
              </w:rPr>
            </w:pPr>
          </w:p>
        </w:tc>
        <w:tc>
          <w:tcPr>
            <w:tcW w:w="4275" w:type="pct"/>
            <w:tcBorders>
              <w:top w:val="single" w:color="auto" w:sz="4" w:space="0"/>
              <w:left w:val="single" w:color="auto" w:sz="4" w:space="0"/>
              <w:bottom w:val="single" w:color="auto" w:sz="4" w:space="0"/>
              <w:right w:val="single" w:color="auto" w:sz="4" w:space="0"/>
            </w:tcBorders>
            <w:vAlign w:val="center"/>
          </w:tcPr>
          <w:p w14:paraId="30A898CA">
            <w:pPr>
              <w:spacing w:line="400" w:lineRule="exact"/>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lang w:bidi="ar"/>
              </w:rPr>
              <w:t>支持自动识别NAT IP，支持页面化配置NAT IP提取位置、提取优先级。</w:t>
            </w:r>
          </w:p>
        </w:tc>
      </w:tr>
      <w:tr w14:paraId="3C3A0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4" w:type="pct"/>
            <w:vMerge w:val="restart"/>
            <w:tcBorders>
              <w:top w:val="nil"/>
              <w:left w:val="single" w:color="auto" w:sz="4" w:space="0"/>
              <w:bottom w:val="single" w:color="auto" w:sz="4" w:space="0"/>
              <w:right w:val="single" w:color="auto" w:sz="4" w:space="0"/>
            </w:tcBorders>
            <w:vAlign w:val="center"/>
          </w:tcPr>
          <w:p w14:paraId="43365011">
            <w:pPr>
              <w:spacing w:line="400" w:lineRule="exact"/>
              <w:jc w:val="center"/>
              <w:rPr>
                <w:rFonts w:hint="eastAsia" w:ascii="宋体" w:hAnsi="宋体" w:eastAsia="宋体" w:cs="宋体"/>
                <w:sz w:val="24"/>
                <w:szCs w:val="24"/>
              </w:rPr>
            </w:pPr>
            <w:r>
              <w:rPr>
                <w:rFonts w:hint="eastAsia" w:ascii="宋体" w:hAnsi="宋体" w:eastAsia="宋体" w:cs="宋体"/>
                <w:sz w:val="24"/>
                <w:szCs w:val="24"/>
                <w:lang w:bidi="ar"/>
              </w:rPr>
              <w:t>应用资产识别</w:t>
            </w:r>
          </w:p>
        </w:tc>
        <w:tc>
          <w:tcPr>
            <w:tcW w:w="4275" w:type="pct"/>
            <w:tcBorders>
              <w:top w:val="single" w:color="auto" w:sz="4" w:space="0"/>
              <w:left w:val="single" w:color="auto" w:sz="4" w:space="0"/>
              <w:bottom w:val="single" w:color="auto" w:sz="4" w:space="0"/>
              <w:right w:val="single" w:color="auto" w:sz="4" w:space="0"/>
            </w:tcBorders>
            <w:vAlign w:val="center"/>
          </w:tcPr>
          <w:p w14:paraId="6470625D">
            <w:pPr>
              <w:spacing w:line="400" w:lineRule="exact"/>
              <w:rPr>
                <w:rFonts w:hint="eastAsia" w:ascii="宋体" w:hAnsi="宋体" w:eastAsia="宋体" w:cs="宋体"/>
                <w:sz w:val="24"/>
                <w:szCs w:val="24"/>
              </w:rPr>
            </w:pPr>
            <w:r>
              <w:rPr>
                <w:rFonts w:hint="eastAsia" w:ascii="宋体" w:hAnsi="宋体" w:eastAsia="宋体" w:cs="宋体"/>
                <w:sz w:val="24"/>
                <w:szCs w:val="24"/>
                <w:lang w:bidi="ar"/>
              </w:rPr>
              <w:t>自动识别流量中的应用系统，并对同应用进行合并，形成应用清单，支持对发现时间、活跃时间、访问量等维度进行排序，支持以表格形式导出。</w:t>
            </w:r>
          </w:p>
        </w:tc>
      </w:tr>
      <w:tr w14:paraId="3AB23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4" w:type="pct"/>
            <w:vMerge w:val="continue"/>
            <w:tcBorders>
              <w:top w:val="nil"/>
              <w:left w:val="single" w:color="auto" w:sz="4" w:space="0"/>
              <w:bottom w:val="single" w:color="auto" w:sz="4" w:space="0"/>
              <w:right w:val="single" w:color="auto" w:sz="4" w:space="0"/>
            </w:tcBorders>
            <w:vAlign w:val="center"/>
          </w:tcPr>
          <w:p w14:paraId="183876D5">
            <w:pPr>
              <w:spacing w:line="400" w:lineRule="exact"/>
              <w:jc w:val="center"/>
              <w:rPr>
                <w:rFonts w:hint="eastAsia" w:ascii="宋体" w:hAnsi="宋体" w:eastAsia="宋体" w:cs="宋体"/>
                <w:sz w:val="24"/>
                <w:szCs w:val="24"/>
              </w:rPr>
            </w:pPr>
          </w:p>
        </w:tc>
        <w:tc>
          <w:tcPr>
            <w:tcW w:w="4275" w:type="pct"/>
            <w:tcBorders>
              <w:top w:val="single" w:color="auto" w:sz="4" w:space="0"/>
              <w:left w:val="single" w:color="auto" w:sz="4" w:space="0"/>
              <w:bottom w:val="single" w:color="auto" w:sz="4" w:space="0"/>
              <w:right w:val="single" w:color="auto" w:sz="4" w:space="0"/>
            </w:tcBorders>
            <w:vAlign w:val="center"/>
          </w:tcPr>
          <w:p w14:paraId="494380E3">
            <w:pPr>
              <w:spacing w:line="400" w:lineRule="exact"/>
              <w:rPr>
                <w:rFonts w:hint="eastAsia" w:ascii="宋体" w:hAnsi="宋体" w:eastAsia="宋体" w:cs="宋体"/>
                <w:sz w:val="24"/>
                <w:szCs w:val="24"/>
              </w:rPr>
            </w:pPr>
            <w:r>
              <w:rPr>
                <w:rFonts w:hint="eastAsia" w:ascii="宋体" w:hAnsi="宋体" w:eastAsia="宋体" w:cs="宋体"/>
                <w:sz w:val="24"/>
                <w:szCs w:val="24"/>
                <w:lang w:bidi="ar"/>
              </w:rPr>
              <w:t>支持通过应用名称、状态、应用域名、请求数据标签、返回数据标签、发现时间、最后活跃时间、访问量等进行应用资产的筛选。</w:t>
            </w:r>
          </w:p>
        </w:tc>
      </w:tr>
      <w:tr w14:paraId="56B3C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4" w:type="pct"/>
            <w:vMerge w:val="continue"/>
            <w:tcBorders>
              <w:top w:val="nil"/>
              <w:left w:val="single" w:color="auto" w:sz="4" w:space="0"/>
              <w:bottom w:val="single" w:color="auto" w:sz="4" w:space="0"/>
              <w:right w:val="single" w:color="auto" w:sz="4" w:space="0"/>
            </w:tcBorders>
            <w:vAlign w:val="center"/>
          </w:tcPr>
          <w:p w14:paraId="6A3FE5E9">
            <w:pPr>
              <w:spacing w:line="400" w:lineRule="exact"/>
              <w:jc w:val="center"/>
              <w:rPr>
                <w:rFonts w:hint="eastAsia" w:ascii="宋体" w:hAnsi="宋体" w:eastAsia="宋体" w:cs="宋体"/>
                <w:sz w:val="24"/>
                <w:szCs w:val="24"/>
              </w:rPr>
            </w:pPr>
          </w:p>
        </w:tc>
        <w:tc>
          <w:tcPr>
            <w:tcW w:w="4275" w:type="pct"/>
            <w:tcBorders>
              <w:top w:val="single" w:color="auto" w:sz="4" w:space="0"/>
              <w:left w:val="single" w:color="auto" w:sz="4" w:space="0"/>
              <w:bottom w:val="single" w:color="auto" w:sz="4" w:space="0"/>
              <w:right w:val="single" w:color="auto" w:sz="4" w:space="0"/>
            </w:tcBorders>
            <w:vAlign w:val="center"/>
          </w:tcPr>
          <w:p w14:paraId="58D4DA7D">
            <w:pPr>
              <w:spacing w:line="400" w:lineRule="exact"/>
              <w:rPr>
                <w:rFonts w:hint="eastAsia" w:ascii="宋体" w:hAnsi="宋体" w:eastAsia="宋体" w:cs="宋体"/>
                <w:sz w:val="24"/>
                <w:szCs w:val="24"/>
              </w:rPr>
            </w:pPr>
            <w:r>
              <w:rPr>
                <w:rFonts w:hint="eastAsia" w:ascii="宋体" w:hAnsi="宋体" w:eastAsia="宋体" w:cs="宋体"/>
                <w:sz w:val="24"/>
                <w:szCs w:val="24"/>
                <w:lang w:bidi="ar"/>
              </w:rPr>
              <w:t>支持根据IP端口、域名、IP端口+域名条件进行应用定义，上报的流量将按照应用定义规则进行应用归属，相同IP端口/域名的流量归属同一应用。</w:t>
            </w:r>
          </w:p>
        </w:tc>
      </w:tr>
      <w:tr w14:paraId="772AF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4" w:type="pct"/>
            <w:vMerge w:val="continue"/>
            <w:tcBorders>
              <w:top w:val="nil"/>
              <w:left w:val="single" w:color="auto" w:sz="4" w:space="0"/>
              <w:bottom w:val="single" w:color="auto" w:sz="4" w:space="0"/>
              <w:right w:val="single" w:color="auto" w:sz="4" w:space="0"/>
            </w:tcBorders>
            <w:vAlign w:val="center"/>
          </w:tcPr>
          <w:p w14:paraId="1AEB2F74">
            <w:pPr>
              <w:spacing w:line="400" w:lineRule="exact"/>
              <w:jc w:val="center"/>
              <w:rPr>
                <w:rFonts w:hint="eastAsia" w:ascii="宋体" w:hAnsi="宋体" w:eastAsia="宋体" w:cs="宋体"/>
                <w:sz w:val="24"/>
                <w:szCs w:val="24"/>
              </w:rPr>
            </w:pPr>
          </w:p>
        </w:tc>
        <w:tc>
          <w:tcPr>
            <w:tcW w:w="4275" w:type="pct"/>
            <w:tcBorders>
              <w:top w:val="single" w:color="auto" w:sz="4" w:space="0"/>
              <w:left w:val="single" w:color="auto" w:sz="4" w:space="0"/>
              <w:bottom w:val="single" w:color="auto" w:sz="4" w:space="0"/>
              <w:right w:val="single" w:color="auto" w:sz="4" w:space="0"/>
            </w:tcBorders>
            <w:vAlign w:val="center"/>
          </w:tcPr>
          <w:p w14:paraId="7D5A21D7">
            <w:pPr>
              <w:spacing w:line="400" w:lineRule="exact"/>
              <w:rPr>
                <w:rFonts w:hint="eastAsia" w:ascii="宋体" w:hAnsi="宋体" w:eastAsia="宋体" w:cs="宋体"/>
                <w:sz w:val="24"/>
                <w:szCs w:val="24"/>
              </w:rPr>
            </w:pPr>
            <w:r>
              <w:rPr>
                <w:rFonts w:hint="eastAsia" w:ascii="宋体" w:hAnsi="宋体" w:eastAsia="宋体" w:cs="宋体"/>
                <w:sz w:val="24"/>
                <w:szCs w:val="24"/>
                <w:lang w:bidi="ar"/>
              </w:rPr>
              <w:t>应用画像支持树形展示应用下API结构，树结构最高深度支持到24层，可下钻查看API维度画像。</w:t>
            </w:r>
          </w:p>
        </w:tc>
      </w:tr>
      <w:tr w14:paraId="04EBB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4" w:type="pct"/>
            <w:vMerge w:val="restart"/>
            <w:tcBorders>
              <w:top w:val="nil"/>
              <w:left w:val="single" w:color="auto" w:sz="4" w:space="0"/>
              <w:bottom w:val="single" w:color="auto" w:sz="4" w:space="0"/>
              <w:right w:val="single" w:color="auto" w:sz="4" w:space="0"/>
            </w:tcBorders>
            <w:vAlign w:val="center"/>
          </w:tcPr>
          <w:p w14:paraId="0136F330">
            <w:pPr>
              <w:spacing w:line="400" w:lineRule="exact"/>
              <w:jc w:val="center"/>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lang w:bidi="ar"/>
              </w:rPr>
              <w:t>接口资产识别</w:t>
            </w:r>
          </w:p>
        </w:tc>
        <w:tc>
          <w:tcPr>
            <w:tcW w:w="4275" w:type="pct"/>
            <w:tcBorders>
              <w:top w:val="single" w:color="auto" w:sz="4" w:space="0"/>
              <w:left w:val="single" w:color="auto" w:sz="4" w:space="0"/>
              <w:bottom w:val="single" w:color="auto" w:sz="4" w:space="0"/>
              <w:right w:val="single" w:color="auto" w:sz="4" w:space="0"/>
            </w:tcBorders>
            <w:vAlign w:val="center"/>
          </w:tcPr>
          <w:p w14:paraId="4A656B79">
            <w:pPr>
              <w:spacing w:line="400" w:lineRule="exact"/>
              <w:rPr>
                <w:rFonts w:hint="eastAsia" w:ascii="宋体" w:hAnsi="宋体" w:eastAsia="宋体" w:cs="宋体"/>
                <w:kern w:val="0"/>
                <w:sz w:val="24"/>
                <w:szCs w:val="24"/>
              </w:rPr>
            </w:pPr>
            <w:r>
              <w:rPr>
                <w:rFonts w:hint="eastAsia" w:ascii="宋体" w:hAnsi="宋体" w:eastAsia="宋体" w:cs="宋体"/>
                <w:kern w:val="0"/>
                <w:sz w:val="24"/>
                <w:szCs w:val="24"/>
                <w:lang w:bidi="ar"/>
              </w:rPr>
              <w:t>▲支持自定义API打标策略，可细粒度配置到请求方式、请求URL、请求头、请求体、响应码、响应头、响应体、四元组等，支持对以上维度进行组合配置，部分指标支持：正则匹配、敏感数据种类、敏感数数量识别、此项缺失等方式进行配置。</w:t>
            </w:r>
            <w:r>
              <w:rPr>
                <w:rFonts w:hint="eastAsia" w:ascii="宋体" w:hAnsi="宋体" w:eastAsia="宋体" w:cs="宋体"/>
                <w:b/>
                <w:color w:val="000000"/>
                <w:kern w:val="0"/>
                <w:sz w:val="24"/>
                <w:szCs w:val="24"/>
                <w:lang w:bidi="ar"/>
              </w:rPr>
              <w:t>（提供功能截图证明并加盖公章）</w:t>
            </w:r>
          </w:p>
        </w:tc>
      </w:tr>
      <w:tr w14:paraId="7B884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24" w:type="pct"/>
            <w:vMerge w:val="continue"/>
            <w:tcBorders>
              <w:top w:val="nil"/>
              <w:left w:val="single" w:color="auto" w:sz="4" w:space="0"/>
              <w:bottom w:val="single" w:color="auto" w:sz="4" w:space="0"/>
              <w:right w:val="single" w:color="auto" w:sz="4" w:space="0"/>
            </w:tcBorders>
            <w:vAlign w:val="center"/>
          </w:tcPr>
          <w:p w14:paraId="05101187">
            <w:pPr>
              <w:spacing w:line="400" w:lineRule="exact"/>
              <w:jc w:val="center"/>
              <w:rPr>
                <w:rFonts w:hint="eastAsia" w:ascii="宋体" w:hAnsi="宋体" w:eastAsia="宋体" w:cs="宋体"/>
                <w:sz w:val="24"/>
                <w:szCs w:val="24"/>
              </w:rPr>
            </w:pPr>
          </w:p>
        </w:tc>
        <w:tc>
          <w:tcPr>
            <w:tcW w:w="4275" w:type="pct"/>
            <w:tcBorders>
              <w:top w:val="single" w:color="auto" w:sz="4" w:space="0"/>
              <w:left w:val="single" w:color="auto" w:sz="4" w:space="0"/>
              <w:bottom w:val="single" w:color="auto" w:sz="4" w:space="0"/>
              <w:right w:val="single" w:color="auto" w:sz="4" w:space="0"/>
            </w:tcBorders>
            <w:vAlign w:val="center"/>
          </w:tcPr>
          <w:p w14:paraId="22DE3784">
            <w:pPr>
              <w:spacing w:line="400" w:lineRule="exact"/>
              <w:rPr>
                <w:rFonts w:hint="eastAsia" w:ascii="宋体" w:hAnsi="宋体" w:eastAsia="宋体" w:cs="宋体"/>
                <w:sz w:val="24"/>
                <w:szCs w:val="24"/>
              </w:rPr>
            </w:pPr>
            <w:r>
              <w:rPr>
                <w:rFonts w:hint="eastAsia" w:ascii="宋体" w:hAnsi="宋体" w:eastAsia="宋体" w:cs="宋体"/>
                <w:sz w:val="24"/>
                <w:szCs w:val="24"/>
                <w:lang w:bidi="ar"/>
              </w:rPr>
              <w:t>支持根据策略自动识别划分其他URL和API，支持可视化多指标组合配置划分规则，配置指标维度包括：URL、请求用户代理、请求方法、响应内容类型、请求头、响应头、响应码、请求体、响应体。</w:t>
            </w:r>
          </w:p>
        </w:tc>
      </w:tr>
      <w:tr w14:paraId="4392C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24" w:type="pct"/>
            <w:vMerge w:val="continue"/>
            <w:tcBorders>
              <w:top w:val="nil"/>
              <w:left w:val="single" w:color="auto" w:sz="4" w:space="0"/>
              <w:bottom w:val="single" w:color="auto" w:sz="4" w:space="0"/>
              <w:right w:val="single" w:color="auto" w:sz="4" w:space="0"/>
            </w:tcBorders>
            <w:vAlign w:val="center"/>
          </w:tcPr>
          <w:p w14:paraId="0F5787A2">
            <w:pPr>
              <w:spacing w:line="400" w:lineRule="exact"/>
              <w:jc w:val="center"/>
              <w:rPr>
                <w:rFonts w:hint="eastAsia" w:ascii="宋体" w:hAnsi="宋体" w:eastAsia="宋体" w:cs="宋体"/>
                <w:sz w:val="24"/>
                <w:szCs w:val="24"/>
              </w:rPr>
            </w:pPr>
          </w:p>
        </w:tc>
        <w:tc>
          <w:tcPr>
            <w:tcW w:w="4275" w:type="pct"/>
            <w:tcBorders>
              <w:top w:val="single" w:color="auto" w:sz="4" w:space="0"/>
              <w:left w:val="single" w:color="auto" w:sz="4" w:space="0"/>
              <w:bottom w:val="single" w:color="auto" w:sz="4" w:space="0"/>
              <w:right w:val="single" w:color="auto" w:sz="4" w:space="0"/>
            </w:tcBorders>
            <w:vAlign w:val="center"/>
          </w:tcPr>
          <w:p w14:paraId="3E3337EA">
            <w:pPr>
              <w:spacing w:line="400" w:lineRule="exact"/>
              <w:rPr>
                <w:rFonts w:hint="eastAsia" w:ascii="宋体" w:hAnsi="宋体" w:eastAsia="宋体" w:cs="宋体"/>
                <w:sz w:val="24"/>
                <w:szCs w:val="24"/>
              </w:rPr>
            </w:pPr>
            <w:r>
              <w:rPr>
                <w:rFonts w:hint="eastAsia" w:ascii="宋体" w:hAnsi="宋体" w:eastAsia="宋体" w:cs="宋体"/>
                <w:sz w:val="24"/>
                <w:szCs w:val="24"/>
                <w:lang w:bidi="ar"/>
              </w:rPr>
              <w:t>支持查看接口下日志，并绘制出客户端访问应用的访问关系图，包括客户端、应用端的基本信息、VLAN、网卡信息。支持JSON格式化展示日志信息，并统计日志中包含的敏感数据数量，高亮敏感数据位置。支持对日志中的数据进行检索。</w:t>
            </w:r>
          </w:p>
        </w:tc>
      </w:tr>
      <w:tr w14:paraId="606E7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24" w:type="pct"/>
            <w:tcBorders>
              <w:top w:val="single" w:color="auto" w:sz="4" w:space="0"/>
              <w:left w:val="single" w:color="auto" w:sz="4" w:space="0"/>
              <w:bottom w:val="single" w:color="auto" w:sz="4" w:space="0"/>
              <w:right w:val="single" w:color="auto" w:sz="4" w:space="0"/>
            </w:tcBorders>
            <w:vAlign w:val="center"/>
          </w:tcPr>
          <w:p w14:paraId="19F1530B">
            <w:pPr>
              <w:spacing w:line="40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bidi="ar"/>
              </w:rPr>
              <w:t>账号资产识别</w:t>
            </w:r>
          </w:p>
        </w:tc>
        <w:tc>
          <w:tcPr>
            <w:tcW w:w="4275" w:type="pct"/>
            <w:tcBorders>
              <w:top w:val="single" w:color="auto" w:sz="4" w:space="0"/>
              <w:left w:val="single" w:color="auto" w:sz="4" w:space="0"/>
              <w:bottom w:val="single" w:color="auto" w:sz="4" w:space="0"/>
              <w:right w:val="single" w:color="auto" w:sz="4" w:space="0"/>
            </w:tcBorders>
            <w:vAlign w:val="center"/>
          </w:tcPr>
          <w:p w14:paraId="6A2EC71A">
            <w:pPr>
              <w:spacing w:line="400" w:lineRule="exact"/>
              <w:rPr>
                <w:rFonts w:hint="eastAsia" w:ascii="宋体" w:hAnsi="宋体" w:eastAsia="宋体" w:cs="宋体"/>
                <w:sz w:val="24"/>
                <w:szCs w:val="24"/>
              </w:rPr>
            </w:pPr>
            <w:r>
              <w:rPr>
                <w:rFonts w:hint="eastAsia" w:ascii="宋体" w:hAnsi="宋体" w:eastAsia="宋体" w:cs="宋体"/>
                <w:color w:val="000000"/>
                <w:sz w:val="24"/>
                <w:szCs w:val="24"/>
                <w:lang w:bidi="ar"/>
              </w:rPr>
              <w:t>支持根据API账号提取配置自动对日志的操作对象账号进行账号提取，系统支持自动账号提取配置，或手动对API设置账号提取配置。</w:t>
            </w:r>
          </w:p>
        </w:tc>
      </w:tr>
      <w:tr w14:paraId="196E2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24" w:type="pct"/>
            <w:vMerge w:val="restart"/>
            <w:tcBorders>
              <w:top w:val="nil"/>
              <w:left w:val="single" w:color="auto" w:sz="4" w:space="0"/>
              <w:bottom w:val="single" w:color="auto" w:sz="4" w:space="0"/>
              <w:right w:val="single" w:color="auto" w:sz="4" w:space="0"/>
            </w:tcBorders>
            <w:vAlign w:val="center"/>
          </w:tcPr>
          <w:p w14:paraId="3294BF13">
            <w:pPr>
              <w:spacing w:line="400" w:lineRule="exact"/>
              <w:jc w:val="center"/>
              <w:rPr>
                <w:rFonts w:hint="eastAsia" w:ascii="宋体" w:hAnsi="宋体" w:eastAsia="宋体" w:cs="宋体"/>
                <w:sz w:val="24"/>
                <w:szCs w:val="24"/>
              </w:rPr>
            </w:pPr>
            <w:r>
              <w:rPr>
                <w:rFonts w:hint="eastAsia" w:ascii="宋体" w:hAnsi="宋体" w:eastAsia="宋体" w:cs="宋体"/>
                <w:color w:val="000000"/>
                <w:sz w:val="24"/>
                <w:szCs w:val="24"/>
                <w:lang w:bidi="ar"/>
              </w:rPr>
              <w:t>敏感数据识别</w:t>
            </w:r>
          </w:p>
        </w:tc>
        <w:tc>
          <w:tcPr>
            <w:tcW w:w="4275" w:type="pct"/>
            <w:tcBorders>
              <w:top w:val="single" w:color="auto" w:sz="4" w:space="0"/>
              <w:left w:val="single" w:color="auto" w:sz="4" w:space="0"/>
              <w:bottom w:val="single" w:color="auto" w:sz="4" w:space="0"/>
              <w:right w:val="single" w:color="auto" w:sz="4" w:space="0"/>
            </w:tcBorders>
          </w:tcPr>
          <w:p w14:paraId="26BC3016">
            <w:pPr>
              <w:pStyle w:val="24"/>
              <w:widowControl w:val="0"/>
              <w:spacing w:before="0" w:beforeAutospacing="0" w:after="0" w:afterAutospacing="0" w:line="400" w:lineRule="exact"/>
              <w:jc w:val="both"/>
              <w:rPr>
                <w:rFonts w:hint="eastAsia"/>
                <w:kern w:val="2"/>
              </w:rPr>
            </w:pPr>
            <w:r>
              <w:rPr>
                <w:rFonts w:hint="eastAsia"/>
                <w:kern w:val="2"/>
                <w:lang w:bidi="ar"/>
              </w:rPr>
              <w:t>内置100+敏感数据标签，包括身份证号、手机号、银行卡号、姓名、地址、邮箱等个人敏感数据标签。</w:t>
            </w:r>
          </w:p>
        </w:tc>
      </w:tr>
      <w:tr w14:paraId="3E154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24" w:type="pct"/>
            <w:vMerge w:val="continue"/>
            <w:tcBorders>
              <w:top w:val="nil"/>
              <w:left w:val="single" w:color="auto" w:sz="4" w:space="0"/>
              <w:bottom w:val="single" w:color="auto" w:sz="4" w:space="0"/>
              <w:right w:val="single" w:color="auto" w:sz="4" w:space="0"/>
            </w:tcBorders>
            <w:vAlign w:val="center"/>
          </w:tcPr>
          <w:p w14:paraId="04A2117E">
            <w:pPr>
              <w:spacing w:line="400" w:lineRule="exact"/>
              <w:jc w:val="center"/>
              <w:rPr>
                <w:rFonts w:hint="eastAsia" w:ascii="宋体" w:hAnsi="宋体" w:eastAsia="宋体" w:cs="宋体"/>
                <w:sz w:val="24"/>
                <w:szCs w:val="24"/>
              </w:rPr>
            </w:pPr>
          </w:p>
        </w:tc>
        <w:tc>
          <w:tcPr>
            <w:tcW w:w="4275" w:type="pct"/>
            <w:tcBorders>
              <w:top w:val="single" w:color="auto" w:sz="4" w:space="0"/>
              <w:left w:val="single" w:color="auto" w:sz="4" w:space="0"/>
              <w:bottom w:val="single" w:color="auto" w:sz="4" w:space="0"/>
              <w:right w:val="single" w:color="auto" w:sz="4" w:space="0"/>
            </w:tcBorders>
          </w:tcPr>
          <w:p w14:paraId="45CD29F8">
            <w:pPr>
              <w:pStyle w:val="24"/>
              <w:widowControl w:val="0"/>
              <w:spacing w:before="0" w:beforeAutospacing="0" w:after="0" w:afterAutospacing="0" w:line="400" w:lineRule="exact"/>
              <w:jc w:val="both"/>
              <w:rPr>
                <w:rFonts w:hint="eastAsia"/>
                <w:kern w:val="2"/>
              </w:rPr>
            </w:pPr>
            <w:r>
              <w:rPr>
                <w:rFonts w:hint="eastAsia"/>
                <w:lang w:bidi="ar"/>
              </w:rPr>
              <w:t>▲</w:t>
            </w:r>
            <w:r>
              <w:rPr>
                <w:rFonts w:hint="eastAsia"/>
                <w:kern w:val="2"/>
                <w:lang w:bidi="ar"/>
              </w:rPr>
              <w:t>自动识别文件中包含的敏感数据标签。支持识别文件类型包括：doc、pdf、docx、xls、xlsx、ppt、zip、rar、tar、gz、7z、docm、pptm、xltm、xlsb、bz2、gzip、wps、txt、html、xml、csv、json。</w:t>
            </w:r>
            <w:r>
              <w:rPr>
                <w:rFonts w:hint="eastAsia"/>
                <w:b/>
                <w:color w:val="000000"/>
                <w:lang w:bidi="ar"/>
              </w:rPr>
              <w:t>（提供功能截图证明并加盖公章）</w:t>
            </w:r>
          </w:p>
        </w:tc>
      </w:tr>
      <w:tr w14:paraId="083F2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24" w:type="pct"/>
            <w:vMerge w:val="restart"/>
            <w:tcBorders>
              <w:top w:val="nil"/>
              <w:left w:val="single" w:color="auto" w:sz="4" w:space="0"/>
              <w:bottom w:val="single" w:color="auto" w:sz="4" w:space="0"/>
              <w:right w:val="single" w:color="auto" w:sz="4" w:space="0"/>
            </w:tcBorders>
            <w:vAlign w:val="center"/>
          </w:tcPr>
          <w:p w14:paraId="01815325">
            <w:pPr>
              <w:spacing w:line="400" w:lineRule="exact"/>
              <w:jc w:val="center"/>
              <w:rPr>
                <w:rFonts w:hint="eastAsia" w:ascii="宋体" w:hAnsi="宋体" w:eastAsia="宋体" w:cs="宋体"/>
                <w:sz w:val="24"/>
                <w:szCs w:val="24"/>
              </w:rPr>
            </w:pPr>
            <w:r>
              <w:rPr>
                <w:rFonts w:hint="eastAsia" w:ascii="宋体" w:hAnsi="宋体" w:eastAsia="宋体" w:cs="宋体"/>
                <w:sz w:val="24"/>
                <w:szCs w:val="24"/>
                <w:lang w:bidi="ar"/>
              </w:rPr>
              <w:t>资产脆弱性风险监测</w:t>
            </w:r>
          </w:p>
        </w:tc>
        <w:tc>
          <w:tcPr>
            <w:tcW w:w="4275" w:type="pct"/>
            <w:tcBorders>
              <w:top w:val="single" w:color="auto" w:sz="4" w:space="0"/>
              <w:left w:val="single" w:color="auto" w:sz="4" w:space="0"/>
              <w:bottom w:val="single" w:color="auto" w:sz="4" w:space="0"/>
              <w:right w:val="single" w:color="auto" w:sz="4" w:space="0"/>
            </w:tcBorders>
          </w:tcPr>
          <w:p w14:paraId="476BDD69">
            <w:pPr>
              <w:pStyle w:val="24"/>
              <w:widowControl w:val="0"/>
              <w:spacing w:before="0" w:beforeAutospacing="0" w:after="0" w:afterAutospacing="0" w:line="400" w:lineRule="exact"/>
              <w:jc w:val="both"/>
              <w:rPr>
                <w:rFonts w:hint="eastAsia"/>
                <w:kern w:val="2"/>
              </w:rPr>
            </w:pPr>
            <w:r>
              <w:rPr>
                <w:rFonts w:hint="eastAsia"/>
                <w:kern w:val="2"/>
                <w:lang w:bidi="ar"/>
              </w:rPr>
              <w:t>内置40+脆弱性风险策略，至少包括：敏感接口未鉴权、认证令牌有效期过长、水平越权、脱敏策略不一致、任意文件读取、源代码泄漏、系统信息泄漏、敏感文件泄露等。</w:t>
            </w:r>
          </w:p>
        </w:tc>
      </w:tr>
      <w:tr w14:paraId="267A7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24" w:type="pct"/>
            <w:vMerge w:val="continue"/>
            <w:tcBorders>
              <w:top w:val="nil"/>
              <w:left w:val="single" w:color="auto" w:sz="4" w:space="0"/>
              <w:bottom w:val="single" w:color="auto" w:sz="4" w:space="0"/>
              <w:right w:val="single" w:color="auto" w:sz="4" w:space="0"/>
            </w:tcBorders>
            <w:vAlign w:val="center"/>
          </w:tcPr>
          <w:p w14:paraId="262C7954">
            <w:pPr>
              <w:spacing w:line="400" w:lineRule="exact"/>
              <w:jc w:val="center"/>
              <w:rPr>
                <w:rFonts w:hint="eastAsia" w:ascii="宋体" w:hAnsi="宋体" w:eastAsia="宋体" w:cs="宋体"/>
                <w:sz w:val="24"/>
                <w:szCs w:val="24"/>
              </w:rPr>
            </w:pPr>
          </w:p>
        </w:tc>
        <w:tc>
          <w:tcPr>
            <w:tcW w:w="4275" w:type="pct"/>
            <w:tcBorders>
              <w:top w:val="single" w:color="auto" w:sz="4" w:space="0"/>
              <w:left w:val="single" w:color="auto" w:sz="4" w:space="0"/>
              <w:bottom w:val="single" w:color="auto" w:sz="4" w:space="0"/>
              <w:right w:val="single" w:color="auto" w:sz="4" w:space="0"/>
            </w:tcBorders>
          </w:tcPr>
          <w:p w14:paraId="4E7EEA7A">
            <w:pPr>
              <w:pStyle w:val="24"/>
              <w:widowControl w:val="0"/>
              <w:spacing w:before="0" w:beforeAutospacing="0" w:after="0" w:afterAutospacing="0" w:line="400" w:lineRule="exact"/>
              <w:jc w:val="both"/>
              <w:rPr>
                <w:rFonts w:hint="eastAsia"/>
                <w:kern w:val="2"/>
              </w:rPr>
            </w:pPr>
            <w:r>
              <w:rPr>
                <w:rFonts w:hint="eastAsia"/>
                <w:lang w:bidi="ar"/>
              </w:rPr>
              <w:t>▲</w:t>
            </w:r>
            <w:r>
              <w:rPr>
                <w:rFonts w:hint="eastAsia"/>
                <w:kern w:val="2"/>
                <w:lang w:bidi="ar"/>
              </w:rPr>
              <w:t>内置3000+应用漏洞监测规则，其中包括90+未授权漏洞监测规则，覆盖Apache Spark、OpenAPI、Weblogic等常用组件未授权漏洞监测、500+敏感文件泄漏监测规则，900+命令执行漏洞监测规则。</w:t>
            </w:r>
            <w:r>
              <w:rPr>
                <w:rFonts w:hint="eastAsia"/>
                <w:b/>
                <w:color w:val="000000"/>
                <w:lang w:bidi="ar"/>
              </w:rPr>
              <w:t>（提供功能截图证明并加盖公章）</w:t>
            </w:r>
          </w:p>
        </w:tc>
      </w:tr>
      <w:tr w14:paraId="6C503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24" w:type="pct"/>
            <w:vMerge w:val="continue"/>
            <w:tcBorders>
              <w:top w:val="nil"/>
              <w:left w:val="single" w:color="auto" w:sz="4" w:space="0"/>
              <w:bottom w:val="single" w:color="auto" w:sz="4" w:space="0"/>
              <w:right w:val="single" w:color="auto" w:sz="4" w:space="0"/>
            </w:tcBorders>
            <w:vAlign w:val="center"/>
          </w:tcPr>
          <w:p w14:paraId="64B5F4EB">
            <w:pPr>
              <w:spacing w:line="400" w:lineRule="exact"/>
              <w:jc w:val="center"/>
              <w:rPr>
                <w:rFonts w:hint="eastAsia" w:ascii="宋体" w:hAnsi="宋体" w:eastAsia="宋体" w:cs="宋体"/>
                <w:sz w:val="24"/>
                <w:szCs w:val="24"/>
              </w:rPr>
            </w:pPr>
          </w:p>
        </w:tc>
        <w:tc>
          <w:tcPr>
            <w:tcW w:w="4275" w:type="pct"/>
            <w:tcBorders>
              <w:top w:val="single" w:color="auto" w:sz="4" w:space="0"/>
              <w:left w:val="single" w:color="auto" w:sz="4" w:space="0"/>
              <w:bottom w:val="single" w:color="auto" w:sz="4" w:space="0"/>
              <w:right w:val="single" w:color="auto" w:sz="4" w:space="0"/>
            </w:tcBorders>
          </w:tcPr>
          <w:p w14:paraId="5C90DE2F">
            <w:pPr>
              <w:pStyle w:val="24"/>
              <w:widowControl w:val="0"/>
              <w:spacing w:before="0" w:beforeAutospacing="0" w:after="0" w:afterAutospacing="0" w:line="400" w:lineRule="exact"/>
              <w:jc w:val="both"/>
              <w:rPr>
                <w:rFonts w:hint="eastAsia"/>
                <w:kern w:val="2"/>
              </w:rPr>
            </w:pPr>
            <w:r>
              <w:rPr>
                <w:rFonts w:hint="eastAsia"/>
                <w:kern w:val="2"/>
                <w:lang w:bidi="ar"/>
              </w:rPr>
              <w:t>支持通过界面自定义新增脆弱性漏洞，可细粒度配置到请求方式、请求URL、请求头、请求体、响应码、响应头、响应体、四元组、API 类型等，支持对以上维度进行组合配置，部分指标支持：正则匹配、敏感数据种类、敏感数数量识别、此项缺失等方式进行配置。</w:t>
            </w:r>
          </w:p>
        </w:tc>
      </w:tr>
      <w:tr w14:paraId="49BC7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24" w:type="pct"/>
            <w:vMerge w:val="continue"/>
            <w:tcBorders>
              <w:top w:val="nil"/>
              <w:left w:val="single" w:color="auto" w:sz="4" w:space="0"/>
              <w:bottom w:val="single" w:color="auto" w:sz="4" w:space="0"/>
              <w:right w:val="single" w:color="auto" w:sz="4" w:space="0"/>
            </w:tcBorders>
            <w:vAlign w:val="center"/>
          </w:tcPr>
          <w:p w14:paraId="2246E388">
            <w:pPr>
              <w:spacing w:line="400" w:lineRule="exact"/>
              <w:jc w:val="center"/>
              <w:rPr>
                <w:rFonts w:hint="eastAsia" w:ascii="宋体" w:hAnsi="宋体" w:eastAsia="宋体" w:cs="宋体"/>
                <w:sz w:val="24"/>
                <w:szCs w:val="24"/>
              </w:rPr>
            </w:pPr>
          </w:p>
        </w:tc>
        <w:tc>
          <w:tcPr>
            <w:tcW w:w="4275" w:type="pct"/>
            <w:tcBorders>
              <w:top w:val="single" w:color="auto" w:sz="4" w:space="0"/>
              <w:left w:val="single" w:color="auto" w:sz="4" w:space="0"/>
              <w:bottom w:val="single" w:color="auto" w:sz="4" w:space="0"/>
              <w:right w:val="single" w:color="auto" w:sz="4" w:space="0"/>
            </w:tcBorders>
          </w:tcPr>
          <w:p w14:paraId="2BCAEEBF">
            <w:pPr>
              <w:pStyle w:val="24"/>
              <w:widowControl w:val="0"/>
              <w:spacing w:before="0" w:beforeAutospacing="0" w:after="0" w:afterAutospacing="0" w:line="400" w:lineRule="exact"/>
              <w:jc w:val="both"/>
              <w:rPr>
                <w:rFonts w:hint="eastAsia"/>
                <w:kern w:val="2"/>
              </w:rPr>
            </w:pPr>
            <w:r>
              <w:rPr>
                <w:rFonts w:hint="eastAsia"/>
                <w:lang w:bidi="ar"/>
              </w:rPr>
              <w:t>▲</w:t>
            </w:r>
            <w:r>
              <w:rPr>
                <w:rFonts w:hint="eastAsia"/>
                <w:kern w:val="2"/>
                <w:lang w:bidi="ar"/>
              </w:rPr>
              <w:t>脆弱性风险具有丰富的、有助于用户分析的风险详情，包含：风险基础信息、历史处置记录、告警信息、影响面评估、可被利用方式、修复建议等。其中影响面评估可从去重数据量、访问量、数据标签、访问域等维度进行综合分析，与所有脆弱性 API进行对比，形成整体影响面评估结果。</w:t>
            </w:r>
            <w:r>
              <w:rPr>
                <w:rFonts w:hint="eastAsia"/>
                <w:b/>
                <w:color w:val="000000"/>
                <w:lang w:bidi="ar"/>
              </w:rPr>
              <w:t>（提供功能截图证明并加盖公章）</w:t>
            </w:r>
          </w:p>
        </w:tc>
      </w:tr>
      <w:tr w14:paraId="27420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24" w:type="pct"/>
            <w:vMerge w:val="restart"/>
            <w:tcBorders>
              <w:top w:val="nil"/>
              <w:left w:val="single" w:color="auto" w:sz="4" w:space="0"/>
              <w:bottom w:val="single" w:color="auto" w:sz="4" w:space="0"/>
              <w:right w:val="single" w:color="auto" w:sz="4" w:space="0"/>
            </w:tcBorders>
            <w:vAlign w:val="center"/>
          </w:tcPr>
          <w:p w14:paraId="34DFCF68">
            <w:pPr>
              <w:spacing w:line="400" w:lineRule="exact"/>
              <w:jc w:val="center"/>
              <w:rPr>
                <w:rFonts w:hint="eastAsia" w:ascii="宋体" w:hAnsi="宋体" w:eastAsia="宋体" w:cs="宋体"/>
                <w:sz w:val="24"/>
                <w:szCs w:val="24"/>
              </w:rPr>
            </w:pPr>
            <w:r>
              <w:rPr>
                <w:rFonts w:hint="eastAsia" w:ascii="宋体" w:hAnsi="宋体" w:eastAsia="宋体" w:cs="宋体"/>
                <w:color w:val="000000"/>
                <w:sz w:val="24"/>
                <w:szCs w:val="24"/>
                <w:lang w:bidi="ar"/>
              </w:rPr>
              <w:t>行为风险监测</w:t>
            </w:r>
          </w:p>
        </w:tc>
        <w:tc>
          <w:tcPr>
            <w:tcW w:w="4275" w:type="pct"/>
            <w:tcBorders>
              <w:top w:val="single" w:color="auto" w:sz="4" w:space="0"/>
              <w:left w:val="single" w:color="auto" w:sz="4" w:space="0"/>
              <w:bottom w:val="single" w:color="auto" w:sz="4" w:space="0"/>
              <w:right w:val="single" w:color="auto" w:sz="4" w:space="0"/>
            </w:tcBorders>
          </w:tcPr>
          <w:p w14:paraId="6D8E9CE6">
            <w:pPr>
              <w:pStyle w:val="24"/>
              <w:widowControl w:val="0"/>
              <w:spacing w:before="0" w:beforeAutospacing="0" w:after="0" w:afterAutospacing="0" w:line="400" w:lineRule="exact"/>
              <w:jc w:val="both"/>
              <w:rPr>
                <w:rFonts w:hint="eastAsia"/>
                <w:kern w:val="2"/>
              </w:rPr>
            </w:pPr>
            <w:r>
              <w:rPr>
                <w:rFonts w:hint="eastAsia"/>
                <w:kern w:val="2"/>
                <w:lang w:bidi="ar"/>
              </w:rPr>
              <w:t>内置20+主体行为风险识别策略，至少包括：账号执行路径遍历、IP执行翻页遍历、IP执行参数遍历、账号访问次数高频异常、IP访问次数高频异常、短信轰炸、个人数据API出域风险、个人数据API出境风险、API数据爬取风险、API违规外传敏感信息风险等。</w:t>
            </w:r>
          </w:p>
        </w:tc>
      </w:tr>
      <w:tr w14:paraId="1E0CF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24" w:type="pct"/>
            <w:vMerge w:val="continue"/>
            <w:tcBorders>
              <w:top w:val="nil"/>
              <w:left w:val="single" w:color="auto" w:sz="4" w:space="0"/>
              <w:bottom w:val="single" w:color="auto" w:sz="4" w:space="0"/>
              <w:right w:val="single" w:color="auto" w:sz="4" w:space="0"/>
            </w:tcBorders>
            <w:vAlign w:val="center"/>
          </w:tcPr>
          <w:p w14:paraId="17317018">
            <w:pPr>
              <w:spacing w:line="400" w:lineRule="exact"/>
              <w:jc w:val="center"/>
              <w:rPr>
                <w:rFonts w:hint="eastAsia" w:ascii="宋体" w:hAnsi="宋体" w:eastAsia="宋体" w:cs="宋体"/>
                <w:sz w:val="24"/>
                <w:szCs w:val="24"/>
              </w:rPr>
            </w:pPr>
          </w:p>
        </w:tc>
        <w:tc>
          <w:tcPr>
            <w:tcW w:w="4275" w:type="pct"/>
            <w:tcBorders>
              <w:top w:val="single" w:color="auto" w:sz="4" w:space="0"/>
              <w:left w:val="single" w:color="auto" w:sz="4" w:space="0"/>
              <w:bottom w:val="single" w:color="auto" w:sz="4" w:space="0"/>
              <w:right w:val="single" w:color="auto" w:sz="4" w:space="0"/>
            </w:tcBorders>
          </w:tcPr>
          <w:p w14:paraId="49620CF6">
            <w:pPr>
              <w:pStyle w:val="24"/>
              <w:widowControl w:val="0"/>
              <w:spacing w:before="0" w:beforeAutospacing="0" w:after="0" w:afterAutospacing="0" w:line="400" w:lineRule="exact"/>
              <w:jc w:val="both"/>
              <w:rPr>
                <w:rFonts w:hint="eastAsia"/>
                <w:kern w:val="2"/>
              </w:rPr>
            </w:pPr>
            <w:r>
              <w:rPr>
                <w:rFonts w:hint="eastAsia"/>
                <w:lang w:bidi="ar"/>
              </w:rPr>
              <w:t>▲</w:t>
            </w:r>
            <w:r>
              <w:rPr>
                <w:rFonts w:hint="eastAsia"/>
                <w:kern w:val="2"/>
                <w:lang w:bidi="ar"/>
              </w:rPr>
              <w:t>支持以IP、账号、IP+API、账号+API、数据维度进行行为风险配置。支持通过多种指标组合自定义配置新增风险策略，例如：请求数据标签、返回数据标签、下载文件、上传文件、访问频次、登录账号数、账号密码去重数、手机号验证码去重数、操作时间等。支持以滑动窗口计数方式匹配监测规则。</w:t>
            </w:r>
            <w:r>
              <w:rPr>
                <w:rFonts w:hint="eastAsia"/>
                <w:b/>
                <w:color w:val="000000"/>
                <w:lang w:bidi="ar"/>
              </w:rPr>
              <w:t>（提供功能截图证明并加盖公章）</w:t>
            </w:r>
          </w:p>
        </w:tc>
      </w:tr>
      <w:tr w14:paraId="354C3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24" w:type="pct"/>
            <w:vMerge w:val="continue"/>
            <w:tcBorders>
              <w:top w:val="nil"/>
              <w:left w:val="single" w:color="auto" w:sz="4" w:space="0"/>
              <w:bottom w:val="single" w:color="auto" w:sz="4" w:space="0"/>
              <w:right w:val="single" w:color="auto" w:sz="4" w:space="0"/>
            </w:tcBorders>
            <w:vAlign w:val="center"/>
          </w:tcPr>
          <w:p w14:paraId="3F9D3A78">
            <w:pPr>
              <w:spacing w:line="400" w:lineRule="exact"/>
              <w:jc w:val="center"/>
              <w:rPr>
                <w:rFonts w:hint="eastAsia" w:ascii="宋体" w:hAnsi="宋体" w:eastAsia="宋体" w:cs="宋体"/>
                <w:sz w:val="24"/>
                <w:szCs w:val="24"/>
              </w:rPr>
            </w:pPr>
          </w:p>
        </w:tc>
        <w:tc>
          <w:tcPr>
            <w:tcW w:w="4275" w:type="pct"/>
            <w:tcBorders>
              <w:top w:val="single" w:color="auto" w:sz="4" w:space="0"/>
              <w:left w:val="single" w:color="auto" w:sz="4" w:space="0"/>
              <w:bottom w:val="single" w:color="auto" w:sz="4" w:space="0"/>
              <w:right w:val="single" w:color="auto" w:sz="4" w:space="0"/>
            </w:tcBorders>
          </w:tcPr>
          <w:p w14:paraId="65C2755F">
            <w:pPr>
              <w:pStyle w:val="24"/>
              <w:widowControl w:val="0"/>
              <w:spacing w:before="0" w:beforeAutospacing="0" w:after="0" w:afterAutospacing="0" w:line="400" w:lineRule="exact"/>
              <w:jc w:val="both"/>
              <w:rPr>
                <w:rFonts w:hint="eastAsia"/>
                <w:kern w:val="2"/>
              </w:rPr>
            </w:pPr>
            <w:r>
              <w:rPr>
                <w:rFonts w:hint="eastAsia"/>
                <w:kern w:val="2"/>
                <w:lang w:bidi="ar"/>
              </w:rPr>
              <w:t>当监测到流量中有风险行为时自动预警，历史风险日志自动合并，提高运营效率，同一主体触发相同的风险会自动累计风险触发次数和数据量</w:t>
            </w:r>
          </w:p>
        </w:tc>
      </w:tr>
      <w:tr w14:paraId="32BC5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24" w:type="pct"/>
            <w:vMerge w:val="continue"/>
            <w:tcBorders>
              <w:top w:val="nil"/>
              <w:left w:val="single" w:color="auto" w:sz="4" w:space="0"/>
              <w:bottom w:val="single" w:color="auto" w:sz="4" w:space="0"/>
              <w:right w:val="single" w:color="auto" w:sz="4" w:space="0"/>
            </w:tcBorders>
            <w:vAlign w:val="center"/>
          </w:tcPr>
          <w:p w14:paraId="4A1A32E8">
            <w:pPr>
              <w:spacing w:line="400" w:lineRule="exact"/>
              <w:jc w:val="center"/>
              <w:rPr>
                <w:rFonts w:hint="eastAsia" w:ascii="宋体" w:hAnsi="宋体" w:eastAsia="宋体" w:cs="宋体"/>
                <w:sz w:val="24"/>
                <w:szCs w:val="24"/>
              </w:rPr>
            </w:pPr>
          </w:p>
        </w:tc>
        <w:tc>
          <w:tcPr>
            <w:tcW w:w="4275" w:type="pct"/>
            <w:tcBorders>
              <w:top w:val="single" w:color="auto" w:sz="4" w:space="0"/>
              <w:left w:val="single" w:color="auto" w:sz="4" w:space="0"/>
              <w:bottom w:val="single" w:color="auto" w:sz="4" w:space="0"/>
              <w:right w:val="single" w:color="auto" w:sz="4" w:space="0"/>
            </w:tcBorders>
          </w:tcPr>
          <w:p w14:paraId="708A7FDB">
            <w:pPr>
              <w:pStyle w:val="24"/>
              <w:widowControl w:val="0"/>
              <w:spacing w:before="0" w:beforeAutospacing="0" w:after="0" w:afterAutospacing="0" w:line="400" w:lineRule="exact"/>
              <w:jc w:val="both"/>
              <w:rPr>
                <w:rFonts w:hint="eastAsia"/>
                <w:kern w:val="2"/>
              </w:rPr>
            </w:pPr>
            <w:r>
              <w:rPr>
                <w:rFonts w:hint="eastAsia"/>
                <w:lang w:bidi="ar"/>
              </w:rPr>
              <w:t>▲</w:t>
            </w:r>
            <w:r>
              <w:rPr>
                <w:rFonts w:hint="eastAsia"/>
                <w:kern w:val="2"/>
                <w:lang w:bidi="ar"/>
              </w:rPr>
              <w:t>对于数据维度的风险，支持提供审计详情信息和分析维度，可根据风险日志自动绘制API风险链路关系。</w:t>
            </w:r>
            <w:r>
              <w:rPr>
                <w:rFonts w:hint="eastAsia"/>
                <w:b/>
                <w:color w:val="000000"/>
                <w:lang w:bidi="ar"/>
              </w:rPr>
              <w:t>（提供功能截图证明并加盖公章）</w:t>
            </w:r>
          </w:p>
        </w:tc>
      </w:tr>
      <w:tr w14:paraId="4355F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24" w:type="pct"/>
            <w:vMerge w:val="restart"/>
            <w:tcBorders>
              <w:top w:val="nil"/>
              <w:left w:val="single" w:color="auto" w:sz="4" w:space="0"/>
              <w:bottom w:val="single" w:color="auto" w:sz="4" w:space="0"/>
              <w:right w:val="single" w:color="auto" w:sz="4" w:space="0"/>
            </w:tcBorders>
            <w:vAlign w:val="center"/>
          </w:tcPr>
          <w:p w14:paraId="5445C3FC">
            <w:pPr>
              <w:spacing w:line="400" w:lineRule="exact"/>
              <w:jc w:val="center"/>
              <w:rPr>
                <w:rFonts w:hint="eastAsia" w:ascii="宋体" w:hAnsi="宋体" w:eastAsia="宋体" w:cs="宋体"/>
                <w:sz w:val="24"/>
                <w:szCs w:val="24"/>
              </w:rPr>
            </w:pPr>
            <w:r>
              <w:rPr>
                <w:rFonts w:hint="eastAsia" w:ascii="宋体" w:hAnsi="宋体" w:eastAsia="宋体" w:cs="宋体"/>
                <w:sz w:val="24"/>
                <w:szCs w:val="24"/>
                <w:lang w:bidi="ar"/>
              </w:rPr>
              <w:t>数据分析</w:t>
            </w:r>
          </w:p>
        </w:tc>
        <w:tc>
          <w:tcPr>
            <w:tcW w:w="4275" w:type="pct"/>
            <w:tcBorders>
              <w:top w:val="single" w:color="auto" w:sz="4" w:space="0"/>
              <w:left w:val="single" w:color="auto" w:sz="4" w:space="0"/>
              <w:bottom w:val="single" w:color="auto" w:sz="4" w:space="0"/>
              <w:right w:val="single" w:color="auto" w:sz="4" w:space="0"/>
            </w:tcBorders>
          </w:tcPr>
          <w:p w14:paraId="6D22DCAA">
            <w:pPr>
              <w:pStyle w:val="24"/>
              <w:widowControl w:val="0"/>
              <w:spacing w:before="0" w:beforeAutospacing="0" w:after="0" w:afterAutospacing="0" w:line="400" w:lineRule="exact"/>
              <w:jc w:val="both"/>
              <w:rPr>
                <w:rFonts w:hint="eastAsia"/>
                <w:kern w:val="2"/>
              </w:rPr>
            </w:pPr>
            <w:r>
              <w:rPr>
                <w:rFonts w:hint="eastAsia"/>
                <w:kern w:val="2"/>
                <w:lang w:bidi="ar"/>
              </w:rPr>
              <w:t>支持审计记录完整的语句详情信息。包括：发生时间、API路径、服务端 IP、服务端端口、 客户端 IP、客户端口、请求概要信息、返回概要信息、结果、请求数据标签、返回数据标签、文件名称、文件MD5、流量VLAN ID、审计日志ID 、抓包网卡、会话ID、协议等多个审计信息。</w:t>
            </w:r>
          </w:p>
        </w:tc>
      </w:tr>
      <w:tr w14:paraId="708A0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24" w:type="pct"/>
            <w:vMerge w:val="continue"/>
            <w:tcBorders>
              <w:top w:val="nil"/>
              <w:left w:val="single" w:color="auto" w:sz="4" w:space="0"/>
              <w:bottom w:val="single" w:color="auto" w:sz="4" w:space="0"/>
              <w:right w:val="single" w:color="auto" w:sz="4" w:space="0"/>
            </w:tcBorders>
            <w:vAlign w:val="center"/>
          </w:tcPr>
          <w:p w14:paraId="1FD62C0F">
            <w:pPr>
              <w:spacing w:line="400" w:lineRule="exact"/>
              <w:jc w:val="center"/>
              <w:rPr>
                <w:rFonts w:hint="eastAsia" w:ascii="宋体" w:hAnsi="宋体" w:eastAsia="宋体" w:cs="宋体"/>
                <w:sz w:val="24"/>
                <w:szCs w:val="24"/>
              </w:rPr>
            </w:pPr>
          </w:p>
        </w:tc>
        <w:tc>
          <w:tcPr>
            <w:tcW w:w="4275" w:type="pct"/>
            <w:tcBorders>
              <w:top w:val="single" w:color="auto" w:sz="4" w:space="0"/>
              <w:left w:val="single" w:color="auto" w:sz="4" w:space="0"/>
              <w:bottom w:val="single" w:color="auto" w:sz="4" w:space="0"/>
              <w:right w:val="single" w:color="auto" w:sz="4" w:space="0"/>
            </w:tcBorders>
          </w:tcPr>
          <w:p w14:paraId="05A1FDAD">
            <w:pPr>
              <w:pStyle w:val="24"/>
              <w:widowControl w:val="0"/>
              <w:spacing w:before="0" w:beforeAutospacing="0" w:after="0" w:afterAutospacing="0" w:line="400" w:lineRule="exact"/>
              <w:jc w:val="both"/>
              <w:rPr>
                <w:rFonts w:hint="eastAsia"/>
                <w:kern w:val="2"/>
              </w:rPr>
            </w:pPr>
            <w:r>
              <w:rPr>
                <w:rFonts w:hint="eastAsia"/>
                <w:kern w:val="2"/>
                <w:lang w:bidi="ar"/>
              </w:rPr>
              <w:t>内置API数据安全运营、应用、文件、API、账号等专项分析报告，从资产活跃、风险、访问情况进行分析，通过可视化图表的方式展示资产的风险类型发布、新增趋势、脆弱性应用TOP等。</w:t>
            </w:r>
          </w:p>
        </w:tc>
      </w:tr>
      <w:tr w14:paraId="033C7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24" w:type="pct"/>
            <w:vMerge w:val="restart"/>
            <w:tcBorders>
              <w:top w:val="nil"/>
              <w:left w:val="single" w:color="auto" w:sz="4" w:space="0"/>
              <w:bottom w:val="single" w:color="auto" w:sz="4" w:space="0"/>
              <w:right w:val="single" w:color="auto" w:sz="4" w:space="0"/>
            </w:tcBorders>
            <w:vAlign w:val="center"/>
          </w:tcPr>
          <w:p w14:paraId="7C4C5D77">
            <w:pPr>
              <w:spacing w:line="400" w:lineRule="exact"/>
              <w:jc w:val="center"/>
              <w:rPr>
                <w:rFonts w:hint="eastAsia" w:ascii="宋体" w:hAnsi="宋体" w:eastAsia="宋体" w:cs="宋体"/>
                <w:sz w:val="24"/>
                <w:szCs w:val="24"/>
              </w:rPr>
            </w:pPr>
            <w:r>
              <w:rPr>
                <w:rFonts w:hint="eastAsia" w:ascii="宋体" w:hAnsi="宋体" w:eastAsia="宋体" w:cs="宋体"/>
                <w:sz w:val="24"/>
                <w:szCs w:val="24"/>
                <w:lang w:bidi="ar"/>
              </w:rPr>
              <w:t>资质要求</w:t>
            </w:r>
          </w:p>
        </w:tc>
        <w:tc>
          <w:tcPr>
            <w:tcW w:w="4275" w:type="pct"/>
            <w:tcBorders>
              <w:top w:val="single" w:color="auto" w:sz="4" w:space="0"/>
              <w:left w:val="single" w:color="auto" w:sz="4" w:space="0"/>
              <w:bottom w:val="single" w:color="auto" w:sz="4" w:space="0"/>
              <w:right w:val="single" w:color="auto" w:sz="4" w:space="0"/>
            </w:tcBorders>
          </w:tcPr>
          <w:p w14:paraId="52FAA92C">
            <w:pPr>
              <w:pStyle w:val="24"/>
              <w:widowControl w:val="0"/>
              <w:spacing w:before="0" w:beforeAutospacing="0" w:after="0" w:afterAutospacing="0" w:line="400" w:lineRule="exact"/>
              <w:jc w:val="both"/>
              <w:rPr>
                <w:rFonts w:hint="eastAsia"/>
                <w:kern w:val="2"/>
              </w:rPr>
            </w:pPr>
            <w:r>
              <w:rPr>
                <w:rFonts w:hint="eastAsia"/>
                <w:kern w:val="2"/>
                <w:lang w:bidi="ar"/>
              </w:rPr>
              <w:t>产品具备《网络关键设备和网络安全专用产品安全认证证书》。（</w:t>
            </w:r>
            <w:r>
              <w:rPr>
                <w:rFonts w:hint="eastAsia"/>
                <w:b/>
                <w:bCs/>
                <w:lang w:bidi="ar"/>
              </w:rPr>
              <w:t>提供有效证书复印件并加盖公章</w:t>
            </w:r>
            <w:r>
              <w:rPr>
                <w:rFonts w:hint="eastAsia"/>
                <w:kern w:val="2"/>
                <w:lang w:bidi="ar"/>
              </w:rPr>
              <w:t>）</w:t>
            </w:r>
          </w:p>
        </w:tc>
      </w:tr>
      <w:tr w14:paraId="47134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24" w:type="pct"/>
            <w:vMerge w:val="continue"/>
            <w:tcBorders>
              <w:top w:val="nil"/>
              <w:left w:val="single" w:color="auto" w:sz="4" w:space="0"/>
              <w:bottom w:val="single" w:color="auto" w:sz="4" w:space="0"/>
              <w:right w:val="single" w:color="auto" w:sz="4" w:space="0"/>
            </w:tcBorders>
            <w:vAlign w:val="center"/>
          </w:tcPr>
          <w:p w14:paraId="7C96DA58">
            <w:pPr>
              <w:spacing w:line="400" w:lineRule="exact"/>
              <w:rPr>
                <w:rFonts w:hint="eastAsia" w:ascii="宋体" w:hAnsi="宋体" w:eastAsia="宋体" w:cs="宋体"/>
                <w:sz w:val="24"/>
                <w:szCs w:val="24"/>
              </w:rPr>
            </w:pPr>
          </w:p>
        </w:tc>
        <w:tc>
          <w:tcPr>
            <w:tcW w:w="4275" w:type="pct"/>
            <w:tcBorders>
              <w:top w:val="single" w:color="auto" w:sz="4" w:space="0"/>
              <w:left w:val="single" w:color="auto" w:sz="4" w:space="0"/>
              <w:bottom w:val="single" w:color="auto" w:sz="4" w:space="0"/>
              <w:right w:val="single" w:color="auto" w:sz="4" w:space="0"/>
            </w:tcBorders>
          </w:tcPr>
          <w:p w14:paraId="01C41BB8">
            <w:pPr>
              <w:pStyle w:val="24"/>
              <w:widowControl w:val="0"/>
              <w:spacing w:before="0" w:beforeAutospacing="0" w:after="0" w:afterAutospacing="0" w:line="400" w:lineRule="exact"/>
              <w:jc w:val="both"/>
              <w:rPr>
                <w:rFonts w:hint="eastAsia"/>
                <w:kern w:val="2"/>
              </w:rPr>
            </w:pPr>
            <w:r>
              <w:rPr>
                <w:rFonts w:hint="eastAsia"/>
                <w:kern w:val="2"/>
                <w:lang w:bidi="ar"/>
              </w:rPr>
              <w:t>产品具备IPv6 Ready Logo认证。（</w:t>
            </w:r>
            <w:r>
              <w:rPr>
                <w:rFonts w:hint="eastAsia"/>
                <w:b/>
                <w:bCs/>
                <w:lang w:bidi="ar"/>
              </w:rPr>
              <w:t>提供有效证书复印件并加盖公章</w:t>
            </w:r>
            <w:r>
              <w:rPr>
                <w:rFonts w:hint="eastAsia"/>
                <w:kern w:val="2"/>
                <w:lang w:bidi="ar"/>
              </w:rPr>
              <w:t>）</w:t>
            </w:r>
          </w:p>
        </w:tc>
      </w:tr>
    </w:tbl>
    <w:p w14:paraId="1E07CC25">
      <w:pPr>
        <w:pStyle w:val="2"/>
        <w:spacing w:line="400" w:lineRule="exact"/>
        <w:ind w:left="0"/>
        <w:rPr>
          <w:rFonts w:hint="eastAsia" w:ascii="宋体" w:hAnsi="宋体" w:eastAsia="宋体"/>
        </w:rPr>
      </w:pPr>
    </w:p>
    <w:p w14:paraId="746BC828">
      <w:pPr>
        <w:spacing w:line="400" w:lineRule="exact"/>
        <w:rPr>
          <w:rFonts w:hint="eastAsia" w:ascii="宋体" w:hAnsi="宋体" w:eastAsia="宋体" w:cs="宋体"/>
          <w:b/>
          <w:bCs/>
          <w:sz w:val="24"/>
          <w:szCs w:val="24"/>
        </w:rPr>
      </w:pPr>
      <w:bookmarkStart w:id="51" w:name="OLE_LINK1"/>
      <w:r>
        <w:rPr>
          <w:rFonts w:hint="eastAsia" w:ascii="宋体" w:hAnsi="宋体" w:eastAsia="宋体" w:cs="宋体"/>
          <w:b/>
          <w:bCs/>
          <w:sz w:val="24"/>
          <w:szCs w:val="24"/>
        </w:rPr>
        <w:t>API安全网关系统</w:t>
      </w:r>
    </w:p>
    <w:bookmarkEnd w:id="51"/>
    <w:tbl>
      <w:tblPr>
        <w:tblStyle w:val="28"/>
        <w:tblW w:w="4947" w:type="pct"/>
        <w:tblInd w:w="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0"/>
        <w:gridCol w:w="7618"/>
      </w:tblGrid>
      <w:tr w14:paraId="6D2F5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24" w:type="pct"/>
            <w:tcBorders>
              <w:top w:val="single" w:color="auto" w:sz="4" w:space="0"/>
              <w:left w:val="single" w:color="auto" w:sz="4" w:space="0"/>
              <w:bottom w:val="single" w:color="auto" w:sz="4" w:space="0"/>
              <w:right w:val="single" w:color="auto" w:sz="4" w:space="0"/>
            </w:tcBorders>
            <w:vAlign w:val="center"/>
          </w:tcPr>
          <w:p w14:paraId="499BCE7C">
            <w:pPr>
              <w:spacing w:line="400" w:lineRule="exact"/>
              <w:jc w:val="center"/>
              <w:rPr>
                <w:rFonts w:hint="eastAsia" w:ascii="宋体" w:hAnsi="宋体" w:eastAsia="宋体" w:cs="宋体"/>
                <w:b/>
                <w:bCs/>
                <w:sz w:val="24"/>
                <w:szCs w:val="24"/>
              </w:rPr>
            </w:pPr>
            <w:r>
              <w:rPr>
                <w:rFonts w:hint="eastAsia" w:ascii="宋体" w:hAnsi="宋体" w:eastAsia="宋体" w:cs="宋体"/>
                <w:b/>
                <w:bCs/>
                <w:sz w:val="24"/>
                <w:szCs w:val="24"/>
                <w:lang w:bidi="ar"/>
              </w:rPr>
              <w:t>技术指标</w:t>
            </w:r>
          </w:p>
        </w:tc>
        <w:tc>
          <w:tcPr>
            <w:tcW w:w="4275" w:type="pct"/>
            <w:tcBorders>
              <w:top w:val="single" w:color="auto" w:sz="4" w:space="0"/>
              <w:left w:val="single" w:color="auto" w:sz="4" w:space="0"/>
              <w:bottom w:val="single" w:color="auto" w:sz="4" w:space="0"/>
              <w:right w:val="single" w:color="auto" w:sz="4" w:space="0"/>
            </w:tcBorders>
            <w:vAlign w:val="center"/>
          </w:tcPr>
          <w:p w14:paraId="2AFEAFF3">
            <w:pPr>
              <w:spacing w:line="400" w:lineRule="exact"/>
              <w:jc w:val="center"/>
              <w:rPr>
                <w:rFonts w:hint="eastAsia" w:ascii="宋体" w:hAnsi="宋体" w:eastAsia="宋体" w:cs="宋体"/>
                <w:b/>
                <w:bCs/>
                <w:sz w:val="24"/>
                <w:szCs w:val="24"/>
              </w:rPr>
            </w:pPr>
            <w:r>
              <w:rPr>
                <w:rFonts w:hint="eastAsia" w:ascii="宋体" w:hAnsi="宋体" w:eastAsia="宋体" w:cs="宋体"/>
                <w:b/>
                <w:bCs/>
                <w:sz w:val="24"/>
                <w:szCs w:val="24"/>
                <w:lang w:bidi="ar"/>
              </w:rPr>
              <w:t>指标参数</w:t>
            </w:r>
          </w:p>
        </w:tc>
      </w:tr>
      <w:tr w14:paraId="4F5B4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24" w:type="pct"/>
            <w:tcBorders>
              <w:top w:val="single" w:color="auto" w:sz="4" w:space="0"/>
              <w:left w:val="single" w:color="auto" w:sz="4" w:space="0"/>
              <w:bottom w:val="single" w:color="auto" w:sz="4" w:space="0"/>
              <w:right w:val="single" w:color="auto" w:sz="4" w:space="0"/>
            </w:tcBorders>
            <w:vAlign w:val="center"/>
          </w:tcPr>
          <w:p w14:paraId="41C3AD1A">
            <w:pPr>
              <w:spacing w:line="400" w:lineRule="exact"/>
              <w:jc w:val="center"/>
              <w:rPr>
                <w:rFonts w:hint="eastAsia" w:ascii="宋体" w:hAnsi="宋体" w:eastAsia="宋体" w:cs="宋体"/>
                <w:sz w:val="24"/>
                <w:szCs w:val="24"/>
              </w:rPr>
            </w:pPr>
            <w:r>
              <w:rPr>
                <w:rFonts w:hint="eastAsia" w:ascii="宋体" w:hAnsi="宋体" w:eastAsia="宋体" w:cs="宋体"/>
                <w:sz w:val="24"/>
                <w:szCs w:val="24"/>
                <w:lang w:bidi="ar"/>
              </w:rPr>
              <w:t>基本要求</w:t>
            </w:r>
          </w:p>
        </w:tc>
        <w:tc>
          <w:tcPr>
            <w:tcW w:w="4275" w:type="pct"/>
            <w:tcBorders>
              <w:top w:val="single" w:color="auto" w:sz="4" w:space="0"/>
              <w:left w:val="single" w:color="auto" w:sz="4" w:space="0"/>
              <w:bottom w:val="single" w:color="auto" w:sz="4" w:space="0"/>
              <w:right w:val="single" w:color="auto" w:sz="4" w:space="0"/>
            </w:tcBorders>
            <w:shd w:val="clear" w:color="auto" w:fill="FFFFFF"/>
            <w:vAlign w:val="center"/>
          </w:tcPr>
          <w:p w14:paraId="10DE5954">
            <w:pPr>
              <w:spacing w:line="400" w:lineRule="exact"/>
              <w:rPr>
                <w:rFonts w:hint="eastAsia" w:ascii="宋体" w:hAnsi="宋体" w:eastAsia="宋体" w:cs="宋体"/>
                <w:sz w:val="24"/>
                <w:szCs w:val="24"/>
              </w:rPr>
            </w:pPr>
            <w:r>
              <w:rPr>
                <w:rFonts w:hint="eastAsia" w:ascii="宋体" w:hAnsi="宋体" w:eastAsia="宋体" w:cs="宋体"/>
                <w:sz w:val="24"/>
                <w:szCs w:val="24"/>
                <w:lang w:bidi="ar"/>
              </w:rPr>
              <w:t>★软硬一体化2U标准机架式设备，CPU≥24核48线程，内存≥128G，硬盘≥16TB ，显卡数量≥ 1 ，显存容量≥ 48GB，</w:t>
            </w:r>
            <w:r>
              <w:rPr>
                <w:rFonts w:hint="eastAsia" w:ascii="宋体" w:hAnsi="宋体" w:eastAsia="宋体" w:cs="宋体"/>
                <w:bCs/>
                <w:color w:val="000000"/>
                <w:kern w:val="0"/>
                <w:sz w:val="24"/>
                <w:szCs w:val="24"/>
                <w:lang w:bidi="ar"/>
              </w:rPr>
              <w:t>千兆电口</w:t>
            </w:r>
            <w:r>
              <w:rPr>
                <w:rFonts w:hint="eastAsia" w:ascii="宋体" w:hAnsi="宋体" w:eastAsia="宋体" w:cs="宋体"/>
                <w:sz w:val="24"/>
                <w:szCs w:val="24"/>
                <w:lang w:bidi="ar"/>
              </w:rPr>
              <w:t>≥3个</w:t>
            </w:r>
            <w:r>
              <w:rPr>
                <w:rFonts w:hint="eastAsia" w:ascii="宋体" w:hAnsi="宋体" w:eastAsia="宋体" w:cs="宋体"/>
                <w:bCs/>
                <w:color w:val="000000"/>
                <w:kern w:val="0"/>
                <w:sz w:val="24"/>
                <w:szCs w:val="24"/>
                <w:lang w:bidi="ar"/>
              </w:rPr>
              <w:t>，接口扩展槽</w:t>
            </w:r>
            <w:bookmarkStart w:id="52" w:name="OLE_LINK10"/>
            <w:r>
              <w:rPr>
                <w:rFonts w:hint="eastAsia" w:ascii="宋体" w:hAnsi="宋体" w:eastAsia="宋体" w:cs="宋体"/>
                <w:bCs/>
                <w:color w:val="000000"/>
                <w:kern w:val="0"/>
                <w:sz w:val="24"/>
                <w:szCs w:val="24"/>
                <w:lang w:bidi="ar"/>
              </w:rPr>
              <w:t>≥</w:t>
            </w:r>
            <w:bookmarkEnd w:id="52"/>
            <w:r>
              <w:rPr>
                <w:rFonts w:hint="eastAsia" w:ascii="宋体" w:hAnsi="宋体" w:eastAsia="宋体" w:cs="宋体"/>
                <w:bCs/>
                <w:color w:val="000000"/>
                <w:kern w:val="0"/>
                <w:sz w:val="24"/>
                <w:szCs w:val="24"/>
                <w:lang w:bidi="ar"/>
              </w:rPr>
              <w:t>8个，</w:t>
            </w:r>
            <w:r>
              <w:rPr>
                <w:rFonts w:hint="eastAsia" w:ascii="宋体" w:hAnsi="宋体" w:eastAsia="宋体" w:cs="宋体"/>
                <w:sz w:val="24"/>
                <w:szCs w:val="24"/>
                <w:lang w:bidi="ar"/>
              </w:rPr>
              <w:t>配置冗余电源。可支持Raid0,1,5,6,10,50,60，硬盘槽位数量</w:t>
            </w:r>
            <w:r>
              <w:rPr>
                <w:rFonts w:hint="eastAsia" w:ascii="宋体" w:hAnsi="宋体" w:eastAsia="宋体" w:cs="宋体"/>
                <w:bCs/>
                <w:color w:val="000000"/>
                <w:kern w:val="0"/>
                <w:sz w:val="24"/>
                <w:szCs w:val="24"/>
                <w:lang w:bidi="ar"/>
              </w:rPr>
              <w:t>≥</w:t>
            </w:r>
            <w:r>
              <w:rPr>
                <w:rFonts w:hint="eastAsia" w:ascii="宋体" w:hAnsi="宋体" w:eastAsia="宋体" w:cs="宋体"/>
                <w:sz w:val="24"/>
                <w:szCs w:val="24"/>
                <w:lang w:bidi="ar"/>
              </w:rPr>
              <w:t>8个。</w:t>
            </w:r>
          </w:p>
        </w:tc>
      </w:tr>
      <w:tr w14:paraId="7A736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4" w:type="pct"/>
            <w:tcBorders>
              <w:top w:val="single" w:color="auto" w:sz="4" w:space="0"/>
              <w:left w:val="single" w:color="auto" w:sz="4" w:space="0"/>
              <w:bottom w:val="single" w:color="auto" w:sz="4" w:space="0"/>
              <w:right w:val="single" w:color="auto" w:sz="4" w:space="0"/>
            </w:tcBorders>
            <w:vAlign w:val="center"/>
          </w:tcPr>
          <w:p w14:paraId="606D7794">
            <w:pPr>
              <w:spacing w:line="400" w:lineRule="exact"/>
              <w:jc w:val="center"/>
              <w:rPr>
                <w:rFonts w:hint="eastAsia" w:ascii="宋体" w:hAnsi="宋体" w:eastAsia="宋体" w:cs="宋体"/>
                <w:sz w:val="24"/>
                <w:szCs w:val="24"/>
              </w:rPr>
            </w:pPr>
            <w:r>
              <w:rPr>
                <w:rFonts w:hint="eastAsia" w:ascii="宋体" w:hAnsi="宋体" w:eastAsia="宋体" w:cs="宋体"/>
                <w:color w:val="000000"/>
                <w:kern w:val="0"/>
                <w:sz w:val="24"/>
                <w:szCs w:val="24"/>
                <w:lang w:bidi="ar"/>
              </w:rPr>
              <w:t>部署方式</w:t>
            </w:r>
          </w:p>
        </w:tc>
        <w:tc>
          <w:tcPr>
            <w:tcW w:w="4275" w:type="pct"/>
            <w:tcBorders>
              <w:top w:val="single" w:color="auto" w:sz="4" w:space="0"/>
              <w:left w:val="single" w:color="auto" w:sz="4" w:space="0"/>
              <w:bottom w:val="single" w:color="auto" w:sz="4" w:space="0"/>
              <w:right w:val="single" w:color="auto" w:sz="4" w:space="0"/>
            </w:tcBorders>
            <w:vAlign w:val="center"/>
          </w:tcPr>
          <w:p w14:paraId="64CE69A8">
            <w:pPr>
              <w:spacing w:line="400" w:lineRule="exact"/>
              <w:rPr>
                <w:rFonts w:hint="eastAsia" w:ascii="宋体" w:hAnsi="宋体" w:eastAsia="宋体" w:cs="宋体"/>
                <w:kern w:val="0"/>
                <w:sz w:val="24"/>
                <w:szCs w:val="24"/>
              </w:rPr>
            </w:pPr>
            <w:r>
              <w:rPr>
                <w:rFonts w:hint="eastAsia" w:ascii="宋体" w:hAnsi="宋体" w:eastAsia="宋体" w:cs="宋体"/>
                <w:color w:val="000000"/>
                <w:kern w:val="0"/>
                <w:sz w:val="24"/>
                <w:szCs w:val="24"/>
                <w:lang w:bidi="ar"/>
              </w:rPr>
              <w:t>支持通过代理对外部应用系统提供统一的认证方式，实现应用接入标准的统一。</w:t>
            </w:r>
          </w:p>
        </w:tc>
      </w:tr>
      <w:tr w14:paraId="116A5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4" w:type="pct"/>
            <w:vMerge w:val="restart"/>
            <w:tcBorders>
              <w:top w:val="nil"/>
              <w:left w:val="single" w:color="auto" w:sz="4" w:space="0"/>
              <w:bottom w:val="single" w:color="auto" w:sz="4" w:space="0"/>
              <w:right w:val="single" w:color="auto" w:sz="4" w:space="0"/>
            </w:tcBorders>
            <w:vAlign w:val="center"/>
          </w:tcPr>
          <w:p w14:paraId="0CBBBB84">
            <w:pPr>
              <w:spacing w:line="40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bidi="ar"/>
              </w:rPr>
              <w:t>API路由管理</w:t>
            </w:r>
          </w:p>
        </w:tc>
        <w:tc>
          <w:tcPr>
            <w:tcW w:w="4275" w:type="pct"/>
            <w:tcBorders>
              <w:top w:val="single" w:color="auto" w:sz="4" w:space="0"/>
              <w:left w:val="single" w:color="auto" w:sz="4" w:space="0"/>
              <w:bottom w:val="single" w:color="auto" w:sz="4" w:space="0"/>
              <w:right w:val="single" w:color="auto" w:sz="4" w:space="0"/>
            </w:tcBorders>
            <w:vAlign w:val="center"/>
          </w:tcPr>
          <w:p w14:paraId="0FCAAE17">
            <w:pPr>
              <w:spacing w:line="400" w:lineRule="exact"/>
              <w:rPr>
                <w:rFonts w:hint="eastAsia" w:ascii="宋体" w:hAnsi="宋体" w:eastAsia="宋体" w:cs="宋体"/>
                <w:color w:val="000000"/>
                <w:kern w:val="0"/>
                <w:sz w:val="24"/>
                <w:szCs w:val="24"/>
              </w:rPr>
            </w:pPr>
            <w:r>
              <w:rPr>
                <w:rFonts w:hint="eastAsia" w:ascii="宋体" w:hAnsi="宋体" w:eastAsia="宋体" w:cs="宋体"/>
                <w:sz w:val="24"/>
                <w:szCs w:val="24"/>
                <w:lang w:bidi="ar"/>
              </w:rPr>
              <w:t>API路由管理支持全路径匹配、前缀匹配，也支持使用Nginx内置变量作为匹配条件，以此实现精细化API路由。</w:t>
            </w:r>
          </w:p>
        </w:tc>
      </w:tr>
      <w:tr w14:paraId="3D15A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4" w:type="pct"/>
            <w:vMerge w:val="continue"/>
            <w:tcBorders>
              <w:top w:val="nil"/>
              <w:left w:val="single" w:color="auto" w:sz="4" w:space="0"/>
              <w:bottom w:val="single" w:color="auto" w:sz="4" w:space="0"/>
              <w:right w:val="single" w:color="auto" w:sz="4" w:space="0"/>
            </w:tcBorders>
            <w:vAlign w:val="center"/>
          </w:tcPr>
          <w:p w14:paraId="35114158">
            <w:pPr>
              <w:spacing w:line="400" w:lineRule="exact"/>
              <w:jc w:val="center"/>
              <w:rPr>
                <w:rFonts w:hint="eastAsia" w:ascii="宋体" w:hAnsi="宋体" w:eastAsia="宋体" w:cs="宋体"/>
                <w:sz w:val="24"/>
                <w:szCs w:val="24"/>
              </w:rPr>
            </w:pPr>
          </w:p>
        </w:tc>
        <w:tc>
          <w:tcPr>
            <w:tcW w:w="4275" w:type="pct"/>
            <w:tcBorders>
              <w:top w:val="single" w:color="auto" w:sz="4" w:space="0"/>
              <w:left w:val="single" w:color="auto" w:sz="4" w:space="0"/>
              <w:bottom w:val="single" w:color="auto" w:sz="4" w:space="0"/>
              <w:right w:val="single" w:color="auto" w:sz="4" w:space="0"/>
            </w:tcBorders>
            <w:vAlign w:val="center"/>
          </w:tcPr>
          <w:p w14:paraId="2D1842EE">
            <w:pPr>
              <w:spacing w:line="400" w:lineRule="exact"/>
              <w:rPr>
                <w:rFonts w:hint="eastAsia" w:ascii="宋体" w:hAnsi="宋体" w:eastAsia="宋体" w:cs="宋体"/>
                <w:sz w:val="24"/>
                <w:szCs w:val="24"/>
              </w:rPr>
            </w:pPr>
            <w:r>
              <w:rPr>
                <w:rFonts w:hint="eastAsia" w:ascii="宋体" w:hAnsi="宋体" w:eastAsia="宋体" w:cs="宋体"/>
                <w:sz w:val="24"/>
                <w:szCs w:val="24"/>
                <w:lang w:bidi="ar"/>
              </w:rPr>
              <w:t>支持API灰度发布、API上下线等基础功能。</w:t>
            </w:r>
          </w:p>
        </w:tc>
      </w:tr>
      <w:tr w14:paraId="6CF58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4" w:type="pct"/>
            <w:tcBorders>
              <w:top w:val="single" w:color="auto" w:sz="4" w:space="0"/>
              <w:left w:val="single" w:color="auto" w:sz="4" w:space="0"/>
              <w:bottom w:val="single" w:color="auto" w:sz="4" w:space="0"/>
              <w:right w:val="single" w:color="auto" w:sz="4" w:space="0"/>
            </w:tcBorders>
            <w:vAlign w:val="center"/>
          </w:tcPr>
          <w:p w14:paraId="6FDAEC6D">
            <w:pPr>
              <w:spacing w:line="40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bidi="ar"/>
              </w:rPr>
              <w:t>后端&amp;插件</w:t>
            </w:r>
          </w:p>
        </w:tc>
        <w:tc>
          <w:tcPr>
            <w:tcW w:w="4275" w:type="pct"/>
            <w:tcBorders>
              <w:top w:val="single" w:color="auto" w:sz="4" w:space="0"/>
              <w:left w:val="single" w:color="auto" w:sz="4" w:space="0"/>
              <w:bottom w:val="single" w:color="auto" w:sz="4" w:space="0"/>
              <w:right w:val="single" w:color="auto" w:sz="4" w:space="0"/>
            </w:tcBorders>
            <w:vAlign w:val="center"/>
          </w:tcPr>
          <w:p w14:paraId="63E97D17">
            <w:pPr>
              <w:spacing w:line="400" w:lineRule="exac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bidi="ar"/>
              </w:rPr>
              <w:t>支持维护后端列表，支持后端的增删改查，支持插件列表管理及插件配置。</w:t>
            </w:r>
          </w:p>
        </w:tc>
      </w:tr>
      <w:tr w14:paraId="53879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4" w:type="pct"/>
            <w:tcBorders>
              <w:top w:val="single" w:color="auto" w:sz="4" w:space="0"/>
              <w:left w:val="single" w:color="auto" w:sz="4" w:space="0"/>
              <w:bottom w:val="single" w:color="auto" w:sz="4" w:space="0"/>
              <w:right w:val="single" w:color="auto" w:sz="4" w:space="0"/>
            </w:tcBorders>
            <w:vAlign w:val="center"/>
          </w:tcPr>
          <w:p w14:paraId="306422E8">
            <w:pPr>
              <w:spacing w:line="40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bidi="ar"/>
              </w:rPr>
              <w:t>API调用者</w:t>
            </w:r>
          </w:p>
        </w:tc>
        <w:tc>
          <w:tcPr>
            <w:tcW w:w="4275" w:type="pct"/>
            <w:tcBorders>
              <w:top w:val="single" w:color="auto" w:sz="4" w:space="0"/>
              <w:left w:val="single" w:color="auto" w:sz="4" w:space="0"/>
              <w:bottom w:val="single" w:color="auto" w:sz="4" w:space="0"/>
              <w:right w:val="single" w:color="auto" w:sz="4" w:space="0"/>
            </w:tcBorders>
            <w:vAlign w:val="center"/>
          </w:tcPr>
          <w:p w14:paraId="25310D91">
            <w:pPr>
              <w:spacing w:line="400" w:lineRule="exac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bidi="ar"/>
              </w:rPr>
              <w:t>支持API调用者统一管理。支持创建新的消费者，每个消费者根据认证方式的不同颁发不同的密钥，如Basic认证将颁发账号和密码，AppKey/SecretKey颁发AppKey和密钥。</w:t>
            </w:r>
          </w:p>
        </w:tc>
      </w:tr>
      <w:tr w14:paraId="2559B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4" w:type="pct"/>
            <w:tcBorders>
              <w:top w:val="single" w:color="auto" w:sz="4" w:space="0"/>
              <w:left w:val="single" w:color="auto" w:sz="4" w:space="0"/>
              <w:bottom w:val="single" w:color="auto" w:sz="4" w:space="0"/>
              <w:right w:val="single" w:color="auto" w:sz="4" w:space="0"/>
            </w:tcBorders>
            <w:vAlign w:val="center"/>
          </w:tcPr>
          <w:p w14:paraId="51141CE8">
            <w:pPr>
              <w:widowControl/>
              <w:spacing w:line="400" w:lineRule="exact"/>
              <w:jc w:val="center"/>
              <w:rPr>
                <w:rFonts w:hint="eastAsia" w:ascii="宋体" w:hAnsi="宋体" w:eastAsia="宋体" w:cs="宋体"/>
                <w:color w:val="000000"/>
                <w:kern w:val="0"/>
                <w:sz w:val="24"/>
                <w:szCs w:val="24"/>
              </w:rPr>
            </w:pPr>
            <w:r>
              <w:rPr>
                <w:rFonts w:hint="eastAsia" w:ascii="宋体" w:hAnsi="宋体" w:eastAsia="宋体" w:cs="宋体"/>
                <w:bCs/>
                <w:color w:val="000000"/>
                <w:kern w:val="0"/>
                <w:sz w:val="24"/>
                <w:szCs w:val="24"/>
                <w:lang w:bidi="ar"/>
              </w:rPr>
              <w:t>访问控制</w:t>
            </w:r>
          </w:p>
        </w:tc>
        <w:tc>
          <w:tcPr>
            <w:tcW w:w="4275" w:type="pct"/>
            <w:tcBorders>
              <w:top w:val="single" w:color="auto" w:sz="4" w:space="0"/>
              <w:left w:val="single" w:color="auto" w:sz="4" w:space="0"/>
              <w:bottom w:val="single" w:color="auto" w:sz="4" w:space="0"/>
              <w:right w:val="single" w:color="auto" w:sz="4" w:space="0"/>
            </w:tcBorders>
            <w:vAlign w:val="center"/>
          </w:tcPr>
          <w:p w14:paraId="2ED872EE">
            <w:pPr>
              <w:spacing w:line="400" w:lineRule="exact"/>
              <w:rPr>
                <w:rFonts w:hint="eastAsia" w:ascii="宋体" w:hAnsi="宋体" w:eastAsia="宋体" w:cs="宋体"/>
                <w:color w:val="000000"/>
                <w:kern w:val="0"/>
                <w:sz w:val="24"/>
                <w:szCs w:val="24"/>
              </w:rPr>
            </w:pPr>
            <w:r>
              <w:rPr>
                <w:rFonts w:hint="eastAsia" w:ascii="宋体" w:hAnsi="宋体" w:eastAsia="宋体" w:cs="宋体"/>
                <w:sz w:val="24"/>
                <w:szCs w:val="24"/>
                <w:lang w:bidi="ar"/>
              </w:rPr>
              <w:t>支持基于调用者、请求头、请求体、请求参数、返回头、返回体、访问时间等维度配置API的用户自定义访问控制规则。</w:t>
            </w:r>
          </w:p>
        </w:tc>
      </w:tr>
      <w:tr w14:paraId="2C118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4" w:type="pct"/>
            <w:tcBorders>
              <w:top w:val="single" w:color="auto" w:sz="4" w:space="0"/>
              <w:left w:val="single" w:color="auto" w:sz="4" w:space="0"/>
              <w:bottom w:val="single" w:color="auto" w:sz="4" w:space="0"/>
              <w:right w:val="single" w:color="auto" w:sz="4" w:space="0"/>
            </w:tcBorders>
            <w:vAlign w:val="center"/>
          </w:tcPr>
          <w:p w14:paraId="76DA3BB2">
            <w:pPr>
              <w:widowControl/>
              <w:spacing w:line="400" w:lineRule="exact"/>
              <w:jc w:val="center"/>
              <w:rPr>
                <w:rFonts w:hint="eastAsia" w:ascii="宋体" w:hAnsi="宋体" w:eastAsia="宋体" w:cs="宋体"/>
                <w:color w:val="000000"/>
                <w:kern w:val="0"/>
                <w:sz w:val="24"/>
                <w:szCs w:val="24"/>
              </w:rPr>
            </w:pPr>
            <w:r>
              <w:rPr>
                <w:rFonts w:hint="eastAsia" w:ascii="宋体" w:hAnsi="宋体" w:eastAsia="宋体" w:cs="宋体"/>
                <w:bCs/>
                <w:color w:val="000000"/>
                <w:kern w:val="0"/>
                <w:sz w:val="24"/>
                <w:szCs w:val="24"/>
                <w:lang w:bidi="ar"/>
              </w:rPr>
              <w:t>限流限速</w:t>
            </w:r>
          </w:p>
        </w:tc>
        <w:tc>
          <w:tcPr>
            <w:tcW w:w="4275" w:type="pct"/>
            <w:tcBorders>
              <w:top w:val="single" w:color="auto" w:sz="4" w:space="0"/>
              <w:left w:val="single" w:color="auto" w:sz="4" w:space="0"/>
              <w:bottom w:val="single" w:color="auto" w:sz="4" w:space="0"/>
              <w:right w:val="single" w:color="auto" w:sz="4" w:space="0"/>
            </w:tcBorders>
            <w:vAlign w:val="center"/>
          </w:tcPr>
          <w:p w14:paraId="763C8E18">
            <w:pPr>
              <w:spacing w:line="400" w:lineRule="exact"/>
              <w:rPr>
                <w:rFonts w:hint="eastAsia" w:ascii="宋体" w:hAnsi="宋体" w:eastAsia="宋体" w:cs="宋体"/>
                <w:color w:val="000000"/>
                <w:kern w:val="0"/>
                <w:sz w:val="24"/>
                <w:szCs w:val="24"/>
              </w:rPr>
            </w:pPr>
            <w:r>
              <w:rPr>
                <w:rFonts w:hint="eastAsia" w:ascii="宋体" w:hAnsi="宋体" w:eastAsia="宋体" w:cs="宋体"/>
                <w:kern w:val="0"/>
                <w:sz w:val="24"/>
                <w:szCs w:val="24"/>
                <w:lang w:bidi="ar"/>
              </w:rPr>
              <w:t>▲</w:t>
            </w:r>
            <w:r>
              <w:rPr>
                <w:rFonts w:hint="eastAsia" w:ascii="宋体" w:hAnsi="宋体" w:eastAsia="宋体" w:cs="宋体"/>
                <w:sz w:val="24"/>
                <w:szCs w:val="24"/>
                <w:lang w:bidi="ar"/>
              </w:rPr>
              <w:t>API安全网关系统支持基于API、服务、API调用者三个维度的限流限速功能，根据预设阈值，对单位时间内的API请求总数、访问者API连接数，以及API访问请求内容大小、访问时段等进行控制。</w:t>
            </w:r>
            <w:r>
              <w:rPr>
                <w:rFonts w:hint="eastAsia" w:ascii="宋体" w:hAnsi="宋体" w:eastAsia="宋体" w:cs="宋体"/>
                <w:b/>
                <w:color w:val="000000"/>
                <w:kern w:val="0"/>
                <w:sz w:val="24"/>
                <w:szCs w:val="24"/>
                <w:highlight w:val="none"/>
                <w:lang w:bidi="ar"/>
              </w:rPr>
              <w:t>（</w:t>
            </w:r>
            <w:r>
              <w:rPr>
                <w:rFonts w:hint="eastAsia" w:ascii="宋体" w:hAnsi="宋体" w:eastAsia="宋体" w:cs="宋体"/>
                <w:b/>
                <w:bCs/>
                <w:kern w:val="0"/>
                <w:sz w:val="24"/>
                <w:szCs w:val="24"/>
                <w:highlight w:val="none"/>
                <w:lang w:bidi="ar"/>
              </w:rPr>
              <w:t>提供由第三方权威机构出具、带有 CNAS 及 CMA 标识并加盖公章的检测报告。</w:t>
            </w:r>
            <w:r>
              <w:rPr>
                <w:rFonts w:hint="eastAsia" w:ascii="宋体" w:hAnsi="宋体" w:eastAsia="宋体" w:cs="宋体"/>
                <w:b/>
                <w:color w:val="000000"/>
                <w:kern w:val="0"/>
                <w:sz w:val="24"/>
                <w:szCs w:val="24"/>
                <w:highlight w:val="none"/>
                <w:lang w:bidi="ar"/>
              </w:rPr>
              <w:t>）</w:t>
            </w:r>
          </w:p>
        </w:tc>
      </w:tr>
      <w:tr w14:paraId="2F577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4" w:type="pct"/>
            <w:tcBorders>
              <w:top w:val="single" w:color="auto" w:sz="4" w:space="0"/>
              <w:left w:val="single" w:color="auto" w:sz="4" w:space="0"/>
              <w:bottom w:val="single" w:color="auto" w:sz="4" w:space="0"/>
              <w:right w:val="single" w:color="auto" w:sz="4" w:space="0"/>
            </w:tcBorders>
            <w:vAlign w:val="center"/>
          </w:tcPr>
          <w:p w14:paraId="6179ACDD">
            <w:pPr>
              <w:widowControl/>
              <w:spacing w:line="400" w:lineRule="exact"/>
              <w:jc w:val="center"/>
              <w:rPr>
                <w:rFonts w:hint="eastAsia" w:ascii="宋体" w:hAnsi="宋体" w:eastAsia="宋体" w:cs="宋体"/>
                <w:color w:val="000000"/>
                <w:kern w:val="0"/>
                <w:sz w:val="24"/>
                <w:szCs w:val="24"/>
              </w:rPr>
            </w:pPr>
            <w:r>
              <w:rPr>
                <w:rFonts w:hint="eastAsia" w:ascii="宋体" w:hAnsi="宋体" w:eastAsia="宋体" w:cs="宋体"/>
                <w:bCs/>
                <w:color w:val="000000"/>
                <w:kern w:val="0"/>
                <w:sz w:val="24"/>
                <w:szCs w:val="24"/>
                <w:lang w:bidi="ar"/>
              </w:rPr>
              <w:t>身份鉴权</w:t>
            </w:r>
          </w:p>
        </w:tc>
        <w:tc>
          <w:tcPr>
            <w:tcW w:w="4275" w:type="pct"/>
            <w:tcBorders>
              <w:top w:val="single" w:color="auto" w:sz="4" w:space="0"/>
              <w:left w:val="single" w:color="auto" w:sz="4" w:space="0"/>
              <w:bottom w:val="single" w:color="auto" w:sz="4" w:space="0"/>
              <w:right w:val="single" w:color="auto" w:sz="4" w:space="0"/>
            </w:tcBorders>
            <w:vAlign w:val="center"/>
          </w:tcPr>
          <w:p w14:paraId="271C696D">
            <w:pPr>
              <w:spacing w:line="400" w:lineRule="exact"/>
              <w:rPr>
                <w:rFonts w:hint="eastAsia" w:ascii="宋体" w:hAnsi="宋体" w:eastAsia="宋体" w:cs="宋体"/>
                <w:color w:val="000000"/>
                <w:kern w:val="0"/>
                <w:sz w:val="24"/>
                <w:szCs w:val="24"/>
              </w:rPr>
            </w:pPr>
            <w:r>
              <w:rPr>
                <w:rFonts w:ascii="Segoe UI" w:hAnsi="Segoe UI" w:eastAsia="Segoe UI" w:cs="Segoe UI"/>
                <w:color w:val="000000"/>
                <w:sz w:val="22"/>
                <w:shd w:val="clear" w:color="auto" w:fill="FFFFFF"/>
              </w:rPr>
              <w:t>支持的身份认证方式不少于5种，至少包括：basic-auth、jwt-auth、key-auth、HMAC、OAuth2</w:t>
            </w:r>
            <w:r>
              <w:rPr>
                <w:rFonts w:hint="eastAsia" w:ascii="微软雅黑" w:hAnsi="微软雅黑" w:eastAsia="微软雅黑" w:cs="微软雅黑"/>
                <w:color w:val="000000"/>
                <w:sz w:val="22"/>
                <w:shd w:val="clear" w:color="auto" w:fill="FFFFFF"/>
              </w:rPr>
              <w:t>。</w:t>
            </w:r>
          </w:p>
        </w:tc>
      </w:tr>
      <w:tr w14:paraId="51557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4" w:type="pct"/>
            <w:tcBorders>
              <w:top w:val="single" w:color="auto" w:sz="4" w:space="0"/>
              <w:left w:val="single" w:color="auto" w:sz="4" w:space="0"/>
              <w:bottom w:val="single" w:color="auto" w:sz="4" w:space="0"/>
              <w:right w:val="single" w:color="auto" w:sz="4" w:space="0"/>
            </w:tcBorders>
            <w:vAlign w:val="center"/>
          </w:tcPr>
          <w:p w14:paraId="61F2ECA9">
            <w:pPr>
              <w:widowControl/>
              <w:spacing w:line="400" w:lineRule="exact"/>
              <w:jc w:val="center"/>
              <w:rPr>
                <w:rFonts w:hint="eastAsia" w:ascii="宋体" w:hAnsi="宋体" w:eastAsia="宋体" w:cs="宋体"/>
                <w:color w:val="000000"/>
                <w:kern w:val="0"/>
                <w:sz w:val="24"/>
                <w:szCs w:val="24"/>
              </w:rPr>
            </w:pPr>
            <w:r>
              <w:rPr>
                <w:rFonts w:hint="eastAsia" w:ascii="宋体" w:hAnsi="宋体" w:eastAsia="宋体" w:cs="宋体"/>
                <w:bCs/>
                <w:color w:val="000000"/>
                <w:kern w:val="0"/>
                <w:sz w:val="24"/>
                <w:szCs w:val="24"/>
                <w:lang w:bidi="ar"/>
              </w:rPr>
              <w:t>内置规则</w:t>
            </w:r>
          </w:p>
        </w:tc>
        <w:tc>
          <w:tcPr>
            <w:tcW w:w="4275" w:type="pct"/>
            <w:tcBorders>
              <w:top w:val="single" w:color="auto" w:sz="4" w:space="0"/>
              <w:left w:val="single" w:color="auto" w:sz="4" w:space="0"/>
              <w:bottom w:val="single" w:color="auto" w:sz="4" w:space="0"/>
              <w:right w:val="single" w:color="auto" w:sz="4" w:space="0"/>
            </w:tcBorders>
            <w:vAlign w:val="center"/>
          </w:tcPr>
          <w:p w14:paraId="63E07C97">
            <w:pPr>
              <w:spacing w:line="400" w:lineRule="exact"/>
              <w:rPr>
                <w:rFonts w:hint="eastAsia" w:ascii="宋体" w:hAnsi="宋体" w:eastAsia="宋体" w:cs="宋体"/>
                <w:color w:val="000000"/>
                <w:kern w:val="0"/>
                <w:sz w:val="24"/>
                <w:szCs w:val="24"/>
              </w:rPr>
            </w:pPr>
            <w:r>
              <w:rPr>
                <w:rFonts w:hint="eastAsia" w:ascii="宋体" w:hAnsi="宋体" w:eastAsia="宋体" w:cs="宋体"/>
                <w:sz w:val="24"/>
                <w:szCs w:val="24"/>
                <w:lang w:bidi="ar"/>
              </w:rPr>
              <w:t>内置多种安全规则，包括协议限制、注入攻击、跨站攻击、恶意软件、信息泄漏等等。</w:t>
            </w:r>
          </w:p>
        </w:tc>
      </w:tr>
      <w:tr w14:paraId="069A5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4" w:type="pct"/>
            <w:tcBorders>
              <w:top w:val="single" w:color="auto" w:sz="4" w:space="0"/>
              <w:left w:val="single" w:color="auto" w:sz="4" w:space="0"/>
              <w:bottom w:val="single" w:color="auto" w:sz="4" w:space="0"/>
              <w:right w:val="single" w:color="auto" w:sz="4" w:space="0"/>
            </w:tcBorders>
            <w:vAlign w:val="center"/>
          </w:tcPr>
          <w:p w14:paraId="622C7D10">
            <w:pPr>
              <w:widowControl/>
              <w:spacing w:line="400" w:lineRule="exact"/>
              <w:jc w:val="center"/>
              <w:rPr>
                <w:rFonts w:hint="eastAsia" w:ascii="宋体" w:hAnsi="宋体" w:eastAsia="宋体" w:cs="宋体"/>
                <w:color w:val="000000"/>
                <w:kern w:val="0"/>
                <w:sz w:val="24"/>
                <w:szCs w:val="24"/>
              </w:rPr>
            </w:pPr>
            <w:r>
              <w:rPr>
                <w:rFonts w:hint="eastAsia" w:ascii="宋体" w:hAnsi="宋体" w:eastAsia="宋体" w:cs="宋体"/>
                <w:bCs/>
                <w:color w:val="000000"/>
                <w:kern w:val="0"/>
                <w:sz w:val="24"/>
                <w:szCs w:val="24"/>
                <w:lang w:bidi="ar"/>
              </w:rPr>
              <w:t>攻击防护</w:t>
            </w:r>
          </w:p>
        </w:tc>
        <w:tc>
          <w:tcPr>
            <w:tcW w:w="4275" w:type="pct"/>
            <w:tcBorders>
              <w:top w:val="single" w:color="auto" w:sz="4" w:space="0"/>
              <w:left w:val="single" w:color="auto" w:sz="4" w:space="0"/>
              <w:bottom w:val="single" w:color="auto" w:sz="4" w:space="0"/>
              <w:right w:val="single" w:color="auto" w:sz="4" w:space="0"/>
            </w:tcBorders>
            <w:vAlign w:val="center"/>
          </w:tcPr>
          <w:p w14:paraId="0BC7DCA3">
            <w:pPr>
              <w:spacing w:line="400" w:lineRule="exact"/>
              <w:rPr>
                <w:rFonts w:hint="eastAsia" w:ascii="宋体" w:hAnsi="宋体" w:eastAsia="宋体" w:cs="宋体"/>
                <w:color w:val="000000"/>
                <w:kern w:val="0"/>
                <w:sz w:val="24"/>
                <w:szCs w:val="24"/>
                <w:highlight w:val="none"/>
              </w:rPr>
            </w:pPr>
            <w:r>
              <w:rPr>
                <w:rFonts w:hint="eastAsia" w:ascii="宋体" w:hAnsi="宋体" w:eastAsia="宋体" w:cs="宋体"/>
                <w:kern w:val="0"/>
                <w:sz w:val="24"/>
                <w:szCs w:val="24"/>
                <w:highlight w:val="none"/>
                <w:lang w:bidi="ar"/>
              </w:rPr>
              <w:t>▲</w:t>
            </w:r>
            <w:r>
              <w:rPr>
                <w:rFonts w:hint="eastAsia" w:ascii="宋体" w:hAnsi="宋体" w:eastAsia="宋体" w:cs="宋体"/>
                <w:sz w:val="24"/>
                <w:szCs w:val="24"/>
                <w:highlight w:val="none"/>
                <w:lang w:bidi="ar"/>
              </w:rPr>
              <w:t>能够针对跨站脚本（XSS）和注入式攻击，包括SQL注入、命令注入 、代码注入、文件注入、LDAP注入、SSI注入等风险，进行有效的检测和防护。</w:t>
            </w:r>
            <w:r>
              <w:rPr>
                <w:rFonts w:hint="eastAsia" w:ascii="宋体" w:hAnsi="宋体" w:eastAsia="宋体" w:cs="宋体"/>
                <w:b/>
                <w:color w:val="000000"/>
                <w:kern w:val="0"/>
                <w:sz w:val="24"/>
                <w:szCs w:val="24"/>
                <w:highlight w:val="none"/>
                <w:lang w:bidi="ar"/>
              </w:rPr>
              <w:t>（</w:t>
            </w:r>
            <w:r>
              <w:rPr>
                <w:rFonts w:hint="eastAsia" w:ascii="宋体" w:hAnsi="宋体" w:eastAsia="宋体" w:cs="宋体"/>
                <w:b/>
                <w:bCs/>
                <w:kern w:val="0"/>
                <w:sz w:val="24"/>
                <w:szCs w:val="24"/>
                <w:highlight w:val="none"/>
                <w:lang w:bidi="ar"/>
              </w:rPr>
              <w:t>提供功能截图证明并加盖公章。</w:t>
            </w:r>
            <w:r>
              <w:rPr>
                <w:rFonts w:hint="eastAsia" w:ascii="宋体" w:hAnsi="宋体" w:eastAsia="宋体" w:cs="宋体"/>
                <w:b/>
                <w:color w:val="000000"/>
                <w:kern w:val="0"/>
                <w:sz w:val="24"/>
                <w:szCs w:val="24"/>
                <w:highlight w:val="none"/>
                <w:lang w:bidi="ar"/>
              </w:rPr>
              <w:t>）</w:t>
            </w:r>
          </w:p>
        </w:tc>
      </w:tr>
      <w:tr w14:paraId="48BBA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4" w:type="pct"/>
            <w:tcBorders>
              <w:top w:val="single" w:color="auto" w:sz="4" w:space="0"/>
              <w:left w:val="single" w:color="auto" w:sz="4" w:space="0"/>
              <w:bottom w:val="single" w:color="auto" w:sz="4" w:space="0"/>
              <w:right w:val="single" w:color="auto" w:sz="4" w:space="0"/>
            </w:tcBorders>
            <w:vAlign w:val="center"/>
          </w:tcPr>
          <w:p w14:paraId="30FBABAA">
            <w:pPr>
              <w:widowControl/>
              <w:spacing w:line="400" w:lineRule="exact"/>
              <w:jc w:val="center"/>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lang w:bidi="ar"/>
              </w:rPr>
              <w:t>字段检测</w:t>
            </w:r>
          </w:p>
        </w:tc>
        <w:tc>
          <w:tcPr>
            <w:tcW w:w="4275" w:type="pct"/>
            <w:tcBorders>
              <w:top w:val="single" w:color="auto" w:sz="4" w:space="0"/>
              <w:left w:val="single" w:color="auto" w:sz="4" w:space="0"/>
              <w:bottom w:val="single" w:color="auto" w:sz="4" w:space="0"/>
              <w:right w:val="single" w:color="auto" w:sz="4" w:space="0"/>
            </w:tcBorders>
            <w:vAlign w:val="center"/>
          </w:tcPr>
          <w:p w14:paraId="1F702AAF">
            <w:pPr>
              <w:spacing w:line="400" w:lineRule="exact"/>
              <w:rPr>
                <w:rFonts w:hint="eastAsia" w:ascii="宋体" w:hAnsi="宋体" w:eastAsia="宋体" w:cs="宋体"/>
                <w:kern w:val="0"/>
                <w:sz w:val="24"/>
                <w:szCs w:val="24"/>
              </w:rPr>
            </w:pPr>
            <w:r>
              <w:rPr>
                <w:rFonts w:hint="eastAsia" w:ascii="宋体" w:hAnsi="宋体" w:eastAsia="宋体" w:cs="宋体"/>
                <w:sz w:val="24"/>
                <w:szCs w:val="24"/>
                <w:lang w:bidi="ar"/>
              </w:rPr>
              <w:t>支持对HTTP请求关键字段进行合规性的检测（包括Host字段、User-Agent、Content-type字段等）。</w:t>
            </w:r>
          </w:p>
        </w:tc>
      </w:tr>
      <w:tr w14:paraId="2ABB8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4" w:type="pct"/>
            <w:tcBorders>
              <w:top w:val="single" w:color="auto" w:sz="4" w:space="0"/>
              <w:left w:val="single" w:color="auto" w:sz="4" w:space="0"/>
              <w:bottom w:val="single" w:color="auto" w:sz="4" w:space="0"/>
              <w:right w:val="single" w:color="auto" w:sz="4" w:space="0"/>
            </w:tcBorders>
            <w:vAlign w:val="center"/>
          </w:tcPr>
          <w:p w14:paraId="3C361C2E">
            <w:pPr>
              <w:widowControl/>
              <w:spacing w:line="400" w:lineRule="exact"/>
              <w:jc w:val="center"/>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lang w:bidi="ar"/>
              </w:rPr>
              <w:t>规则组</w:t>
            </w:r>
          </w:p>
        </w:tc>
        <w:tc>
          <w:tcPr>
            <w:tcW w:w="4275" w:type="pct"/>
            <w:tcBorders>
              <w:top w:val="single" w:color="auto" w:sz="4" w:space="0"/>
              <w:left w:val="single" w:color="auto" w:sz="4" w:space="0"/>
              <w:bottom w:val="single" w:color="auto" w:sz="4" w:space="0"/>
              <w:right w:val="single" w:color="auto" w:sz="4" w:space="0"/>
            </w:tcBorders>
            <w:vAlign w:val="center"/>
          </w:tcPr>
          <w:p w14:paraId="67C54B59">
            <w:pPr>
              <w:spacing w:line="400" w:lineRule="exact"/>
              <w:rPr>
                <w:rFonts w:hint="eastAsia" w:ascii="宋体" w:hAnsi="宋体" w:eastAsia="宋体" w:cs="宋体"/>
                <w:sz w:val="24"/>
                <w:szCs w:val="24"/>
              </w:rPr>
            </w:pPr>
            <w:r>
              <w:rPr>
                <w:rFonts w:hint="eastAsia" w:ascii="宋体" w:hAnsi="宋体" w:eastAsia="宋体" w:cs="宋体"/>
                <w:sz w:val="24"/>
                <w:szCs w:val="24"/>
                <w:lang w:bidi="ar"/>
              </w:rPr>
              <w:t>支持自定义安全规则组。</w:t>
            </w:r>
          </w:p>
        </w:tc>
      </w:tr>
      <w:tr w14:paraId="590A5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4" w:type="pct"/>
            <w:tcBorders>
              <w:top w:val="single" w:color="auto" w:sz="4" w:space="0"/>
              <w:left w:val="single" w:color="auto" w:sz="4" w:space="0"/>
              <w:bottom w:val="single" w:color="auto" w:sz="4" w:space="0"/>
              <w:right w:val="single" w:color="auto" w:sz="4" w:space="0"/>
            </w:tcBorders>
            <w:vAlign w:val="center"/>
          </w:tcPr>
          <w:p w14:paraId="08C2B536">
            <w:pPr>
              <w:widowControl/>
              <w:spacing w:line="400" w:lineRule="exact"/>
              <w:jc w:val="center"/>
              <w:rPr>
                <w:rFonts w:hint="eastAsia" w:ascii="宋体" w:hAnsi="宋体" w:eastAsia="宋体" w:cs="宋体"/>
                <w:color w:val="000000"/>
                <w:kern w:val="0"/>
                <w:sz w:val="24"/>
                <w:szCs w:val="24"/>
              </w:rPr>
            </w:pPr>
            <w:r>
              <w:rPr>
                <w:rFonts w:hint="eastAsia" w:ascii="宋体" w:hAnsi="宋体" w:eastAsia="宋体" w:cs="宋体"/>
                <w:bCs/>
                <w:color w:val="000000"/>
                <w:kern w:val="0"/>
                <w:sz w:val="24"/>
                <w:szCs w:val="24"/>
                <w:lang w:bidi="ar"/>
              </w:rPr>
              <w:t>API水印</w:t>
            </w:r>
          </w:p>
        </w:tc>
        <w:tc>
          <w:tcPr>
            <w:tcW w:w="4275" w:type="pct"/>
            <w:tcBorders>
              <w:top w:val="single" w:color="auto" w:sz="4" w:space="0"/>
              <w:left w:val="single" w:color="auto" w:sz="4" w:space="0"/>
              <w:bottom w:val="single" w:color="auto" w:sz="4" w:space="0"/>
              <w:right w:val="single" w:color="auto" w:sz="4" w:space="0"/>
            </w:tcBorders>
            <w:vAlign w:val="center"/>
          </w:tcPr>
          <w:p w14:paraId="38982671">
            <w:pPr>
              <w:widowControl/>
              <w:spacing w:line="400" w:lineRule="exact"/>
              <w:rPr>
                <w:rFonts w:hint="eastAsia" w:ascii="宋体" w:hAnsi="宋体" w:eastAsia="宋体" w:cs="宋体"/>
                <w:color w:val="000000"/>
                <w:kern w:val="0"/>
                <w:sz w:val="24"/>
                <w:szCs w:val="24"/>
              </w:rPr>
            </w:pPr>
            <w:r>
              <w:rPr>
                <w:rFonts w:hint="eastAsia" w:ascii="宋体" w:hAnsi="宋体" w:eastAsia="宋体" w:cs="宋体"/>
                <w:kern w:val="0"/>
                <w:sz w:val="24"/>
                <w:szCs w:val="24"/>
                <w:lang w:bidi="ar"/>
              </w:rPr>
              <w:t>▲</w:t>
            </w:r>
            <w:r>
              <w:rPr>
                <w:rFonts w:hint="eastAsia" w:ascii="宋体" w:hAnsi="宋体" w:eastAsia="宋体" w:cs="宋体"/>
                <w:sz w:val="24"/>
                <w:szCs w:val="24"/>
                <w:lang w:bidi="ar"/>
              </w:rPr>
              <w:t>支持通过对API返回内容的识别，使用多种水印算法对数据打上水印信息，且支持通过水印信息溯源定位泄漏源头。</w:t>
            </w:r>
            <w:bookmarkStart w:id="53" w:name="OLE_LINK9"/>
            <w:r>
              <w:rPr>
                <w:rFonts w:hint="eastAsia" w:ascii="宋体" w:hAnsi="宋体" w:eastAsia="宋体" w:cs="宋体"/>
                <w:b/>
                <w:color w:val="000000"/>
                <w:kern w:val="0"/>
                <w:sz w:val="24"/>
                <w:szCs w:val="24"/>
                <w:lang w:bidi="ar"/>
              </w:rPr>
              <w:t>（</w:t>
            </w:r>
            <w:r>
              <w:rPr>
                <w:rFonts w:hint="eastAsia" w:ascii="宋体" w:hAnsi="宋体" w:eastAsia="宋体" w:cs="宋体"/>
                <w:b/>
                <w:bCs/>
                <w:kern w:val="0"/>
                <w:sz w:val="24"/>
                <w:szCs w:val="24"/>
                <w:lang w:bidi="ar"/>
              </w:rPr>
              <w:t>提供功能截图证明报告并加盖公章</w:t>
            </w:r>
            <w:r>
              <w:rPr>
                <w:rFonts w:hint="eastAsia" w:ascii="宋体" w:hAnsi="宋体" w:eastAsia="宋体" w:cs="宋体"/>
                <w:b/>
                <w:color w:val="000000"/>
                <w:kern w:val="0"/>
                <w:sz w:val="24"/>
                <w:szCs w:val="24"/>
                <w:lang w:bidi="ar"/>
              </w:rPr>
              <w:t>）</w:t>
            </w:r>
            <w:bookmarkEnd w:id="53"/>
          </w:p>
        </w:tc>
      </w:tr>
      <w:tr w14:paraId="5884A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4" w:type="pct"/>
            <w:tcBorders>
              <w:top w:val="single" w:color="auto" w:sz="4" w:space="0"/>
              <w:left w:val="single" w:color="auto" w:sz="4" w:space="0"/>
              <w:bottom w:val="single" w:color="auto" w:sz="4" w:space="0"/>
              <w:right w:val="single" w:color="auto" w:sz="4" w:space="0"/>
            </w:tcBorders>
            <w:vAlign w:val="center"/>
          </w:tcPr>
          <w:p w14:paraId="7DDBB373">
            <w:pPr>
              <w:widowControl/>
              <w:spacing w:line="400" w:lineRule="exact"/>
              <w:jc w:val="center"/>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lang w:bidi="ar"/>
              </w:rPr>
              <w:t>查询分析</w:t>
            </w:r>
          </w:p>
        </w:tc>
        <w:tc>
          <w:tcPr>
            <w:tcW w:w="4275" w:type="pct"/>
            <w:tcBorders>
              <w:top w:val="single" w:color="auto" w:sz="4" w:space="0"/>
              <w:left w:val="single" w:color="auto" w:sz="4" w:space="0"/>
              <w:bottom w:val="single" w:color="auto" w:sz="4" w:space="0"/>
              <w:right w:val="single" w:color="auto" w:sz="4" w:space="0"/>
            </w:tcBorders>
            <w:vAlign w:val="center"/>
          </w:tcPr>
          <w:p w14:paraId="4BE2B638">
            <w:pPr>
              <w:widowControl/>
              <w:spacing w:line="400" w:lineRule="exact"/>
              <w:rPr>
                <w:rFonts w:hint="eastAsia" w:ascii="宋体" w:hAnsi="宋体" w:eastAsia="宋体" w:cs="宋体"/>
                <w:sz w:val="24"/>
                <w:szCs w:val="24"/>
              </w:rPr>
            </w:pPr>
            <w:r>
              <w:rPr>
                <w:rFonts w:hint="eastAsia" w:ascii="宋体" w:hAnsi="宋体" w:eastAsia="宋体" w:cs="宋体"/>
                <w:bCs/>
                <w:color w:val="000000"/>
                <w:kern w:val="0"/>
                <w:sz w:val="24"/>
                <w:szCs w:val="24"/>
                <w:lang w:bidi="ar"/>
              </w:rPr>
              <w:t>支持审计日志与告警日志查询分析。</w:t>
            </w:r>
          </w:p>
        </w:tc>
      </w:tr>
      <w:tr w14:paraId="53BF4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4" w:type="pct"/>
            <w:tcBorders>
              <w:top w:val="single" w:color="auto" w:sz="4" w:space="0"/>
              <w:left w:val="single" w:color="auto" w:sz="4" w:space="0"/>
              <w:bottom w:val="single" w:color="auto" w:sz="4" w:space="0"/>
              <w:right w:val="single" w:color="auto" w:sz="4" w:space="0"/>
            </w:tcBorders>
            <w:vAlign w:val="center"/>
          </w:tcPr>
          <w:p w14:paraId="2C18DFD3">
            <w:pPr>
              <w:spacing w:line="400" w:lineRule="exact"/>
              <w:jc w:val="center"/>
              <w:rPr>
                <w:rFonts w:hint="eastAsia" w:ascii="宋体" w:hAnsi="宋体" w:eastAsia="宋体" w:cs="宋体"/>
                <w:color w:val="000000"/>
                <w:kern w:val="0"/>
                <w:sz w:val="24"/>
                <w:szCs w:val="24"/>
              </w:rPr>
            </w:pPr>
            <w:r>
              <w:rPr>
                <w:rFonts w:hint="eastAsia" w:ascii="宋体" w:hAnsi="宋体" w:eastAsia="宋体" w:cs="宋体"/>
                <w:bCs/>
                <w:color w:val="000000"/>
                <w:kern w:val="0"/>
                <w:sz w:val="24"/>
                <w:szCs w:val="24"/>
                <w:lang w:bidi="ar"/>
              </w:rPr>
              <w:t>动态脱敏</w:t>
            </w:r>
          </w:p>
        </w:tc>
        <w:tc>
          <w:tcPr>
            <w:tcW w:w="4275" w:type="pct"/>
            <w:tcBorders>
              <w:top w:val="single" w:color="auto" w:sz="4" w:space="0"/>
              <w:left w:val="single" w:color="auto" w:sz="4" w:space="0"/>
              <w:bottom w:val="single" w:color="auto" w:sz="4" w:space="0"/>
              <w:right w:val="single" w:color="auto" w:sz="4" w:space="0"/>
            </w:tcBorders>
            <w:vAlign w:val="center"/>
          </w:tcPr>
          <w:p w14:paraId="77AE397A">
            <w:pPr>
              <w:spacing w:line="400" w:lineRule="exact"/>
              <w:rPr>
                <w:rFonts w:hint="eastAsia" w:ascii="宋体" w:hAnsi="宋体" w:eastAsia="宋体" w:cs="宋体"/>
                <w:color w:val="000000"/>
                <w:kern w:val="0"/>
                <w:sz w:val="24"/>
                <w:szCs w:val="24"/>
                <w:highlight w:val="none"/>
              </w:rPr>
            </w:pPr>
            <w:r>
              <w:rPr>
                <w:rFonts w:hint="eastAsia" w:ascii="宋体" w:hAnsi="宋体" w:eastAsia="宋体" w:cs="宋体"/>
                <w:kern w:val="0"/>
                <w:sz w:val="24"/>
                <w:szCs w:val="24"/>
                <w:highlight w:val="none"/>
                <w:lang w:bidi="ar"/>
              </w:rPr>
              <w:t>▲</w:t>
            </w:r>
            <w:r>
              <w:rPr>
                <w:rFonts w:hint="eastAsia" w:ascii="宋体" w:hAnsi="宋体" w:eastAsia="宋体" w:cs="宋体"/>
                <w:sz w:val="24"/>
                <w:szCs w:val="24"/>
                <w:highlight w:val="none"/>
                <w:lang w:bidi="ar"/>
              </w:rPr>
              <w:t>内置多种敏感数据规则，如用户姓名、邮箱、电话号码、银行卡号、身份证号码等，支持用户自定义敏感数据识别规则，支持对识别的敏感数据配置拦截和动态脱敏等处理动作。</w:t>
            </w:r>
            <w:r>
              <w:rPr>
                <w:rFonts w:hint="eastAsia" w:ascii="宋体" w:hAnsi="宋体" w:eastAsia="宋体" w:cs="宋体"/>
                <w:b/>
                <w:color w:val="000000"/>
                <w:kern w:val="0"/>
                <w:sz w:val="24"/>
                <w:szCs w:val="24"/>
                <w:highlight w:val="none"/>
                <w:lang w:bidi="ar"/>
              </w:rPr>
              <w:t>（提供</w:t>
            </w:r>
            <w:r>
              <w:rPr>
                <w:rFonts w:hint="eastAsia" w:ascii="宋体" w:hAnsi="宋体" w:eastAsia="宋体" w:cs="宋体"/>
                <w:b/>
                <w:bCs/>
                <w:kern w:val="0"/>
                <w:sz w:val="24"/>
                <w:szCs w:val="24"/>
                <w:highlight w:val="none"/>
                <w:lang w:bidi="ar"/>
              </w:rPr>
              <w:t>功能截图证明并加盖公章。</w:t>
            </w:r>
            <w:r>
              <w:rPr>
                <w:rFonts w:hint="eastAsia" w:ascii="宋体" w:hAnsi="宋体" w:eastAsia="宋体" w:cs="宋体"/>
                <w:b/>
                <w:color w:val="000000"/>
                <w:kern w:val="0"/>
                <w:sz w:val="24"/>
                <w:szCs w:val="24"/>
                <w:highlight w:val="none"/>
                <w:lang w:bidi="ar"/>
              </w:rPr>
              <w:t>）</w:t>
            </w:r>
          </w:p>
        </w:tc>
      </w:tr>
      <w:tr w14:paraId="3265A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4" w:type="pct"/>
            <w:tcBorders>
              <w:top w:val="single" w:color="auto" w:sz="4" w:space="0"/>
              <w:left w:val="single" w:color="auto" w:sz="4" w:space="0"/>
              <w:bottom w:val="single" w:color="auto" w:sz="4" w:space="0"/>
              <w:right w:val="single" w:color="auto" w:sz="4" w:space="0"/>
            </w:tcBorders>
            <w:vAlign w:val="center"/>
          </w:tcPr>
          <w:p w14:paraId="7777A874">
            <w:pPr>
              <w:spacing w:line="400" w:lineRule="exact"/>
              <w:jc w:val="center"/>
              <w:rPr>
                <w:rFonts w:hint="eastAsia" w:ascii="宋体" w:hAnsi="宋体" w:eastAsia="宋体" w:cs="宋体"/>
                <w:sz w:val="24"/>
                <w:szCs w:val="24"/>
              </w:rPr>
            </w:pPr>
            <w:r>
              <w:rPr>
                <w:rFonts w:hint="eastAsia" w:ascii="宋体" w:hAnsi="宋体" w:eastAsia="宋体" w:cs="宋体"/>
                <w:color w:val="000000"/>
                <w:kern w:val="0"/>
                <w:sz w:val="24"/>
                <w:szCs w:val="24"/>
                <w:lang w:bidi="ar"/>
              </w:rPr>
              <w:t>大模型API代理</w:t>
            </w:r>
          </w:p>
        </w:tc>
        <w:tc>
          <w:tcPr>
            <w:tcW w:w="4275" w:type="pct"/>
            <w:tcBorders>
              <w:top w:val="single" w:color="auto" w:sz="4" w:space="0"/>
              <w:left w:val="single" w:color="auto" w:sz="4" w:space="0"/>
              <w:bottom w:val="single" w:color="auto" w:sz="4" w:space="0"/>
              <w:right w:val="single" w:color="auto" w:sz="4" w:space="0"/>
            </w:tcBorders>
            <w:vAlign w:val="center"/>
          </w:tcPr>
          <w:p w14:paraId="71AACE6B">
            <w:pPr>
              <w:spacing w:line="400" w:lineRule="exac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bidi="ar"/>
              </w:rPr>
              <w:t>支持代理私有化部署的DeepSeek、通义千问等大模型的API，提供针对大模型的访问控制、对抗攻击检测、内容合规审核、敏感数据脱敏、审计溯源等核心能力，对大模型使用阶段的安全问题提供有效防护。</w:t>
            </w:r>
          </w:p>
        </w:tc>
      </w:tr>
      <w:tr w14:paraId="7F786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4" w:type="pct"/>
            <w:tcBorders>
              <w:top w:val="single" w:color="auto" w:sz="4" w:space="0"/>
              <w:left w:val="single" w:color="auto" w:sz="4" w:space="0"/>
              <w:bottom w:val="single" w:color="auto" w:sz="4" w:space="0"/>
              <w:right w:val="single" w:color="auto" w:sz="4" w:space="0"/>
            </w:tcBorders>
            <w:vAlign w:val="center"/>
          </w:tcPr>
          <w:p w14:paraId="7F51F817">
            <w:pPr>
              <w:spacing w:line="40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bidi="ar"/>
              </w:rPr>
              <w:t>大模型聊天应用代理</w:t>
            </w:r>
          </w:p>
        </w:tc>
        <w:tc>
          <w:tcPr>
            <w:tcW w:w="4275" w:type="pct"/>
            <w:tcBorders>
              <w:top w:val="single" w:color="auto" w:sz="4" w:space="0"/>
              <w:left w:val="single" w:color="auto" w:sz="4" w:space="0"/>
              <w:bottom w:val="single" w:color="auto" w:sz="4" w:space="0"/>
              <w:right w:val="single" w:color="auto" w:sz="4" w:space="0"/>
            </w:tcBorders>
            <w:vAlign w:val="center"/>
          </w:tcPr>
          <w:p w14:paraId="267ADD01">
            <w:pPr>
              <w:spacing w:line="400" w:lineRule="exac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bidi="ar"/>
              </w:rPr>
              <w:t>支持代理私有化部署的DeepSeek、通义千问等大模型的聊天应用，提供针对大模型的访问控制、对抗攻击检测、内容合规审核、敏感数据脱敏、审计溯源等核心能力，对大模型使用阶段的安全问题提供有效防护。</w:t>
            </w:r>
          </w:p>
        </w:tc>
      </w:tr>
      <w:tr w14:paraId="717F9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4" w:type="pct"/>
            <w:tcBorders>
              <w:top w:val="single" w:color="auto" w:sz="4" w:space="0"/>
              <w:left w:val="single" w:color="auto" w:sz="4" w:space="0"/>
              <w:bottom w:val="single" w:color="auto" w:sz="4" w:space="0"/>
              <w:right w:val="single" w:color="auto" w:sz="4" w:space="0"/>
            </w:tcBorders>
            <w:vAlign w:val="center"/>
          </w:tcPr>
          <w:p w14:paraId="61A31A0D">
            <w:pPr>
              <w:spacing w:line="400" w:lineRule="exact"/>
              <w:jc w:val="center"/>
              <w:rPr>
                <w:rFonts w:hint="eastAsia" w:ascii="宋体" w:hAnsi="宋体" w:eastAsia="宋体" w:cs="宋体"/>
                <w:sz w:val="24"/>
                <w:szCs w:val="24"/>
              </w:rPr>
            </w:pPr>
            <w:r>
              <w:rPr>
                <w:rFonts w:hint="eastAsia" w:ascii="宋体" w:hAnsi="宋体" w:eastAsia="宋体" w:cs="宋体"/>
                <w:color w:val="000000"/>
                <w:kern w:val="0"/>
                <w:sz w:val="24"/>
                <w:szCs w:val="24"/>
                <w:lang w:bidi="ar"/>
              </w:rPr>
              <w:t>IP黑白名单</w:t>
            </w:r>
          </w:p>
        </w:tc>
        <w:tc>
          <w:tcPr>
            <w:tcW w:w="4275" w:type="pct"/>
            <w:tcBorders>
              <w:top w:val="single" w:color="auto" w:sz="4" w:space="0"/>
              <w:left w:val="single" w:color="auto" w:sz="4" w:space="0"/>
              <w:bottom w:val="single" w:color="auto" w:sz="4" w:space="0"/>
              <w:right w:val="single" w:color="auto" w:sz="4" w:space="0"/>
            </w:tcBorders>
            <w:vAlign w:val="center"/>
          </w:tcPr>
          <w:p w14:paraId="642DA396">
            <w:pPr>
              <w:spacing w:line="400" w:lineRule="exac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bidi="ar"/>
              </w:rPr>
              <w:t>支持通过设置IP黑白名单，限制特定IP地址的访问权限，防止恶意IP的攻击，提高系统的安全性。</w:t>
            </w:r>
          </w:p>
        </w:tc>
      </w:tr>
      <w:tr w14:paraId="384CF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4" w:type="pct"/>
            <w:tcBorders>
              <w:top w:val="single" w:color="auto" w:sz="4" w:space="0"/>
              <w:left w:val="single" w:color="auto" w:sz="4" w:space="0"/>
              <w:bottom w:val="single" w:color="auto" w:sz="4" w:space="0"/>
              <w:right w:val="single" w:color="auto" w:sz="4" w:space="0"/>
            </w:tcBorders>
            <w:vAlign w:val="center"/>
          </w:tcPr>
          <w:p w14:paraId="37C088F3">
            <w:pPr>
              <w:spacing w:line="400" w:lineRule="exact"/>
              <w:jc w:val="center"/>
              <w:rPr>
                <w:rFonts w:hint="eastAsia" w:ascii="宋体" w:hAnsi="宋体" w:eastAsia="宋体" w:cs="宋体"/>
                <w:sz w:val="24"/>
                <w:szCs w:val="24"/>
              </w:rPr>
            </w:pPr>
            <w:r>
              <w:rPr>
                <w:rFonts w:hint="eastAsia" w:ascii="宋体" w:hAnsi="宋体" w:eastAsia="宋体" w:cs="宋体"/>
                <w:color w:val="000000"/>
                <w:kern w:val="0"/>
                <w:sz w:val="24"/>
                <w:szCs w:val="24"/>
                <w:lang w:bidi="ar"/>
              </w:rPr>
              <w:t>用户自定义规则</w:t>
            </w:r>
          </w:p>
        </w:tc>
        <w:tc>
          <w:tcPr>
            <w:tcW w:w="4275" w:type="pct"/>
            <w:tcBorders>
              <w:top w:val="single" w:color="auto" w:sz="4" w:space="0"/>
              <w:left w:val="single" w:color="auto" w:sz="4" w:space="0"/>
              <w:bottom w:val="single" w:color="auto" w:sz="4" w:space="0"/>
              <w:right w:val="single" w:color="auto" w:sz="4" w:space="0"/>
            </w:tcBorders>
            <w:vAlign w:val="center"/>
          </w:tcPr>
          <w:p w14:paraId="04E4C491">
            <w:pPr>
              <w:spacing w:line="400" w:lineRule="exac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bidi="ar"/>
              </w:rPr>
              <w:t>支持基于客户端IP、请求URL、请求方法、请求体、HOST、UA、Referer、请求头、响应体等多个维度配置API的用户自定义访问控制规则。</w:t>
            </w:r>
          </w:p>
        </w:tc>
      </w:tr>
      <w:tr w14:paraId="2D50B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4" w:type="pct"/>
            <w:tcBorders>
              <w:top w:val="single" w:color="auto" w:sz="4" w:space="0"/>
              <w:left w:val="single" w:color="auto" w:sz="4" w:space="0"/>
              <w:bottom w:val="single" w:color="auto" w:sz="4" w:space="0"/>
              <w:right w:val="single" w:color="auto" w:sz="4" w:space="0"/>
            </w:tcBorders>
            <w:vAlign w:val="center"/>
          </w:tcPr>
          <w:p w14:paraId="4157F6B8">
            <w:pPr>
              <w:spacing w:line="400" w:lineRule="exact"/>
              <w:jc w:val="center"/>
              <w:rPr>
                <w:rFonts w:hint="eastAsia" w:ascii="宋体" w:hAnsi="宋体" w:eastAsia="宋体" w:cs="宋体"/>
                <w:sz w:val="24"/>
                <w:szCs w:val="24"/>
              </w:rPr>
            </w:pPr>
            <w:r>
              <w:rPr>
                <w:rFonts w:hint="eastAsia" w:ascii="宋体" w:hAnsi="宋体" w:eastAsia="宋体" w:cs="宋体"/>
                <w:color w:val="000000"/>
                <w:kern w:val="0"/>
                <w:sz w:val="24"/>
                <w:szCs w:val="24"/>
                <w:lang w:bidi="ar"/>
              </w:rPr>
              <w:t>全量审计</w:t>
            </w:r>
          </w:p>
        </w:tc>
        <w:tc>
          <w:tcPr>
            <w:tcW w:w="4275" w:type="pct"/>
            <w:tcBorders>
              <w:top w:val="single" w:color="auto" w:sz="4" w:space="0"/>
              <w:left w:val="single" w:color="auto" w:sz="4" w:space="0"/>
              <w:bottom w:val="single" w:color="auto" w:sz="4" w:space="0"/>
              <w:right w:val="single" w:color="auto" w:sz="4" w:space="0"/>
            </w:tcBorders>
            <w:vAlign w:val="center"/>
          </w:tcPr>
          <w:p w14:paraId="5EB4963F">
            <w:pPr>
              <w:spacing w:line="400" w:lineRule="exac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bidi="ar"/>
              </w:rPr>
              <w:t>支持对日志进行全量记录，包含基础信息（访问时间、客户端IP、URI、服务名称等）、请求信息（请求内容、请求token数量等）、返回信息（返回内容、响应token数量、响应延迟等）、合规信息（合规评分、告警类型、响应动作）。</w:t>
            </w:r>
          </w:p>
        </w:tc>
      </w:tr>
      <w:tr w14:paraId="7A9A8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4" w:type="pct"/>
            <w:tcBorders>
              <w:top w:val="single" w:color="auto" w:sz="4" w:space="0"/>
              <w:left w:val="single" w:color="auto" w:sz="4" w:space="0"/>
              <w:bottom w:val="single" w:color="auto" w:sz="4" w:space="0"/>
              <w:right w:val="single" w:color="auto" w:sz="4" w:space="0"/>
            </w:tcBorders>
            <w:vAlign w:val="center"/>
          </w:tcPr>
          <w:p w14:paraId="22A22C7C">
            <w:pPr>
              <w:spacing w:line="400" w:lineRule="exact"/>
              <w:jc w:val="center"/>
              <w:rPr>
                <w:rFonts w:hint="eastAsia" w:ascii="宋体" w:hAnsi="宋体" w:eastAsia="宋体" w:cs="宋体"/>
                <w:sz w:val="24"/>
                <w:szCs w:val="24"/>
              </w:rPr>
            </w:pPr>
            <w:r>
              <w:rPr>
                <w:rFonts w:hint="eastAsia" w:ascii="宋体" w:hAnsi="宋体" w:eastAsia="宋体" w:cs="宋体"/>
                <w:color w:val="000000"/>
                <w:kern w:val="0"/>
                <w:sz w:val="24"/>
                <w:szCs w:val="24"/>
                <w:lang w:bidi="ar"/>
              </w:rPr>
              <w:t>会话回放</w:t>
            </w:r>
          </w:p>
        </w:tc>
        <w:tc>
          <w:tcPr>
            <w:tcW w:w="4275" w:type="pct"/>
            <w:tcBorders>
              <w:top w:val="single" w:color="auto" w:sz="4" w:space="0"/>
              <w:left w:val="single" w:color="auto" w:sz="4" w:space="0"/>
              <w:bottom w:val="single" w:color="auto" w:sz="4" w:space="0"/>
              <w:right w:val="single" w:color="auto" w:sz="4" w:space="0"/>
            </w:tcBorders>
            <w:vAlign w:val="center"/>
          </w:tcPr>
          <w:p w14:paraId="763610FA">
            <w:pPr>
              <w:spacing w:line="400" w:lineRule="exact"/>
              <w:rPr>
                <w:rFonts w:hint="eastAsia" w:ascii="宋体" w:hAnsi="宋体" w:eastAsia="宋体" w:cs="宋体"/>
                <w:kern w:val="0"/>
                <w:sz w:val="24"/>
                <w:szCs w:val="24"/>
              </w:rPr>
            </w:pPr>
            <w:r>
              <w:rPr>
                <w:rFonts w:hint="eastAsia" w:ascii="宋体" w:hAnsi="宋体" w:eastAsia="宋体" w:cs="宋体"/>
                <w:color w:val="000000"/>
                <w:kern w:val="0"/>
                <w:sz w:val="24"/>
                <w:szCs w:val="24"/>
                <w:lang w:bidi="ar"/>
              </w:rPr>
              <w:t>支持根据会话ID进行聊天内容上下文关联展示，支持按时间轴穿透查看历史上下文关联。</w:t>
            </w:r>
          </w:p>
        </w:tc>
      </w:tr>
      <w:tr w14:paraId="05068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4" w:type="pct"/>
            <w:tcBorders>
              <w:top w:val="single" w:color="auto" w:sz="4" w:space="0"/>
              <w:left w:val="single" w:color="auto" w:sz="4" w:space="0"/>
              <w:bottom w:val="single" w:color="auto" w:sz="4" w:space="0"/>
              <w:right w:val="single" w:color="auto" w:sz="4" w:space="0"/>
            </w:tcBorders>
            <w:vAlign w:val="center"/>
          </w:tcPr>
          <w:p w14:paraId="49DFE17A">
            <w:pPr>
              <w:spacing w:line="400" w:lineRule="exact"/>
              <w:jc w:val="center"/>
              <w:rPr>
                <w:rFonts w:hint="eastAsia" w:ascii="宋体" w:hAnsi="宋体" w:eastAsia="宋体" w:cs="宋体"/>
                <w:sz w:val="24"/>
                <w:szCs w:val="24"/>
              </w:rPr>
            </w:pPr>
            <w:r>
              <w:rPr>
                <w:rFonts w:hint="eastAsia" w:ascii="宋体" w:hAnsi="宋体" w:eastAsia="宋体" w:cs="宋体"/>
                <w:color w:val="000000"/>
                <w:kern w:val="0"/>
                <w:sz w:val="24"/>
                <w:szCs w:val="24"/>
                <w:lang w:bidi="ar"/>
              </w:rPr>
              <w:t>身份验证</w:t>
            </w:r>
          </w:p>
        </w:tc>
        <w:tc>
          <w:tcPr>
            <w:tcW w:w="4275" w:type="pct"/>
            <w:tcBorders>
              <w:top w:val="single" w:color="auto" w:sz="4" w:space="0"/>
              <w:left w:val="single" w:color="auto" w:sz="4" w:space="0"/>
              <w:bottom w:val="single" w:color="auto" w:sz="4" w:space="0"/>
              <w:right w:val="single" w:color="auto" w:sz="4" w:space="0"/>
            </w:tcBorders>
            <w:vAlign w:val="center"/>
          </w:tcPr>
          <w:p w14:paraId="102673E4">
            <w:pPr>
              <w:widowControl/>
              <w:spacing w:line="400" w:lineRule="exact"/>
              <w:rPr>
                <w:rFonts w:hint="eastAsia" w:ascii="宋体" w:hAnsi="宋体" w:eastAsia="宋体" w:cs="宋体"/>
                <w:color w:val="000000"/>
                <w:kern w:val="0"/>
                <w:sz w:val="24"/>
                <w:szCs w:val="24"/>
              </w:rPr>
            </w:pPr>
            <w:r>
              <w:rPr>
                <w:rFonts w:hint="eastAsia" w:ascii="宋体" w:hAnsi="宋体" w:eastAsia="宋体" w:cs="宋体"/>
                <w:sz w:val="24"/>
                <w:szCs w:val="24"/>
                <w:lang w:bidi="ar"/>
              </w:rPr>
              <w:t>内置多种身份认证类插件，如basic-auth、jwt-auth、 key-auth 、HMAC、OAuth2等。通过严格的访问控制机制阻断未授权访问，确保大模型服务仅对通过身份验证的合法用户开放。</w:t>
            </w:r>
          </w:p>
        </w:tc>
      </w:tr>
      <w:tr w14:paraId="5E609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4" w:type="pct"/>
            <w:tcBorders>
              <w:top w:val="single" w:color="auto" w:sz="4" w:space="0"/>
              <w:left w:val="single" w:color="auto" w:sz="4" w:space="0"/>
              <w:bottom w:val="single" w:color="auto" w:sz="4" w:space="0"/>
              <w:right w:val="single" w:color="auto" w:sz="4" w:space="0"/>
            </w:tcBorders>
            <w:vAlign w:val="center"/>
          </w:tcPr>
          <w:p w14:paraId="7B0DF136">
            <w:pPr>
              <w:spacing w:line="400" w:lineRule="exact"/>
              <w:jc w:val="center"/>
              <w:rPr>
                <w:rFonts w:hint="eastAsia" w:ascii="宋体" w:hAnsi="宋体" w:eastAsia="宋体" w:cs="宋体"/>
                <w:sz w:val="24"/>
                <w:szCs w:val="24"/>
              </w:rPr>
            </w:pPr>
            <w:r>
              <w:rPr>
                <w:rFonts w:hint="eastAsia" w:ascii="宋体" w:hAnsi="宋体" w:eastAsia="宋体" w:cs="宋体"/>
                <w:color w:val="000000"/>
                <w:kern w:val="0"/>
                <w:sz w:val="24"/>
                <w:szCs w:val="24"/>
                <w:lang w:bidi="ar"/>
              </w:rPr>
              <w:t>用户名提取</w:t>
            </w:r>
          </w:p>
        </w:tc>
        <w:tc>
          <w:tcPr>
            <w:tcW w:w="4275" w:type="pct"/>
            <w:tcBorders>
              <w:top w:val="single" w:color="auto" w:sz="4" w:space="0"/>
              <w:left w:val="single" w:color="auto" w:sz="4" w:space="0"/>
              <w:bottom w:val="single" w:color="auto" w:sz="4" w:space="0"/>
              <w:right w:val="single" w:color="auto" w:sz="4" w:space="0"/>
            </w:tcBorders>
            <w:vAlign w:val="center"/>
          </w:tcPr>
          <w:p w14:paraId="3467DFC9">
            <w:pPr>
              <w:spacing w:line="400" w:lineRule="exact"/>
              <w:rPr>
                <w:rFonts w:hint="eastAsia" w:ascii="宋体" w:hAnsi="宋体" w:eastAsia="宋体" w:cs="宋体"/>
                <w:kern w:val="0"/>
                <w:sz w:val="24"/>
                <w:szCs w:val="24"/>
              </w:rPr>
            </w:pPr>
            <w:r>
              <w:rPr>
                <w:rFonts w:hint="eastAsia" w:ascii="宋体" w:hAnsi="宋体" w:eastAsia="宋体" w:cs="宋体"/>
                <w:kern w:val="0"/>
                <w:sz w:val="24"/>
                <w:szCs w:val="24"/>
                <w:lang w:bidi="ar"/>
              </w:rPr>
              <w:t>▲</w:t>
            </w:r>
            <w:r>
              <w:rPr>
                <w:rFonts w:hint="eastAsia" w:ascii="宋体" w:hAnsi="宋体" w:eastAsia="宋体" w:cs="宋体"/>
                <w:color w:val="000000"/>
                <w:kern w:val="0"/>
                <w:sz w:val="24"/>
                <w:szCs w:val="24"/>
                <w:lang w:bidi="ar"/>
              </w:rPr>
              <w:t>支持自动提取并关联前端访问大模型的真实用户名，实现用户身份与大模型访问行为的精准关联，并支持基于提取的真实用户名做访问控制和动态脱敏。</w:t>
            </w:r>
            <w:r>
              <w:rPr>
                <w:rFonts w:hint="eastAsia" w:ascii="宋体" w:hAnsi="宋体" w:eastAsia="宋体" w:cs="宋体"/>
                <w:b/>
                <w:color w:val="000000"/>
                <w:kern w:val="0"/>
                <w:sz w:val="24"/>
                <w:szCs w:val="24"/>
                <w:lang w:bidi="ar"/>
              </w:rPr>
              <w:t>（提供功能截图证明并加盖公章）</w:t>
            </w:r>
          </w:p>
        </w:tc>
      </w:tr>
      <w:tr w14:paraId="16320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4" w:type="pct"/>
            <w:tcBorders>
              <w:top w:val="single" w:color="auto" w:sz="4" w:space="0"/>
              <w:left w:val="single" w:color="auto" w:sz="4" w:space="0"/>
              <w:bottom w:val="single" w:color="auto" w:sz="4" w:space="0"/>
              <w:right w:val="single" w:color="auto" w:sz="4" w:space="0"/>
            </w:tcBorders>
            <w:vAlign w:val="center"/>
          </w:tcPr>
          <w:p w14:paraId="5CFDDE46">
            <w:pPr>
              <w:spacing w:line="400" w:lineRule="exact"/>
              <w:jc w:val="center"/>
              <w:rPr>
                <w:rFonts w:hint="eastAsia" w:ascii="宋体" w:hAnsi="宋体" w:eastAsia="宋体" w:cs="宋体"/>
                <w:bCs/>
                <w:color w:val="000000"/>
                <w:kern w:val="0"/>
                <w:sz w:val="24"/>
                <w:szCs w:val="24"/>
              </w:rPr>
            </w:pPr>
            <w:r>
              <w:rPr>
                <w:rFonts w:hint="eastAsia" w:ascii="宋体" w:hAnsi="宋体" w:eastAsia="宋体" w:cs="宋体"/>
                <w:color w:val="000000"/>
                <w:kern w:val="0"/>
                <w:sz w:val="24"/>
                <w:szCs w:val="24"/>
                <w:lang w:bidi="ar"/>
              </w:rPr>
              <w:t>红线代答</w:t>
            </w:r>
          </w:p>
        </w:tc>
        <w:tc>
          <w:tcPr>
            <w:tcW w:w="4275" w:type="pct"/>
            <w:tcBorders>
              <w:top w:val="single" w:color="auto" w:sz="4" w:space="0"/>
              <w:left w:val="single" w:color="auto" w:sz="4" w:space="0"/>
              <w:bottom w:val="single" w:color="auto" w:sz="4" w:space="0"/>
              <w:right w:val="single" w:color="auto" w:sz="4" w:space="0"/>
            </w:tcBorders>
            <w:vAlign w:val="center"/>
          </w:tcPr>
          <w:p w14:paraId="36DA6A0E">
            <w:pPr>
              <w:spacing w:line="400" w:lineRule="exact"/>
              <w:rPr>
                <w:rFonts w:hint="eastAsia" w:ascii="宋体" w:hAnsi="宋体" w:eastAsia="宋体" w:cs="宋体"/>
                <w:bCs/>
                <w:color w:val="000000"/>
                <w:kern w:val="0"/>
                <w:sz w:val="24"/>
                <w:szCs w:val="24"/>
              </w:rPr>
            </w:pPr>
            <w:r>
              <w:rPr>
                <w:rFonts w:hint="eastAsia" w:ascii="宋体" w:hAnsi="宋体" w:eastAsia="宋体" w:cs="宋体"/>
                <w:kern w:val="0"/>
                <w:sz w:val="24"/>
                <w:szCs w:val="24"/>
                <w:lang w:bidi="ar"/>
              </w:rPr>
              <w:t>▲</w:t>
            </w:r>
            <w:r>
              <w:rPr>
                <w:rFonts w:hint="eastAsia" w:ascii="宋体" w:hAnsi="宋体" w:eastAsia="宋体" w:cs="宋体"/>
                <w:color w:val="000000"/>
                <w:kern w:val="0"/>
                <w:sz w:val="24"/>
                <w:szCs w:val="24"/>
                <w:lang w:bidi="ar"/>
              </w:rPr>
              <w:t>支持红线代答功能，用户可针对特定问题自由配置代答回复内容，特定问题可以仅配置关键词或短语，依靠模型的语义分析和推理能力，自动识别红线问题，并实时进行大模型代答，保障针对重要问题的安全回答。</w:t>
            </w:r>
            <w:r>
              <w:rPr>
                <w:rFonts w:hint="eastAsia" w:ascii="宋体" w:hAnsi="宋体" w:eastAsia="宋体" w:cs="宋体"/>
                <w:b/>
                <w:color w:val="000000"/>
                <w:kern w:val="0"/>
                <w:sz w:val="24"/>
                <w:szCs w:val="24"/>
                <w:lang w:bidi="ar"/>
              </w:rPr>
              <w:t>（提供功能截图证明并加盖公章）</w:t>
            </w:r>
          </w:p>
        </w:tc>
      </w:tr>
      <w:tr w14:paraId="3C629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4" w:type="pct"/>
            <w:tcBorders>
              <w:top w:val="single" w:color="auto" w:sz="4" w:space="0"/>
              <w:left w:val="single" w:color="auto" w:sz="4" w:space="0"/>
              <w:bottom w:val="single" w:color="auto" w:sz="4" w:space="0"/>
              <w:right w:val="single" w:color="auto" w:sz="4" w:space="0"/>
            </w:tcBorders>
            <w:vAlign w:val="center"/>
          </w:tcPr>
          <w:p w14:paraId="0C13DD97">
            <w:pPr>
              <w:spacing w:line="400" w:lineRule="exact"/>
              <w:jc w:val="center"/>
              <w:rPr>
                <w:rFonts w:hint="eastAsia" w:ascii="宋体" w:hAnsi="宋体" w:eastAsia="宋体" w:cs="宋体"/>
                <w:bCs/>
                <w:color w:val="000000"/>
                <w:kern w:val="0"/>
                <w:sz w:val="24"/>
                <w:szCs w:val="24"/>
              </w:rPr>
            </w:pPr>
            <w:r>
              <w:rPr>
                <w:rFonts w:hint="eastAsia" w:ascii="宋体" w:hAnsi="宋体" w:eastAsia="宋体" w:cs="宋体"/>
                <w:color w:val="000000"/>
                <w:kern w:val="0"/>
                <w:sz w:val="24"/>
                <w:szCs w:val="24"/>
                <w:lang w:bidi="ar"/>
              </w:rPr>
              <w:t>豁免词及白名单</w:t>
            </w:r>
          </w:p>
        </w:tc>
        <w:tc>
          <w:tcPr>
            <w:tcW w:w="4275" w:type="pct"/>
            <w:tcBorders>
              <w:top w:val="single" w:color="auto" w:sz="4" w:space="0"/>
              <w:left w:val="single" w:color="auto" w:sz="4" w:space="0"/>
              <w:bottom w:val="single" w:color="auto" w:sz="4" w:space="0"/>
              <w:right w:val="single" w:color="auto" w:sz="4" w:space="0"/>
            </w:tcBorders>
            <w:vAlign w:val="center"/>
          </w:tcPr>
          <w:p w14:paraId="27A9E04D">
            <w:pPr>
              <w:widowControl/>
              <w:snapToGrid w:val="0"/>
              <w:spacing w:line="400" w:lineRule="exact"/>
              <w:rPr>
                <w:rFonts w:hint="eastAsia" w:ascii="宋体" w:hAnsi="宋体" w:eastAsia="宋体" w:cs="宋体"/>
                <w:bCs/>
                <w:color w:val="000000"/>
                <w:kern w:val="0"/>
                <w:sz w:val="24"/>
                <w:szCs w:val="24"/>
              </w:rPr>
            </w:pPr>
            <w:r>
              <w:rPr>
                <w:rFonts w:hint="eastAsia" w:ascii="宋体" w:hAnsi="宋体" w:eastAsia="宋体" w:cs="宋体"/>
                <w:color w:val="000000"/>
                <w:kern w:val="0"/>
                <w:sz w:val="24"/>
                <w:szCs w:val="24"/>
                <w:lang w:bidi="ar"/>
              </w:rPr>
              <w:t>内容检测策略支持白名单机制，用户可自由配置大模型访问控制和内容检测的白名单，在检测引擎检测到白名单访问请求时直接进行放通，同时支持配置内容检测的豁免词，在内容检测引擎工作过程中检测到豁免词时可跳过豁免词，检测会话中的其余内容，有效降低检测的误报率，提高服务的利用效率。</w:t>
            </w:r>
          </w:p>
        </w:tc>
      </w:tr>
      <w:tr w14:paraId="66FB6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4" w:type="pct"/>
            <w:tcBorders>
              <w:top w:val="single" w:color="auto" w:sz="4" w:space="0"/>
              <w:left w:val="single" w:color="auto" w:sz="4" w:space="0"/>
              <w:bottom w:val="single" w:color="auto" w:sz="4" w:space="0"/>
              <w:right w:val="single" w:color="auto" w:sz="4" w:space="0"/>
            </w:tcBorders>
            <w:vAlign w:val="center"/>
          </w:tcPr>
          <w:p w14:paraId="76964825">
            <w:pPr>
              <w:spacing w:line="400" w:lineRule="exact"/>
              <w:jc w:val="center"/>
              <w:rPr>
                <w:rFonts w:hint="eastAsia" w:ascii="宋体" w:hAnsi="宋体" w:eastAsia="宋体" w:cs="宋体"/>
                <w:bCs/>
                <w:color w:val="000000"/>
                <w:kern w:val="0"/>
                <w:sz w:val="24"/>
                <w:szCs w:val="24"/>
              </w:rPr>
            </w:pPr>
            <w:r>
              <w:rPr>
                <w:rFonts w:hint="eastAsia" w:ascii="宋体" w:hAnsi="宋体" w:eastAsia="宋体" w:cs="宋体"/>
                <w:color w:val="000000"/>
                <w:kern w:val="0"/>
                <w:sz w:val="24"/>
                <w:szCs w:val="24"/>
                <w:lang w:bidi="ar"/>
              </w:rPr>
              <w:t>在线验证功能</w:t>
            </w:r>
          </w:p>
        </w:tc>
        <w:tc>
          <w:tcPr>
            <w:tcW w:w="4275" w:type="pct"/>
            <w:tcBorders>
              <w:top w:val="single" w:color="auto" w:sz="4" w:space="0"/>
              <w:left w:val="single" w:color="auto" w:sz="4" w:space="0"/>
              <w:bottom w:val="single" w:color="auto" w:sz="4" w:space="0"/>
              <w:right w:val="single" w:color="auto" w:sz="4" w:space="0"/>
            </w:tcBorders>
            <w:vAlign w:val="center"/>
          </w:tcPr>
          <w:p w14:paraId="4267463F">
            <w:pPr>
              <w:spacing w:line="400" w:lineRule="exact"/>
              <w:rPr>
                <w:rFonts w:hint="eastAsia" w:ascii="宋体" w:hAnsi="宋体" w:eastAsia="宋体" w:cs="宋体"/>
                <w:kern w:val="0"/>
                <w:sz w:val="24"/>
                <w:szCs w:val="24"/>
              </w:rPr>
            </w:pPr>
            <w:r>
              <w:rPr>
                <w:rFonts w:hint="eastAsia" w:ascii="宋体" w:hAnsi="宋体" w:eastAsia="宋体" w:cs="宋体"/>
                <w:color w:val="000000"/>
                <w:kern w:val="0"/>
                <w:sz w:val="24"/>
                <w:szCs w:val="24"/>
                <w:lang w:bidi="ar"/>
              </w:rPr>
              <w:t>支持敏感问题的在线验证功能，用户可在设备上线前，通过在线验证功能验证对内容检测的准确性和误报率，验证问题可批量导入批量验证，高效验证内容检测的准确率，保障设备上线的有效性。</w:t>
            </w:r>
          </w:p>
        </w:tc>
      </w:tr>
      <w:tr w14:paraId="3B590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4" w:type="pct"/>
            <w:tcBorders>
              <w:top w:val="single" w:color="auto" w:sz="4" w:space="0"/>
              <w:left w:val="single" w:color="auto" w:sz="4" w:space="0"/>
              <w:bottom w:val="single" w:color="auto" w:sz="4" w:space="0"/>
              <w:right w:val="single" w:color="auto" w:sz="4" w:space="0"/>
            </w:tcBorders>
            <w:vAlign w:val="center"/>
          </w:tcPr>
          <w:p w14:paraId="7F9F1F95">
            <w:pPr>
              <w:spacing w:line="40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bidi="ar"/>
              </w:rPr>
              <w:t>提示词注入防护</w:t>
            </w:r>
          </w:p>
        </w:tc>
        <w:tc>
          <w:tcPr>
            <w:tcW w:w="4275" w:type="pct"/>
            <w:tcBorders>
              <w:top w:val="single" w:color="auto" w:sz="4" w:space="0"/>
              <w:left w:val="single" w:color="auto" w:sz="4" w:space="0"/>
              <w:bottom w:val="single" w:color="auto" w:sz="4" w:space="0"/>
              <w:right w:val="single" w:color="auto" w:sz="4" w:space="0"/>
            </w:tcBorders>
            <w:vAlign w:val="center"/>
          </w:tcPr>
          <w:p w14:paraId="1240B9B0">
            <w:pPr>
              <w:spacing w:line="400" w:lineRule="exac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bidi="ar"/>
              </w:rPr>
              <w:t>检测并拦截提示词注入攻击（如越狱攻击，上下文攻击，数据泄露诱导，模型欺骗等），防止恶意提示词对模型的影响，保护模型的稳定性和安全性，防止被用于恶意目的。</w:t>
            </w:r>
          </w:p>
        </w:tc>
      </w:tr>
      <w:tr w14:paraId="4D049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4" w:type="pct"/>
            <w:tcBorders>
              <w:top w:val="single" w:color="auto" w:sz="4" w:space="0"/>
              <w:left w:val="single" w:color="auto" w:sz="4" w:space="0"/>
              <w:bottom w:val="single" w:color="auto" w:sz="4" w:space="0"/>
              <w:right w:val="single" w:color="auto" w:sz="4" w:space="0"/>
            </w:tcBorders>
            <w:vAlign w:val="center"/>
          </w:tcPr>
          <w:p w14:paraId="5EEC4C6B">
            <w:pPr>
              <w:spacing w:line="40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bidi="ar"/>
              </w:rPr>
              <w:t>抗DDOS攻击</w:t>
            </w:r>
          </w:p>
        </w:tc>
        <w:tc>
          <w:tcPr>
            <w:tcW w:w="4275" w:type="pct"/>
            <w:tcBorders>
              <w:top w:val="single" w:color="auto" w:sz="4" w:space="0"/>
              <w:left w:val="single" w:color="auto" w:sz="4" w:space="0"/>
              <w:bottom w:val="single" w:color="auto" w:sz="4" w:space="0"/>
              <w:right w:val="single" w:color="auto" w:sz="4" w:space="0"/>
            </w:tcBorders>
            <w:vAlign w:val="center"/>
          </w:tcPr>
          <w:p w14:paraId="6C816E12">
            <w:pPr>
              <w:spacing w:line="400" w:lineRule="exac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bidi="ar"/>
              </w:rPr>
              <w:t>支持基于API、服务、API调用者三个维度的限流限速功能，还能支持基于大模型Token的限流限速，适配大模型限流限速场景，有效防御应用层DDOS攻击。</w:t>
            </w:r>
          </w:p>
        </w:tc>
      </w:tr>
      <w:tr w14:paraId="38F18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4" w:type="pct"/>
            <w:tcBorders>
              <w:top w:val="single" w:color="auto" w:sz="4" w:space="0"/>
              <w:left w:val="single" w:color="auto" w:sz="4" w:space="0"/>
              <w:bottom w:val="single" w:color="auto" w:sz="4" w:space="0"/>
              <w:right w:val="single" w:color="auto" w:sz="4" w:space="0"/>
            </w:tcBorders>
            <w:vAlign w:val="center"/>
          </w:tcPr>
          <w:p w14:paraId="13C26BE3">
            <w:pPr>
              <w:widowControl/>
              <w:spacing w:line="400" w:lineRule="exact"/>
              <w:jc w:val="center"/>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lang w:bidi="ar"/>
              </w:rPr>
              <w:t>AI合规策略配置</w:t>
            </w:r>
          </w:p>
        </w:tc>
        <w:tc>
          <w:tcPr>
            <w:tcW w:w="4275" w:type="pct"/>
            <w:tcBorders>
              <w:top w:val="single" w:color="auto" w:sz="4" w:space="0"/>
              <w:left w:val="single" w:color="auto" w:sz="4" w:space="0"/>
              <w:bottom w:val="single" w:color="auto" w:sz="4" w:space="0"/>
              <w:right w:val="single" w:color="auto" w:sz="4" w:space="0"/>
            </w:tcBorders>
            <w:vAlign w:val="center"/>
          </w:tcPr>
          <w:p w14:paraId="18BACCA3">
            <w:pPr>
              <w:widowControl/>
              <w:spacing w:line="400" w:lineRule="exact"/>
              <w:rPr>
                <w:rFonts w:hint="eastAsia" w:ascii="宋体" w:hAnsi="宋体" w:eastAsia="宋体" w:cs="宋体"/>
                <w:color w:val="000000"/>
                <w:sz w:val="24"/>
                <w:szCs w:val="24"/>
              </w:rPr>
            </w:pPr>
            <w:r>
              <w:rPr>
                <w:rFonts w:hint="eastAsia" w:ascii="宋体" w:hAnsi="宋体" w:eastAsia="宋体" w:cs="宋体"/>
                <w:kern w:val="0"/>
                <w:sz w:val="24"/>
                <w:szCs w:val="24"/>
                <w:lang w:bidi="ar"/>
              </w:rPr>
              <w:t>▲</w:t>
            </w:r>
            <w:r>
              <w:rPr>
                <w:rFonts w:hint="eastAsia" w:ascii="宋体" w:hAnsi="宋体" w:eastAsia="宋体" w:cs="宋体"/>
                <w:color w:val="000000"/>
                <w:sz w:val="24"/>
                <w:szCs w:val="24"/>
                <w:lang w:bidi="ar"/>
              </w:rPr>
              <w:t>支持AI合规策略配置，可设定动作配置为仅告警或告警并阻断，支持自定义拒绝描述信息，可选择内容检测范围包括问、推理或答，能有效拦截涉黄、涉恐、涉爆等违规内容。</w:t>
            </w:r>
            <w:r>
              <w:rPr>
                <w:rFonts w:hint="eastAsia" w:ascii="宋体" w:hAnsi="宋体" w:eastAsia="宋体" w:cs="宋体"/>
                <w:b/>
                <w:color w:val="000000"/>
                <w:kern w:val="0"/>
                <w:sz w:val="24"/>
                <w:szCs w:val="24"/>
                <w:highlight w:val="none"/>
                <w:lang w:bidi="ar"/>
              </w:rPr>
              <w:t>（提供由第三方权威机构出具、带有 CNAS 及 CMA 标识并加盖公章的检测报告。）</w:t>
            </w:r>
          </w:p>
        </w:tc>
      </w:tr>
      <w:tr w14:paraId="4E632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4" w:type="pct"/>
            <w:tcBorders>
              <w:top w:val="single" w:color="auto" w:sz="4" w:space="0"/>
              <w:left w:val="single" w:color="auto" w:sz="4" w:space="0"/>
              <w:bottom w:val="single" w:color="auto" w:sz="4" w:space="0"/>
              <w:right w:val="single" w:color="auto" w:sz="4" w:space="0"/>
            </w:tcBorders>
            <w:vAlign w:val="center"/>
          </w:tcPr>
          <w:p w14:paraId="4B22BA66">
            <w:pPr>
              <w:widowControl/>
              <w:spacing w:line="400" w:lineRule="exact"/>
              <w:jc w:val="center"/>
              <w:rPr>
                <w:rFonts w:hint="eastAsia" w:ascii="宋体" w:hAnsi="宋体" w:eastAsia="宋体" w:cs="宋体"/>
                <w:color w:val="000000"/>
                <w:kern w:val="0"/>
                <w:sz w:val="24"/>
                <w:szCs w:val="24"/>
              </w:rPr>
            </w:pPr>
            <w:r>
              <w:rPr>
                <w:rFonts w:hint="eastAsia" w:ascii="宋体" w:hAnsi="宋体" w:eastAsia="宋体" w:cs="宋体"/>
                <w:bCs/>
                <w:color w:val="000000"/>
                <w:kern w:val="0"/>
                <w:sz w:val="24"/>
                <w:szCs w:val="24"/>
                <w:lang w:bidi="ar"/>
              </w:rPr>
              <w:t>告警通知</w:t>
            </w:r>
          </w:p>
        </w:tc>
        <w:tc>
          <w:tcPr>
            <w:tcW w:w="4275" w:type="pct"/>
            <w:tcBorders>
              <w:top w:val="single" w:color="auto" w:sz="4" w:space="0"/>
              <w:left w:val="single" w:color="auto" w:sz="4" w:space="0"/>
              <w:bottom w:val="single" w:color="auto" w:sz="4" w:space="0"/>
              <w:right w:val="single" w:color="auto" w:sz="4" w:space="0"/>
            </w:tcBorders>
            <w:vAlign w:val="center"/>
          </w:tcPr>
          <w:p w14:paraId="2CFF9F92">
            <w:pPr>
              <w:widowControl/>
              <w:spacing w:line="400" w:lineRule="exact"/>
              <w:rPr>
                <w:rFonts w:hint="eastAsia" w:ascii="宋体" w:hAnsi="宋体" w:eastAsia="宋体" w:cs="宋体"/>
                <w:color w:val="000000"/>
                <w:kern w:val="0"/>
                <w:sz w:val="24"/>
                <w:szCs w:val="24"/>
              </w:rPr>
            </w:pPr>
            <w:r>
              <w:rPr>
                <w:rFonts w:hint="eastAsia" w:ascii="宋体" w:hAnsi="宋体" w:eastAsia="宋体" w:cs="宋体"/>
                <w:color w:val="000000"/>
                <w:sz w:val="24"/>
                <w:szCs w:val="24"/>
                <w:lang w:bidi="ar"/>
              </w:rPr>
              <w:t>支持风险告警通过邮件、短信、钉钉等方式进行通知。</w:t>
            </w:r>
          </w:p>
        </w:tc>
      </w:tr>
      <w:tr w14:paraId="11A1C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724" w:type="pct"/>
            <w:vMerge w:val="restart"/>
            <w:tcBorders>
              <w:top w:val="nil"/>
              <w:left w:val="single" w:color="auto" w:sz="4" w:space="0"/>
              <w:bottom w:val="single" w:color="auto" w:sz="4" w:space="0"/>
              <w:right w:val="single" w:color="auto" w:sz="4" w:space="0"/>
            </w:tcBorders>
            <w:vAlign w:val="center"/>
          </w:tcPr>
          <w:p w14:paraId="77A3916A">
            <w:pPr>
              <w:widowControl/>
              <w:spacing w:line="400" w:lineRule="exact"/>
              <w:jc w:val="center"/>
              <w:rPr>
                <w:rFonts w:hint="eastAsia" w:ascii="宋体" w:hAnsi="宋体" w:eastAsia="宋体" w:cs="宋体"/>
                <w:sz w:val="24"/>
                <w:szCs w:val="24"/>
              </w:rPr>
            </w:pPr>
            <w:r>
              <w:rPr>
                <w:rFonts w:hint="eastAsia" w:ascii="宋体" w:hAnsi="宋体" w:eastAsia="宋体" w:cs="宋体"/>
                <w:bCs/>
                <w:color w:val="000000"/>
                <w:kern w:val="0"/>
                <w:sz w:val="24"/>
                <w:szCs w:val="24"/>
                <w:lang w:bidi="ar"/>
              </w:rPr>
              <w:t>数据外送</w:t>
            </w:r>
          </w:p>
        </w:tc>
        <w:tc>
          <w:tcPr>
            <w:tcW w:w="4275" w:type="pct"/>
            <w:tcBorders>
              <w:top w:val="single" w:color="auto" w:sz="4" w:space="0"/>
              <w:left w:val="single" w:color="auto" w:sz="4" w:space="0"/>
              <w:bottom w:val="single" w:color="auto" w:sz="4" w:space="0"/>
              <w:right w:val="single" w:color="auto" w:sz="4" w:space="0"/>
            </w:tcBorders>
            <w:vAlign w:val="center"/>
          </w:tcPr>
          <w:p w14:paraId="323E380E">
            <w:pPr>
              <w:widowControl/>
              <w:spacing w:line="400" w:lineRule="exact"/>
              <w:rPr>
                <w:rFonts w:hint="eastAsia" w:ascii="宋体" w:hAnsi="宋体" w:eastAsia="宋体" w:cs="宋体"/>
                <w:sz w:val="24"/>
                <w:szCs w:val="24"/>
              </w:rPr>
            </w:pPr>
            <w:r>
              <w:rPr>
                <w:rFonts w:hint="eastAsia" w:ascii="宋体" w:hAnsi="宋体" w:eastAsia="宋体" w:cs="宋体"/>
                <w:color w:val="000000"/>
                <w:sz w:val="24"/>
                <w:szCs w:val="24"/>
                <w:lang w:bidi="ar"/>
              </w:rPr>
              <w:t>支持通过Kafka同步数据，支持通过界面修改同步数据模板。</w:t>
            </w:r>
          </w:p>
        </w:tc>
      </w:tr>
      <w:tr w14:paraId="2C2B3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24" w:type="pct"/>
            <w:vMerge w:val="continue"/>
            <w:tcBorders>
              <w:top w:val="nil"/>
              <w:left w:val="single" w:color="auto" w:sz="4" w:space="0"/>
              <w:bottom w:val="single" w:color="auto" w:sz="4" w:space="0"/>
              <w:right w:val="single" w:color="auto" w:sz="4" w:space="0"/>
            </w:tcBorders>
            <w:vAlign w:val="center"/>
          </w:tcPr>
          <w:p w14:paraId="22086413">
            <w:pPr>
              <w:spacing w:line="400" w:lineRule="exact"/>
              <w:jc w:val="center"/>
              <w:rPr>
                <w:rFonts w:hint="eastAsia" w:ascii="宋体" w:hAnsi="宋体" w:eastAsia="宋体" w:cs="宋体"/>
                <w:sz w:val="24"/>
                <w:szCs w:val="24"/>
              </w:rPr>
            </w:pPr>
          </w:p>
        </w:tc>
        <w:tc>
          <w:tcPr>
            <w:tcW w:w="4275" w:type="pct"/>
            <w:tcBorders>
              <w:top w:val="single" w:color="auto" w:sz="4" w:space="0"/>
              <w:left w:val="single" w:color="auto" w:sz="4" w:space="0"/>
              <w:bottom w:val="single" w:color="auto" w:sz="4" w:space="0"/>
              <w:right w:val="single" w:color="auto" w:sz="4" w:space="0"/>
            </w:tcBorders>
            <w:vAlign w:val="center"/>
          </w:tcPr>
          <w:p w14:paraId="0A51A85F">
            <w:pPr>
              <w:widowControl/>
              <w:spacing w:line="400" w:lineRule="exact"/>
              <w:rPr>
                <w:rFonts w:hint="eastAsia" w:ascii="宋体" w:hAnsi="宋体" w:eastAsia="宋体" w:cs="宋体"/>
                <w:sz w:val="24"/>
                <w:szCs w:val="24"/>
              </w:rPr>
            </w:pPr>
            <w:r>
              <w:rPr>
                <w:rFonts w:hint="eastAsia" w:ascii="宋体" w:hAnsi="宋体" w:eastAsia="宋体" w:cs="宋体"/>
                <w:color w:val="000000"/>
                <w:sz w:val="24"/>
                <w:szCs w:val="24"/>
                <w:lang w:bidi="ar"/>
              </w:rPr>
              <w:t>支持开放接口形式同步数据。</w:t>
            </w:r>
          </w:p>
        </w:tc>
      </w:tr>
      <w:tr w14:paraId="0BF08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24" w:type="pct"/>
            <w:tcBorders>
              <w:top w:val="single" w:color="auto" w:sz="4" w:space="0"/>
              <w:left w:val="single" w:color="auto" w:sz="4" w:space="0"/>
              <w:bottom w:val="single" w:color="auto" w:sz="4" w:space="0"/>
              <w:right w:val="single" w:color="auto" w:sz="4" w:space="0"/>
            </w:tcBorders>
            <w:vAlign w:val="center"/>
          </w:tcPr>
          <w:p w14:paraId="04D50F92">
            <w:pPr>
              <w:spacing w:line="400" w:lineRule="exact"/>
              <w:jc w:val="center"/>
              <w:rPr>
                <w:rFonts w:hint="eastAsia" w:ascii="宋体" w:hAnsi="宋体" w:eastAsia="宋体" w:cs="宋体"/>
                <w:sz w:val="24"/>
                <w:szCs w:val="24"/>
              </w:rPr>
            </w:pPr>
            <w:r>
              <w:rPr>
                <w:rFonts w:hint="eastAsia" w:ascii="宋体" w:hAnsi="宋体" w:eastAsia="宋体" w:cs="宋体"/>
                <w:color w:val="000000"/>
                <w:kern w:val="0"/>
                <w:sz w:val="24"/>
                <w:szCs w:val="24"/>
                <w:lang w:bidi="ar"/>
              </w:rPr>
              <w:t>动态扩容</w:t>
            </w:r>
          </w:p>
        </w:tc>
        <w:tc>
          <w:tcPr>
            <w:tcW w:w="4275" w:type="pct"/>
            <w:tcBorders>
              <w:top w:val="single" w:color="auto" w:sz="4" w:space="0"/>
              <w:left w:val="single" w:color="auto" w:sz="4" w:space="0"/>
              <w:bottom w:val="single" w:color="auto" w:sz="4" w:space="0"/>
              <w:right w:val="single" w:color="auto" w:sz="4" w:space="0"/>
            </w:tcBorders>
            <w:vAlign w:val="center"/>
          </w:tcPr>
          <w:p w14:paraId="5FAF8D9D">
            <w:pPr>
              <w:widowControl/>
              <w:spacing w:line="400" w:lineRule="exact"/>
              <w:rPr>
                <w:rFonts w:hint="eastAsia" w:ascii="宋体" w:hAnsi="宋体" w:eastAsia="宋体" w:cs="宋体"/>
                <w:sz w:val="24"/>
                <w:szCs w:val="24"/>
              </w:rPr>
            </w:pPr>
            <w:r>
              <w:rPr>
                <w:rFonts w:hint="eastAsia" w:ascii="宋体" w:hAnsi="宋体" w:eastAsia="宋体" w:cs="宋体"/>
                <w:color w:val="000000"/>
                <w:kern w:val="0"/>
                <w:sz w:val="24"/>
                <w:szCs w:val="24"/>
                <w:lang w:bidi="ar"/>
              </w:rPr>
              <w:t>支持动态增删节点实现弹性扩容，满足大模型服务对高并发、低延迟的严苛要求。</w:t>
            </w:r>
          </w:p>
        </w:tc>
      </w:tr>
      <w:tr w14:paraId="5F56A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24" w:type="pct"/>
            <w:tcBorders>
              <w:top w:val="single" w:color="auto" w:sz="4" w:space="0"/>
              <w:left w:val="single" w:color="auto" w:sz="4" w:space="0"/>
              <w:bottom w:val="single" w:color="auto" w:sz="4" w:space="0"/>
              <w:right w:val="single" w:color="auto" w:sz="4" w:space="0"/>
            </w:tcBorders>
            <w:vAlign w:val="center"/>
          </w:tcPr>
          <w:p w14:paraId="1B09A612">
            <w:pPr>
              <w:spacing w:line="400" w:lineRule="exact"/>
              <w:jc w:val="center"/>
              <w:rPr>
                <w:rFonts w:hint="eastAsia" w:ascii="宋体" w:hAnsi="宋体" w:eastAsia="宋体" w:cs="宋体"/>
                <w:sz w:val="24"/>
                <w:szCs w:val="24"/>
              </w:rPr>
            </w:pPr>
            <w:r>
              <w:rPr>
                <w:rFonts w:hint="eastAsia" w:ascii="宋体" w:hAnsi="宋体" w:eastAsia="宋体" w:cs="宋体"/>
                <w:color w:val="000000"/>
                <w:kern w:val="0"/>
                <w:sz w:val="24"/>
                <w:szCs w:val="24"/>
                <w:lang w:bidi="ar"/>
              </w:rPr>
              <w:t>节点状态监控</w:t>
            </w:r>
          </w:p>
        </w:tc>
        <w:tc>
          <w:tcPr>
            <w:tcW w:w="4275" w:type="pct"/>
            <w:tcBorders>
              <w:top w:val="single" w:color="auto" w:sz="4" w:space="0"/>
              <w:left w:val="single" w:color="auto" w:sz="4" w:space="0"/>
              <w:bottom w:val="single" w:color="auto" w:sz="4" w:space="0"/>
              <w:right w:val="single" w:color="auto" w:sz="4" w:space="0"/>
            </w:tcBorders>
            <w:vAlign w:val="center"/>
          </w:tcPr>
          <w:p w14:paraId="328AD1A1">
            <w:pPr>
              <w:spacing w:line="400" w:lineRule="exact"/>
              <w:rPr>
                <w:rFonts w:hint="eastAsia" w:ascii="宋体" w:hAnsi="宋体" w:eastAsia="宋体" w:cs="宋体"/>
                <w:sz w:val="24"/>
                <w:szCs w:val="24"/>
              </w:rPr>
            </w:pPr>
            <w:r>
              <w:rPr>
                <w:rFonts w:hint="eastAsia" w:ascii="宋体" w:hAnsi="宋体" w:eastAsia="宋体" w:cs="宋体"/>
                <w:color w:val="000000"/>
                <w:kern w:val="0"/>
                <w:sz w:val="24"/>
                <w:szCs w:val="24"/>
                <w:lang w:bidi="ar"/>
              </w:rPr>
              <w:t>支持节点状态监控，实时采集CPU使用率、内存占用率、磁盘I/O及存储空间，检测节点存货状态，支持阈值告警。</w:t>
            </w:r>
          </w:p>
        </w:tc>
      </w:tr>
      <w:tr w14:paraId="6E4E6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24" w:type="pct"/>
            <w:tcBorders>
              <w:top w:val="single" w:color="auto" w:sz="4" w:space="0"/>
              <w:left w:val="single" w:color="auto" w:sz="4" w:space="0"/>
              <w:bottom w:val="single" w:color="auto" w:sz="4" w:space="0"/>
              <w:right w:val="single" w:color="auto" w:sz="4" w:space="0"/>
            </w:tcBorders>
            <w:vAlign w:val="center"/>
          </w:tcPr>
          <w:p w14:paraId="7B2C60B5">
            <w:pPr>
              <w:spacing w:line="40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bidi="ar"/>
              </w:rPr>
              <w:t>审计溯源</w:t>
            </w:r>
          </w:p>
        </w:tc>
        <w:tc>
          <w:tcPr>
            <w:tcW w:w="4275" w:type="pct"/>
            <w:tcBorders>
              <w:top w:val="single" w:color="auto" w:sz="4" w:space="0"/>
              <w:left w:val="single" w:color="auto" w:sz="4" w:space="0"/>
              <w:bottom w:val="single" w:color="auto" w:sz="4" w:space="0"/>
              <w:right w:val="single" w:color="auto" w:sz="4" w:space="0"/>
            </w:tcBorders>
            <w:vAlign w:val="center"/>
          </w:tcPr>
          <w:p w14:paraId="3DFAA572">
            <w:pPr>
              <w:spacing w:line="400" w:lineRule="exact"/>
              <w:rPr>
                <w:rFonts w:hint="eastAsia" w:ascii="宋体" w:hAnsi="宋体" w:eastAsia="宋体" w:cs="宋体"/>
                <w:color w:val="000000"/>
                <w:kern w:val="0"/>
                <w:sz w:val="24"/>
                <w:szCs w:val="24"/>
              </w:rPr>
            </w:pPr>
            <w:r>
              <w:rPr>
                <w:rFonts w:hint="eastAsia" w:ascii="宋体" w:hAnsi="宋体" w:eastAsia="宋体" w:cs="宋体"/>
                <w:kern w:val="0"/>
                <w:sz w:val="24"/>
                <w:szCs w:val="24"/>
                <w:lang w:bidi="ar"/>
              </w:rPr>
              <w:t>▲</w:t>
            </w:r>
            <w:r>
              <w:rPr>
                <w:rFonts w:hint="eastAsia" w:ascii="宋体" w:hAnsi="宋体" w:eastAsia="宋体" w:cs="宋体"/>
                <w:color w:val="000000"/>
                <w:kern w:val="0"/>
                <w:sz w:val="24"/>
                <w:szCs w:val="24"/>
                <w:lang w:bidi="ar"/>
              </w:rPr>
              <w:t>支持对系统自身安全相关的事件生成审计日志，如用户登录、对安全策略进行更改、对用户进行增加、删除和属性修改等，包括事件发生的日期、时间、用户标识、事件描述和结果等。</w:t>
            </w:r>
            <w:r>
              <w:rPr>
                <w:rFonts w:hint="eastAsia" w:ascii="宋体" w:hAnsi="宋体" w:eastAsia="宋体" w:cs="宋体"/>
                <w:b/>
                <w:color w:val="000000"/>
                <w:kern w:val="0"/>
                <w:sz w:val="24"/>
                <w:szCs w:val="24"/>
                <w:lang w:bidi="ar"/>
              </w:rPr>
              <w:t>（提供功能截图证明报告并加盖公章）</w:t>
            </w:r>
          </w:p>
        </w:tc>
      </w:tr>
      <w:tr w14:paraId="7FF73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24" w:type="pct"/>
            <w:tcBorders>
              <w:top w:val="single" w:color="auto" w:sz="4" w:space="0"/>
              <w:left w:val="single" w:color="auto" w:sz="4" w:space="0"/>
              <w:bottom w:val="single" w:color="auto" w:sz="4" w:space="0"/>
              <w:right w:val="single" w:color="auto" w:sz="4" w:space="0"/>
            </w:tcBorders>
            <w:vAlign w:val="center"/>
          </w:tcPr>
          <w:p w14:paraId="2CEE05A1">
            <w:pPr>
              <w:spacing w:line="400" w:lineRule="exact"/>
              <w:jc w:val="center"/>
              <w:rPr>
                <w:rFonts w:hint="eastAsia" w:ascii="宋体" w:hAnsi="宋体" w:eastAsia="宋体" w:cs="宋体"/>
                <w:sz w:val="24"/>
                <w:szCs w:val="24"/>
              </w:rPr>
            </w:pPr>
            <w:r>
              <w:rPr>
                <w:rFonts w:hint="eastAsia" w:ascii="宋体" w:hAnsi="宋体" w:eastAsia="宋体" w:cs="宋体"/>
                <w:sz w:val="24"/>
                <w:szCs w:val="24"/>
                <w:lang w:bidi="ar"/>
              </w:rPr>
              <w:t>资质要求</w:t>
            </w:r>
          </w:p>
        </w:tc>
        <w:tc>
          <w:tcPr>
            <w:tcW w:w="4275" w:type="pct"/>
            <w:tcBorders>
              <w:top w:val="single" w:color="auto" w:sz="4" w:space="0"/>
              <w:left w:val="single" w:color="auto" w:sz="4" w:space="0"/>
              <w:bottom w:val="single" w:color="auto" w:sz="4" w:space="0"/>
              <w:right w:val="single" w:color="auto" w:sz="4" w:space="0"/>
            </w:tcBorders>
          </w:tcPr>
          <w:p w14:paraId="6EAE35C1">
            <w:pPr>
              <w:pStyle w:val="24"/>
              <w:widowControl w:val="0"/>
              <w:spacing w:before="0" w:beforeAutospacing="0" w:after="0" w:afterAutospacing="0" w:line="400" w:lineRule="exact"/>
              <w:jc w:val="both"/>
              <w:rPr>
                <w:rFonts w:hint="eastAsia"/>
                <w:kern w:val="2"/>
              </w:rPr>
            </w:pPr>
            <w:r>
              <w:rPr>
                <w:rFonts w:hint="eastAsia"/>
                <w:kern w:val="2"/>
                <w:lang w:bidi="ar"/>
              </w:rPr>
              <w:t>产品具备《网络安全专用产品安全检测证书》。（</w:t>
            </w:r>
            <w:r>
              <w:rPr>
                <w:rFonts w:hint="eastAsia"/>
                <w:b/>
                <w:bCs/>
                <w:lang w:bidi="ar"/>
              </w:rPr>
              <w:t>提供有效证书复印件并加盖公章</w:t>
            </w:r>
            <w:r>
              <w:rPr>
                <w:rFonts w:hint="eastAsia"/>
                <w:kern w:val="2"/>
                <w:lang w:bidi="ar"/>
              </w:rPr>
              <w:t>）</w:t>
            </w:r>
          </w:p>
        </w:tc>
      </w:tr>
    </w:tbl>
    <w:p w14:paraId="6971EE66">
      <w:pPr>
        <w:adjustRightInd w:val="0"/>
        <w:snapToGrid w:val="0"/>
        <w:spacing w:line="400" w:lineRule="exact"/>
        <w:ind w:firstLine="480" w:firstLineChars="200"/>
        <w:rPr>
          <w:rFonts w:hint="eastAsia" w:ascii="宋体" w:hAnsi="宋体" w:eastAsia="宋体" w:cs="宋体"/>
          <w:sz w:val="24"/>
        </w:rPr>
      </w:pPr>
    </w:p>
    <w:p w14:paraId="162EB9ED">
      <w:pPr>
        <w:adjustRightInd w:val="0"/>
        <w:snapToGrid w:val="0"/>
        <w:spacing w:line="400" w:lineRule="exact"/>
        <w:ind w:firstLine="480" w:firstLineChars="200"/>
        <w:rPr>
          <w:rFonts w:hint="eastAsia" w:ascii="宋体" w:hAnsi="宋体" w:eastAsia="宋体" w:cs="宋体"/>
          <w:bCs/>
          <w:sz w:val="24"/>
          <w:szCs w:val="24"/>
        </w:rPr>
      </w:pPr>
      <w:r>
        <w:rPr>
          <w:rFonts w:hint="eastAsia" w:ascii="宋体" w:hAnsi="宋体" w:eastAsia="宋体" w:cs="宋体"/>
          <w:sz w:val="24"/>
        </w:rPr>
        <w:t>★</w:t>
      </w:r>
      <w:r>
        <w:rPr>
          <w:rFonts w:hint="eastAsia" w:ascii="宋体" w:hAnsi="宋体" w:eastAsia="宋体" w:cs="宋体"/>
          <w:bCs/>
          <w:sz w:val="24"/>
          <w:szCs w:val="24"/>
        </w:rPr>
        <w:t>（二）商务要求</w:t>
      </w:r>
    </w:p>
    <w:p w14:paraId="4B4FCC3A">
      <w:pPr>
        <w:adjustRightInd w:val="0"/>
        <w:snapToGrid w:val="0"/>
        <w:spacing w:line="40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1.报价要求</w:t>
      </w:r>
    </w:p>
    <w:p w14:paraId="0F0328C5">
      <w:pPr>
        <w:adjustRightInd w:val="0"/>
        <w:snapToGrid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报价应包含与本次采购项目有关的所有费用。包含但不限于人员、设备、安装、调试、验收、售后服务、伴随配套服务等所有含税费用。同时，还应包含支付给员工的工资和国家强制缴纳的各种社会保障资金，以及供应商认为需要的其他费用等。</w:t>
      </w:r>
    </w:p>
    <w:p w14:paraId="44D5BBFD">
      <w:pPr>
        <w:adjustRightInd w:val="0"/>
        <w:snapToGrid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（2）供应商的任何错漏、优惠、竞争性报价不得作为减轻责任、减少服务、增加收费、降低服务质量的理由。</w:t>
      </w:r>
    </w:p>
    <w:p w14:paraId="2EA84E32">
      <w:pPr>
        <w:adjustRightInd w:val="0"/>
        <w:snapToGrid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（3）供应商报价除包含招标文件中列明的项目外，还应包括保障产品正常使用应当具有的物资和服务，对产品正常使用应当具有的物资和服务理解不一致的以采购单位理解为准。</w:t>
      </w:r>
    </w:p>
    <w:p w14:paraId="4DE15ECF">
      <w:pPr>
        <w:adjustRightInd w:val="0"/>
        <w:snapToGrid w:val="0"/>
        <w:spacing w:line="40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2.质量要求</w:t>
      </w:r>
    </w:p>
    <w:p w14:paraId="44550F09">
      <w:pPr>
        <w:adjustRightInd w:val="0"/>
        <w:snapToGrid w:val="0"/>
        <w:spacing w:line="40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产品的功能、性能、配置要求均不低于产品技术要求表所列的各项指标。</w:t>
      </w:r>
    </w:p>
    <w:p w14:paraId="280FCAD8">
      <w:pPr>
        <w:adjustRightInd w:val="0"/>
        <w:snapToGrid w:val="0"/>
        <w:spacing w:line="400" w:lineRule="exact"/>
        <w:ind w:firstLine="480" w:firstLineChars="200"/>
        <w:rPr>
          <w:rFonts w:hint="eastAsia" w:ascii="宋体" w:hAnsi="宋体" w:eastAsia="宋体" w:cs="宋体"/>
          <w:bCs/>
          <w:sz w:val="24"/>
          <w:szCs w:val="24"/>
        </w:rPr>
      </w:pPr>
      <w:bookmarkStart w:id="54" w:name="OLE_LINK5"/>
      <w:r>
        <w:rPr>
          <w:rFonts w:hint="eastAsia" w:ascii="宋体" w:hAnsi="宋体" w:eastAsia="宋体" w:cs="宋体"/>
          <w:bCs/>
          <w:sz w:val="24"/>
          <w:szCs w:val="24"/>
        </w:rPr>
        <w:t>3.实施管理要求</w:t>
      </w:r>
    </w:p>
    <w:p w14:paraId="00E57991">
      <w:pPr>
        <w:adjustRightInd w:val="0"/>
        <w:snapToGrid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为保障产品全生命周期的稳定性与安全性，本次采购的 API 安全审计系统、API 安全网关系统相关产品的生产厂商需具备良好的供应链安全管理体系，从产品的生产制造、质量管控、仓储物流到交付验收的全供应链环节，需要确保供应链各节点符合信息安全与产品质量相关管理要求，有效防范供应链中断、组件质量缺陷、恶意植入等潜在风险，保障交付产品的完整性、可靠性及安全性，与本项目整体安全防护目标形成协同支撑。同时本项目需配备专业项目经理统筹全流程实施，需具备 API 漏洞挖掘与渗透测试、应急响应处置、项目全周期管控、安全运维保障、信息安全体系搭建、漏洞原创分析等核心能力，确保项目实施质量、安全防护效果及服务响应效率。</w:t>
      </w:r>
      <w:bookmarkEnd w:id="54"/>
    </w:p>
    <w:p w14:paraId="214568CA">
      <w:pPr>
        <w:adjustRightInd w:val="0"/>
        <w:snapToGrid w:val="0"/>
        <w:spacing w:line="40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4.验收要求</w:t>
      </w:r>
    </w:p>
    <w:p w14:paraId="62EA40A4">
      <w:pPr>
        <w:adjustRightInd w:val="0"/>
        <w:snapToGrid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产品交付前，供应商首先进行自测，并提交测试报告及技术要求规定的环境试验报告。供应商确认产品具备交付条件时，通知甲方组织验收测试。产品通过甲方的验收测试后，方可认定验收合格。</w:t>
      </w:r>
    </w:p>
    <w:p w14:paraId="2CF564F4">
      <w:pPr>
        <w:adjustRightInd w:val="0"/>
        <w:snapToGrid w:val="0"/>
        <w:spacing w:line="40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5.质保（维保）及售后要求</w:t>
      </w:r>
    </w:p>
    <w:p w14:paraId="2D2D553D">
      <w:pPr>
        <w:adjustRightInd w:val="0"/>
        <w:snapToGrid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①提供不少于3年原厂免费质保服务（期限均自双方验收合格之日起算）。所有产品及配件必须原厂整机出厂，不得在出厂后改配。</w:t>
      </w:r>
    </w:p>
    <w:p w14:paraId="16CA74ED">
      <w:pPr>
        <w:adjustRightInd w:val="0"/>
        <w:snapToGrid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供应商需在投标文件中提供书面承诺函并加盖供应商公章，承诺函格式自拟，内容须完全包含采购人要求的质保服务内容。</w:t>
      </w:r>
    </w:p>
    <w:p w14:paraId="6C8C114E">
      <w:pPr>
        <w:adjustRightInd w:val="0"/>
        <w:snapToGrid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②质保期内，对其提供的货物进行维修和系统维护，不再收取任何费用；但由于人为原因（过流，过压，过载，或者人为操作不当造成的原因）和不可抗力（如火灾、雷击等）造成的故障除外。</w:t>
      </w:r>
    </w:p>
    <w:p w14:paraId="794C2838">
      <w:pPr>
        <w:adjustRightInd w:val="0"/>
        <w:snapToGrid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质保期内，提供7×24小时电话或远程支持服务。对实际操作过程中遇到的实际问题，免费提供技术支持，对于无法在2个工作日内远程解决的问题，须指派技术工程师到指定现场解决问题，或者提供备机，并将有问题的设备送回原厂处理。</w:t>
      </w:r>
    </w:p>
    <w:p w14:paraId="7CFFA6AE">
      <w:pPr>
        <w:adjustRightInd w:val="0"/>
        <w:snapToGrid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质保期后，供应商对维修事项按成本价收取配件费用，免收工时费。</w:t>
      </w:r>
    </w:p>
    <w:p w14:paraId="13C620BF">
      <w:pPr>
        <w:adjustRightInd w:val="0"/>
        <w:snapToGrid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 3 \* GB3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③</w:t>
      </w:r>
      <w:r>
        <w:rPr>
          <w:rFonts w:hint="eastAsia" w:ascii="宋体" w:hAnsi="宋体" w:eastAsia="宋体" w:cs="宋体"/>
          <w:sz w:val="24"/>
          <w:szCs w:val="24"/>
        </w:rPr>
        <w:fldChar w:fldCharType="end"/>
      </w:r>
      <w:r>
        <w:rPr>
          <w:rFonts w:hint="eastAsia" w:ascii="宋体" w:hAnsi="宋体" w:eastAsia="宋体" w:cs="宋体"/>
          <w:sz w:val="24"/>
          <w:szCs w:val="24"/>
        </w:rPr>
        <w:t>质保期内维修（人为因素除外）费用包含在投标总价中，质保期外提供不高于市场价格的终身维护。中标后提供质保期外配件价格明细表。</w:t>
      </w:r>
    </w:p>
    <w:p w14:paraId="180B805A">
      <w:pPr>
        <w:adjustRightInd w:val="0"/>
        <w:snapToGrid w:val="0"/>
        <w:spacing w:line="40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6.付款条件</w:t>
      </w:r>
    </w:p>
    <w:p w14:paraId="0FC0788E">
      <w:pPr>
        <w:adjustRightInd w:val="0"/>
        <w:snapToGrid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甲乙双方合同签订后，支付合同总价款的30%作为预付款，供货结束并验收合格后，乙方开具全额增值税专用发票，甲方支付合同总价款的70%。</w:t>
      </w:r>
    </w:p>
    <w:p w14:paraId="4022BEDD">
      <w:pPr>
        <w:adjustRightInd w:val="0"/>
        <w:snapToGrid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7.交付时间及地点</w:t>
      </w:r>
    </w:p>
    <w:p w14:paraId="3473D7DA">
      <w:pPr>
        <w:adjustRightInd w:val="0"/>
        <w:snapToGrid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（1）交付时间：合同签订后10天内交付并完成安装调试等相关工作。</w:t>
      </w:r>
    </w:p>
    <w:p w14:paraId="62F2E528">
      <w:pPr>
        <w:adjustRightInd w:val="0"/>
        <w:snapToGrid w:val="0"/>
        <w:spacing w:line="400" w:lineRule="exact"/>
        <w:ind w:firstLine="480" w:firstLineChars="200"/>
        <w:rPr>
          <w:rFonts w:hint="eastAsia" w:ascii="宋体" w:hAnsi="宋体" w:eastAsia="宋体" w:cs="宋体"/>
          <w:sz w:val="24"/>
          <w:szCs w:val="24"/>
          <w:highlight w:val="yellow"/>
        </w:rPr>
      </w:pPr>
      <w:r>
        <w:rPr>
          <w:rFonts w:hint="eastAsia" w:ascii="宋体" w:hAnsi="宋体" w:eastAsia="宋体" w:cs="宋体"/>
          <w:sz w:val="24"/>
          <w:szCs w:val="24"/>
        </w:rPr>
        <w:t>（2）交付地点：采购人指定地点。</w:t>
      </w:r>
    </w:p>
    <w:p w14:paraId="16006931">
      <w:pPr>
        <w:adjustRightInd w:val="0"/>
        <w:snapToGrid w:val="0"/>
        <w:spacing w:line="400" w:lineRule="exact"/>
        <w:rPr>
          <w:rFonts w:hint="eastAsia" w:ascii="微软雅黑" w:hAnsi="微软雅黑" w:eastAsia="微软雅黑" w:cs="微软雅黑"/>
          <w:szCs w:val="21"/>
        </w:rPr>
      </w:pPr>
      <w:r>
        <w:rPr>
          <w:rFonts w:hint="eastAsia"/>
          <w:color w:val="000000"/>
          <w:sz w:val="28"/>
          <w:szCs w:val="28"/>
          <w:lang w:bidi="ar"/>
        </w:rPr>
        <w:br w:type="page"/>
      </w:r>
    </w:p>
    <w:p w14:paraId="134112B4">
      <w:pPr>
        <w:pStyle w:val="24"/>
        <w:numPr>
          <w:ilvl w:val="255"/>
          <w:numId w:val="0"/>
        </w:numPr>
        <w:spacing w:after="120"/>
        <w:jc w:val="center"/>
        <w:rPr>
          <w:rFonts w:hint="eastAsia" w:ascii="黑体" w:hAnsi="黑体" w:eastAsia="黑体" w:cs="黑体"/>
          <w:color w:val="000000" w:themeColor="text1"/>
          <w:kern w:val="44"/>
          <w:sz w:val="36"/>
          <w:szCs w:val="36"/>
          <w:u w:color="000000"/>
          <w:lang w:val="zh-TW"/>
          <w14:textFill>
            <w14:solidFill>
              <w14:schemeClr w14:val="tx1"/>
            </w14:solidFill>
          </w14:textFill>
        </w:rPr>
      </w:pPr>
      <w:r>
        <w:rPr>
          <w:rFonts w:ascii="黑体" w:hAnsi="黑体" w:eastAsia="黑体" w:cs="黑体"/>
          <w:color w:val="000000" w:themeColor="text1"/>
          <w:kern w:val="44"/>
          <w:sz w:val="36"/>
          <w:szCs w:val="36"/>
          <w:u w:color="000000"/>
          <w:lang w:val="zh-TW"/>
          <w14:textFill>
            <w14:solidFill>
              <w14:schemeClr w14:val="tx1"/>
            </w14:solidFill>
          </w14:textFill>
        </w:rPr>
        <w:t>第</w:t>
      </w:r>
      <w:r>
        <w:rPr>
          <w:rFonts w:hint="eastAsia" w:ascii="黑体" w:hAnsi="黑体" w:eastAsia="黑体" w:cs="黑体"/>
          <w:color w:val="000000" w:themeColor="text1"/>
          <w:kern w:val="44"/>
          <w:sz w:val="36"/>
          <w:szCs w:val="36"/>
          <w:u w:color="000000"/>
          <w:lang w:val="zh-TW"/>
          <w14:textFill>
            <w14:solidFill>
              <w14:schemeClr w14:val="tx1"/>
            </w14:solidFill>
          </w14:textFill>
        </w:rPr>
        <w:t>五</w:t>
      </w:r>
      <w:r>
        <w:rPr>
          <w:rFonts w:ascii="黑体" w:hAnsi="黑体" w:eastAsia="黑体" w:cs="黑体"/>
          <w:color w:val="000000" w:themeColor="text1"/>
          <w:kern w:val="44"/>
          <w:sz w:val="36"/>
          <w:szCs w:val="36"/>
          <w:u w:color="000000"/>
          <w:lang w:val="zh-TW"/>
          <w14:textFill>
            <w14:solidFill>
              <w14:schemeClr w14:val="tx1"/>
            </w14:solidFill>
          </w14:textFill>
        </w:rPr>
        <w:t xml:space="preserve">章  </w:t>
      </w:r>
      <w:r>
        <w:rPr>
          <w:rFonts w:hint="eastAsia" w:ascii="黑体" w:hAnsi="黑体" w:eastAsia="黑体" w:cs="黑体"/>
          <w:color w:val="000000" w:themeColor="text1"/>
          <w:kern w:val="44"/>
          <w:sz w:val="36"/>
          <w:szCs w:val="36"/>
          <w:u w:color="000000"/>
          <w:lang w:val="zh-TW"/>
          <w14:textFill>
            <w14:solidFill>
              <w14:schemeClr w14:val="tx1"/>
            </w14:solidFill>
          </w14:textFill>
        </w:rPr>
        <w:t>评标方法与评标标准</w:t>
      </w:r>
      <w:bookmarkEnd w:id="50"/>
    </w:p>
    <w:p w14:paraId="427748B3">
      <w:pPr>
        <w:spacing w:line="360" w:lineRule="auto"/>
        <w:ind w:firstLine="482" w:firstLineChars="200"/>
        <w:rPr>
          <w:rFonts w:ascii="Times New Roman" w:hAnsi="Times New Roman" w:cs="Times New Roman"/>
          <w:b/>
          <w:color w:val="000000" w:themeColor="text1"/>
          <w:sz w:val="24"/>
          <w:szCs w:val="24"/>
          <w14:textFill>
            <w14:solidFill>
              <w14:schemeClr w14:val="tx1"/>
            </w14:solidFill>
          </w14:textFill>
        </w:rPr>
      </w:pPr>
      <w:bookmarkStart w:id="55" w:name="_Toc26554093"/>
      <w:bookmarkStart w:id="56" w:name="_Toc120614281"/>
      <w:bookmarkStart w:id="57" w:name="_Toc49090575"/>
      <w:r>
        <w:rPr>
          <w:rFonts w:ascii="Times New Roman" w:hAnsi="Times New Roman" w:cs="Times New Roman"/>
          <w:b/>
          <w:color w:val="000000" w:themeColor="text1"/>
          <w:sz w:val="24"/>
          <w:szCs w:val="24"/>
          <w14:textFill>
            <w14:solidFill>
              <w14:schemeClr w14:val="tx1"/>
            </w14:solidFill>
          </w14:textFill>
        </w:rPr>
        <w:t>一、评标方法与定标原则</w:t>
      </w:r>
    </w:p>
    <w:p w14:paraId="752CD58A">
      <w:pPr>
        <w:spacing w:line="360" w:lineRule="auto"/>
        <w:ind w:firstLine="480" w:firstLineChars="200"/>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bCs/>
          <w:color w:val="000000" w:themeColor="text1"/>
          <w:sz w:val="24"/>
          <w:szCs w:val="24"/>
          <w14:textFill>
            <w14:solidFill>
              <w14:schemeClr w14:val="tx1"/>
            </w14:solidFill>
          </w14:textFill>
        </w:rPr>
        <w:t>评标工作组将对确定为实质性响应</w:t>
      </w:r>
      <w:r>
        <w:rPr>
          <w:rFonts w:hint="eastAsia" w:ascii="Times New Roman" w:hAnsi="Times New Roman" w:cs="Times New Roman"/>
          <w:bCs/>
          <w:color w:val="000000" w:themeColor="text1"/>
          <w:sz w:val="24"/>
          <w:szCs w:val="24"/>
          <w14:textFill>
            <w14:solidFill>
              <w14:schemeClr w14:val="tx1"/>
            </w14:solidFill>
          </w14:textFill>
        </w:rPr>
        <w:t>招标</w:t>
      </w:r>
      <w:r>
        <w:rPr>
          <w:rFonts w:ascii="Times New Roman" w:hAnsi="Times New Roman" w:cs="Times New Roman"/>
          <w:bCs/>
          <w:color w:val="000000" w:themeColor="text1"/>
          <w:sz w:val="24"/>
          <w:szCs w:val="24"/>
          <w14:textFill>
            <w14:solidFill>
              <w14:schemeClr w14:val="tx1"/>
            </w14:solidFill>
          </w14:textFill>
        </w:rPr>
        <w:t>文件要求的投标文件进行评价和比较，评标采用综合评分法。对未中标人，将不作任何解释。</w:t>
      </w:r>
    </w:p>
    <w:p w14:paraId="5408F928">
      <w:pPr>
        <w:spacing w:line="360" w:lineRule="auto"/>
        <w:ind w:firstLine="480" w:firstLineChars="20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bCs/>
          <w:color w:val="000000" w:themeColor="text1"/>
          <w:sz w:val="24"/>
          <w:szCs w:val="24"/>
          <w14:textFill>
            <w14:solidFill>
              <w14:schemeClr w14:val="tx1"/>
            </w14:solidFill>
          </w14:textFill>
        </w:rPr>
        <w:t>采用综合评分法的，按评审后得分由高到低顺序排列。得分相同的，按投标报价由低到高顺序排列。得分且投标报价相同的，按技术指标优劣顺序排列。</w:t>
      </w:r>
    </w:p>
    <w:p w14:paraId="774B4E44">
      <w:pPr>
        <w:numPr>
          <w:ilvl w:val="0"/>
          <w:numId w:val="4"/>
        </w:numPr>
        <w:spacing w:line="360" w:lineRule="auto"/>
        <w:ind w:firstLine="482" w:firstLineChars="200"/>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评标标准</w:t>
      </w:r>
      <w:bookmarkEnd w:id="55"/>
      <w:bookmarkEnd w:id="56"/>
      <w:bookmarkEnd w:id="57"/>
    </w:p>
    <w:tbl>
      <w:tblPr>
        <w:tblStyle w:val="28"/>
        <w:tblW w:w="4937" w:type="pct"/>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532"/>
        <w:gridCol w:w="720"/>
        <w:gridCol w:w="6181"/>
        <w:gridCol w:w="738"/>
      </w:tblGrid>
      <w:tr w14:paraId="33FAF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404" w:type="pct"/>
            <w:tcBorders>
              <w:top w:val="single" w:color="auto" w:sz="4" w:space="0"/>
              <w:left w:val="single" w:color="auto" w:sz="4" w:space="0"/>
              <w:bottom w:val="single" w:color="auto" w:sz="4" w:space="0"/>
              <w:right w:val="single" w:color="auto" w:sz="4" w:space="0"/>
            </w:tcBorders>
            <w:vAlign w:val="center"/>
          </w:tcPr>
          <w:p w14:paraId="3744BE79">
            <w:pPr>
              <w:widowControl/>
              <w:spacing w:line="360" w:lineRule="exact"/>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lang w:bidi="ar"/>
              </w:rPr>
              <w:t>序号</w:t>
            </w:r>
          </w:p>
        </w:tc>
        <w:tc>
          <w:tcPr>
            <w:tcW w:w="704" w:type="pct"/>
            <w:gridSpan w:val="2"/>
            <w:tcBorders>
              <w:top w:val="single" w:color="auto" w:sz="4" w:space="0"/>
              <w:left w:val="nil"/>
              <w:bottom w:val="single" w:color="auto" w:sz="4" w:space="0"/>
              <w:right w:val="single" w:color="auto" w:sz="4" w:space="0"/>
            </w:tcBorders>
            <w:vAlign w:val="center"/>
          </w:tcPr>
          <w:p w14:paraId="5F3C7818">
            <w:pPr>
              <w:widowControl/>
              <w:spacing w:line="360" w:lineRule="exact"/>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lang w:bidi="ar"/>
              </w:rPr>
              <w:t>评审项</w:t>
            </w:r>
          </w:p>
        </w:tc>
        <w:tc>
          <w:tcPr>
            <w:tcW w:w="3475" w:type="pct"/>
            <w:tcBorders>
              <w:top w:val="single" w:color="auto" w:sz="4" w:space="0"/>
              <w:left w:val="nil"/>
              <w:bottom w:val="single" w:color="auto" w:sz="4" w:space="0"/>
              <w:right w:val="single" w:color="auto" w:sz="4" w:space="0"/>
            </w:tcBorders>
            <w:vAlign w:val="center"/>
          </w:tcPr>
          <w:p w14:paraId="715FF9AF">
            <w:pPr>
              <w:widowControl/>
              <w:spacing w:line="360" w:lineRule="exact"/>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lang w:bidi="ar"/>
              </w:rPr>
              <w:t>评分标准</w:t>
            </w:r>
          </w:p>
        </w:tc>
        <w:tc>
          <w:tcPr>
            <w:tcW w:w="415" w:type="pct"/>
            <w:tcBorders>
              <w:top w:val="single" w:color="auto" w:sz="4" w:space="0"/>
              <w:left w:val="nil"/>
              <w:bottom w:val="single" w:color="auto" w:sz="4" w:space="0"/>
              <w:right w:val="single" w:color="auto" w:sz="4" w:space="0"/>
            </w:tcBorders>
            <w:vAlign w:val="center"/>
          </w:tcPr>
          <w:p w14:paraId="7F696C97">
            <w:pPr>
              <w:widowControl/>
              <w:spacing w:line="360" w:lineRule="exact"/>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lang w:bidi="ar"/>
              </w:rPr>
              <w:t>分值</w:t>
            </w:r>
          </w:p>
        </w:tc>
      </w:tr>
      <w:tr w14:paraId="4D40D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trPr>
        <w:tc>
          <w:tcPr>
            <w:tcW w:w="404" w:type="pct"/>
            <w:tcBorders>
              <w:top w:val="single" w:color="auto" w:sz="4" w:space="0"/>
              <w:left w:val="single" w:color="auto" w:sz="4" w:space="0"/>
              <w:bottom w:val="single" w:color="auto" w:sz="4" w:space="0"/>
              <w:right w:val="single" w:color="auto" w:sz="4" w:space="0"/>
            </w:tcBorders>
            <w:vAlign w:val="center"/>
          </w:tcPr>
          <w:p w14:paraId="51C625AE">
            <w:pPr>
              <w:widowControl/>
              <w:spacing w:line="36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bidi="ar"/>
              </w:rPr>
              <w:t>1</w:t>
            </w:r>
          </w:p>
        </w:tc>
        <w:tc>
          <w:tcPr>
            <w:tcW w:w="704" w:type="pct"/>
            <w:gridSpan w:val="2"/>
            <w:tcBorders>
              <w:top w:val="single" w:color="auto" w:sz="4" w:space="0"/>
              <w:left w:val="nil"/>
              <w:bottom w:val="single" w:color="auto" w:sz="4" w:space="0"/>
              <w:right w:val="single" w:color="auto" w:sz="4" w:space="0"/>
            </w:tcBorders>
            <w:vAlign w:val="center"/>
          </w:tcPr>
          <w:p w14:paraId="73AC9DC1">
            <w:pPr>
              <w:widowControl/>
              <w:spacing w:line="36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bidi="ar"/>
              </w:rPr>
              <w:t>报价</w:t>
            </w:r>
          </w:p>
        </w:tc>
        <w:tc>
          <w:tcPr>
            <w:tcW w:w="3475" w:type="pct"/>
            <w:tcBorders>
              <w:top w:val="single" w:color="auto" w:sz="4" w:space="0"/>
              <w:left w:val="nil"/>
              <w:bottom w:val="single" w:color="auto" w:sz="4" w:space="0"/>
              <w:right w:val="single" w:color="auto" w:sz="4" w:space="0"/>
            </w:tcBorders>
            <w:vAlign w:val="center"/>
          </w:tcPr>
          <w:p w14:paraId="0FE46015">
            <w:pPr>
              <w:widowControl/>
              <w:spacing w:line="360" w:lineRule="exac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bidi="ar"/>
              </w:rPr>
              <w:t>采用低价优先法计算，即满足招标文件要求且投标价格最低的投标报价为评标基准价，其价格分为满分。其他投标人的价格分统一按照下列公式计算：投标报价得分=(评标基准价/投标报价)×40（小数点保留两位）</w:t>
            </w:r>
          </w:p>
        </w:tc>
        <w:tc>
          <w:tcPr>
            <w:tcW w:w="415" w:type="pct"/>
            <w:tcBorders>
              <w:top w:val="single" w:color="auto" w:sz="4" w:space="0"/>
              <w:left w:val="nil"/>
              <w:bottom w:val="single" w:color="auto" w:sz="4" w:space="0"/>
              <w:right w:val="single" w:color="auto" w:sz="4" w:space="0"/>
            </w:tcBorders>
            <w:vAlign w:val="center"/>
          </w:tcPr>
          <w:p w14:paraId="3F458F4C">
            <w:pPr>
              <w:widowControl/>
              <w:spacing w:line="36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bidi="ar"/>
              </w:rPr>
              <w:t>40</w:t>
            </w:r>
          </w:p>
        </w:tc>
      </w:tr>
      <w:tr w14:paraId="5A322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404" w:type="pct"/>
            <w:tcBorders>
              <w:top w:val="single" w:color="auto" w:sz="4" w:space="0"/>
              <w:left w:val="single" w:color="auto" w:sz="4" w:space="0"/>
              <w:bottom w:val="single" w:color="auto" w:sz="4" w:space="0"/>
              <w:right w:val="single" w:color="auto" w:sz="4" w:space="0"/>
            </w:tcBorders>
            <w:vAlign w:val="center"/>
          </w:tcPr>
          <w:p w14:paraId="65A6A511">
            <w:pPr>
              <w:widowControl/>
              <w:spacing w:line="36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bidi="ar"/>
              </w:rPr>
              <w:t>2</w:t>
            </w:r>
          </w:p>
        </w:tc>
        <w:tc>
          <w:tcPr>
            <w:tcW w:w="704" w:type="pct"/>
            <w:gridSpan w:val="2"/>
            <w:tcBorders>
              <w:top w:val="single" w:color="auto" w:sz="4" w:space="0"/>
              <w:left w:val="nil"/>
              <w:bottom w:val="single" w:color="auto" w:sz="4" w:space="0"/>
              <w:right w:val="single" w:color="auto" w:sz="4" w:space="0"/>
            </w:tcBorders>
            <w:vAlign w:val="center"/>
          </w:tcPr>
          <w:p w14:paraId="6F15BC86">
            <w:pPr>
              <w:widowControl/>
              <w:spacing w:line="36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bidi="ar"/>
              </w:rPr>
              <w:t>产品技术参数</w:t>
            </w:r>
          </w:p>
        </w:tc>
        <w:tc>
          <w:tcPr>
            <w:tcW w:w="3475" w:type="pct"/>
            <w:tcBorders>
              <w:top w:val="single" w:color="auto" w:sz="4" w:space="0"/>
              <w:left w:val="nil"/>
              <w:bottom w:val="single" w:color="auto" w:sz="4" w:space="0"/>
              <w:right w:val="single" w:color="auto" w:sz="4" w:space="0"/>
            </w:tcBorders>
            <w:vAlign w:val="center"/>
          </w:tcPr>
          <w:p w14:paraId="19A3CCD3">
            <w:pPr>
              <w:widowControl/>
              <w:spacing w:line="360" w:lineRule="exac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bidi="ar"/>
              </w:rPr>
              <w:t>产品技术参数全部满足招标要求的得满分，打★指标为必须满足项，如有负偏离将作为无效投标，打▲指标为重要指标，有1项负偏离扣2分（共计14项），其余指标有1项负偏离扣</w:t>
            </w:r>
            <w:r>
              <w:rPr>
                <w:rFonts w:hint="eastAsia" w:ascii="宋体" w:hAnsi="宋体" w:eastAsia="宋体" w:cs="宋体"/>
                <w:color w:val="000000"/>
                <w:kern w:val="0"/>
                <w:sz w:val="24"/>
                <w:szCs w:val="24"/>
                <w:highlight w:val="none"/>
                <w:lang w:bidi="ar"/>
              </w:rPr>
              <w:t>0.3</w:t>
            </w:r>
            <w:r>
              <w:rPr>
                <w:rFonts w:hint="eastAsia" w:ascii="宋体" w:hAnsi="宋体" w:eastAsia="宋体" w:cs="宋体"/>
                <w:color w:val="000000"/>
                <w:kern w:val="0"/>
                <w:sz w:val="24"/>
                <w:szCs w:val="24"/>
                <w:lang w:bidi="ar"/>
              </w:rPr>
              <w:t>分，扣完为止。</w:t>
            </w:r>
          </w:p>
        </w:tc>
        <w:tc>
          <w:tcPr>
            <w:tcW w:w="415" w:type="pct"/>
            <w:tcBorders>
              <w:top w:val="single" w:color="auto" w:sz="4" w:space="0"/>
              <w:left w:val="nil"/>
              <w:bottom w:val="single" w:color="auto" w:sz="4" w:space="0"/>
              <w:right w:val="single" w:color="auto" w:sz="4" w:space="0"/>
            </w:tcBorders>
            <w:vAlign w:val="center"/>
          </w:tcPr>
          <w:p w14:paraId="400621B9">
            <w:pPr>
              <w:widowControl/>
              <w:spacing w:line="36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bidi="ar"/>
              </w:rPr>
              <w:t>42</w:t>
            </w:r>
          </w:p>
        </w:tc>
      </w:tr>
      <w:tr w14:paraId="21F2A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404" w:type="pct"/>
            <w:tcBorders>
              <w:top w:val="single" w:color="auto" w:sz="4" w:space="0"/>
              <w:left w:val="single" w:color="auto" w:sz="4" w:space="0"/>
              <w:bottom w:val="single" w:color="auto" w:sz="4" w:space="0"/>
              <w:right w:val="single" w:color="auto" w:sz="4" w:space="0"/>
            </w:tcBorders>
            <w:vAlign w:val="center"/>
          </w:tcPr>
          <w:p w14:paraId="43F3E695">
            <w:pPr>
              <w:widowControl/>
              <w:spacing w:line="36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bidi="ar"/>
              </w:rPr>
              <w:t>3</w:t>
            </w:r>
          </w:p>
        </w:tc>
        <w:tc>
          <w:tcPr>
            <w:tcW w:w="299" w:type="pct"/>
            <w:vMerge w:val="restart"/>
            <w:tcBorders>
              <w:top w:val="nil"/>
              <w:left w:val="nil"/>
              <w:bottom w:val="single" w:color="auto" w:sz="4" w:space="0"/>
              <w:right w:val="single" w:color="auto" w:sz="4" w:space="0"/>
            </w:tcBorders>
            <w:vAlign w:val="center"/>
          </w:tcPr>
          <w:p w14:paraId="50EF51E0">
            <w:pPr>
              <w:widowControl/>
              <w:spacing w:line="36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bidi="ar"/>
              </w:rPr>
              <w:t>履约能力</w:t>
            </w:r>
          </w:p>
        </w:tc>
        <w:tc>
          <w:tcPr>
            <w:tcW w:w="404" w:type="pct"/>
            <w:tcBorders>
              <w:top w:val="single" w:color="auto" w:sz="4" w:space="0"/>
              <w:left w:val="nil"/>
              <w:bottom w:val="single" w:color="auto" w:sz="4" w:space="0"/>
              <w:right w:val="single" w:color="auto" w:sz="4" w:space="0"/>
            </w:tcBorders>
            <w:vAlign w:val="center"/>
          </w:tcPr>
          <w:p w14:paraId="16BBF46B">
            <w:pPr>
              <w:widowControl/>
              <w:spacing w:line="36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bidi="ar"/>
              </w:rPr>
              <w:t>资质证书</w:t>
            </w:r>
          </w:p>
        </w:tc>
        <w:tc>
          <w:tcPr>
            <w:tcW w:w="3475" w:type="pct"/>
            <w:tcBorders>
              <w:top w:val="single" w:color="auto" w:sz="4" w:space="0"/>
              <w:left w:val="nil"/>
              <w:bottom w:val="single" w:color="auto" w:sz="4" w:space="0"/>
              <w:right w:val="single" w:color="auto" w:sz="4" w:space="0"/>
            </w:tcBorders>
            <w:vAlign w:val="center"/>
          </w:tcPr>
          <w:p w14:paraId="3AC3834B">
            <w:pPr>
              <w:widowControl/>
              <w:spacing w:line="360" w:lineRule="exac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bidi="ar"/>
              </w:rPr>
              <w:t>投标人或产品生产厂商具备以下资质证书：</w:t>
            </w:r>
          </w:p>
          <w:p w14:paraId="0E97520D">
            <w:pPr>
              <w:widowControl/>
              <w:spacing w:line="360" w:lineRule="exac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bidi="ar"/>
              </w:rPr>
              <w:t>（1）具有 ISO28000《供应链安全管理体系认证证书》的得1分，没有不得分。</w:t>
            </w:r>
          </w:p>
          <w:p w14:paraId="597BA18C">
            <w:pPr>
              <w:widowControl/>
              <w:spacing w:line="360" w:lineRule="exac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bidi="ar"/>
              </w:rPr>
              <w:t>（2）具有中国国家信息安全漏洞共享平台（CNVD）2022年（含2022年）以来年度最具价值漏洞报送单位证明材料得2分，没有不得分。</w:t>
            </w:r>
          </w:p>
          <w:p w14:paraId="0FEB921E">
            <w:pPr>
              <w:widowControl/>
              <w:spacing w:line="360" w:lineRule="exac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bidi="ar"/>
              </w:rPr>
              <w:t>（3）具有ISO/IEC 27017信息安全管理体系认证证书得2分，没有不得分。</w:t>
            </w:r>
          </w:p>
          <w:p w14:paraId="64E351D6">
            <w:pPr>
              <w:widowControl/>
              <w:spacing w:line="360" w:lineRule="exac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bidi="ar"/>
              </w:rPr>
              <w:t>（4）具有GB/T37228-2018应急预案管理能力管理体系认证证书（七星级及以上）的得2分，没有不得分。</w:t>
            </w:r>
          </w:p>
          <w:p w14:paraId="476CEF0D">
            <w:pPr>
              <w:widowControl/>
              <w:spacing w:line="360" w:lineRule="exac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bidi="ar"/>
              </w:rPr>
              <w:t>注：投标文件中须提供证书复印件，并加盖公章。</w:t>
            </w:r>
          </w:p>
        </w:tc>
        <w:tc>
          <w:tcPr>
            <w:tcW w:w="415" w:type="pct"/>
            <w:tcBorders>
              <w:top w:val="single" w:color="auto" w:sz="4" w:space="0"/>
              <w:left w:val="nil"/>
              <w:bottom w:val="single" w:color="auto" w:sz="4" w:space="0"/>
              <w:right w:val="single" w:color="auto" w:sz="4" w:space="0"/>
            </w:tcBorders>
            <w:vAlign w:val="center"/>
          </w:tcPr>
          <w:p w14:paraId="1F841897">
            <w:pPr>
              <w:widowControl/>
              <w:spacing w:line="36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bidi="ar"/>
              </w:rPr>
              <w:t>7</w:t>
            </w:r>
          </w:p>
        </w:tc>
      </w:tr>
      <w:tr w14:paraId="14E89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3" w:hRule="atLeast"/>
        </w:trPr>
        <w:tc>
          <w:tcPr>
            <w:tcW w:w="404" w:type="pct"/>
            <w:tcBorders>
              <w:top w:val="single" w:color="auto" w:sz="4" w:space="0"/>
              <w:left w:val="single" w:color="auto" w:sz="4" w:space="0"/>
              <w:bottom w:val="single" w:color="auto" w:sz="4" w:space="0"/>
              <w:right w:val="single" w:color="auto" w:sz="4" w:space="0"/>
            </w:tcBorders>
            <w:vAlign w:val="center"/>
          </w:tcPr>
          <w:p w14:paraId="51FFA34F">
            <w:pPr>
              <w:widowControl/>
              <w:spacing w:line="36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bidi="ar"/>
              </w:rPr>
              <w:t>4</w:t>
            </w:r>
          </w:p>
        </w:tc>
        <w:tc>
          <w:tcPr>
            <w:tcW w:w="299" w:type="pct"/>
            <w:vMerge w:val="continue"/>
            <w:tcBorders>
              <w:top w:val="nil"/>
              <w:left w:val="nil"/>
              <w:bottom w:val="single" w:color="auto" w:sz="4" w:space="0"/>
              <w:right w:val="single" w:color="auto" w:sz="4" w:space="0"/>
            </w:tcBorders>
            <w:vAlign w:val="center"/>
          </w:tcPr>
          <w:p w14:paraId="77570943">
            <w:pPr>
              <w:spacing w:line="360" w:lineRule="exact"/>
              <w:jc w:val="center"/>
              <w:rPr>
                <w:rFonts w:ascii="Times New Roman" w:hAnsi="Times New Roman" w:cs="Times New Roman"/>
                <w:sz w:val="24"/>
                <w:szCs w:val="24"/>
              </w:rPr>
            </w:pPr>
          </w:p>
        </w:tc>
        <w:tc>
          <w:tcPr>
            <w:tcW w:w="404" w:type="pct"/>
            <w:tcBorders>
              <w:top w:val="single" w:color="auto" w:sz="4" w:space="0"/>
              <w:left w:val="nil"/>
              <w:bottom w:val="single" w:color="auto" w:sz="4" w:space="0"/>
              <w:right w:val="single" w:color="auto" w:sz="4" w:space="0"/>
            </w:tcBorders>
            <w:vAlign w:val="center"/>
          </w:tcPr>
          <w:p w14:paraId="5D82B760">
            <w:pPr>
              <w:widowControl/>
              <w:spacing w:line="36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bidi="ar"/>
              </w:rPr>
              <w:t>人员要求</w:t>
            </w:r>
          </w:p>
        </w:tc>
        <w:tc>
          <w:tcPr>
            <w:tcW w:w="3475" w:type="pct"/>
            <w:tcBorders>
              <w:top w:val="single" w:color="auto" w:sz="4" w:space="0"/>
              <w:left w:val="nil"/>
              <w:bottom w:val="single" w:color="auto" w:sz="4" w:space="0"/>
              <w:right w:val="single" w:color="auto" w:sz="4" w:space="0"/>
            </w:tcBorders>
            <w:vAlign w:val="center"/>
          </w:tcPr>
          <w:p w14:paraId="4718B15A">
            <w:pPr>
              <w:widowControl/>
              <w:spacing w:line="360" w:lineRule="exact"/>
              <w:rPr>
                <w:rFonts w:hint="eastAsia" w:ascii="宋体" w:hAnsi="宋体" w:eastAsia="宋体" w:cs="宋体"/>
                <w:sz w:val="24"/>
                <w:szCs w:val="24"/>
              </w:rPr>
            </w:pPr>
            <w:r>
              <w:rPr>
                <w:rFonts w:hint="eastAsia" w:ascii="宋体" w:hAnsi="宋体" w:eastAsia="宋体" w:cs="宋体"/>
                <w:sz w:val="24"/>
                <w:szCs w:val="24"/>
                <w:lang w:bidi="ar"/>
              </w:rPr>
              <w:t>本项目采用项目经理负责制，投标人需为项目设置一名项目经理；</w:t>
            </w:r>
          </w:p>
          <w:p w14:paraId="333E49E6">
            <w:pPr>
              <w:widowControl/>
              <w:spacing w:line="360" w:lineRule="exact"/>
              <w:rPr>
                <w:rFonts w:hint="eastAsia" w:ascii="宋体" w:hAnsi="宋体" w:eastAsia="宋体" w:cs="宋体"/>
                <w:sz w:val="24"/>
                <w:szCs w:val="24"/>
              </w:rPr>
            </w:pPr>
            <w:r>
              <w:rPr>
                <w:rFonts w:hint="eastAsia" w:ascii="宋体" w:hAnsi="宋体" w:eastAsia="宋体" w:cs="宋体"/>
                <w:sz w:val="24"/>
                <w:szCs w:val="24"/>
                <w:lang w:bidi="ar"/>
              </w:rPr>
              <w:t>项目经理要求：该项目经理需同时具备中国信息安全测评中心注册渗透测试工程师(CISP-PTE)认证证书、中国网络安全审查技术与认证中心颁发的CSERE应急响应工程师认证证书、PMP项目管理认证证书、中国网络安全审查技术与认证中心颁发的CISAW安全运维方向认证证书、中国网络安全审查技术与认证中心颁发的信息安全管理体系主任审核员培训证书、CVE原创漏洞证明，全部提供得6分，提供5个得3分，提供4个得1分，其余不得分（提供相关有效证书复印件及近三个月的有效社保缴纳证明材料，加盖公章）</w:t>
            </w:r>
          </w:p>
        </w:tc>
        <w:tc>
          <w:tcPr>
            <w:tcW w:w="415" w:type="pct"/>
            <w:tcBorders>
              <w:top w:val="single" w:color="auto" w:sz="4" w:space="0"/>
              <w:left w:val="nil"/>
              <w:bottom w:val="single" w:color="auto" w:sz="4" w:space="0"/>
              <w:right w:val="single" w:color="auto" w:sz="4" w:space="0"/>
            </w:tcBorders>
            <w:vAlign w:val="center"/>
          </w:tcPr>
          <w:p w14:paraId="0888A72F">
            <w:pPr>
              <w:widowControl/>
              <w:spacing w:line="36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bidi="ar"/>
              </w:rPr>
              <w:t>6</w:t>
            </w:r>
          </w:p>
        </w:tc>
      </w:tr>
      <w:tr w14:paraId="0ED9F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3" w:hRule="atLeast"/>
        </w:trPr>
        <w:tc>
          <w:tcPr>
            <w:tcW w:w="404" w:type="pct"/>
            <w:tcBorders>
              <w:top w:val="single" w:color="auto" w:sz="4" w:space="0"/>
              <w:left w:val="single" w:color="auto" w:sz="4" w:space="0"/>
              <w:bottom w:val="single" w:color="auto" w:sz="4" w:space="0"/>
              <w:right w:val="single" w:color="auto" w:sz="4" w:space="0"/>
            </w:tcBorders>
            <w:vAlign w:val="center"/>
          </w:tcPr>
          <w:p w14:paraId="6033F451">
            <w:pPr>
              <w:widowControl/>
              <w:spacing w:line="36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bidi="ar"/>
              </w:rPr>
              <w:t>5</w:t>
            </w:r>
          </w:p>
        </w:tc>
        <w:tc>
          <w:tcPr>
            <w:tcW w:w="704" w:type="pct"/>
            <w:gridSpan w:val="2"/>
            <w:tcBorders>
              <w:top w:val="single" w:color="auto" w:sz="4" w:space="0"/>
              <w:left w:val="nil"/>
              <w:bottom w:val="single" w:color="auto" w:sz="4" w:space="0"/>
              <w:right w:val="single" w:color="auto" w:sz="4" w:space="0"/>
            </w:tcBorders>
            <w:vAlign w:val="center"/>
          </w:tcPr>
          <w:p w14:paraId="3C38409C">
            <w:pPr>
              <w:spacing w:line="36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bidi="ar"/>
              </w:rPr>
              <w:t>实施方案</w:t>
            </w:r>
          </w:p>
        </w:tc>
        <w:tc>
          <w:tcPr>
            <w:tcW w:w="3475" w:type="pct"/>
            <w:tcBorders>
              <w:top w:val="single" w:color="auto" w:sz="4" w:space="0"/>
              <w:left w:val="nil"/>
              <w:bottom w:val="single" w:color="auto" w:sz="4" w:space="0"/>
              <w:right w:val="single" w:color="auto" w:sz="4" w:space="0"/>
            </w:tcBorders>
            <w:vAlign w:val="center"/>
          </w:tcPr>
          <w:p w14:paraId="6D7C39C3">
            <w:pPr>
              <w:widowControl/>
              <w:snapToGrid w:val="0"/>
              <w:spacing w:line="360" w:lineRule="exac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bidi="ar"/>
              </w:rPr>
              <w:t>需提供项目实施方案</w:t>
            </w:r>
          </w:p>
          <w:p w14:paraId="367767D9">
            <w:pPr>
              <w:widowControl/>
              <w:snapToGrid w:val="0"/>
              <w:spacing w:line="360" w:lineRule="exac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bidi="ar"/>
              </w:rPr>
              <w:t>方案细致全面、合理，完全响应需求，技术可行性强得3分；较为完整，基本响应需求得2分；不完整、响应度低、技术可行性较低得1分；未提供不得分。</w:t>
            </w:r>
          </w:p>
        </w:tc>
        <w:tc>
          <w:tcPr>
            <w:tcW w:w="415" w:type="pct"/>
            <w:tcBorders>
              <w:top w:val="single" w:color="auto" w:sz="4" w:space="0"/>
              <w:left w:val="nil"/>
              <w:bottom w:val="single" w:color="auto" w:sz="4" w:space="0"/>
              <w:right w:val="single" w:color="auto" w:sz="4" w:space="0"/>
            </w:tcBorders>
            <w:vAlign w:val="center"/>
          </w:tcPr>
          <w:p w14:paraId="5C127450">
            <w:pPr>
              <w:widowControl/>
              <w:spacing w:line="36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bidi="ar"/>
              </w:rPr>
              <w:t>3</w:t>
            </w:r>
          </w:p>
        </w:tc>
      </w:tr>
      <w:tr w14:paraId="03CCB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404" w:type="pct"/>
            <w:tcBorders>
              <w:top w:val="single" w:color="auto" w:sz="4" w:space="0"/>
              <w:left w:val="single" w:color="auto" w:sz="4" w:space="0"/>
              <w:bottom w:val="single" w:color="auto" w:sz="4" w:space="0"/>
              <w:right w:val="single" w:color="auto" w:sz="4" w:space="0"/>
            </w:tcBorders>
            <w:vAlign w:val="center"/>
          </w:tcPr>
          <w:p w14:paraId="46FFC45C">
            <w:pPr>
              <w:widowControl/>
              <w:spacing w:line="36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bidi="ar"/>
              </w:rPr>
              <w:t>6</w:t>
            </w:r>
          </w:p>
        </w:tc>
        <w:tc>
          <w:tcPr>
            <w:tcW w:w="704" w:type="pct"/>
            <w:gridSpan w:val="2"/>
            <w:tcBorders>
              <w:top w:val="single" w:color="auto" w:sz="4" w:space="0"/>
              <w:left w:val="nil"/>
              <w:bottom w:val="single" w:color="auto" w:sz="4" w:space="0"/>
              <w:right w:val="single" w:color="auto" w:sz="4" w:space="0"/>
            </w:tcBorders>
            <w:vAlign w:val="center"/>
          </w:tcPr>
          <w:p w14:paraId="4074A113">
            <w:pPr>
              <w:spacing w:line="36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bidi="ar"/>
              </w:rPr>
              <w:t>售后服务方案</w:t>
            </w:r>
          </w:p>
        </w:tc>
        <w:tc>
          <w:tcPr>
            <w:tcW w:w="3475" w:type="pct"/>
            <w:tcBorders>
              <w:top w:val="single" w:color="auto" w:sz="4" w:space="0"/>
              <w:left w:val="nil"/>
              <w:bottom w:val="single" w:color="auto" w:sz="4" w:space="0"/>
              <w:right w:val="single" w:color="auto" w:sz="4" w:space="0"/>
            </w:tcBorders>
            <w:vAlign w:val="center"/>
          </w:tcPr>
          <w:p w14:paraId="6E9E1A5E">
            <w:pPr>
              <w:widowControl/>
              <w:snapToGrid w:val="0"/>
              <w:spacing w:line="360" w:lineRule="exac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bidi="ar"/>
              </w:rPr>
              <w:t>需提供符合本项目实际需求的售后服务方案</w:t>
            </w:r>
          </w:p>
          <w:p w14:paraId="28BAE119">
            <w:pPr>
              <w:widowControl/>
              <w:snapToGrid w:val="0"/>
              <w:spacing w:line="360" w:lineRule="exac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bidi="ar"/>
              </w:rPr>
              <w:t>根据方案合理性、全面性等进行综合评分，方案合理、全面的得2分；方案较为合理、基本全面的得1分；其他情况不得分。</w:t>
            </w:r>
          </w:p>
        </w:tc>
        <w:tc>
          <w:tcPr>
            <w:tcW w:w="415" w:type="pct"/>
            <w:tcBorders>
              <w:top w:val="single" w:color="auto" w:sz="4" w:space="0"/>
              <w:left w:val="nil"/>
              <w:bottom w:val="single" w:color="auto" w:sz="4" w:space="0"/>
              <w:right w:val="single" w:color="auto" w:sz="4" w:space="0"/>
            </w:tcBorders>
            <w:vAlign w:val="center"/>
          </w:tcPr>
          <w:p w14:paraId="6AA1BD9A">
            <w:pPr>
              <w:widowControl/>
              <w:spacing w:line="36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bidi="ar"/>
              </w:rPr>
              <w:t>2</w:t>
            </w:r>
          </w:p>
        </w:tc>
      </w:tr>
    </w:tbl>
    <w:p w14:paraId="5A3DEF35">
      <w:pPr>
        <w:spacing w:line="360" w:lineRule="exact"/>
        <w:rPr>
          <w:rFonts w:hint="eastAsia" w:asciiTheme="minorEastAsia" w:hAnsiTheme="minorEastAsia" w:cstheme="minorEastAsia"/>
          <w:color w:val="000000" w:themeColor="text1"/>
          <w:szCs w:val="2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 xml:space="preserve"> </w:t>
      </w:r>
      <w:r>
        <w:rPr>
          <w:rFonts w:hint="eastAsia" w:asciiTheme="minorEastAsia" w:hAnsiTheme="minorEastAsia" w:cstheme="minorEastAsia"/>
          <w:color w:val="000000" w:themeColor="text1"/>
          <w:szCs w:val="21"/>
          <w14:textFill>
            <w14:solidFill>
              <w14:schemeClr w14:val="tx1"/>
            </w14:solidFill>
          </w14:textFill>
        </w:rPr>
        <w:t>说明：</w:t>
      </w:r>
    </w:p>
    <w:p w14:paraId="150E9973">
      <w:pPr>
        <w:spacing w:line="360" w:lineRule="exac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1、对国家认定的节能产品和环保产品分别给予投标价的5%价格扣除，用扣除后的价格参与评审（特别说明：节能、环保产品 必须纳入“中国政府采购网http://www.ccgp.gov.cn”等官方网站“节能、环保产品查询系统”，且以提供的证书复印件为准 ）。</w:t>
      </w:r>
    </w:p>
    <w:p w14:paraId="6C219868">
      <w:pPr>
        <w:spacing w:line="360" w:lineRule="exac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2、小微企业的价格扣除</w:t>
      </w:r>
    </w:p>
    <w:p w14:paraId="5FE0C07F">
      <w:pPr>
        <w:spacing w:line="360" w:lineRule="exac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2.1.对于货物和服务采购项目中，未预留份额项目以及预留份额项目中的非预留部分采购包，对小微企业报价给予10%的扣除，并用扣除后的价格参加评审。其中，接受大中型企业与小微企业组成联合体或者大中型企业向小微企业分包的，对联合协议或者分包意向协议约定小微企业合同份额占到合同总金额30%以上的，500万元（含）以上的项目对联合体或者大中型企业的报价给予4%的扣除，500万元以内的项目给予6%的扣除。联合体各方均为小微企业的，联合体视同为小微企业，享受相应价格扣除。</w:t>
      </w:r>
    </w:p>
    <w:p w14:paraId="4C45A592">
      <w:pPr>
        <w:spacing w:line="360" w:lineRule="exac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2.2.价格扣除比例或者价格分加分比例对小型企业和微型企业同等对待，不作区分。说明：价格扣除优惠政策仅适用于“第一章 二、申请人的资格要求2.落实政府采购政策需满足的资格要求”中“本项目采用以下第（4）种方式落实政府采购促进中小企业发展的要求”的采购项目中。</w:t>
      </w:r>
    </w:p>
    <w:p w14:paraId="26EDBF49">
      <w:pPr>
        <w:spacing w:line="360" w:lineRule="exac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3、监狱和戒毒企业的价格扣除</w:t>
      </w:r>
    </w:p>
    <w:p w14:paraId="09D026EB">
      <w:pPr>
        <w:spacing w:line="360" w:lineRule="exac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3.1. 本项目对监狱和戒毒企业（简称监狱企业），给予等同于小微企业的价格扣除，用扣除后的价格参与评审。</w:t>
      </w:r>
    </w:p>
    <w:p w14:paraId="1171BF38">
      <w:pPr>
        <w:spacing w:line="360" w:lineRule="exac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3.2. 监狱企业需提供由省级以上监狱管理局、戒毒管理局（含新疆生产建设兵团）出具的属于监狱企业的证明文件。</w:t>
      </w:r>
    </w:p>
    <w:p w14:paraId="53C18383">
      <w:pPr>
        <w:spacing w:line="360" w:lineRule="exac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3.3. 监狱企业标准请参照《关于政府采购支持监狱企业发展有关问题的通知》（财库[2014]68号）。</w:t>
      </w:r>
    </w:p>
    <w:p w14:paraId="41DF0CF6">
      <w:pPr>
        <w:spacing w:line="360" w:lineRule="exac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4、残疾人福利性单位的价格扣除</w:t>
      </w:r>
    </w:p>
    <w:p w14:paraId="25010113">
      <w:pPr>
        <w:spacing w:line="360" w:lineRule="exac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4.1. 本项目对残疾人福利性单位，给予等同于小微企业的价格扣除，用扣除后的价格参与评审。</w:t>
      </w:r>
    </w:p>
    <w:p w14:paraId="32930939">
      <w:pPr>
        <w:spacing w:line="360" w:lineRule="exac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4.2. 残疾人福利单位需按照招标文件的要求提供《残疾人福利性单位声明函》。</w:t>
      </w:r>
    </w:p>
    <w:p w14:paraId="4DD5A8F2">
      <w:pPr>
        <w:spacing w:line="360" w:lineRule="exac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4.3. 残疾人福利单位标准请参照《关于促进残疾人就业政府采购政策的通知》（财库〔2017〕141号）。</w:t>
      </w:r>
    </w:p>
    <w:p w14:paraId="18BF3292">
      <w:pPr>
        <w:spacing w:line="360" w:lineRule="exact"/>
        <w:rPr>
          <w:rFonts w:ascii="Times New Roman" w:hAnsi="Times New Roman" w:eastAsia="宋体" w:cs="Times New Roman"/>
          <w:color w:val="000000" w:themeColor="text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5、监狱企业、残疾人福利单位属于小型、微型企业的，不重复享受政策。</w:t>
      </w:r>
    </w:p>
    <w:p w14:paraId="7A03B8AB">
      <w:pPr>
        <w:widowControl/>
        <w:jc w:val="left"/>
        <w:rPr>
          <w:rFonts w:hint="eastAsia" w:ascii="黑体" w:hAnsi="黑体" w:eastAsia="黑体" w:cs="黑体"/>
          <w:color w:val="000000" w:themeColor="text1"/>
          <w:kern w:val="44"/>
          <w:sz w:val="36"/>
          <w:szCs w:val="36"/>
          <w:u w:color="000000"/>
          <w:lang w:val="zh-TW"/>
          <w14:textFill>
            <w14:solidFill>
              <w14:schemeClr w14:val="tx1"/>
            </w14:solidFill>
          </w14:textFill>
        </w:rPr>
      </w:pPr>
      <w:bookmarkStart w:id="58" w:name="_Toc11859490"/>
      <w:r>
        <w:rPr>
          <w:rFonts w:ascii="黑体" w:hAnsi="黑体" w:eastAsia="黑体" w:cs="黑体"/>
          <w:color w:val="000000" w:themeColor="text1"/>
          <w:kern w:val="44"/>
          <w:sz w:val="36"/>
          <w:szCs w:val="36"/>
          <w:u w:color="000000"/>
          <w:lang w:val="zh-TW"/>
          <w14:textFill>
            <w14:solidFill>
              <w14:schemeClr w14:val="tx1"/>
            </w14:solidFill>
          </w14:textFill>
        </w:rPr>
        <w:br w:type="page"/>
      </w:r>
    </w:p>
    <w:p w14:paraId="7BD069B6">
      <w:pPr>
        <w:widowControl/>
        <w:jc w:val="center"/>
        <w:rPr>
          <w:rFonts w:hint="eastAsia" w:ascii="黑体" w:hAnsi="黑体" w:eastAsia="黑体" w:cs="黑体"/>
          <w:color w:val="000000" w:themeColor="text1"/>
          <w:kern w:val="44"/>
          <w:sz w:val="36"/>
          <w:szCs w:val="36"/>
          <w:u w:color="000000"/>
          <w:lang w:val="zh-TW"/>
          <w14:textFill>
            <w14:solidFill>
              <w14:schemeClr w14:val="tx1"/>
            </w14:solidFill>
          </w14:textFill>
        </w:rPr>
      </w:pPr>
      <w:r>
        <w:rPr>
          <w:rFonts w:ascii="黑体" w:hAnsi="黑体" w:eastAsia="黑体" w:cs="黑体"/>
          <w:color w:val="000000" w:themeColor="text1"/>
          <w:kern w:val="44"/>
          <w:sz w:val="36"/>
          <w:szCs w:val="36"/>
          <w:u w:color="000000"/>
          <w:lang w:val="zh-TW"/>
          <w14:textFill>
            <w14:solidFill>
              <w14:schemeClr w14:val="tx1"/>
            </w14:solidFill>
          </w14:textFill>
        </w:rPr>
        <w:t>第</w:t>
      </w:r>
      <w:r>
        <w:rPr>
          <w:rFonts w:hint="eastAsia" w:ascii="黑体" w:hAnsi="黑体" w:eastAsia="黑体" w:cs="黑体"/>
          <w:color w:val="000000" w:themeColor="text1"/>
          <w:kern w:val="44"/>
          <w:sz w:val="36"/>
          <w:szCs w:val="36"/>
          <w:u w:color="000000"/>
          <w:lang w:val="zh-TW"/>
          <w14:textFill>
            <w14:solidFill>
              <w14:schemeClr w14:val="tx1"/>
            </w14:solidFill>
          </w14:textFill>
        </w:rPr>
        <w:t>六</w:t>
      </w:r>
      <w:r>
        <w:rPr>
          <w:rFonts w:ascii="黑体" w:hAnsi="黑体" w:eastAsia="黑体" w:cs="黑体"/>
          <w:color w:val="000000" w:themeColor="text1"/>
          <w:kern w:val="44"/>
          <w:sz w:val="36"/>
          <w:szCs w:val="36"/>
          <w:u w:color="000000"/>
          <w:lang w:val="zh-TW"/>
          <w14:textFill>
            <w14:solidFill>
              <w14:schemeClr w14:val="tx1"/>
            </w14:solidFill>
          </w14:textFill>
        </w:rPr>
        <w:t xml:space="preserve">章  </w:t>
      </w:r>
      <w:r>
        <w:rPr>
          <w:rFonts w:hint="eastAsia" w:ascii="黑体" w:hAnsi="黑体" w:eastAsia="黑体" w:cs="黑体"/>
          <w:color w:val="000000" w:themeColor="text1"/>
          <w:kern w:val="44"/>
          <w:sz w:val="36"/>
          <w:szCs w:val="36"/>
          <w:u w:color="000000"/>
          <w:lang w:val="zh-TW"/>
          <w14:textFill>
            <w14:solidFill>
              <w14:schemeClr w14:val="tx1"/>
            </w14:solidFill>
          </w14:textFill>
        </w:rPr>
        <w:t>投标文件格式</w:t>
      </w:r>
      <w:bookmarkEnd w:id="58"/>
    </w:p>
    <w:p w14:paraId="0574530C">
      <w:pPr>
        <w:pStyle w:val="50"/>
        <w:widowControl w:val="0"/>
        <w:ind w:firstLine="0"/>
        <w:jc w:val="center"/>
        <w:rPr>
          <w:rFonts w:ascii="Times New Roman" w:hAnsi="Times New Roman" w:eastAsia="黑体" w:cs="Times New Roman"/>
          <w:bCs/>
          <w:color w:val="000000" w:themeColor="text1"/>
          <w:sz w:val="84"/>
          <w14:textFill>
            <w14:solidFill>
              <w14:schemeClr w14:val="tx1"/>
            </w14:solidFill>
          </w14:textFill>
        </w:rPr>
      </w:pPr>
    </w:p>
    <w:p w14:paraId="5AA2A470">
      <w:pPr>
        <w:pStyle w:val="50"/>
        <w:widowControl w:val="0"/>
        <w:ind w:firstLine="0"/>
        <w:jc w:val="center"/>
        <w:rPr>
          <w:rFonts w:ascii="Times New Roman" w:hAnsi="Times New Roman" w:eastAsia="黑体" w:cs="Times New Roman"/>
          <w:bCs/>
          <w:color w:val="000000" w:themeColor="text1"/>
          <w:sz w:val="84"/>
          <w14:textFill>
            <w14:solidFill>
              <w14:schemeClr w14:val="tx1"/>
            </w14:solidFill>
          </w14:textFill>
        </w:rPr>
      </w:pPr>
    </w:p>
    <w:p w14:paraId="2C8B358E">
      <w:pPr>
        <w:pStyle w:val="50"/>
        <w:widowControl w:val="0"/>
        <w:ind w:firstLine="0"/>
        <w:jc w:val="center"/>
        <w:rPr>
          <w:rFonts w:ascii="Times New Roman" w:hAnsi="Times New Roman" w:eastAsia="黑体" w:cs="Times New Roman"/>
          <w:bCs/>
          <w:color w:val="000000" w:themeColor="text1"/>
          <w:sz w:val="84"/>
          <w14:textFill>
            <w14:solidFill>
              <w14:schemeClr w14:val="tx1"/>
            </w14:solidFill>
          </w14:textFill>
        </w:rPr>
      </w:pPr>
      <w:r>
        <w:rPr>
          <w:rFonts w:hint="eastAsia" w:ascii="Times New Roman" w:hAnsi="Times New Roman" w:eastAsia="黑体" w:cs="Times New Roman"/>
          <w:bCs/>
          <w:color w:val="000000" w:themeColor="text1"/>
          <w:sz w:val="84"/>
          <w14:textFill>
            <w14:solidFill>
              <w14:schemeClr w14:val="tx1"/>
            </w14:solidFill>
          </w14:textFill>
        </w:rPr>
        <w:t>投</w:t>
      </w:r>
      <w:r>
        <w:rPr>
          <w:rFonts w:ascii="Times New Roman" w:hAnsi="Times New Roman" w:eastAsia="黑体" w:cs="Times New Roman"/>
          <w:bCs/>
          <w:color w:val="000000" w:themeColor="text1"/>
          <w:sz w:val="84"/>
          <w14:textFill>
            <w14:solidFill>
              <w14:schemeClr w14:val="tx1"/>
            </w14:solidFill>
          </w14:textFill>
        </w:rPr>
        <w:t xml:space="preserve"> 标 文 件</w:t>
      </w:r>
    </w:p>
    <w:p w14:paraId="73924C65">
      <w:pPr>
        <w:pStyle w:val="50"/>
        <w:widowControl w:val="0"/>
        <w:ind w:firstLine="0"/>
        <w:jc w:val="center"/>
        <w:rPr>
          <w:rFonts w:ascii="Times New Roman" w:hAnsi="Times New Roman" w:eastAsia="黑体" w:cs="Times New Roman"/>
          <w:bCs/>
          <w:color w:val="000000" w:themeColor="text1"/>
          <w:sz w:val="32"/>
          <w14:textFill>
            <w14:solidFill>
              <w14:schemeClr w14:val="tx1"/>
            </w14:solidFill>
          </w14:textFill>
        </w:rPr>
      </w:pPr>
    </w:p>
    <w:p w14:paraId="4E89A74A">
      <w:pPr>
        <w:pStyle w:val="50"/>
        <w:widowControl w:val="0"/>
        <w:ind w:firstLine="0"/>
        <w:jc w:val="center"/>
        <w:rPr>
          <w:rFonts w:ascii="Times New Roman" w:hAnsi="Times New Roman" w:eastAsia="黑体" w:cs="Times New Roman"/>
          <w:color w:val="000000" w:themeColor="text1"/>
          <w:sz w:val="36"/>
          <w:szCs w:val="36"/>
          <w14:textFill>
            <w14:solidFill>
              <w14:schemeClr w14:val="tx1"/>
            </w14:solidFill>
          </w14:textFill>
        </w:rPr>
      </w:pPr>
      <w:r>
        <w:rPr>
          <w:rFonts w:ascii="Times New Roman" w:hAnsi="Times New Roman" w:eastAsia="黑体" w:cs="Times New Roman"/>
          <w:color w:val="000000" w:themeColor="text1"/>
          <w:sz w:val="36"/>
          <w:szCs w:val="36"/>
          <w14:textFill>
            <w14:solidFill>
              <w14:schemeClr w14:val="tx1"/>
            </w14:solidFill>
          </w14:textFill>
        </w:rPr>
        <w:t>项目名称：</w:t>
      </w:r>
      <w:r>
        <w:rPr>
          <w:rFonts w:hint="eastAsia" w:ascii="Times New Roman" w:hAnsi="Times New Roman" w:eastAsia="黑体" w:cs="Times New Roman"/>
          <w:color w:val="000000" w:themeColor="text1"/>
          <w:sz w:val="36"/>
          <w:szCs w:val="36"/>
          <w14:textFill>
            <w14:solidFill>
              <w14:schemeClr w14:val="tx1"/>
            </w14:solidFill>
          </w14:textFill>
        </w:rPr>
        <w:t>紫金山实验室API安全网关系统采购项目</w:t>
      </w:r>
    </w:p>
    <w:p w14:paraId="11E3B19B">
      <w:pPr>
        <w:pStyle w:val="50"/>
        <w:widowControl w:val="0"/>
        <w:ind w:firstLine="1440" w:firstLineChars="400"/>
        <w:rPr>
          <w:rFonts w:ascii="Times New Roman" w:hAnsi="Times New Roman" w:eastAsia="黑体" w:cs="Times New Roman"/>
          <w:color w:val="000000" w:themeColor="text1"/>
          <w:sz w:val="36"/>
          <w:szCs w:val="36"/>
          <w14:textFill>
            <w14:solidFill>
              <w14:schemeClr w14:val="tx1"/>
            </w14:solidFill>
          </w14:textFill>
        </w:rPr>
      </w:pPr>
      <w:r>
        <w:rPr>
          <w:rFonts w:ascii="Times New Roman" w:hAnsi="Times New Roman" w:eastAsia="黑体" w:cs="Times New Roman"/>
          <w:color w:val="000000" w:themeColor="text1"/>
          <w:sz w:val="36"/>
          <w:szCs w:val="36"/>
          <w14:textFill>
            <w14:solidFill>
              <w14:schemeClr w14:val="tx1"/>
            </w14:solidFill>
          </w14:textFill>
        </w:rPr>
        <w:t>项目编号：PML-ZH-ZB-</w:t>
      </w:r>
      <w:r>
        <w:rPr>
          <w:rFonts w:hint="eastAsia" w:ascii="Times New Roman" w:hAnsi="Times New Roman" w:eastAsia="黑体" w:cs="Times New Roman"/>
          <w:color w:val="000000" w:themeColor="text1"/>
          <w:sz w:val="36"/>
          <w:szCs w:val="36"/>
          <w14:textFill>
            <w14:solidFill>
              <w14:schemeClr w14:val="tx1"/>
            </w14:solidFill>
          </w14:textFill>
        </w:rPr>
        <w:t>2025019</w:t>
      </w:r>
    </w:p>
    <w:p w14:paraId="6721341D">
      <w:pPr>
        <w:spacing w:line="360" w:lineRule="auto"/>
        <w:jc w:val="center"/>
        <w:rPr>
          <w:rFonts w:hint="eastAsia" w:ascii="黑体" w:hAnsi="黑体" w:eastAsia="黑体" w:cs="仿宋_GB2312"/>
          <w:b/>
          <w:bCs/>
          <w:color w:val="000000" w:themeColor="text1"/>
          <w:sz w:val="28"/>
          <w:szCs w:val="28"/>
          <w:u w:color="000000"/>
          <w14:textFill>
            <w14:solidFill>
              <w14:schemeClr w14:val="tx1"/>
            </w14:solidFill>
          </w14:textFill>
        </w:rPr>
      </w:pPr>
    </w:p>
    <w:p w14:paraId="7FD92E33">
      <w:pPr>
        <w:spacing w:line="360" w:lineRule="auto"/>
        <w:jc w:val="center"/>
        <w:rPr>
          <w:rFonts w:hint="eastAsia" w:ascii="黑体" w:hAnsi="黑体" w:eastAsia="黑体" w:cs="仿宋_GB2312"/>
          <w:b/>
          <w:bCs/>
          <w:color w:val="000000" w:themeColor="text1"/>
          <w:sz w:val="28"/>
          <w:szCs w:val="28"/>
          <w:u w:color="000000"/>
          <w14:textFill>
            <w14:solidFill>
              <w14:schemeClr w14:val="tx1"/>
            </w14:solidFill>
          </w14:textFill>
        </w:rPr>
      </w:pPr>
    </w:p>
    <w:p w14:paraId="49CE496C">
      <w:pPr>
        <w:spacing w:line="360" w:lineRule="auto"/>
        <w:jc w:val="center"/>
        <w:rPr>
          <w:rFonts w:hint="eastAsia" w:ascii="黑体" w:hAnsi="黑体" w:eastAsia="黑体" w:cs="仿宋_GB2312"/>
          <w:b/>
          <w:bCs/>
          <w:color w:val="000000" w:themeColor="text1"/>
          <w:sz w:val="28"/>
          <w:szCs w:val="28"/>
          <w:u w:color="000000"/>
          <w14:textFill>
            <w14:solidFill>
              <w14:schemeClr w14:val="tx1"/>
            </w14:solidFill>
          </w14:textFill>
        </w:rPr>
      </w:pPr>
    </w:p>
    <w:p w14:paraId="09E3877C">
      <w:pPr>
        <w:spacing w:line="360" w:lineRule="auto"/>
        <w:jc w:val="center"/>
        <w:rPr>
          <w:rFonts w:hint="eastAsia" w:ascii="黑体" w:hAnsi="黑体" w:eastAsia="黑体" w:cs="仿宋_GB2312"/>
          <w:b/>
          <w:bCs/>
          <w:color w:val="000000" w:themeColor="text1"/>
          <w:sz w:val="28"/>
          <w:szCs w:val="28"/>
          <w:u w:color="000000"/>
          <w14:textFill>
            <w14:solidFill>
              <w14:schemeClr w14:val="tx1"/>
            </w14:solidFill>
          </w14:textFill>
        </w:rPr>
      </w:pPr>
    </w:p>
    <w:p w14:paraId="78D14BF4">
      <w:pPr>
        <w:spacing w:line="360" w:lineRule="auto"/>
        <w:jc w:val="center"/>
        <w:rPr>
          <w:rFonts w:hint="eastAsia" w:ascii="黑体" w:hAnsi="黑体" w:eastAsia="黑体" w:cs="黑体"/>
          <w:color w:val="000000" w:themeColor="text1"/>
          <w:sz w:val="28"/>
          <w:szCs w:val="28"/>
          <w:u w:color="000000"/>
          <w14:textFill>
            <w14:solidFill>
              <w14:schemeClr w14:val="tx1"/>
            </w14:solidFill>
          </w14:textFill>
        </w:rPr>
      </w:pPr>
      <w:r>
        <w:rPr>
          <w:rFonts w:hint="eastAsia" w:ascii="黑体" w:hAnsi="黑体" w:eastAsia="黑体" w:cs="黑体"/>
          <w:color w:val="000000" w:themeColor="text1"/>
          <w:sz w:val="28"/>
          <w:szCs w:val="28"/>
          <w:u w:color="000000"/>
          <w:lang w:val="zh-TW"/>
          <w14:textFill>
            <w14:solidFill>
              <w14:schemeClr w14:val="tx1"/>
            </w14:solidFill>
          </w14:textFill>
        </w:rPr>
        <w:t>投标人</w:t>
      </w:r>
      <w:r>
        <w:rPr>
          <w:rFonts w:ascii="黑体" w:hAnsi="黑体" w:eastAsia="黑体" w:cs="黑体"/>
          <w:color w:val="000000" w:themeColor="text1"/>
          <w:sz w:val="28"/>
          <w:szCs w:val="28"/>
          <w:u w:color="000000"/>
          <w:lang w:val="zh-TW"/>
          <w14:textFill>
            <w14:solidFill>
              <w14:schemeClr w14:val="tx1"/>
            </w14:solidFill>
          </w14:textFill>
        </w:rPr>
        <w:t>：</w:t>
      </w:r>
      <w:r>
        <w:rPr>
          <w:rFonts w:hint="eastAsia" w:ascii="黑体" w:hAnsi="黑体" w:eastAsia="黑体" w:cs="黑体"/>
          <w:color w:val="000000" w:themeColor="text1"/>
          <w:sz w:val="28"/>
          <w:szCs w:val="28"/>
          <w:u w:val="single"/>
          <w:lang w:val="zh-TW"/>
          <w14:textFill>
            <w14:solidFill>
              <w14:schemeClr w14:val="tx1"/>
            </w14:solidFill>
          </w14:textFill>
        </w:rPr>
        <w:t xml:space="preserve">     </w:t>
      </w:r>
      <w:r>
        <w:rPr>
          <w:rFonts w:ascii="黑体" w:hAnsi="黑体" w:eastAsia="PMingLiU" w:cs="黑体"/>
          <w:color w:val="000000" w:themeColor="text1"/>
          <w:sz w:val="28"/>
          <w:szCs w:val="28"/>
          <w:u w:val="single"/>
          <w:lang w:val="zh-TW"/>
          <w14:textFill>
            <w14:solidFill>
              <w14:schemeClr w14:val="tx1"/>
            </w14:solidFill>
          </w14:textFill>
        </w:rPr>
        <w:t xml:space="preserve">   </w:t>
      </w:r>
      <w:r>
        <w:rPr>
          <w:rFonts w:hint="eastAsia" w:ascii="黑体" w:hAnsi="黑体" w:eastAsia="黑体" w:cs="黑体"/>
          <w:color w:val="000000" w:themeColor="text1"/>
          <w:sz w:val="28"/>
          <w:szCs w:val="28"/>
          <w:u w:val="single"/>
          <w:lang w:val="zh-TW"/>
          <w14:textFill>
            <w14:solidFill>
              <w14:schemeClr w14:val="tx1"/>
            </w14:solidFill>
          </w14:textFill>
        </w:rPr>
        <w:t xml:space="preserve">       </w:t>
      </w:r>
      <w:r>
        <w:rPr>
          <w:rFonts w:ascii="黑体" w:hAnsi="黑体" w:eastAsia="PMingLiU" w:cs="黑体"/>
          <w:color w:val="000000" w:themeColor="text1"/>
          <w:sz w:val="28"/>
          <w:szCs w:val="28"/>
          <w:u w:val="single"/>
          <w:lang w:val="zh-TW"/>
          <w14:textFill>
            <w14:solidFill>
              <w14:schemeClr w14:val="tx1"/>
            </w14:solidFill>
          </w14:textFill>
        </w:rPr>
        <w:t xml:space="preserve"> </w:t>
      </w:r>
      <w:r>
        <w:rPr>
          <w:rFonts w:hint="eastAsia" w:ascii="黑体" w:hAnsi="黑体" w:eastAsia="黑体" w:cs="黑体"/>
          <w:color w:val="000000" w:themeColor="text1"/>
          <w:sz w:val="28"/>
          <w:szCs w:val="28"/>
          <w:u w:val="single"/>
          <w:lang w:val="zh-TW"/>
          <w14:textFill>
            <w14:solidFill>
              <w14:schemeClr w14:val="tx1"/>
            </w14:solidFill>
          </w14:textFill>
        </w:rPr>
        <w:t xml:space="preserve">        </w:t>
      </w:r>
      <w:r>
        <w:rPr>
          <w:rFonts w:ascii="黑体" w:hAnsi="黑体" w:eastAsia="黑体" w:cs="黑体"/>
          <w:color w:val="000000" w:themeColor="text1"/>
          <w:sz w:val="28"/>
          <w:szCs w:val="28"/>
          <w:u w:color="000000"/>
          <w:lang w:val="zh-TW"/>
          <w14:textFill>
            <w14:solidFill>
              <w14:schemeClr w14:val="tx1"/>
            </w14:solidFill>
          </w14:textFill>
        </w:rPr>
        <w:t>（盖单位章）</w:t>
      </w:r>
    </w:p>
    <w:p w14:paraId="105BBA6B">
      <w:pPr>
        <w:spacing w:line="360" w:lineRule="auto"/>
        <w:jc w:val="center"/>
        <w:rPr>
          <w:rFonts w:hint="eastAsia" w:ascii="黑体" w:hAnsi="黑体" w:eastAsia="PMingLiU" w:cs="黑体"/>
          <w:color w:val="000000" w:themeColor="text1"/>
          <w:sz w:val="28"/>
          <w:szCs w:val="28"/>
          <w:u w:color="000000"/>
          <w:lang w:val="zh-TW"/>
          <w14:textFill>
            <w14:solidFill>
              <w14:schemeClr w14:val="tx1"/>
            </w14:solidFill>
          </w14:textFill>
        </w:rPr>
      </w:pPr>
      <w:r>
        <w:rPr>
          <w:rFonts w:ascii="黑体" w:hAnsi="黑体" w:eastAsia="黑体" w:cs="黑体"/>
          <w:color w:val="000000" w:themeColor="text1"/>
          <w:sz w:val="28"/>
          <w:szCs w:val="28"/>
          <w:u w:color="000000"/>
          <w:lang w:val="zh-TW"/>
          <w14:textFill>
            <w14:solidFill>
              <w14:schemeClr w14:val="tx1"/>
            </w14:solidFill>
          </w14:textFill>
        </w:rPr>
        <w:t>法定代表人或其委托代理人：</w:t>
      </w:r>
      <w:r>
        <w:rPr>
          <w:rFonts w:hint="eastAsia" w:ascii="黑体" w:hAnsi="黑体" w:eastAsia="黑体" w:cs="黑体"/>
          <w:color w:val="000000" w:themeColor="text1"/>
          <w:sz w:val="28"/>
          <w:szCs w:val="28"/>
          <w:u w:val="single"/>
          <w:lang w:val="zh-TW"/>
          <w14:textFill>
            <w14:solidFill>
              <w14:schemeClr w14:val="tx1"/>
            </w14:solidFill>
          </w14:textFill>
        </w:rPr>
        <w:t xml:space="preserve">    </w:t>
      </w:r>
      <w:r>
        <w:rPr>
          <w:rFonts w:ascii="黑体" w:hAnsi="黑体" w:eastAsia="PMingLiU" w:cs="黑体"/>
          <w:color w:val="000000" w:themeColor="text1"/>
          <w:sz w:val="28"/>
          <w:szCs w:val="28"/>
          <w:u w:val="single"/>
          <w:lang w:val="zh-TW"/>
          <w14:textFill>
            <w14:solidFill>
              <w14:schemeClr w14:val="tx1"/>
            </w14:solidFill>
          </w14:textFill>
        </w:rPr>
        <w:t xml:space="preserve"> </w:t>
      </w:r>
      <w:r>
        <w:rPr>
          <w:rFonts w:hint="eastAsia" w:ascii="黑体" w:hAnsi="黑体" w:eastAsia="黑体" w:cs="黑体"/>
          <w:color w:val="000000" w:themeColor="text1"/>
          <w:sz w:val="28"/>
          <w:szCs w:val="28"/>
          <w:u w:val="single"/>
          <w:lang w:val="zh-TW"/>
          <w14:textFill>
            <w14:solidFill>
              <w14:schemeClr w14:val="tx1"/>
            </w14:solidFill>
          </w14:textFill>
        </w:rPr>
        <w:t xml:space="preserve">     </w:t>
      </w:r>
      <w:r>
        <w:rPr>
          <w:rFonts w:ascii="黑体" w:hAnsi="黑体" w:eastAsia="黑体" w:cs="黑体"/>
          <w:color w:val="000000" w:themeColor="text1"/>
          <w:sz w:val="28"/>
          <w:szCs w:val="28"/>
          <w:u w:color="000000"/>
          <w:lang w:val="zh-TW"/>
          <w14:textFill>
            <w14:solidFill>
              <w14:schemeClr w14:val="tx1"/>
            </w14:solidFill>
          </w14:textFill>
        </w:rPr>
        <w:t>（签字）</w:t>
      </w:r>
    </w:p>
    <w:p w14:paraId="2A0B4834">
      <w:pPr>
        <w:spacing w:line="360" w:lineRule="auto"/>
        <w:ind w:firstLine="2380" w:firstLineChars="850"/>
        <w:rPr>
          <w:rFonts w:hint="eastAsia" w:ascii="黑体" w:hAnsi="黑体" w:eastAsia="PMingLiU" w:cs="黑体"/>
          <w:color w:val="000000" w:themeColor="text1"/>
          <w:sz w:val="28"/>
          <w:szCs w:val="28"/>
          <w:u w:color="000000"/>
          <w:lang w:val="zh-TW"/>
          <w14:textFill>
            <w14:solidFill>
              <w14:schemeClr w14:val="tx1"/>
            </w14:solidFill>
          </w14:textFill>
        </w:rPr>
      </w:pPr>
      <w:r>
        <w:rPr>
          <w:rFonts w:hint="eastAsia" w:ascii="黑体" w:hAnsi="黑体" w:eastAsia="黑体" w:cs="黑体"/>
          <w:color w:val="000000" w:themeColor="text1"/>
          <w:sz w:val="28"/>
          <w:szCs w:val="28"/>
          <w:u w:color="000000"/>
          <w:lang w:val="zh-TW"/>
          <w14:textFill>
            <w14:solidFill>
              <w14:schemeClr w14:val="tx1"/>
            </w14:solidFill>
          </w14:textFill>
        </w:rPr>
        <w:t>联系电话</w:t>
      </w:r>
      <w:r>
        <w:rPr>
          <w:rFonts w:ascii="黑体" w:hAnsi="黑体" w:eastAsia="黑体" w:cs="黑体"/>
          <w:color w:val="000000" w:themeColor="text1"/>
          <w:sz w:val="28"/>
          <w:szCs w:val="28"/>
          <w:u w:color="000000"/>
          <w:lang w:val="zh-TW"/>
          <w14:textFill>
            <w14:solidFill>
              <w14:schemeClr w14:val="tx1"/>
            </w14:solidFill>
          </w14:textFill>
        </w:rPr>
        <w:t>：</w:t>
      </w:r>
      <w:r>
        <w:rPr>
          <w:rFonts w:hint="eastAsia" w:ascii="黑体" w:hAnsi="黑体" w:eastAsia="黑体" w:cs="黑体"/>
          <w:color w:val="000000" w:themeColor="text1"/>
          <w:sz w:val="28"/>
          <w:szCs w:val="28"/>
          <w:u w:val="single"/>
          <w:lang w:val="zh-TW"/>
          <w14:textFill>
            <w14:solidFill>
              <w14:schemeClr w14:val="tx1"/>
            </w14:solidFill>
          </w14:textFill>
        </w:rPr>
        <w:t xml:space="preserve">    </w:t>
      </w:r>
      <w:r>
        <w:rPr>
          <w:rFonts w:ascii="黑体" w:hAnsi="黑体" w:eastAsia="PMingLiU" w:cs="黑体"/>
          <w:color w:val="000000" w:themeColor="text1"/>
          <w:sz w:val="28"/>
          <w:szCs w:val="28"/>
          <w:u w:val="single"/>
          <w:lang w:val="zh-TW"/>
          <w14:textFill>
            <w14:solidFill>
              <w14:schemeClr w14:val="tx1"/>
            </w14:solidFill>
          </w14:textFill>
        </w:rPr>
        <w:t xml:space="preserve">           </w:t>
      </w:r>
      <w:r>
        <w:rPr>
          <w:rFonts w:hint="eastAsia" w:ascii="黑体" w:hAnsi="黑体" w:eastAsia="黑体" w:cs="黑体"/>
          <w:color w:val="000000" w:themeColor="text1"/>
          <w:sz w:val="28"/>
          <w:szCs w:val="28"/>
          <w:u w:val="single"/>
          <w:lang w:val="zh-TW"/>
          <w14:textFill>
            <w14:solidFill>
              <w14:schemeClr w14:val="tx1"/>
            </w14:solidFill>
          </w14:textFill>
        </w:rPr>
        <w:t xml:space="preserve">   </w:t>
      </w:r>
    </w:p>
    <w:p w14:paraId="0DDDC89D">
      <w:pPr>
        <w:spacing w:line="360" w:lineRule="auto"/>
        <w:jc w:val="center"/>
        <w:rPr>
          <w:rFonts w:hint="eastAsia" w:ascii="黑体" w:hAnsi="黑体" w:eastAsia="黑体" w:cs="仿宋_GB2312"/>
          <w:color w:val="000000" w:themeColor="text1"/>
          <w:sz w:val="28"/>
          <w:szCs w:val="28"/>
          <w:u w:val="single" w:color="000000"/>
          <w14:textFill>
            <w14:solidFill>
              <w14:schemeClr w14:val="tx1"/>
            </w14:solidFill>
          </w14:textFill>
        </w:rPr>
      </w:pPr>
      <w:r>
        <w:rPr>
          <w:rFonts w:hint="eastAsia" w:ascii="黑体" w:hAnsi="黑体" w:eastAsia="黑体" w:cs="黑体"/>
          <w:color w:val="000000" w:themeColor="text1"/>
          <w:sz w:val="28"/>
          <w:szCs w:val="28"/>
          <w14:textFill>
            <w14:solidFill>
              <w14:schemeClr w14:val="tx1"/>
            </w14:solidFill>
          </w14:textFill>
        </w:rPr>
        <w:t>日期</w:t>
      </w:r>
      <w:r>
        <w:rPr>
          <w:rFonts w:ascii="黑体" w:hAnsi="黑体" w:eastAsia="黑体" w:cs="黑体"/>
          <w:color w:val="000000" w:themeColor="text1"/>
          <w:sz w:val="28"/>
          <w:szCs w:val="28"/>
          <w14:textFill>
            <w14:solidFill>
              <w14:schemeClr w14:val="tx1"/>
            </w14:solidFill>
          </w14:textFill>
        </w:rPr>
        <w:t>：</w:t>
      </w:r>
      <w:r>
        <w:rPr>
          <w:rFonts w:ascii="黑体" w:hAnsi="黑体" w:eastAsia="黑体" w:cs="黑体"/>
          <w:color w:val="000000" w:themeColor="text1"/>
          <w:sz w:val="28"/>
          <w:szCs w:val="28"/>
          <w:u w:val="single" w:color="000000"/>
          <w14:textFill>
            <w14:solidFill>
              <w14:schemeClr w14:val="tx1"/>
            </w14:solidFill>
          </w14:textFill>
        </w:rPr>
        <w:t xml:space="preserve">       </w:t>
      </w:r>
      <w:r>
        <w:rPr>
          <w:rFonts w:ascii="黑体" w:hAnsi="黑体" w:eastAsia="黑体" w:cs="黑体"/>
          <w:color w:val="000000" w:themeColor="text1"/>
          <w:sz w:val="28"/>
          <w:szCs w:val="28"/>
          <w:u w:color="000000"/>
          <w:lang w:val="zh-TW"/>
          <w14:textFill>
            <w14:solidFill>
              <w14:schemeClr w14:val="tx1"/>
            </w14:solidFill>
          </w14:textFill>
        </w:rPr>
        <w:t>年</w:t>
      </w:r>
      <w:r>
        <w:rPr>
          <w:rFonts w:hint="eastAsia" w:ascii="黑体" w:hAnsi="黑体" w:eastAsia="黑体" w:cs="黑体"/>
          <w:color w:val="000000" w:themeColor="text1"/>
          <w:sz w:val="28"/>
          <w:szCs w:val="28"/>
          <w:u w:val="single"/>
          <w:lang w:val="zh-TW"/>
          <w14:textFill>
            <w14:solidFill>
              <w14:schemeClr w14:val="tx1"/>
            </w14:solidFill>
          </w14:textFill>
        </w:rPr>
        <w:t xml:space="preserve">    </w:t>
      </w:r>
      <w:r>
        <w:rPr>
          <w:rFonts w:ascii="黑体" w:hAnsi="黑体" w:eastAsia="黑体" w:cs="黑体"/>
          <w:color w:val="000000" w:themeColor="text1"/>
          <w:sz w:val="28"/>
          <w:szCs w:val="28"/>
          <w:u w:color="000000"/>
          <w:lang w:val="zh-TW"/>
          <w14:textFill>
            <w14:solidFill>
              <w14:schemeClr w14:val="tx1"/>
            </w14:solidFill>
          </w14:textFill>
        </w:rPr>
        <w:t>月</w:t>
      </w:r>
      <w:r>
        <w:rPr>
          <w:rFonts w:hint="eastAsia" w:ascii="黑体" w:hAnsi="黑体" w:eastAsia="黑体" w:cs="黑体"/>
          <w:color w:val="000000" w:themeColor="text1"/>
          <w:sz w:val="28"/>
          <w:szCs w:val="28"/>
          <w:u w:val="single"/>
          <w:lang w:val="zh-TW"/>
          <w14:textFill>
            <w14:solidFill>
              <w14:schemeClr w14:val="tx1"/>
            </w14:solidFill>
          </w14:textFill>
        </w:rPr>
        <w:t xml:space="preserve">  </w:t>
      </w:r>
      <w:r>
        <w:rPr>
          <w:rFonts w:ascii="黑体" w:hAnsi="黑体" w:eastAsia="PMingLiU" w:cs="黑体"/>
          <w:color w:val="000000" w:themeColor="text1"/>
          <w:sz w:val="28"/>
          <w:szCs w:val="28"/>
          <w:u w:val="single"/>
          <w:lang w:val="zh-TW"/>
          <w14:textFill>
            <w14:solidFill>
              <w14:schemeClr w14:val="tx1"/>
            </w14:solidFill>
          </w14:textFill>
        </w:rPr>
        <w:t xml:space="preserve"> </w:t>
      </w:r>
      <w:r>
        <w:rPr>
          <w:rFonts w:hint="eastAsia" w:ascii="黑体" w:hAnsi="黑体" w:eastAsia="黑体" w:cs="黑体"/>
          <w:color w:val="000000" w:themeColor="text1"/>
          <w:sz w:val="28"/>
          <w:szCs w:val="28"/>
          <w:u w:val="single"/>
          <w:lang w:val="zh-TW"/>
          <w14:textFill>
            <w14:solidFill>
              <w14:schemeClr w14:val="tx1"/>
            </w14:solidFill>
          </w14:textFill>
        </w:rPr>
        <w:t xml:space="preserve"> </w:t>
      </w:r>
      <w:r>
        <w:rPr>
          <w:rFonts w:ascii="黑体" w:hAnsi="黑体" w:eastAsia="黑体" w:cs="黑体"/>
          <w:color w:val="000000" w:themeColor="text1"/>
          <w:sz w:val="28"/>
          <w:szCs w:val="28"/>
          <w:u w:color="000000"/>
          <w:lang w:val="zh-TW"/>
          <w14:textFill>
            <w14:solidFill>
              <w14:schemeClr w14:val="tx1"/>
            </w14:solidFill>
          </w14:textFill>
        </w:rPr>
        <w:t>日</w:t>
      </w:r>
    </w:p>
    <w:p w14:paraId="1065DAB9">
      <w:pPr>
        <w:jc w:val="center"/>
        <w:rPr>
          <w:rFonts w:hint="eastAsia" w:ascii="黑体" w:hAnsi="黑体" w:eastAsia="黑体" w:cs="Times New Roman"/>
          <w:color w:val="000000" w:themeColor="text1"/>
          <w:sz w:val="28"/>
          <w:szCs w:val="28"/>
          <w14:textFill>
            <w14:solidFill>
              <w14:schemeClr w14:val="tx1"/>
            </w14:solidFill>
          </w14:textFill>
        </w:rPr>
      </w:pPr>
    </w:p>
    <w:p w14:paraId="2E849AB7">
      <w:pPr>
        <w:jc w:val="center"/>
        <w:rPr>
          <w:rFonts w:hint="eastAsia" w:ascii="黑体" w:hAnsi="黑体" w:eastAsia="黑体" w:cs="Times New Roman"/>
          <w:color w:val="000000" w:themeColor="text1"/>
          <w:sz w:val="28"/>
          <w:szCs w:val="28"/>
          <w14:textFill>
            <w14:solidFill>
              <w14:schemeClr w14:val="tx1"/>
            </w14:solidFill>
          </w14:textFill>
        </w:rPr>
      </w:pPr>
    </w:p>
    <w:p w14:paraId="0CBE843C">
      <w:pPr>
        <w:jc w:val="left"/>
        <w:rPr>
          <w:rFonts w:hint="eastAsia" w:ascii="黑体" w:hAnsi="黑体" w:eastAsia="黑体" w:cs="Times New Roman"/>
          <w:color w:val="000000" w:themeColor="text1"/>
          <w:sz w:val="28"/>
          <w:szCs w:val="28"/>
          <w14:textFill>
            <w14:solidFill>
              <w14:schemeClr w14:val="tx1"/>
            </w14:solidFill>
          </w14:textFill>
        </w:rPr>
      </w:pPr>
      <w:r>
        <w:rPr>
          <w:rFonts w:hint="eastAsia" w:ascii="黑体" w:hAnsi="黑体" w:eastAsia="黑体" w:cs="Times New Roman"/>
          <w:color w:val="000000" w:themeColor="text1"/>
          <w:sz w:val="28"/>
          <w:szCs w:val="28"/>
          <w14:textFill>
            <w14:solidFill>
              <w14:schemeClr w14:val="tx1"/>
            </w14:solidFill>
          </w14:textFill>
        </w:rPr>
        <w:br w:type="page"/>
      </w:r>
    </w:p>
    <w:p w14:paraId="3030181A">
      <w:pPr>
        <w:jc w:val="center"/>
        <w:rPr>
          <w:rFonts w:hint="eastAsia" w:ascii="黑体" w:hAnsi="黑体" w:eastAsia="黑体" w:cs="Times New Roman"/>
          <w:color w:val="000000" w:themeColor="text1"/>
          <w:sz w:val="28"/>
          <w:szCs w:val="28"/>
          <w14:textFill>
            <w14:solidFill>
              <w14:schemeClr w14:val="tx1"/>
            </w14:solidFill>
          </w14:textFill>
        </w:rPr>
      </w:pPr>
      <w:r>
        <w:rPr>
          <w:rFonts w:hint="eastAsia" w:ascii="黑体" w:hAnsi="黑体" w:eastAsia="黑体" w:cs="Times New Roman"/>
          <w:color w:val="000000" w:themeColor="text1"/>
          <w:sz w:val="28"/>
          <w:szCs w:val="28"/>
          <w14:textFill>
            <w14:solidFill>
              <w14:schemeClr w14:val="tx1"/>
            </w14:solidFill>
          </w14:textFill>
        </w:rPr>
        <w:t>资格性和符合性检查响应对照及评分索引表</w:t>
      </w:r>
    </w:p>
    <w:p w14:paraId="40196B12">
      <w:pPr>
        <w:spacing w:before="156" w:beforeLines="50" w:after="156" w:afterLines="50" w:line="360" w:lineRule="auto"/>
        <w:jc w:val="left"/>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投标人全称（加盖投标人公章）：</w:t>
      </w:r>
      <w:r>
        <w:rPr>
          <w:rFonts w:hint="eastAsia" w:ascii="Times New Roman" w:hAnsi="Times New Roman" w:eastAsia="宋体" w:cs="Times New Roman"/>
          <w:color w:val="000000" w:themeColor="text1"/>
          <w:sz w:val="24"/>
          <w:szCs w:val="24"/>
          <w:u w:val="single"/>
          <w14:textFill>
            <w14:solidFill>
              <w14:schemeClr w14:val="tx1"/>
            </w14:solidFill>
          </w14:textFill>
        </w:rPr>
        <w:t xml:space="preserve">                            </w:t>
      </w:r>
    </w:p>
    <w:tbl>
      <w:tblPr>
        <w:tblStyle w:val="28"/>
        <w:tblW w:w="90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1"/>
        <w:gridCol w:w="4838"/>
        <w:gridCol w:w="1756"/>
        <w:gridCol w:w="1738"/>
      </w:tblGrid>
      <w:tr w14:paraId="025B6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671" w:type="dxa"/>
            <w:vAlign w:val="center"/>
          </w:tcPr>
          <w:p w14:paraId="2A2D7246">
            <w:pPr>
              <w:snapToGrid w:val="0"/>
              <w:spacing w:line="240" w:lineRule="atLeast"/>
              <w:jc w:val="center"/>
              <w:rPr>
                <w:rFonts w:ascii="Times New Roman" w:hAnsi="Times New Roman" w:eastAsia="宋体" w:cs="Times New Roman"/>
                <w:b/>
                <w:color w:val="000000" w:themeColor="text1"/>
                <w14:textFill>
                  <w14:solidFill>
                    <w14:schemeClr w14:val="tx1"/>
                  </w14:solidFill>
                </w14:textFill>
              </w:rPr>
            </w:pPr>
            <w:r>
              <w:rPr>
                <w:rFonts w:hint="eastAsia" w:ascii="Times New Roman" w:hAnsi="Times New Roman" w:eastAsia="宋体" w:cs="Times New Roman"/>
                <w:b/>
                <w:color w:val="000000" w:themeColor="text1"/>
                <w14:textFill>
                  <w14:solidFill>
                    <w14:schemeClr w14:val="tx1"/>
                  </w14:solidFill>
                </w14:textFill>
              </w:rPr>
              <w:t>序号</w:t>
            </w:r>
          </w:p>
        </w:tc>
        <w:tc>
          <w:tcPr>
            <w:tcW w:w="4838" w:type="dxa"/>
            <w:vAlign w:val="center"/>
          </w:tcPr>
          <w:p w14:paraId="2C85AE03">
            <w:pPr>
              <w:snapToGrid w:val="0"/>
              <w:spacing w:line="240" w:lineRule="atLeast"/>
              <w:jc w:val="center"/>
              <w:rPr>
                <w:rFonts w:ascii="Times New Roman" w:hAnsi="Times New Roman" w:eastAsia="宋体" w:cs="Times New Roman"/>
                <w:b/>
                <w:color w:val="000000" w:themeColor="text1"/>
                <w14:textFill>
                  <w14:solidFill>
                    <w14:schemeClr w14:val="tx1"/>
                  </w14:solidFill>
                </w14:textFill>
              </w:rPr>
            </w:pPr>
            <w:r>
              <w:rPr>
                <w:rFonts w:hint="eastAsia" w:ascii="Times New Roman" w:hAnsi="Times New Roman" w:eastAsia="宋体" w:cs="Times New Roman"/>
                <w:b/>
                <w:color w:val="000000" w:themeColor="text1"/>
                <w14:textFill>
                  <w14:solidFill>
                    <w14:schemeClr w14:val="tx1"/>
                  </w14:solidFill>
                </w14:textFill>
              </w:rPr>
              <w:t>资格性和符合性检查响应内容</w:t>
            </w:r>
          </w:p>
        </w:tc>
        <w:tc>
          <w:tcPr>
            <w:tcW w:w="1756" w:type="dxa"/>
            <w:vAlign w:val="center"/>
          </w:tcPr>
          <w:p w14:paraId="1F7186FA">
            <w:pPr>
              <w:snapToGrid w:val="0"/>
              <w:spacing w:line="240" w:lineRule="atLeast"/>
              <w:jc w:val="center"/>
              <w:rPr>
                <w:rFonts w:ascii="Times New Roman" w:hAnsi="Times New Roman" w:eastAsia="宋体" w:cs="Times New Roman"/>
                <w:b/>
                <w:color w:val="000000" w:themeColor="text1"/>
                <w14:textFill>
                  <w14:solidFill>
                    <w14:schemeClr w14:val="tx1"/>
                  </w14:solidFill>
                </w14:textFill>
              </w:rPr>
            </w:pPr>
            <w:r>
              <w:rPr>
                <w:rFonts w:hint="eastAsia" w:ascii="Times New Roman" w:hAnsi="Times New Roman" w:eastAsia="宋体" w:cs="Times New Roman"/>
                <w:b/>
                <w:color w:val="000000" w:themeColor="text1"/>
                <w14:textFill>
                  <w14:solidFill>
                    <w14:schemeClr w14:val="tx1"/>
                  </w14:solidFill>
                </w14:textFill>
              </w:rPr>
              <w:t>是否响应</w:t>
            </w:r>
          </w:p>
          <w:p w14:paraId="6153EF26">
            <w:pPr>
              <w:snapToGrid w:val="0"/>
              <w:spacing w:line="240" w:lineRule="atLeast"/>
              <w:jc w:val="center"/>
              <w:rPr>
                <w:rFonts w:ascii="Times New Roman" w:hAnsi="Times New Roman" w:eastAsia="宋体" w:cs="Times New Roman"/>
                <w:b/>
                <w:color w:val="000000" w:themeColor="text1"/>
                <w14:textFill>
                  <w14:solidFill>
                    <w14:schemeClr w14:val="tx1"/>
                  </w14:solidFill>
                </w14:textFill>
              </w:rPr>
            </w:pPr>
            <w:r>
              <w:rPr>
                <w:rFonts w:hint="eastAsia" w:ascii="Times New Roman" w:hAnsi="Times New Roman" w:eastAsia="宋体" w:cs="Times New Roman"/>
                <w:b/>
                <w:color w:val="000000" w:themeColor="text1"/>
                <w14:textFill>
                  <w14:solidFill>
                    <w14:schemeClr w14:val="tx1"/>
                  </w14:solidFill>
                </w14:textFill>
              </w:rPr>
              <w:t>（填是或者否）</w:t>
            </w:r>
          </w:p>
        </w:tc>
        <w:tc>
          <w:tcPr>
            <w:tcW w:w="1738" w:type="dxa"/>
            <w:vAlign w:val="center"/>
          </w:tcPr>
          <w:p w14:paraId="6C0A65D6">
            <w:pPr>
              <w:snapToGrid w:val="0"/>
              <w:spacing w:line="240" w:lineRule="atLeast"/>
              <w:jc w:val="center"/>
              <w:rPr>
                <w:rFonts w:ascii="Times New Roman" w:hAnsi="Times New Roman" w:eastAsia="宋体" w:cs="Times New Roman"/>
                <w:b/>
                <w:color w:val="000000" w:themeColor="text1"/>
                <w14:textFill>
                  <w14:solidFill>
                    <w14:schemeClr w14:val="tx1"/>
                  </w14:solidFill>
                </w14:textFill>
              </w:rPr>
            </w:pPr>
            <w:r>
              <w:rPr>
                <w:rFonts w:hint="eastAsia" w:ascii="Times New Roman" w:hAnsi="Times New Roman" w:eastAsia="宋体" w:cs="Times New Roman"/>
                <w:b/>
                <w:color w:val="000000" w:themeColor="text1"/>
                <w14:textFill>
                  <w14:solidFill>
                    <w14:schemeClr w14:val="tx1"/>
                  </w14:solidFill>
                </w14:textFill>
              </w:rPr>
              <w:t>投标文件中的</w:t>
            </w:r>
          </w:p>
          <w:p w14:paraId="65F1A532">
            <w:pPr>
              <w:snapToGrid w:val="0"/>
              <w:spacing w:line="240" w:lineRule="atLeast"/>
              <w:jc w:val="center"/>
              <w:rPr>
                <w:rFonts w:ascii="Times New Roman" w:hAnsi="Times New Roman" w:eastAsia="宋体" w:cs="Times New Roman"/>
                <w:b/>
                <w:color w:val="000000" w:themeColor="text1"/>
                <w14:textFill>
                  <w14:solidFill>
                    <w14:schemeClr w14:val="tx1"/>
                  </w14:solidFill>
                </w14:textFill>
              </w:rPr>
            </w:pPr>
            <w:r>
              <w:rPr>
                <w:rFonts w:hint="eastAsia" w:ascii="Times New Roman" w:hAnsi="Times New Roman" w:eastAsia="宋体" w:cs="Times New Roman"/>
                <w:b/>
                <w:color w:val="000000" w:themeColor="text1"/>
                <w14:textFill>
                  <w14:solidFill>
                    <w14:schemeClr w14:val="tx1"/>
                  </w14:solidFill>
                </w14:textFill>
              </w:rPr>
              <w:t>页码位置</w:t>
            </w:r>
          </w:p>
        </w:tc>
      </w:tr>
      <w:tr w14:paraId="10D63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71" w:type="dxa"/>
            <w:vAlign w:val="center"/>
          </w:tcPr>
          <w:p w14:paraId="06F4D009">
            <w:pPr>
              <w:jc w:val="center"/>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1</w:t>
            </w:r>
          </w:p>
        </w:tc>
        <w:tc>
          <w:tcPr>
            <w:tcW w:w="4838" w:type="dxa"/>
            <w:vAlign w:val="center"/>
          </w:tcPr>
          <w:p w14:paraId="78DD8D9C">
            <w:pPr>
              <w:spacing w:line="480" w:lineRule="exact"/>
              <w:rPr>
                <w:rFonts w:ascii="Times New Roman" w:hAnsi="Times New Roman" w:eastAsia="宋体" w:cs="Times New Roman"/>
                <w:iCs/>
                <w:color w:val="000000" w:themeColor="text1"/>
                <w14:textFill>
                  <w14:solidFill>
                    <w14:schemeClr w14:val="tx1"/>
                  </w14:solidFill>
                </w14:textFill>
              </w:rPr>
            </w:pPr>
          </w:p>
        </w:tc>
        <w:tc>
          <w:tcPr>
            <w:tcW w:w="1756" w:type="dxa"/>
            <w:vAlign w:val="center"/>
          </w:tcPr>
          <w:p w14:paraId="668E8E2D">
            <w:pPr>
              <w:rPr>
                <w:rFonts w:ascii="Times New Roman" w:hAnsi="Times New Roman" w:eastAsia="宋体" w:cs="Times New Roman"/>
                <w:b/>
                <w:color w:val="000000" w:themeColor="text1"/>
                <w14:textFill>
                  <w14:solidFill>
                    <w14:schemeClr w14:val="tx1"/>
                  </w14:solidFill>
                </w14:textFill>
              </w:rPr>
            </w:pPr>
          </w:p>
        </w:tc>
        <w:tc>
          <w:tcPr>
            <w:tcW w:w="1738" w:type="dxa"/>
            <w:vAlign w:val="center"/>
          </w:tcPr>
          <w:p w14:paraId="05F1304A">
            <w:pPr>
              <w:rPr>
                <w:rFonts w:ascii="Times New Roman" w:hAnsi="Times New Roman" w:eastAsia="宋体" w:cs="Times New Roman"/>
                <w:b/>
                <w:color w:val="000000" w:themeColor="text1"/>
                <w14:textFill>
                  <w14:solidFill>
                    <w14:schemeClr w14:val="tx1"/>
                  </w14:solidFill>
                </w14:textFill>
              </w:rPr>
            </w:pPr>
          </w:p>
        </w:tc>
      </w:tr>
      <w:tr w14:paraId="6B1C8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71" w:type="dxa"/>
            <w:vAlign w:val="center"/>
          </w:tcPr>
          <w:p w14:paraId="04CED581">
            <w:pPr>
              <w:jc w:val="center"/>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2</w:t>
            </w:r>
          </w:p>
        </w:tc>
        <w:tc>
          <w:tcPr>
            <w:tcW w:w="4838" w:type="dxa"/>
            <w:vAlign w:val="center"/>
          </w:tcPr>
          <w:p w14:paraId="0DE16838">
            <w:pPr>
              <w:snapToGrid w:val="0"/>
              <w:spacing w:before="50" w:after="156" w:afterLines="50"/>
              <w:rPr>
                <w:rFonts w:ascii="Times New Roman" w:hAnsi="Times New Roman" w:eastAsia="宋体" w:cs="Times New Roman"/>
                <w:b/>
                <w:color w:val="000000" w:themeColor="text1"/>
                <w:sz w:val="28"/>
                <w:szCs w:val="28"/>
                <w14:textFill>
                  <w14:solidFill>
                    <w14:schemeClr w14:val="tx1"/>
                  </w14:solidFill>
                </w14:textFill>
              </w:rPr>
            </w:pPr>
          </w:p>
        </w:tc>
        <w:tc>
          <w:tcPr>
            <w:tcW w:w="1756" w:type="dxa"/>
            <w:vAlign w:val="center"/>
          </w:tcPr>
          <w:p w14:paraId="1B67E238">
            <w:pPr>
              <w:rPr>
                <w:rFonts w:ascii="Times New Roman" w:hAnsi="Times New Roman" w:eastAsia="宋体" w:cs="Times New Roman"/>
                <w:color w:val="000000" w:themeColor="text1"/>
                <w14:textFill>
                  <w14:solidFill>
                    <w14:schemeClr w14:val="tx1"/>
                  </w14:solidFill>
                </w14:textFill>
              </w:rPr>
            </w:pPr>
          </w:p>
        </w:tc>
        <w:tc>
          <w:tcPr>
            <w:tcW w:w="1738" w:type="dxa"/>
            <w:vAlign w:val="center"/>
          </w:tcPr>
          <w:p w14:paraId="7B5E48D2">
            <w:pPr>
              <w:rPr>
                <w:rFonts w:ascii="Times New Roman" w:hAnsi="Times New Roman" w:eastAsia="宋体" w:cs="Times New Roman"/>
                <w:color w:val="000000" w:themeColor="text1"/>
                <w14:textFill>
                  <w14:solidFill>
                    <w14:schemeClr w14:val="tx1"/>
                  </w14:solidFill>
                </w14:textFill>
              </w:rPr>
            </w:pPr>
          </w:p>
        </w:tc>
      </w:tr>
      <w:tr w14:paraId="1E6A1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71" w:type="dxa"/>
            <w:vAlign w:val="center"/>
          </w:tcPr>
          <w:p w14:paraId="41B0B144">
            <w:pPr>
              <w:jc w:val="center"/>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3</w:t>
            </w:r>
          </w:p>
        </w:tc>
        <w:tc>
          <w:tcPr>
            <w:tcW w:w="4838" w:type="dxa"/>
            <w:vAlign w:val="center"/>
          </w:tcPr>
          <w:p w14:paraId="328D52E6">
            <w:pPr>
              <w:spacing w:line="480" w:lineRule="exact"/>
              <w:rPr>
                <w:rFonts w:ascii="Times New Roman" w:hAnsi="Times New Roman" w:eastAsia="宋体" w:cs="Times New Roman"/>
                <w:iCs/>
                <w:color w:val="000000" w:themeColor="text1"/>
                <w14:textFill>
                  <w14:solidFill>
                    <w14:schemeClr w14:val="tx1"/>
                  </w14:solidFill>
                </w14:textFill>
              </w:rPr>
            </w:pPr>
          </w:p>
        </w:tc>
        <w:tc>
          <w:tcPr>
            <w:tcW w:w="1756" w:type="dxa"/>
            <w:vAlign w:val="center"/>
          </w:tcPr>
          <w:p w14:paraId="72B2092F">
            <w:pPr>
              <w:rPr>
                <w:rFonts w:ascii="Times New Roman" w:hAnsi="Times New Roman" w:eastAsia="宋体" w:cs="Times New Roman"/>
                <w:color w:val="000000" w:themeColor="text1"/>
                <w14:textFill>
                  <w14:solidFill>
                    <w14:schemeClr w14:val="tx1"/>
                  </w14:solidFill>
                </w14:textFill>
              </w:rPr>
            </w:pPr>
          </w:p>
        </w:tc>
        <w:tc>
          <w:tcPr>
            <w:tcW w:w="1738" w:type="dxa"/>
            <w:vAlign w:val="center"/>
          </w:tcPr>
          <w:p w14:paraId="331742CA">
            <w:pPr>
              <w:rPr>
                <w:rFonts w:ascii="Times New Roman" w:hAnsi="Times New Roman" w:eastAsia="宋体" w:cs="Times New Roman"/>
                <w:color w:val="000000" w:themeColor="text1"/>
                <w14:textFill>
                  <w14:solidFill>
                    <w14:schemeClr w14:val="tx1"/>
                  </w14:solidFill>
                </w14:textFill>
              </w:rPr>
            </w:pPr>
          </w:p>
        </w:tc>
      </w:tr>
      <w:tr w14:paraId="2105B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71" w:type="dxa"/>
            <w:vAlign w:val="center"/>
          </w:tcPr>
          <w:p w14:paraId="67E06B2B">
            <w:pPr>
              <w:jc w:val="center"/>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4</w:t>
            </w:r>
          </w:p>
        </w:tc>
        <w:tc>
          <w:tcPr>
            <w:tcW w:w="4838" w:type="dxa"/>
            <w:vAlign w:val="center"/>
          </w:tcPr>
          <w:p w14:paraId="277C4A62">
            <w:pPr>
              <w:spacing w:line="360" w:lineRule="auto"/>
              <w:rPr>
                <w:rFonts w:ascii="Times New Roman" w:hAnsi="Times New Roman" w:eastAsia="宋体" w:cs="Times New Roman"/>
                <w:iCs/>
                <w:color w:val="000000" w:themeColor="text1"/>
                <w14:textFill>
                  <w14:solidFill>
                    <w14:schemeClr w14:val="tx1"/>
                  </w14:solidFill>
                </w14:textFill>
              </w:rPr>
            </w:pPr>
          </w:p>
        </w:tc>
        <w:tc>
          <w:tcPr>
            <w:tcW w:w="1756" w:type="dxa"/>
            <w:vAlign w:val="center"/>
          </w:tcPr>
          <w:p w14:paraId="663E4B72">
            <w:pPr>
              <w:rPr>
                <w:rFonts w:ascii="Times New Roman" w:hAnsi="Times New Roman" w:eastAsia="宋体" w:cs="Times New Roman"/>
                <w:color w:val="000000" w:themeColor="text1"/>
                <w14:textFill>
                  <w14:solidFill>
                    <w14:schemeClr w14:val="tx1"/>
                  </w14:solidFill>
                </w14:textFill>
              </w:rPr>
            </w:pPr>
          </w:p>
        </w:tc>
        <w:tc>
          <w:tcPr>
            <w:tcW w:w="1738" w:type="dxa"/>
            <w:vAlign w:val="center"/>
          </w:tcPr>
          <w:p w14:paraId="7EE136F1">
            <w:pPr>
              <w:rPr>
                <w:rFonts w:ascii="Times New Roman" w:hAnsi="Times New Roman" w:eastAsia="宋体" w:cs="Times New Roman"/>
                <w:color w:val="000000" w:themeColor="text1"/>
                <w14:textFill>
                  <w14:solidFill>
                    <w14:schemeClr w14:val="tx1"/>
                  </w14:solidFill>
                </w14:textFill>
              </w:rPr>
            </w:pPr>
          </w:p>
        </w:tc>
      </w:tr>
      <w:tr w14:paraId="085FF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71" w:type="dxa"/>
            <w:vAlign w:val="center"/>
          </w:tcPr>
          <w:p w14:paraId="732ED65F">
            <w:pPr>
              <w:jc w:val="center"/>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5</w:t>
            </w:r>
          </w:p>
        </w:tc>
        <w:tc>
          <w:tcPr>
            <w:tcW w:w="4838" w:type="dxa"/>
            <w:vAlign w:val="center"/>
          </w:tcPr>
          <w:p w14:paraId="66E30221">
            <w:pPr>
              <w:snapToGrid w:val="0"/>
              <w:spacing w:line="590" w:lineRule="atLeast"/>
              <w:rPr>
                <w:rFonts w:ascii="Times New Roman" w:hAnsi="Times New Roman" w:eastAsia="宋体" w:cs="Times New Roman"/>
                <w:iCs/>
                <w:color w:val="000000" w:themeColor="text1"/>
                <w14:textFill>
                  <w14:solidFill>
                    <w14:schemeClr w14:val="tx1"/>
                  </w14:solidFill>
                </w14:textFill>
              </w:rPr>
            </w:pPr>
          </w:p>
        </w:tc>
        <w:tc>
          <w:tcPr>
            <w:tcW w:w="1756" w:type="dxa"/>
            <w:vAlign w:val="center"/>
          </w:tcPr>
          <w:p w14:paraId="2DD5A380">
            <w:pPr>
              <w:rPr>
                <w:rFonts w:ascii="Times New Roman" w:hAnsi="Times New Roman" w:eastAsia="宋体" w:cs="Times New Roman"/>
                <w:color w:val="000000" w:themeColor="text1"/>
                <w14:textFill>
                  <w14:solidFill>
                    <w14:schemeClr w14:val="tx1"/>
                  </w14:solidFill>
                </w14:textFill>
              </w:rPr>
            </w:pPr>
          </w:p>
        </w:tc>
        <w:tc>
          <w:tcPr>
            <w:tcW w:w="1738" w:type="dxa"/>
            <w:vAlign w:val="center"/>
          </w:tcPr>
          <w:p w14:paraId="77EE3479">
            <w:pPr>
              <w:rPr>
                <w:rFonts w:ascii="Times New Roman" w:hAnsi="Times New Roman" w:eastAsia="宋体" w:cs="Times New Roman"/>
                <w:color w:val="000000" w:themeColor="text1"/>
                <w14:textFill>
                  <w14:solidFill>
                    <w14:schemeClr w14:val="tx1"/>
                  </w14:solidFill>
                </w14:textFill>
              </w:rPr>
            </w:pPr>
          </w:p>
        </w:tc>
      </w:tr>
      <w:tr w14:paraId="50DE73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 w:hRule="atLeast"/>
        </w:trPr>
        <w:tc>
          <w:tcPr>
            <w:tcW w:w="5509" w:type="dxa"/>
            <w:gridSpan w:val="2"/>
            <w:tcBorders>
              <w:top w:val="single" w:color="000000" w:sz="4" w:space="0"/>
              <w:left w:val="single" w:color="000000" w:sz="4" w:space="0"/>
              <w:bottom w:val="single" w:color="000000" w:sz="4" w:space="0"/>
              <w:right w:val="single" w:color="000000" w:sz="4" w:space="0"/>
            </w:tcBorders>
            <w:vAlign w:val="center"/>
          </w:tcPr>
          <w:p w14:paraId="63AE891C">
            <w:pPr>
              <w:spacing w:line="360" w:lineRule="auto"/>
              <w:jc w:val="center"/>
              <w:rPr>
                <w:rFonts w:ascii="Times New Roman" w:hAnsi="Times New Roman" w:eastAsia="宋体" w:cs="Times New Roman"/>
                <w:b/>
                <w:bCs/>
                <w:color w:val="000000" w:themeColor="text1"/>
                <w14:textFill>
                  <w14:solidFill>
                    <w14:schemeClr w14:val="tx1"/>
                  </w14:solidFill>
                </w14:textFill>
              </w:rPr>
            </w:pPr>
            <w:r>
              <w:rPr>
                <w:rFonts w:hint="eastAsia" w:ascii="Times New Roman" w:hAnsi="Times New Roman" w:eastAsia="宋体" w:cs="Times New Roman"/>
                <w:b/>
                <w:bCs/>
                <w:color w:val="000000" w:themeColor="text1"/>
                <w14:textFill>
                  <w14:solidFill>
                    <w14:schemeClr w14:val="tx1"/>
                  </w14:solidFill>
                </w14:textFill>
              </w:rPr>
              <w:t>评分项</w:t>
            </w:r>
          </w:p>
        </w:tc>
        <w:tc>
          <w:tcPr>
            <w:tcW w:w="3494" w:type="dxa"/>
            <w:gridSpan w:val="2"/>
            <w:tcBorders>
              <w:top w:val="single" w:color="000000" w:sz="4" w:space="0"/>
              <w:left w:val="nil"/>
              <w:bottom w:val="single" w:color="000000" w:sz="4" w:space="0"/>
              <w:right w:val="single" w:color="000000" w:sz="4" w:space="0"/>
            </w:tcBorders>
            <w:vAlign w:val="center"/>
          </w:tcPr>
          <w:p w14:paraId="39CEE2C5">
            <w:pPr>
              <w:spacing w:line="360" w:lineRule="auto"/>
              <w:jc w:val="center"/>
              <w:rPr>
                <w:rFonts w:ascii="Times New Roman" w:hAnsi="Times New Roman" w:eastAsia="宋体" w:cs="Times New Roman"/>
                <w:b/>
                <w:bCs/>
                <w:color w:val="000000" w:themeColor="text1"/>
                <w14:textFill>
                  <w14:solidFill>
                    <w14:schemeClr w14:val="tx1"/>
                  </w14:solidFill>
                </w14:textFill>
              </w:rPr>
            </w:pPr>
            <w:r>
              <w:rPr>
                <w:rFonts w:hint="eastAsia" w:ascii="Times New Roman" w:hAnsi="Times New Roman" w:eastAsia="宋体" w:cs="Times New Roman"/>
                <w:b/>
                <w:bCs/>
                <w:color w:val="000000" w:themeColor="text1"/>
                <w14:textFill>
                  <w14:solidFill>
                    <w14:schemeClr w14:val="tx1"/>
                  </w14:solidFill>
                </w14:textFill>
              </w:rPr>
              <w:t>在投标文件中的页码位置</w:t>
            </w:r>
          </w:p>
        </w:tc>
      </w:tr>
      <w:tr w14:paraId="150C89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5509" w:type="dxa"/>
            <w:gridSpan w:val="2"/>
            <w:tcBorders>
              <w:top w:val="single" w:color="000000" w:sz="4" w:space="0"/>
              <w:left w:val="single" w:color="000000" w:sz="4" w:space="0"/>
              <w:bottom w:val="single" w:color="000000" w:sz="4" w:space="0"/>
              <w:right w:val="single" w:color="000000" w:sz="4" w:space="0"/>
            </w:tcBorders>
            <w:vAlign w:val="center"/>
          </w:tcPr>
          <w:p w14:paraId="00F2E752">
            <w:pPr>
              <w:spacing w:line="360" w:lineRule="auto"/>
              <w:rPr>
                <w:rFonts w:ascii="Times New Roman" w:hAnsi="Times New Roman" w:eastAsia="宋体" w:cs="Times New Roman"/>
                <w:color w:val="000000" w:themeColor="text1"/>
                <w14:textFill>
                  <w14:solidFill>
                    <w14:schemeClr w14:val="tx1"/>
                  </w14:solidFill>
                </w14:textFill>
              </w:rPr>
            </w:pPr>
          </w:p>
        </w:tc>
        <w:tc>
          <w:tcPr>
            <w:tcW w:w="3494" w:type="dxa"/>
            <w:gridSpan w:val="2"/>
            <w:tcBorders>
              <w:top w:val="single" w:color="000000" w:sz="4" w:space="0"/>
              <w:left w:val="nil"/>
              <w:bottom w:val="single" w:color="000000" w:sz="4" w:space="0"/>
              <w:right w:val="single" w:color="000000" w:sz="4" w:space="0"/>
            </w:tcBorders>
            <w:vAlign w:val="center"/>
          </w:tcPr>
          <w:p w14:paraId="01A0E8B8">
            <w:pPr>
              <w:spacing w:line="360" w:lineRule="auto"/>
              <w:ind w:firstLine="420"/>
              <w:jc w:val="center"/>
              <w:rPr>
                <w:rFonts w:ascii="Times New Roman" w:hAnsi="Times New Roman" w:eastAsia="宋体" w:cs="Times New Roman"/>
                <w:b/>
                <w:bCs/>
                <w:color w:val="000000" w:themeColor="text1"/>
                <w14:textFill>
                  <w14:solidFill>
                    <w14:schemeClr w14:val="tx1"/>
                  </w14:solidFill>
                </w14:textFill>
              </w:rPr>
            </w:pPr>
          </w:p>
        </w:tc>
      </w:tr>
      <w:tr w14:paraId="5A5398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671" w:type="dxa"/>
            <w:vMerge w:val="restart"/>
            <w:tcBorders>
              <w:top w:val="nil"/>
              <w:left w:val="single" w:color="000000" w:sz="4" w:space="0"/>
              <w:bottom w:val="single" w:color="000000" w:sz="4" w:space="0"/>
              <w:right w:val="single" w:color="000000" w:sz="4" w:space="0"/>
            </w:tcBorders>
            <w:vAlign w:val="center"/>
          </w:tcPr>
          <w:p w14:paraId="1D07A51C">
            <w:pPr>
              <w:spacing w:line="360" w:lineRule="auto"/>
              <w:jc w:val="center"/>
              <w:rPr>
                <w:rFonts w:ascii="Times New Roman" w:hAnsi="Times New Roman" w:eastAsia="宋体" w:cs="Times New Roman"/>
                <w:b/>
                <w:bCs/>
                <w:color w:val="000000" w:themeColor="text1"/>
                <w14:textFill>
                  <w14:solidFill>
                    <w14:schemeClr w14:val="tx1"/>
                  </w14:solidFill>
                </w14:textFill>
              </w:rPr>
            </w:pPr>
          </w:p>
        </w:tc>
        <w:tc>
          <w:tcPr>
            <w:tcW w:w="4838" w:type="dxa"/>
            <w:tcBorders>
              <w:top w:val="single" w:color="000000" w:sz="4" w:space="0"/>
              <w:left w:val="nil"/>
              <w:bottom w:val="single" w:color="000000" w:sz="4" w:space="0"/>
              <w:right w:val="single" w:color="000000" w:sz="4" w:space="0"/>
            </w:tcBorders>
            <w:vAlign w:val="center"/>
          </w:tcPr>
          <w:p w14:paraId="4955EB4A">
            <w:pPr>
              <w:spacing w:line="360" w:lineRule="auto"/>
              <w:rPr>
                <w:rFonts w:ascii="Times New Roman" w:hAnsi="Times New Roman" w:eastAsia="宋体" w:cs="Times New Roman"/>
                <w:color w:val="000000" w:themeColor="text1"/>
                <w14:textFill>
                  <w14:solidFill>
                    <w14:schemeClr w14:val="tx1"/>
                  </w14:solidFill>
                </w14:textFill>
              </w:rPr>
            </w:pPr>
          </w:p>
        </w:tc>
        <w:tc>
          <w:tcPr>
            <w:tcW w:w="3494" w:type="dxa"/>
            <w:gridSpan w:val="2"/>
            <w:tcBorders>
              <w:top w:val="single" w:color="000000" w:sz="4" w:space="0"/>
              <w:left w:val="nil"/>
              <w:bottom w:val="single" w:color="000000" w:sz="4" w:space="0"/>
              <w:right w:val="single" w:color="000000" w:sz="4" w:space="0"/>
            </w:tcBorders>
            <w:vAlign w:val="center"/>
          </w:tcPr>
          <w:p w14:paraId="00305C5A">
            <w:pPr>
              <w:spacing w:line="360" w:lineRule="auto"/>
              <w:ind w:firstLine="420"/>
              <w:jc w:val="center"/>
              <w:rPr>
                <w:rFonts w:ascii="Times New Roman" w:hAnsi="Times New Roman" w:eastAsia="宋体" w:cs="Times New Roman"/>
                <w:b/>
                <w:bCs/>
                <w:color w:val="000000" w:themeColor="text1"/>
                <w14:textFill>
                  <w14:solidFill>
                    <w14:schemeClr w14:val="tx1"/>
                  </w14:solidFill>
                </w14:textFill>
              </w:rPr>
            </w:pPr>
          </w:p>
        </w:tc>
      </w:tr>
      <w:tr w14:paraId="062DA8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671" w:type="dxa"/>
            <w:vMerge w:val="continue"/>
            <w:tcBorders>
              <w:top w:val="nil"/>
              <w:left w:val="single" w:color="000000" w:sz="4" w:space="0"/>
              <w:bottom w:val="single" w:color="000000" w:sz="4" w:space="0"/>
              <w:right w:val="single" w:color="000000" w:sz="4" w:space="0"/>
            </w:tcBorders>
            <w:vAlign w:val="center"/>
          </w:tcPr>
          <w:p w14:paraId="53FCFCC5">
            <w:pPr>
              <w:spacing w:line="360" w:lineRule="auto"/>
              <w:rPr>
                <w:rFonts w:ascii="Times New Roman" w:hAnsi="Times New Roman" w:eastAsia="宋体" w:cs="Times New Roman"/>
                <w:b/>
                <w:bCs/>
                <w:color w:val="000000" w:themeColor="text1"/>
                <w14:textFill>
                  <w14:solidFill>
                    <w14:schemeClr w14:val="tx1"/>
                  </w14:solidFill>
                </w14:textFill>
              </w:rPr>
            </w:pPr>
          </w:p>
        </w:tc>
        <w:tc>
          <w:tcPr>
            <w:tcW w:w="4838" w:type="dxa"/>
            <w:tcBorders>
              <w:top w:val="single" w:color="000000" w:sz="4" w:space="0"/>
              <w:left w:val="nil"/>
              <w:bottom w:val="single" w:color="000000" w:sz="4" w:space="0"/>
              <w:right w:val="single" w:color="000000" w:sz="4" w:space="0"/>
            </w:tcBorders>
            <w:vAlign w:val="center"/>
          </w:tcPr>
          <w:p w14:paraId="2B79F5D2">
            <w:pPr>
              <w:spacing w:line="360" w:lineRule="auto"/>
              <w:rPr>
                <w:rFonts w:ascii="Times New Roman" w:hAnsi="Times New Roman" w:eastAsia="宋体" w:cs="Times New Roman"/>
                <w:color w:val="000000" w:themeColor="text1"/>
                <w14:textFill>
                  <w14:solidFill>
                    <w14:schemeClr w14:val="tx1"/>
                  </w14:solidFill>
                </w14:textFill>
              </w:rPr>
            </w:pPr>
          </w:p>
        </w:tc>
        <w:tc>
          <w:tcPr>
            <w:tcW w:w="3494" w:type="dxa"/>
            <w:gridSpan w:val="2"/>
            <w:tcBorders>
              <w:top w:val="single" w:color="000000" w:sz="4" w:space="0"/>
              <w:left w:val="nil"/>
              <w:bottom w:val="single" w:color="000000" w:sz="4" w:space="0"/>
              <w:right w:val="single" w:color="000000" w:sz="4" w:space="0"/>
            </w:tcBorders>
            <w:vAlign w:val="center"/>
          </w:tcPr>
          <w:p w14:paraId="00D8547B">
            <w:pPr>
              <w:spacing w:line="360" w:lineRule="auto"/>
              <w:ind w:firstLine="420"/>
              <w:jc w:val="center"/>
              <w:rPr>
                <w:rFonts w:ascii="Times New Roman" w:hAnsi="Times New Roman" w:eastAsia="宋体" w:cs="Times New Roman"/>
                <w:b/>
                <w:bCs/>
                <w:color w:val="000000" w:themeColor="text1"/>
                <w14:textFill>
                  <w14:solidFill>
                    <w14:schemeClr w14:val="tx1"/>
                  </w14:solidFill>
                </w14:textFill>
              </w:rPr>
            </w:pPr>
          </w:p>
        </w:tc>
      </w:tr>
      <w:tr w14:paraId="139F68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671" w:type="dxa"/>
            <w:vMerge w:val="continue"/>
            <w:tcBorders>
              <w:top w:val="nil"/>
              <w:left w:val="single" w:color="000000" w:sz="4" w:space="0"/>
              <w:bottom w:val="single" w:color="000000" w:sz="4" w:space="0"/>
              <w:right w:val="single" w:color="000000" w:sz="4" w:space="0"/>
            </w:tcBorders>
            <w:vAlign w:val="center"/>
          </w:tcPr>
          <w:p w14:paraId="209FA0D2">
            <w:pPr>
              <w:spacing w:line="360" w:lineRule="auto"/>
              <w:rPr>
                <w:rFonts w:ascii="Times New Roman" w:hAnsi="Times New Roman" w:eastAsia="宋体" w:cs="Times New Roman"/>
                <w:b/>
                <w:bCs/>
                <w:color w:val="000000" w:themeColor="text1"/>
                <w14:textFill>
                  <w14:solidFill>
                    <w14:schemeClr w14:val="tx1"/>
                  </w14:solidFill>
                </w14:textFill>
              </w:rPr>
            </w:pPr>
          </w:p>
        </w:tc>
        <w:tc>
          <w:tcPr>
            <w:tcW w:w="4838" w:type="dxa"/>
            <w:tcBorders>
              <w:top w:val="single" w:color="000000" w:sz="4" w:space="0"/>
              <w:left w:val="nil"/>
              <w:bottom w:val="single" w:color="000000" w:sz="4" w:space="0"/>
              <w:right w:val="single" w:color="000000" w:sz="4" w:space="0"/>
            </w:tcBorders>
            <w:vAlign w:val="center"/>
          </w:tcPr>
          <w:p w14:paraId="26E95265">
            <w:pPr>
              <w:spacing w:line="360" w:lineRule="auto"/>
              <w:rPr>
                <w:rFonts w:ascii="Times New Roman" w:hAnsi="Times New Roman" w:eastAsia="宋体" w:cs="Times New Roman"/>
                <w:color w:val="000000" w:themeColor="text1"/>
                <w14:textFill>
                  <w14:solidFill>
                    <w14:schemeClr w14:val="tx1"/>
                  </w14:solidFill>
                </w14:textFill>
              </w:rPr>
            </w:pPr>
          </w:p>
        </w:tc>
        <w:tc>
          <w:tcPr>
            <w:tcW w:w="3494" w:type="dxa"/>
            <w:gridSpan w:val="2"/>
            <w:tcBorders>
              <w:top w:val="single" w:color="000000" w:sz="4" w:space="0"/>
              <w:left w:val="nil"/>
              <w:bottom w:val="single" w:color="000000" w:sz="4" w:space="0"/>
              <w:right w:val="single" w:color="000000" w:sz="4" w:space="0"/>
            </w:tcBorders>
            <w:vAlign w:val="center"/>
          </w:tcPr>
          <w:p w14:paraId="600AA66C">
            <w:pPr>
              <w:spacing w:line="360" w:lineRule="auto"/>
              <w:ind w:firstLine="420"/>
              <w:jc w:val="center"/>
              <w:rPr>
                <w:rFonts w:ascii="Times New Roman" w:hAnsi="Times New Roman" w:eastAsia="宋体" w:cs="Times New Roman"/>
                <w:b/>
                <w:bCs/>
                <w:color w:val="000000" w:themeColor="text1"/>
                <w14:textFill>
                  <w14:solidFill>
                    <w14:schemeClr w14:val="tx1"/>
                  </w14:solidFill>
                </w14:textFill>
              </w:rPr>
            </w:pPr>
          </w:p>
        </w:tc>
      </w:tr>
      <w:tr w14:paraId="38C07B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671" w:type="dxa"/>
            <w:vMerge w:val="restart"/>
            <w:tcBorders>
              <w:top w:val="nil"/>
              <w:left w:val="single" w:color="000000" w:sz="4" w:space="0"/>
              <w:bottom w:val="single" w:color="000000" w:sz="4" w:space="0"/>
              <w:right w:val="single" w:color="000000" w:sz="4" w:space="0"/>
            </w:tcBorders>
            <w:vAlign w:val="center"/>
          </w:tcPr>
          <w:p w14:paraId="65789777">
            <w:pPr>
              <w:spacing w:line="360" w:lineRule="auto"/>
              <w:jc w:val="center"/>
              <w:rPr>
                <w:rFonts w:ascii="Times New Roman" w:hAnsi="Times New Roman" w:eastAsia="宋体" w:cs="Times New Roman"/>
                <w:b/>
                <w:bCs/>
                <w:color w:val="000000" w:themeColor="text1"/>
                <w14:textFill>
                  <w14:solidFill>
                    <w14:schemeClr w14:val="tx1"/>
                  </w14:solidFill>
                </w14:textFill>
              </w:rPr>
            </w:pPr>
          </w:p>
        </w:tc>
        <w:tc>
          <w:tcPr>
            <w:tcW w:w="4838" w:type="dxa"/>
            <w:tcBorders>
              <w:top w:val="single" w:color="000000" w:sz="4" w:space="0"/>
              <w:left w:val="nil"/>
              <w:bottom w:val="single" w:color="000000" w:sz="4" w:space="0"/>
              <w:right w:val="single" w:color="000000" w:sz="4" w:space="0"/>
            </w:tcBorders>
            <w:vAlign w:val="center"/>
          </w:tcPr>
          <w:p w14:paraId="5E57AD6F">
            <w:pPr>
              <w:spacing w:line="360" w:lineRule="auto"/>
              <w:rPr>
                <w:rFonts w:ascii="Times New Roman" w:hAnsi="Times New Roman" w:eastAsia="宋体" w:cs="Times New Roman"/>
                <w:color w:val="000000" w:themeColor="text1"/>
                <w14:textFill>
                  <w14:solidFill>
                    <w14:schemeClr w14:val="tx1"/>
                  </w14:solidFill>
                </w14:textFill>
              </w:rPr>
            </w:pPr>
          </w:p>
        </w:tc>
        <w:tc>
          <w:tcPr>
            <w:tcW w:w="3494" w:type="dxa"/>
            <w:gridSpan w:val="2"/>
            <w:tcBorders>
              <w:top w:val="single" w:color="000000" w:sz="4" w:space="0"/>
              <w:left w:val="nil"/>
              <w:bottom w:val="single" w:color="000000" w:sz="4" w:space="0"/>
              <w:right w:val="single" w:color="000000" w:sz="4" w:space="0"/>
            </w:tcBorders>
            <w:vAlign w:val="center"/>
          </w:tcPr>
          <w:p w14:paraId="64A5692B">
            <w:pPr>
              <w:spacing w:line="360" w:lineRule="auto"/>
              <w:ind w:firstLine="420"/>
              <w:jc w:val="center"/>
              <w:rPr>
                <w:rFonts w:ascii="Times New Roman" w:hAnsi="Times New Roman" w:eastAsia="宋体" w:cs="Times New Roman"/>
                <w:b/>
                <w:bCs/>
                <w:color w:val="000000" w:themeColor="text1"/>
                <w14:textFill>
                  <w14:solidFill>
                    <w14:schemeClr w14:val="tx1"/>
                  </w14:solidFill>
                </w14:textFill>
              </w:rPr>
            </w:pPr>
          </w:p>
        </w:tc>
      </w:tr>
      <w:tr w14:paraId="042A6C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671" w:type="dxa"/>
            <w:vMerge w:val="continue"/>
            <w:tcBorders>
              <w:top w:val="nil"/>
              <w:left w:val="single" w:color="000000" w:sz="4" w:space="0"/>
              <w:bottom w:val="single" w:color="000000" w:sz="4" w:space="0"/>
              <w:right w:val="single" w:color="000000" w:sz="4" w:space="0"/>
            </w:tcBorders>
            <w:vAlign w:val="center"/>
          </w:tcPr>
          <w:p w14:paraId="4B4ADDA8">
            <w:pPr>
              <w:spacing w:line="360" w:lineRule="auto"/>
              <w:rPr>
                <w:rFonts w:ascii="Times New Roman" w:hAnsi="Times New Roman" w:eastAsia="宋体" w:cs="Times New Roman"/>
                <w:b/>
                <w:bCs/>
                <w:color w:val="000000" w:themeColor="text1"/>
                <w14:textFill>
                  <w14:solidFill>
                    <w14:schemeClr w14:val="tx1"/>
                  </w14:solidFill>
                </w14:textFill>
              </w:rPr>
            </w:pPr>
          </w:p>
        </w:tc>
        <w:tc>
          <w:tcPr>
            <w:tcW w:w="4838" w:type="dxa"/>
            <w:tcBorders>
              <w:top w:val="single" w:color="000000" w:sz="4" w:space="0"/>
              <w:left w:val="nil"/>
              <w:bottom w:val="single" w:color="000000" w:sz="4" w:space="0"/>
              <w:right w:val="single" w:color="000000" w:sz="4" w:space="0"/>
            </w:tcBorders>
            <w:vAlign w:val="center"/>
          </w:tcPr>
          <w:p w14:paraId="12265B90">
            <w:pPr>
              <w:spacing w:line="360" w:lineRule="auto"/>
              <w:rPr>
                <w:rFonts w:ascii="Times New Roman" w:hAnsi="Times New Roman" w:eastAsia="宋体" w:cs="Times New Roman"/>
                <w:color w:val="000000" w:themeColor="text1"/>
                <w14:textFill>
                  <w14:solidFill>
                    <w14:schemeClr w14:val="tx1"/>
                  </w14:solidFill>
                </w14:textFill>
              </w:rPr>
            </w:pPr>
          </w:p>
        </w:tc>
        <w:tc>
          <w:tcPr>
            <w:tcW w:w="3494" w:type="dxa"/>
            <w:gridSpan w:val="2"/>
            <w:tcBorders>
              <w:top w:val="single" w:color="000000" w:sz="4" w:space="0"/>
              <w:left w:val="nil"/>
              <w:bottom w:val="single" w:color="000000" w:sz="4" w:space="0"/>
              <w:right w:val="single" w:color="000000" w:sz="4" w:space="0"/>
            </w:tcBorders>
            <w:vAlign w:val="center"/>
          </w:tcPr>
          <w:p w14:paraId="64935B82">
            <w:pPr>
              <w:spacing w:line="360" w:lineRule="auto"/>
              <w:ind w:firstLine="420"/>
              <w:jc w:val="center"/>
              <w:rPr>
                <w:rFonts w:ascii="Times New Roman" w:hAnsi="Times New Roman" w:eastAsia="宋体" w:cs="Times New Roman"/>
                <w:b/>
                <w:bCs/>
                <w:color w:val="000000" w:themeColor="text1"/>
                <w14:textFill>
                  <w14:solidFill>
                    <w14:schemeClr w14:val="tx1"/>
                  </w14:solidFill>
                </w14:textFill>
              </w:rPr>
            </w:pPr>
          </w:p>
        </w:tc>
      </w:tr>
      <w:tr w14:paraId="45F61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671" w:type="dxa"/>
            <w:vMerge w:val="continue"/>
            <w:tcBorders>
              <w:top w:val="nil"/>
              <w:left w:val="single" w:color="000000" w:sz="4" w:space="0"/>
              <w:bottom w:val="single" w:color="000000" w:sz="4" w:space="0"/>
              <w:right w:val="single" w:color="000000" w:sz="4" w:space="0"/>
            </w:tcBorders>
            <w:vAlign w:val="center"/>
          </w:tcPr>
          <w:p w14:paraId="6AA0E296">
            <w:pPr>
              <w:spacing w:line="360" w:lineRule="auto"/>
              <w:rPr>
                <w:rFonts w:ascii="Times New Roman" w:hAnsi="Times New Roman" w:eastAsia="宋体" w:cs="Times New Roman"/>
                <w:b/>
                <w:bCs/>
                <w:color w:val="000000" w:themeColor="text1"/>
                <w14:textFill>
                  <w14:solidFill>
                    <w14:schemeClr w14:val="tx1"/>
                  </w14:solidFill>
                </w14:textFill>
              </w:rPr>
            </w:pPr>
          </w:p>
        </w:tc>
        <w:tc>
          <w:tcPr>
            <w:tcW w:w="4838" w:type="dxa"/>
            <w:tcBorders>
              <w:top w:val="single" w:color="000000" w:sz="4" w:space="0"/>
              <w:left w:val="nil"/>
              <w:bottom w:val="single" w:color="000000" w:sz="4" w:space="0"/>
              <w:right w:val="single" w:color="000000" w:sz="4" w:space="0"/>
            </w:tcBorders>
            <w:vAlign w:val="center"/>
          </w:tcPr>
          <w:p w14:paraId="39217A52">
            <w:pPr>
              <w:spacing w:line="360" w:lineRule="auto"/>
              <w:rPr>
                <w:rFonts w:ascii="Times New Roman" w:hAnsi="Times New Roman" w:eastAsia="宋体" w:cs="Times New Roman"/>
                <w:color w:val="000000" w:themeColor="text1"/>
                <w14:textFill>
                  <w14:solidFill>
                    <w14:schemeClr w14:val="tx1"/>
                  </w14:solidFill>
                </w14:textFill>
              </w:rPr>
            </w:pPr>
          </w:p>
        </w:tc>
        <w:tc>
          <w:tcPr>
            <w:tcW w:w="3494" w:type="dxa"/>
            <w:gridSpan w:val="2"/>
            <w:tcBorders>
              <w:top w:val="single" w:color="000000" w:sz="4" w:space="0"/>
              <w:left w:val="nil"/>
              <w:bottom w:val="single" w:color="000000" w:sz="4" w:space="0"/>
              <w:right w:val="single" w:color="000000" w:sz="4" w:space="0"/>
            </w:tcBorders>
            <w:vAlign w:val="center"/>
          </w:tcPr>
          <w:p w14:paraId="545E6FDC">
            <w:pPr>
              <w:spacing w:line="360" w:lineRule="auto"/>
              <w:ind w:firstLine="420"/>
              <w:jc w:val="center"/>
              <w:rPr>
                <w:rFonts w:ascii="Times New Roman" w:hAnsi="Times New Roman" w:eastAsia="宋体" w:cs="Times New Roman"/>
                <w:b/>
                <w:bCs/>
                <w:color w:val="000000" w:themeColor="text1"/>
                <w14:textFill>
                  <w14:solidFill>
                    <w14:schemeClr w14:val="tx1"/>
                  </w14:solidFill>
                </w14:textFill>
              </w:rPr>
            </w:pPr>
          </w:p>
        </w:tc>
      </w:tr>
    </w:tbl>
    <w:p w14:paraId="0DC7EBB5">
      <w:pPr>
        <w:spacing w:line="360" w:lineRule="auto"/>
        <w:jc w:val="left"/>
        <w:rPr>
          <w:rFonts w:ascii="Times New Roman" w:hAnsi="Times New Roman" w:eastAsia="宋体" w:cs="Times New Roman"/>
          <w:color w:val="000000" w:themeColor="text1"/>
          <w14:textFill>
            <w14:solidFill>
              <w14:schemeClr w14:val="tx1"/>
            </w14:solidFill>
          </w14:textFill>
        </w:rPr>
      </w:pPr>
    </w:p>
    <w:p w14:paraId="49AA3022">
      <w:pPr>
        <w:spacing w:line="360" w:lineRule="auto"/>
        <w:jc w:val="left"/>
        <w:rPr>
          <w:rFonts w:ascii="Times New Roman" w:hAnsi="Times New Roman" w:eastAsia="宋体" w:cs="Times New Roman"/>
          <w:color w:val="000000" w:themeColor="text1"/>
          <w14:textFill>
            <w14:solidFill>
              <w14:schemeClr w14:val="tx1"/>
            </w14:solidFill>
          </w14:textFill>
        </w:rPr>
      </w:pPr>
    </w:p>
    <w:p w14:paraId="210556BB">
      <w:pPr>
        <w:jc w:val="left"/>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br w:type="page"/>
      </w:r>
    </w:p>
    <w:p w14:paraId="64DCF742">
      <w:pPr>
        <w:spacing w:before="312" w:beforeLines="100" w:after="312" w:afterLines="100" w:line="360" w:lineRule="auto"/>
        <w:jc w:val="center"/>
        <w:rPr>
          <w:rFonts w:hint="eastAsia" w:ascii="黑体" w:hAnsi="黑体" w:eastAsia="黑体" w:cs="Arial Unicode MS"/>
          <w:color w:val="000000" w:themeColor="text1"/>
          <w:sz w:val="36"/>
          <w:szCs w:val="36"/>
          <w:u w:color="000000"/>
          <w14:textFill>
            <w14:solidFill>
              <w14:schemeClr w14:val="tx1"/>
            </w14:solidFill>
          </w14:textFill>
        </w:rPr>
      </w:pPr>
      <w:r>
        <w:rPr>
          <w:rFonts w:hint="eastAsia" w:ascii="黑体" w:hAnsi="黑体" w:eastAsia="黑体" w:cs="宋体"/>
          <w:color w:val="000000" w:themeColor="text1"/>
          <w:sz w:val="36"/>
          <w:szCs w:val="36"/>
          <w:u w:color="000000"/>
          <w:lang w:val="zh-TW"/>
          <w14:textFill>
            <w14:solidFill>
              <w14:schemeClr w14:val="tx1"/>
            </w14:solidFill>
          </w14:textFill>
        </w:rPr>
        <w:t>目  录</w:t>
      </w:r>
    </w:p>
    <w:p w14:paraId="0C068914">
      <w:pPr>
        <w:spacing w:line="360" w:lineRule="auto"/>
        <w:rPr>
          <w:rFonts w:ascii="Times New Roman" w:hAnsi="Times New Roman" w:eastAsia="宋体" w:cs="Times New Roman"/>
          <w:color w:val="000000" w:themeColor="text1"/>
          <w:sz w:val="24"/>
          <w:szCs w:val="24"/>
          <w:u w:color="000000"/>
          <w14:textFill>
            <w14:solidFill>
              <w14:schemeClr w14:val="tx1"/>
            </w14:solidFill>
          </w14:textFill>
        </w:rPr>
      </w:pPr>
      <w:r>
        <w:rPr>
          <w:rFonts w:hint="eastAsia" w:ascii="Times New Roman" w:hAnsi="Times New Roman" w:eastAsia="宋体" w:cs="Times New Roman"/>
          <w:color w:val="000000" w:themeColor="text1"/>
          <w:sz w:val="24"/>
          <w:szCs w:val="24"/>
          <w:u w:color="000000"/>
          <w14:textFill>
            <w14:solidFill>
              <w14:schemeClr w14:val="tx1"/>
            </w14:solidFill>
          </w14:textFill>
        </w:rPr>
        <w:t>一、投标函</w:t>
      </w:r>
    </w:p>
    <w:p w14:paraId="71C57F88">
      <w:pPr>
        <w:spacing w:line="360" w:lineRule="auto"/>
        <w:rPr>
          <w:rFonts w:ascii="Times New Roman" w:hAnsi="Times New Roman" w:eastAsia="宋体" w:cs="Times New Roman"/>
          <w:color w:val="000000" w:themeColor="text1"/>
          <w:sz w:val="24"/>
          <w:szCs w:val="24"/>
          <w:u w:color="000000"/>
          <w14:textFill>
            <w14:solidFill>
              <w14:schemeClr w14:val="tx1"/>
            </w14:solidFill>
          </w14:textFill>
        </w:rPr>
      </w:pPr>
      <w:r>
        <w:rPr>
          <w:rFonts w:hint="eastAsia" w:ascii="Times New Roman" w:hAnsi="Times New Roman" w:eastAsia="宋体" w:cs="Times New Roman"/>
          <w:color w:val="000000" w:themeColor="text1"/>
          <w:sz w:val="24"/>
          <w:szCs w:val="24"/>
          <w:u w:color="000000"/>
          <w14:textFill>
            <w14:solidFill>
              <w14:schemeClr w14:val="tx1"/>
            </w14:solidFill>
          </w14:textFill>
        </w:rPr>
        <w:t>二、投标</w:t>
      </w:r>
      <w:r>
        <w:rPr>
          <w:rFonts w:ascii="Times New Roman" w:hAnsi="Times New Roman" w:eastAsia="宋体" w:cs="Times New Roman"/>
          <w:color w:val="000000" w:themeColor="text1"/>
          <w:sz w:val="24"/>
          <w:szCs w:val="24"/>
          <w:u w:color="000000"/>
          <w14:textFill>
            <w14:solidFill>
              <w14:schemeClr w14:val="tx1"/>
            </w14:solidFill>
          </w14:textFill>
        </w:rPr>
        <w:t>一览表</w:t>
      </w:r>
    </w:p>
    <w:p w14:paraId="40BA783F">
      <w:pPr>
        <w:spacing w:line="360" w:lineRule="auto"/>
        <w:rPr>
          <w:rFonts w:ascii="Times New Roman" w:hAnsi="Times New Roman" w:eastAsia="宋体" w:cs="Times New Roman"/>
          <w:color w:val="000000" w:themeColor="text1"/>
          <w:sz w:val="24"/>
          <w:szCs w:val="24"/>
          <w:u w:color="000000"/>
          <w14:textFill>
            <w14:solidFill>
              <w14:schemeClr w14:val="tx1"/>
            </w14:solidFill>
          </w14:textFill>
        </w:rPr>
      </w:pPr>
      <w:r>
        <w:rPr>
          <w:rFonts w:hint="eastAsia" w:ascii="Times New Roman" w:hAnsi="Times New Roman" w:eastAsia="宋体" w:cs="Times New Roman"/>
          <w:color w:val="000000" w:themeColor="text1"/>
          <w:sz w:val="24"/>
          <w:szCs w:val="24"/>
          <w:u w:color="000000"/>
          <w14:textFill>
            <w14:solidFill>
              <w14:schemeClr w14:val="tx1"/>
            </w14:solidFill>
          </w14:textFill>
        </w:rPr>
        <w:t>三、法人授权书</w:t>
      </w:r>
    </w:p>
    <w:p w14:paraId="4CA3DBD5">
      <w:pPr>
        <w:spacing w:line="360" w:lineRule="auto"/>
        <w:rPr>
          <w:rFonts w:ascii="Times New Roman" w:hAnsi="Times New Roman" w:eastAsia="宋体" w:cs="Times New Roman"/>
          <w:color w:val="000000" w:themeColor="text1"/>
          <w:sz w:val="24"/>
          <w:szCs w:val="24"/>
          <w:u w:color="000000"/>
          <w14:textFill>
            <w14:solidFill>
              <w14:schemeClr w14:val="tx1"/>
            </w14:solidFill>
          </w14:textFill>
        </w:rPr>
      </w:pPr>
      <w:r>
        <w:rPr>
          <w:rFonts w:hint="eastAsia" w:ascii="Times New Roman" w:hAnsi="Times New Roman" w:eastAsia="宋体" w:cs="Times New Roman"/>
          <w:color w:val="000000" w:themeColor="text1"/>
          <w:sz w:val="24"/>
          <w:szCs w:val="24"/>
          <w:u w:color="000000"/>
          <w14:textFill>
            <w14:solidFill>
              <w14:schemeClr w14:val="tx1"/>
            </w14:solidFill>
          </w14:textFill>
        </w:rPr>
        <w:t>四、资格证明文件</w:t>
      </w:r>
    </w:p>
    <w:p w14:paraId="45355724">
      <w:pPr>
        <w:spacing w:line="360" w:lineRule="auto"/>
        <w:rPr>
          <w:rFonts w:ascii="Times New Roman" w:hAnsi="Times New Roman" w:eastAsia="宋体" w:cs="Times New Roman"/>
          <w:color w:val="000000" w:themeColor="text1"/>
          <w:sz w:val="24"/>
          <w:szCs w:val="24"/>
          <w:u w:color="000000"/>
          <w14:textFill>
            <w14:solidFill>
              <w14:schemeClr w14:val="tx1"/>
            </w14:solidFill>
          </w14:textFill>
        </w:rPr>
      </w:pPr>
      <w:r>
        <w:rPr>
          <w:rFonts w:hint="eastAsia" w:ascii="Times New Roman" w:hAnsi="Times New Roman" w:eastAsia="宋体" w:cs="Times New Roman"/>
          <w:color w:val="000000" w:themeColor="text1"/>
          <w:sz w:val="24"/>
          <w:szCs w:val="24"/>
          <w:u w:color="000000"/>
          <w14:textFill>
            <w14:solidFill>
              <w14:schemeClr w14:val="tx1"/>
            </w14:solidFill>
          </w14:textFill>
        </w:rPr>
        <w:t>五、商务条款响应及偏离表</w:t>
      </w:r>
    </w:p>
    <w:p w14:paraId="2A5CD4F9">
      <w:pPr>
        <w:spacing w:line="360" w:lineRule="auto"/>
        <w:rPr>
          <w:rFonts w:ascii="Times New Roman" w:hAnsi="Times New Roman" w:eastAsia="宋体" w:cs="Times New Roman"/>
          <w:color w:val="000000" w:themeColor="text1"/>
          <w:sz w:val="24"/>
          <w:szCs w:val="24"/>
          <w:u w:color="000000"/>
          <w14:textFill>
            <w14:solidFill>
              <w14:schemeClr w14:val="tx1"/>
            </w14:solidFill>
          </w14:textFill>
        </w:rPr>
      </w:pPr>
      <w:r>
        <w:rPr>
          <w:rFonts w:hint="eastAsia" w:ascii="Times New Roman" w:hAnsi="Times New Roman" w:eastAsia="宋体" w:cs="Times New Roman"/>
          <w:color w:val="000000" w:themeColor="text1"/>
          <w:sz w:val="24"/>
          <w:szCs w:val="24"/>
          <w:u w:color="000000"/>
          <w14:textFill>
            <w14:solidFill>
              <w14:schemeClr w14:val="tx1"/>
            </w14:solidFill>
          </w14:textFill>
        </w:rPr>
        <w:t>六、技术参数响应及偏离表</w:t>
      </w:r>
    </w:p>
    <w:p w14:paraId="46632694">
      <w:pPr>
        <w:spacing w:line="360" w:lineRule="auto"/>
        <w:rPr>
          <w:rFonts w:ascii="Times New Roman" w:hAnsi="Times New Roman" w:eastAsia="宋体" w:cs="Times New Roman"/>
          <w:color w:val="000000" w:themeColor="text1"/>
          <w:sz w:val="24"/>
          <w:szCs w:val="24"/>
          <w:u w:color="000000"/>
          <w14:textFill>
            <w14:solidFill>
              <w14:schemeClr w14:val="tx1"/>
            </w14:solidFill>
          </w14:textFill>
        </w:rPr>
      </w:pPr>
      <w:r>
        <w:rPr>
          <w:rFonts w:hint="eastAsia" w:ascii="Times New Roman" w:hAnsi="Times New Roman" w:eastAsia="宋体" w:cs="Times New Roman"/>
          <w:color w:val="000000" w:themeColor="text1"/>
          <w:sz w:val="24"/>
          <w:szCs w:val="24"/>
          <w:u w:color="000000"/>
          <w14:textFill>
            <w14:solidFill>
              <w14:schemeClr w14:val="tx1"/>
            </w14:solidFill>
          </w14:textFill>
        </w:rPr>
        <w:t>七、投标人业绩情况</w:t>
      </w:r>
    </w:p>
    <w:p w14:paraId="64CBD89A">
      <w:pPr>
        <w:spacing w:line="360" w:lineRule="auto"/>
        <w:rPr>
          <w:rFonts w:ascii="Times New Roman" w:hAnsi="Times New Roman" w:eastAsia="宋体" w:cs="Times New Roman"/>
          <w:color w:val="000000" w:themeColor="text1"/>
          <w:sz w:val="24"/>
          <w:szCs w:val="24"/>
          <w:u w:color="000000"/>
          <w14:textFill>
            <w14:solidFill>
              <w14:schemeClr w14:val="tx1"/>
            </w14:solidFill>
          </w14:textFill>
        </w:rPr>
      </w:pPr>
      <w:r>
        <w:rPr>
          <w:rFonts w:hint="eastAsia" w:ascii="Times New Roman" w:hAnsi="Times New Roman" w:eastAsia="宋体" w:cs="Times New Roman"/>
          <w:color w:val="000000" w:themeColor="text1"/>
          <w:sz w:val="24"/>
          <w:szCs w:val="24"/>
          <w:u w:color="000000"/>
          <w14:textFill>
            <w14:solidFill>
              <w14:schemeClr w14:val="tx1"/>
            </w14:solidFill>
          </w14:textFill>
        </w:rPr>
        <w:t>八</w:t>
      </w:r>
      <w:r>
        <w:rPr>
          <w:rFonts w:ascii="Times New Roman" w:hAnsi="Times New Roman" w:eastAsia="宋体" w:cs="Times New Roman"/>
          <w:color w:val="000000" w:themeColor="text1"/>
          <w:sz w:val="24"/>
          <w:szCs w:val="24"/>
          <w:u w:color="000000"/>
          <w14:textFill>
            <w14:solidFill>
              <w14:schemeClr w14:val="tx1"/>
            </w14:solidFill>
          </w14:textFill>
        </w:rPr>
        <w:t>、</w:t>
      </w:r>
      <w:r>
        <w:rPr>
          <w:rFonts w:hint="eastAsia" w:ascii="Times New Roman" w:hAnsi="Times New Roman" w:eastAsia="宋体" w:cs="Times New Roman"/>
          <w:color w:val="000000" w:themeColor="text1"/>
          <w:sz w:val="24"/>
          <w:szCs w:val="24"/>
          <w:u w:color="000000"/>
          <w14:textFill>
            <w14:solidFill>
              <w14:schemeClr w14:val="tx1"/>
            </w14:solidFill>
          </w14:textFill>
        </w:rPr>
        <w:t>项目技术说明或实施方案</w:t>
      </w:r>
    </w:p>
    <w:p w14:paraId="7B4167CE">
      <w:pPr>
        <w:spacing w:line="360" w:lineRule="auto"/>
        <w:rPr>
          <w:rFonts w:ascii="Times New Roman" w:hAnsi="Times New Roman" w:eastAsia="宋体" w:cs="Times New Roman"/>
          <w:color w:val="000000" w:themeColor="text1"/>
          <w:sz w:val="24"/>
          <w:szCs w:val="24"/>
          <w:u w:color="000000"/>
          <w14:textFill>
            <w14:solidFill>
              <w14:schemeClr w14:val="tx1"/>
            </w14:solidFill>
          </w14:textFill>
        </w:rPr>
      </w:pPr>
      <w:r>
        <w:rPr>
          <w:rFonts w:hint="eastAsia" w:ascii="Times New Roman" w:hAnsi="Times New Roman" w:eastAsia="宋体" w:cs="Times New Roman"/>
          <w:color w:val="000000" w:themeColor="text1"/>
          <w:sz w:val="24"/>
          <w:szCs w:val="24"/>
          <w:u w:color="000000"/>
          <w14:textFill>
            <w14:solidFill>
              <w14:schemeClr w14:val="tx1"/>
            </w14:solidFill>
          </w14:textFill>
        </w:rPr>
        <w:t>九、投标人其它声明及材料</w:t>
      </w:r>
    </w:p>
    <w:p w14:paraId="17383E34">
      <w:pPr>
        <w:spacing w:line="360" w:lineRule="auto"/>
        <w:rPr>
          <w:rFonts w:hint="eastAsia" w:ascii="宋体" w:hAnsi="宋体" w:eastAsia="宋体" w:cs="Arial Unicode MS"/>
          <w:color w:val="000000" w:themeColor="text1"/>
          <w:sz w:val="28"/>
          <w:szCs w:val="28"/>
          <w:u w:color="000000"/>
          <w14:textFill>
            <w14:solidFill>
              <w14:schemeClr w14:val="tx1"/>
            </w14:solidFill>
          </w14:textFill>
        </w:rPr>
      </w:pPr>
    </w:p>
    <w:p w14:paraId="63B707D0">
      <w:pPr>
        <w:jc w:val="left"/>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br w:type="page"/>
      </w:r>
    </w:p>
    <w:p w14:paraId="7FB395DE">
      <w:pPr>
        <w:tabs>
          <w:tab w:val="left" w:pos="576"/>
        </w:tabs>
        <w:spacing w:before="156" w:beforeLines="50" w:after="156" w:afterLines="50" w:line="360" w:lineRule="auto"/>
        <w:outlineLvl w:val="2"/>
        <w:rPr>
          <w:rFonts w:ascii="Times New Roman" w:hAnsi="Times New Roman" w:eastAsia="黑体" w:cs="Times New Roman"/>
          <w:color w:val="000000" w:themeColor="text1"/>
          <w:sz w:val="24"/>
          <w:szCs w:val="24"/>
          <w:u w:color="000000"/>
          <w14:textFill>
            <w14:solidFill>
              <w14:schemeClr w14:val="tx1"/>
            </w14:solidFill>
          </w14:textFill>
        </w:rPr>
      </w:pPr>
      <w:bookmarkStart w:id="59" w:name="_Toc50"/>
      <w:bookmarkStart w:id="60" w:name="_Toc415494574"/>
      <w:bookmarkStart w:id="61" w:name="_Toc448069988"/>
      <w:bookmarkStart w:id="62" w:name="_Toc11859491"/>
      <w:r>
        <w:rPr>
          <w:rFonts w:ascii="Times New Roman" w:hAnsi="Times New Roman" w:eastAsia="黑体" w:cs="Times New Roman"/>
          <w:color w:val="000000" w:themeColor="text1"/>
          <w:sz w:val="24"/>
          <w:szCs w:val="24"/>
          <w:u w:color="000000"/>
          <w14:textFill>
            <w14:solidFill>
              <w14:schemeClr w14:val="tx1"/>
            </w14:solidFill>
          </w14:textFill>
        </w:rPr>
        <w:t xml:space="preserve">6.1 </w:t>
      </w:r>
      <w:bookmarkEnd w:id="59"/>
      <w:bookmarkEnd w:id="60"/>
      <w:bookmarkEnd w:id="61"/>
      <w:r>
        <w:rPr>
          <w:rFonts w:hint="eastAsia" w:ascii="Times New Roman" w:hAnsi="Times New Roman" w:eastAsia="黑体" w:cs="Times New Roman"/>
          <w:color w:val="000000" w:themeColor="text1"/>
          <w:sz w:val="24"/>
          <w:szCs w:val="24"/>
          <w:u w:color="000000"/>
          <w14:textFill>
            <w14:solidFill>
              <w14:schemeClr w14:val="tx1"/>
            </w14:solidFill>
          </w14:textFill>
        </w:rPr>
        <w:t>投标函</w:t>
      </w:r>
      <w:bookmarkEnd w:id="62"/>
    </w:p>
    <w:p w14:paraId="278967A7">
      <w:pPr>
        <w:snapToGrid w:val="0"/>
        <w:spacing w:line="360" w:lineRule="auto"/>
        <w:jc w:val="center"/>
        <w:rPr>
          <w:rFonts w:hint="eastAsia" w:ascii="黑体" w:hAnsi="黑体" w:eastAsia="黑体" w:cs="Times New Roman"/>
          <w:color w:val="000000" w:themeColor="text1"/>
          <w:sz w:val="28"/>
          <w:szCs w:val="24"/>
          <w:u w:color="000000"/>
          <w:lang w:val="zh-TW"/>
          <w14:textFill>
            <w14:solidFill>
              <w14:schemeClr w14:val="tx1"/>
            </w14:solidFill>
          </w14:textFill>
        </w:rPr>
      </w:pPr>
      <w:r>
        <w:rPr>
          <w:rFonts w:hint="eastAsia" w:ascii="黑体" w:hAnsi="黑体" w:eastAsia="黑体" w:cs="Times New Roman"/>
          <w:color w:val="000000" w:themeColor="text1"/>
          <w:sz w:val="28"/>
          <w:szCs w:val="24"/>
          <w:u w:color="000000"/>
          <w:lang w:val="zh-TW"/>
          <w14:textFill>
            <w14:solidFill>
              <w14:schemeClr w14:val="tx1"/>
            </w14:solidFill>
          </w14:textFill>
        </w:rPr>
        <w:t>投标函</w:t>
      </w:r>
    </w:p>
    <w:p w14:paraId="5D5A2AD6">
      <w:pPr>
        <w:pStyle w:val="50"/>
        <w:widowControl w:val="0"/>
        <w:spacing w:before="0" w:after="0" w:line="300" w:lineRule="auto"/>
        <w:ind w:firstLine="0"/>
        <w:rPr>
          <w:rFonts w:ascii="Times New Roman" w:hAnsi="Times New Roman" w:cs="Times New Roman"/>
          <w:color w:val="000000" w:themeColor="text1"/>
          <w:kern w:val="2"/>
          <w:szCs w:val="21"/>
          <w14:textFill>
            <w14:solidFill>
              <w14:schemeClr w14:val="tx1"/>
            </w14:solidFill>
          </w14:textFill>
        </w:rPr>
      </w:pPr>
      <w:r>
        <w:rPr>
          <w:rFonts w:ascii="Times New Roman" w:hAnsi="Times New Roman" w:cs="Times New Roman"/>
          <w:color w:val="000000" w:themeColor="text1"/>
          <w:kern w:val="2"/>
          <w:szCs w:val="21"/>
          <w14:textFill>
            <w14:solidFill>
              <w14:schemeClr w14:val="tx1"/>
            </w14:solidFill>
          </w14:textFill>
        </w:rPr>
        <w:t>致：</w:t>
      </w:r>
      <w:r>
        <w:rPr>
          <w:rFonts w:hint="eastAsia" w:ascii="Times New Roman" w:hAnsi="Times New Roman" w:cs="Times New Roman"/>
          <w:color w:val="000000" w:themeColor="text1"/>
          <w:kern w:val="2"/>
          <w:szCs w:val="21"/>
          <w:u w:val="single"/>
          <w14:textFill>
            <w14:solidFill>
              <w14:schemeClr w14:val="tx1"/>
            </w14:solidFill>
          </w14:textFill>
        </w:rPr>
        <w:t>紫金山实验室</w:t>
      </w:r>
    </w:p>
    <w:p w14:paraId="672A4448">
      <w:pPr>
        <w:pStyle w:val="50"/>
        <w:widowControl w:val="0"/>
        <w:spacing w:before="0" w:after="0" w:line="300" w:lineRule="auto"/>
        <w:ind w:firstLineChars="200"/>
        <w:rPr>
          <w:rFonts w:ascii="Times New Roman" w:hAnsi="Times New Roman" w:cs="Times New Roman"/>
          <w:color w:val="000000" w:themeColor="text1"/>
          <w:kern w:val="2"/>
          <w:szCs w:val="21"/>
          <w14:textFill>
            <w14:solidFill>
              <w14:schemeClr w14:val="tx1"/>
            </w14:solidFill>
          </w14:textFill>
        </w:rPr>
      </w:pPr>
      <w:r>
        <w:rPr>
          <w:rFonts w:ascii="Times New Roman" w:hAnsi="Times New Roman" w:cs="Times New Roman"/>
          <w:color w:val="000000" w:themeColor="text1"/>
          <w:kern w:val="2"/>
          <w:szCs w:val="21"/>
          <w14:textFill>
            <w14:solidFill>
              <w14:schemeClr w14:val="tx1"/>
            </w14:solidFill>
          </w14:textFill>
        </w:rPr>
        <w:t>根据贵方</w:t>
      </w:r>
      <w:r>
        <w:rPr>
          <w:rFonts w:hint="eastAsia" w:ascii="Times New Roman" w:hAnsi="Times New Roman" w:cs="Times New Roman"/>
          <w:color w:val="000000" w:themeColor="text1"/>
          <w:kern w:val="2"/>
          <w:szCs w:val="21"/>
          <w:u w:val="single"/>
          <w14:textFill>
            <w14:solidFill>
              <w14:schemeClr w14:val="tx1"/>
            </w14:solidFill>
          </w14:textFill>
        </w:rPr>
        <w:t>紫金山实验室API安全网关系统采购项目（</w:t>
      </w:r>
      <w:r>
        <w:rPr>
          <w:rFonts w:ascii="Times New Roman" w:hAnsi="Times New Roman" w:cs="Times New Roman"/>
          <w:color w:val="000000" w:themeColor="text1"/>
          <w:kern w:val="2"/>
          <w:szCs w:val="21"/>
          <w:u w:val="single"/>
          <w14:textFill>
            <w14:solidFill>
              <w14:schemeClr w14:val="tx1"/>
            </w14:solidFill>
          </w14:textFill>
        </w:rPr>
        <w:t>项目编号</w:t>
      </w:r>
      <w:r>
        <w:rPr>
          <w:rFonts w:hint="eastAsia" w:ascii="Times New Roman" w:hAnsi="Times New Roman" w:cs="Times New Roman"/>
          <w:color w:val="000000" w:themeColor="text1"/>
          <w:kern w:val="2"/>
          <w:szCs w:val="21"/>
          <w:u w:val="single"/>
          <w14:textFill>
            <w14:solidFill>
              <w14:schemeClr w14:val="tx1"/>
            </w14:solidFill>
          </w14:textFill>
        </w:rPr>
        <w:t>：</w:t>
      </w:r>
      <w:r>
        <w:rPr>
          <w:rFonts w:ascii="Times New Roman" w:hAnsi="Times New Roman" w:cs="Times New Roman"/>
          <w:color w:val="000000" w:themeColor="text1"/>
          <w:kern w:val="2"/>
          <w:szCs w:val="21"/>
          <w:u w:val="single"/>
          <w14:textFill>
            <w14:solidFill>
              <w14:schemeClr w14:val="tx1"/>
            </w14:solidFill>
          </w14:textFill>
        </w:rPr>
        <w:t>PML-ZH-ZB-</w:t>
      </w:r>
      <w:r>
        <w:rPr>
          <w:rFonts w:hint="eastAsia" w:ascii="Times New Roman" w:hAnsi="Times New Roman" w:cs="Times New Roman"/>
          <w:color w:val="000000" w:themeColor="text1"/>
          <w:kern w:val="2"/>
          <w:szCs w:val="21"/>
          <w:u w:val="single"/>
          <w14:textFill>
            <w14:solidFill>
              <w14:schemeClr w14:val="tx1"/>
            </w14:solidFill>
          </w14:textFill>
        </w:rPr>
        <w:t>2025019）</w:t>
      </w:r>
      <w:r>
        <w:rPr>
          <w:rFonts w:ascii="Times New Roman" w:hAnsi="Times New Roman" w:cs="Times New Roman"/>
          <w:color w:val="000000" w:themeColor="text1"/>
          <w:kern w:val="2"/>
          <w:szCs w:val="21"/>
          <w14:textFill>
            <w14:solidFill>
              <w14:schemeClr w14:val="tx1"/>
            </w14:solidFill>
          </w14:textFill>
        </w:rPr>
        <w:t>的采购文件，正式授权下述签字人____________</w:t>
      </w:r>
      <w:r>
        <w:rPr>
          <w:rFonts w:hint="eastAsia" w:ascii="Times New Roman" w:hAnsi="Times New Roman" w:cs="Times New Roman"/>
          <w:color w:val="000000" w:themeColor="text1"/>
          <w:kern w:val="2"/>
          <w:szCs w:val="21"/>
          <w14:textFill>
            <w14:solidFill>
              <w14:schemeClr w14:val="tx1"/>
            </w14:solidFill>
          </w14:textFill>
        </w:rPr>
        <w:t>（</w:t>
      </w:r>
      <w:r>
        <w:rPr>
          <w:rFonts w:ascii="Times New Roman" w:hAnsi="Times New Roman" w:cs="Times New Roman"/>
          <w:color w:val="000000" w:themeColor="text1"/>
          <w:kern w:val="2"/>
          <w:szCs w:val="21"/>
          <w14:textFill>
            <w14:solidFill>
              <w14:schemeClr w14:val="tx1"/>
            </w14:solidFill>
          </w14:textFill>
        </w:rPr>
        <w:t>姓名和职务</w:t>
      </w:r>
      <w:r>
        <w:rPr>
          <w:rFonts w:hint="eastAsia" w:ascii="Times New Roman" w:hAnsi="Times New Roman" w:cs="Times New Roman"/>
          <w:color w:val="000000" w:themeColor="text1"/>
          <w:kern w:val="2"/>
          <w:szCs w:val="21"/>
          <w14:textFill>
            <w14:solidFill>
              <w14:schemeClr w14:val="tx1"/>
            </w14:solidFill>
          </w14:textFill>
        </w:rPr>
        <w:t>）</w:t>
      </w:r>
      <w:r>
        <w:rPr>
          <w:rFonts w:ascii="Times New Roman" w:hAnsi="Times New Roman" w:cs="Times New Roman"/>
          <w:color w:val="000000" w:themeColor="text1"/>
          <w:kern w:val="2"/>
          <w:szCs w:val="21"/>
          <w14:textFill>
            <w14:solidFill>
              <w14:schemeClr w14:val="tx1"/>
            </w14:solidFill>
          </w14:textFill>
        </w:rPr>
        <w:t>代表我方____________（投标人的名称），全权处理本次项目投标的有关事宜。</w:t>
      </w:r>
    </w:p>
    <w:p w14:paraId="5B8A779D">
      <w:pPr>
        <w:pStyle w:val="50"/>
        <w:widowControl w:val="0"/>
        <w:spacing w:before="0" w:after="0" w:line="300" w:lineRule="auto"/>
        <w:ind w:firstLineChars="200"/>
        <w:rPr>
          <w:rFonts w:ascii="Times New Roman" w:hAnsi="Times New Roman" w:cs="Times New Roman"/>
          <w:color w:val="000000" w:themeColor="text1"/>
          <w:kern w:val="2"/>
          <w:szCs w:val="21"/>
          <w14:textFill>
            <w14:solidFill>
              <w14:schemeClr w14:val="tx1"/>
            </w14:solidFill>
          </w14:textFill>
        </w:rPr>
      </w:pPr>
      <w:r>
        <w:rPr>
          <w:rFonts w:ascii="Times New Roman" w:hAnsi="Times New Roman" w:cs="Times New Roman"/>
          <w:color w:val="000000" w:themeColor="text1"/>
          <w:kern w:val="2"/>
          <w:szCs w:val="21"/>
          <w14:textFill>
            <w14:solidFill>
              <w14:schemeClr w14:val="tx1"/>
            </w14:solidFill>
          </w14:textFill>
        </w:rPr>
        <w:t>据此函，__________签字人兹宣布同意如下：</w:t>
      </w:r>
    </w:p>
    <w:p w14:paraId="6A1BACBB">
      <w:pPr>
        <w:pStyle w:val="50"/>
        <w:widowControl w:val="0"/>
        <w:spacing w:before="0" w:after="0" w:line="300" w:lineRule="auto"/>
        <w:rPr>
          <w:rFonts w:ascii="Times New Roman" w:hAnsi="Times New Roman" w:cs="Times New Roman"/>
          <w:color w:val="000000" w:themeColor="text1"/>
          <w:kern w:val="2"/>
          <w:szCs w:val="21"/>
          <w14:textFill>
            <w14:solidFill>
              <w14:schemeClr w14:val="tx1"/>
            </w14:solidFill>
          </w14:textFill>
        </w:rPr>
      </w:pPr>
      <w:r>
        <w:rPr>
          <w:rFonts w:ascii="Times New Roman" w:hAnsi="Times New Roman" w:cs="Times New Roman"/>
          <w:color w:val="000000" w:themeColor="text1"/>
          <w:kern w:val="2"/>
          <w:szCs w:val="21"/>
          <w14:textFill>
            <w14:solidFill>
              <w14:schemeClr w14:val="tx1"/>
            </w14:solidFill>
          </w14:textFill>
        </w:rPr>
        <w:t>1.按采购文件规定的各项要求，向买方提供所需货物与服务。</w:t>
      </w:r>
    </w:p>
    <w:p w14:paraId="42BE74F3">
      <w:pPr>
        <w:pStyle w:val="50"/>
        <w:widowControl w:val="0"/>
        <w:spacing w:before="0" w:after="0" w:line="300" w:lineRule="auto"/>
        <w:ind w:firstLineChars="200"/>
        <w:rPr>
          <w:rFonts w:ascii="Times New Roman" w:hAnsi="Times New Roman" w:cs="Times New Roman"/>
          <w:color w:val="000000" w:themeColor="text1"/>
          <w:kern w:val="2"/>
          <w:szCs w:val="21"/>
          <w14:textFill>
            <w14:solidFill>
              <w14:schemeClr w14:val="tx1"/>
            </w14:solidFill>
          </w14:textFill>
        </w:rPr>
      </w:pPr>
      <w:r>
        <w:rPr>
          <w:rFonts w:ascii="Times New Roman" w:hAnsi="Times New Roman" w:cs="Times New Roman"/>
          <w:color w:val="000000" w:themeColor="text1"/>
          <w:kern w:val="2"/>
          <w:szCs w:val="21"/>
          <w14:textFill>
            <w14:solidFill>
              <w14:schemeClr w14:val="tx1"/>
            </w14:solidFill>
          </w14:textFill>
        </w:rPr>
        <w:t>2.我们完全理解贵方不一定将合同授予最低报价的投标人。</w:t>
      </w:r>
    </w:p>
    <w:p w14:paraId="1F996126">
      <w:pPr>
        <w:pStyle w:val="50"/>
        <w:widowControl w:val="0"/>
        <w:spacing w:before="0" w:after="0" w:line="300" w:lineRule="auto"/>
        <w:ind w:firstLineChars="200"/>
        <w:rPr>
          <w:rFonts w:ascii="Times New Roman" w:hAnsi="Times New Roman" w:cs="Times New Roman"/>
          <w:color w:val="000000" w:themeColor="text1"/>
          <w:kern w:val="2"/>
          <w:szCs w:val="21"/>
          <w14:textFill>
            <w14:solidFill>
              <w14:schemeClr w14:val="tx1"/>
            </w14:solidFill>
          </w14:textFill>
        </w:rPr>
      </w:pPr>
      <w:r>
        <w:rPr>
          <w:rFonts w:ascii="Times New Roman" w:hAnsi="Times New Roman" w:cs="Times New Roman"/>
          <w:color w:val="000000" w:themeColor="text1"/>
          <w:kern w:val="2"/>
          <w:szCs w:val="21"/>
          <w14:textFill>
            <w14:solidFill>
              <w14:schemeClr w14:val="tx1"/>
            </w14:solidFill>
          </w14:textFill>
        </w:rPr>
        <w:t>3.我们已详细审核全部采购文件及其有效补充文件，我们知道必须放弃提出含糊不清或误解问题的权利。</w:t>
      </w:r>
    </w:p>
    <w:p w14:paraId="5A30C499">
      <w:pPr>
        <w:pStyle w:val="50"/>
        <w:widowControl w:val="0"/>
        <w:spacing w:before="0" w:after="0" w:line="300" w:lineRule="auto"/>
        <w:rPr>
          <w:rFonts w:ascii="Times New Roman" w:hAnsi="Times New Roman" w:cs="Times New Roman"/>
          <w:color w:val="000000" w:themeColor="text1"/>
          <w:kern w:val="2"/>
          <w:szCs w:val="21"/>
          <w14:textFill>
            <w14:solidFill>
              <w14:schemeClr w14:val="tx1"/>
            </w14:solidFill>
          </w14:textFill>
        </w:rPr>
      </w:pPr>
      <w:r>
        <w:rPr>
          <w:rFonts w:ascii="Times New Roman" w:hAnsi="Times New Roman" w:cs="Times New Roman"/>
          <w:color w:val="000000" w:themeColor="text1"/>
          <w:kern w:val="2"/>
          <w:szCs w:val="21"/>
          <w14:textFill>
            <w14:solidFill>
              <w14:schemeClr w14:val="tx1"/>
            </w14:solidFill>
          </w14:textFill>
        </w:rPr>
        <w:t>4.我们同意从规定的开标日期起遵循本投标文件，并在规定的投标有效期期满之前均具有约束力。</w:t>
      </w:r>
    </w:p>
    <w:p w14:paraId="1BF2FA99">
      <w:pPr>
        <w:pStyle w:val="50"/>
        <w:widowControl w:val="0"/>
        <w:spacing w:before="0" w:after="0" w:line="300" w:lineRule="auto"/>
        <w:rPr>
          <w:rFonts w:ascii="Times New Roman" w:hAnsi="Times New Roman" w:cs="Times New Roman"/>
          <w:color w:val="000000" w:themeColor="text1"/>
          <w:kern w:val="2"/>
          <w:szCs w:val="21"/>
          <w14:textFill>
            <w14:solidFill>
              <w14:schemeClr w14:val="tx1"/>
            </w14:solidFill>
          </w14:textFill>
        </w:rPr>
      </w:pPr>
      <w:r>
        <w:rPr>
          <w:rFonts w:hint="eastAsia" w:ascii="Times New Roman" w:hAnsi="Times New Roman" w:cs="Times New Roman"/>
          <w:color w:val="000000" w:themeColor="text1"/>
          <w:kern w:val="2"/>
          <w:szCs w:val="21"/>
          <w14:textFill>
            <w14:solidFill>
              <w14:schemeClr w14:val="tx1"/>
            </w14:solidFill>
          </w14:textFill>
        </w:rPr>
        <w:t>5</w:t>
      </w:r>
      <w:r>
        <w:rPr>
          <w:rFonts w:ascii="Times New Roman" w:hAnsi="Times New Roman" w:cs="Times New Roman"/>
          <w:color w:val="000000" w:themeColor="text1"/>
          <w:kern w:val="2"/>
          <w:szCs w:val="21"/>
          <w14:textFill>
            <w14:solidFill>
              <w14:schemeClr w14:val="tx1"/>
            </w14:solidFill>
          </w14:textFill>
        </w:rPr>
        <w:t>.同意向贵方提供贵方可能另外要求的与投标有关的任何证据或资料，并保证我方已提供和将要提供的文件是真实的、准确的。</w:t>
      </w:r>
    </w:p>
    <w:p w14:paraId="53849154">
      <w:pPr>
        <w:pStyle w:val="50"/>
        <w:widowControl w:val="0"/>
        <w:spacing w:before="0" w:after="0" w:line="300" w:lineRule="auto"/>
        <w:rPr>
          <w:rFonts w:ascii="Times New Roman" w:hAnsi="Times New Roman" w:cs="Times New Roman"/>
          <w:color w:val="000000" w:themeColor="text1"/>
          <w:kern w:val="2"/>
          <w:szCs w:val="21"/>
          <w14:textFill>
            <w14:solidFill>
              <w14:schemeClr w14:val="tx1"/>
            </w14:solidFill>
          </w14:textFill>
        </w:rPr>
      </w:pPr>
      <w:r>
        <w:rPr>
          <w:rFonts w:hint="eastAsia" w:ascii="Times New Roman" w:hAnsi="Times New Roman" w:cs="Times New Roman"/>
          <w:color w:val="000000" w:themeColor="text1"/>
          <w:kern w:val="2"/>
          <w:szCs w:val="21"/>
          <w14:textFill>
            <w14:solidFill>
              <w14:schemeClr w14:val="tx1"/>
            </w14:solidFill>
          </w14:textFill>
        </w:rPr>
        <w:t>6</w:t>
      </w:r>
      <w:r>
        <w:rPr>
          <w:rFonts w:ascii="Times New Roman" w:hAnsi="Times New Roman" w:cs="Times New Roman"/>
          <w:color w:val="000000" w:themeColor="text1"/>
          <w:kern w:val="2"/>
          <w:szCs w:val="21"/>
          <w14:textFill>
            <w14:solidFill>
              <w14:schemeClr w14:val="tx1"/>
            </w14:solidFill>
          </w14:textFill>
        </w:rPr>
        <w:t>.一旦我方中标,我方将根据采购文件的规定，严格履行合同的责任和义务,并保证在采购文件规定的时间完成项目，交付买方验收、使用。</w:t>
      </w:r>
    </w:p>
    <w:p w14:paraId="1FC823E0">
      <w:pPr>
        <w:pStyle w:val="50"/>
        <w:widowControl w:val="0"/>
        <w:spacing w:before="0" w:after="0" w:line="300" w:lineRule="auto"/>
        <w:ind w:firstLineChars="200"/>
        <w:rPr>
          <w:rFonts w:ascii="Times New Roman" w:hAnsi="Times New Roman" w:cs="Times New Roman"/>
          <w:color w:val="000000" w:themeColor="text1"/>
          <w:kern w:val="2"/>
          <w:szCs w:val="21"/>
          <w14:textFill>
            <w14:solidFill>
              <w14:schemeClr w14:val="tx1"/>
            </w14:solidFill>
          </w14:textFill>
        </w:rPr>
      </w:pPr>
      <w:r>
        <w:rPr>
          <w:rFonts w:hint="eastAsia" w:ascii="Times New Roman" w:hAnsi="Times New Roman" w:cs="Times New Roman"/>
          <w:color w:val="000000" w:themeColor="text1"/>
          <w:kern w:val="2"/>
          <w:szCs w:val="21"/>
          <w14:textFill>
            <w14:solidFill>
              <w14:schemeClr w14:val="tx1"/>
            </w14:solidFill>
          </w14:textFill>
        </w:rPr>
        <w:t>7</w:t>
      </w:r>
      <w:r>
        <w:rPr>
          <w:rFonts w:ascii="Times New Roman" w:hAnsi="Times New Roman" w:cs="Times New Roman"/>
          <w:color w:val="000000" w:themeColor="text1"/>
          <w:kern w:val="2"/>
          <w:szCs w:val="21"/>
          <w14:textFill>
            <w14:solidFill>
              <w14:schemeClr w14:val="tx1"/>
            </w14:solidFill>
          </w14:textFill>
        </w:rPr>
        <w:t>.遵守采购文件中要求的收费项目和标准。</w:t>
      </w:r>
    </w:p>
    <w:p w14:paraId="5C15127A">
      <w:pPr>
        <w:pStyle w:val="50"/>
        <w:widowControl w:val="0"/>
        <w:spacing w:before="0" w:after="0" w:line="300" w:lineRule="auto"/>
        <w:ind w:firstLineChars="200"/>
        <w:rPr>
          <w:rFonts w:ascii="Times New Roman" w:hAnsi="Times New Roman" w:cs="Times New Roman"/>
          <w:color w:val="000000" w:themeColor="text1"/>
          <w:kern w:val="2"/>
          <w:szCs w:val="21"/>
          <w14:textFill>
            <w14:solidFill>
              <w14:schemeClr w14:val="tx1"/>
            </w14:solidFill>
          </w14:textFill>
        </w:rPr>
      </w:pPr>
      <w:r>
        <w:rPr>
          <w:rFonts w:hint="eastAsia" w:ascii="Times New Roman" w:hAnsi="Times New Roman" w:cs="Times New Roman"/>
          <w:color w:val="000000" w:themeColor="text1"/>
          <w:kern w:val="2"/>
          <w:szCs w:val="21"/>
          <w14:textFill>
            <w14:solidFill>
              <w14:schemeClr w14:val="tx1"/>
            </w14:solidFill>
          </w14:textFill>
        </w:rPr>
        <w:t>8</w:t>
      </w:r>
      <w:r>
        <w:rPr>
          <w:rFonts w:ascii="Times New Roman" w:hAnsi="Times New Roman" w:cs="Times New Roman"/>
          <w:color w:val="000000" w:themeColor="text1"/>
          <w:kern w:val="2"/>
          <w:szCs w:val="21"/>
          <w14:textFill>
            <w14:solidFill>
              <w14:schemeClr w14:val="tx1"/>
            </w14:solidFill>
          </w14:textFill>
        </w:rPr>
        <w:t>.与本投标有关的正式通讯地址为：</w:t>
      </w:r>
    </w:p>
    <w:p w14:paraId="2F72C4D0">
      <w:pPr>
        <w:pStyle w:val="50"/>
        <w:widowControl w:val="0"/>
        <w:spacing w:before="0" w:after="0" w:line="300" w:lineRule="auto"/>
        <w:ind w:left="420" w:leftChars="200" w:firstLineChars="200"/>
        <w:rPr>
          <w:rFonts w:ascii="Times New Roman" w:hAnsi="Times New Roman" w:cs="Times New Roman"/>
          <w:color w:val="000000" w:themeColor="text1"/>
          <w:kern w:val="2"/>
          <w:szCs w:val="21"/>
          <w14:textFill>
            <w14:solidFill>
              <w14:schemeClr w14:val="tx1"/>
            </w14:solidFill>
          </w14:textFill>
        </w:rPr>
      </w:pPr>
      <w:r>
        <w:rPr>
          <w:rFonts w:ascii="Times New Roman" w:hAnsi="Times New Roman" w:cs="Times New Roman"/>
          <w:color w:val="000000" w:themeColor="text1"/>
          <w:kern w:val="2"/>
          <w:szCs w:val="21"/>
          <w14:textFill>
            <w14:solidFill>
              <w14:schemeClr w14:val="tx1"/>
            </w14:solidFill>
          </w14:textFill>
        </w:rPr>
        <w:t>地        址：</w:t>
      </w:r>
    </w:p>
    <w:p w14:paraId="60F52804">
      <w:pPr>
        <w:pStyle w:val="50"/>
        <w:widowControl w:val="0"/>
        <w:spacing w:before="0" w:after="0" w:line="300" w:lineRule="auto"/>
        <w:ind w:left="420" w:leftChars="200" w:firstLineChars="200"/>
        <w:rPr>
          <w:rFonts w:ascii="Times New Roman" w:hAnsi="Times New Roman" w:cs="Times New Roman"/>
          <w:color w:val="000000" w:themeColor="text1"/>
          <w:kern w:val="2"/>
          <w:szCs w:val="21"/>
          <w14:textFill>
            <w14:solidFill>
              <w14:schemeClr w14:val="tx1"/>
            </w14:solidFill>
          </w14:textFill>
        </w:rPr>
      </w:pPr>
      <w:r>
        <w:rPr>
          <w:rFonts w:ascii="Times New Roman" w:hAnsi="Times New Roman" w:cs="Times New Roman"/>
          <w:color w:val="000000" w:themeColor="text1"/>
          <w:kern w:val="2"/>
          <w:szCs w:val="21"/>
          <w14:textFill>
            <w14:solidFill>
              <w14:schemeClr w14:val="tx1"/>
            </w14:solidFill>
          </w14:textFill>
        </w:rPr>
        <w:t>邮        编：</w:t>
      </w:r>
    </w:p>
    <w:p w14:paraId="380D1418">
      <w:pPr>
        <w:pStyle w:val="50"/>
        <w:widowControl w:val="0"/>
        <w:spacing w:before="0" w:after="0" w:line="300" w:lineRule="auto"/>
        <w:ind w:left="420" w:leftChars="200" w:firstLineChars="200"/>
        <w:rPr>
          <w:rFonts w:ascii="Times New Roman" w:hAnsi="Times New Roman" w:cs="Times New Roman"/>
          <w:color w:val="000000" w:themeColor="text1"/>
          <w:kern w:val="2"/>
          <w:szCs w:val="21"/>
          <w14:textFill>
            <w14:solidFill>
              <w14:schemeClr w14:val="tx1"/>
            </w14:solidFill>
          </w14:textFill>
        </w:rPr>
      </w:pPr>
      <w:r>
        <w:rPr>
          <w:rFonts w:ascii="Times New Roman" w:hAnsi="Times New Roman" w:cs="Times New Roman"/>
          <w:color w:val="000000" w:themeColor="text1"/>
          <w:kern w:val="2"/>
          <w:szCs w:val="21"/>
          <w14:textFill>
            <w14:solidFill>
              <w14:schemeClr w14:val="tx1"/>
            </w14:solidFill>
          </w14:textFill>
        </w:rPr>
        <w:t>电        话：</w:t>
      </w:r>
    </w:p>
    <w:p w14:paraId="68C8B31C">
      <w:pPr>
        <w:pStyle w:val="50"/>
        <w:widowControl w:val="0"/>
        <w:spacing w:before="0" w:after="0" w:line="300" w:lineRule="auto"/>
        <w:ind w:left="420" w:leftChars="200" w:firstLineChars="200"/>
        <w:rPr>
          <w:rFonts w:ascii="Times New Roman" w:hAnsi="Times New Roman" w:cs="Times New Roman"/>
          <w:color w:val="000000" w:themeColor="text1"/>
          <w:kern w:val="2"/>
          <w:szCs w:val="21"/>
          <w14:textFill>
            <w14:solidFill>
              <w14:schemeClr w14:val="tx1"/>
            </w14:solidFill>
          </w14:textFill>
        </w:rPr>
      </w:pPr>
      <w:r>
        <w:rPr>
          <w:rFonts w:ascii="Times New Roman" w:hAnsi="Times New Roman" w:cs="Times New Roman"/>
          <w:color w:val="000000" w:themeColor="text1"/>
          <w:kern w:val="2"/>
          <w:szCs w:val="21"/>
          <w14:textFill>
            <w14:solidFill>
              <w14:schemeClr w14:val="tx1"/>
            </w14:solidFill>
          </w14:textFill>
        </w:rPr>
        <w:t>传        真：</w:t>
      </w:r>
    </w:p>
    <w:p w14:paraId="768C2391">
      <w:pPr>
        <w:pStyle w:val="50"/>
        <w:widowControl w:val="0"/>
        <w:spacing w:before="0" w:after="0" w:line="300" w:lineRule="auto"/>
        <w:ind w:left="420" w:leftChars="200" w:firstLineChars="200"/>
        <w:rPr>
          <w:rFonts w:ascii="Times New Roman" w:hAnsi="Times New Roman" w:cs="Times New Roman"/>
          <w:color w:val="000000" w:themeColor="text1"/>
          <w:kern w:val="2"/>
          <w:szCs w:val="21"/>
          <w14:textFill>
            <w14:solidFill>
              <w14:schemeClr w14:val="tx1"/>
            </w14:solidFill>
          </w14:textFill>
        </w:rPr>
      </w:pPr>
      <w:r>
        <w:rPr>
          <w:rFonts w:ascii="Times New Roman" w:hAnsi="Times New Roman" w:cs="Times New Roman"/>
          <w:color w:val="000000" w:themeColor="text1"/>
          <w:kern w:val="2"/>
          <w:szCs w:val="21"/>
          <w14:textFill>
            <w14:solidFill>
              <w14:schemeClr w14:val="tx1"/>
            </w14:solidFill>
          </w14:textFill>
        </w:rPr>
        <w:t>投标人开户行：</w:t>
      </w:r>
    </w:p>
    <w:p w14:paraId="793D6F2D">
      <w:pPr>
        <w:pStyle w:val="50"/>
        <w:widowControl w:val="0"/>
        <w:spacing w:before="0" w:after="0" w:line="300" w:lineRule="auto"/>
        <w:ind w:left="420" w:leftChars="200" w:firstLineChars="200"/>
        <w:rPr>
          <w:rFonts w:ascii="Times New Roman" w:hAnsi="Times New Roman" w:cs="Times New Roman"/>
          <w:color w:val="000000" w:themeColor="text1"/>
          <w:kern w:val="2"/>
          <w:szCs w:val="21"/>
          <w14:textFill>
            <w14:solidFill>
              <w14:schemeClr w14:val="tx1"/>
            </w14:solidFill>
          </w14:textFill>
        </w:rPr>
      </w:pPr>
      <w:r>
        <w:rPr>
          <w:rFonts w:ascii="Times New Roman" w:hAnsi="Times New Roman" w:cs="Times New Roman"/>
          <w:color w:val="000000" w:themeColor="text1"/>
          <w:kern w:val="2"/>
          <w:szCs w:val="21"/>
          <w14:textFill>
            <w14:solidFill>
              <w14:schemeClr w14:val="tx1"/>
            </w14:solidFill>
          </w14:textFill>
        </w:rPr>
        <w:t xml:space="preserve">账        户： </w:t>
      </w:r>
    </w:p>
    <w:p w14:paraId="44DF1B24">
      <w:pPr>
        <w:pStyle w:val="50"/>
        <w:widowControl w:val="0"/>
        <w:spacing w:before="0" w:after="0" w:line="300" w:lineRule="auto"/>
        <w:ind w:left="420" w:leftChars="200" w:firstLineChars="200"/>
        <w:rPr>
          <w:rFonts w:ascii="Times New Roman" w:hAnsi="Times New Roman" w:cs="Times New Roman"/>
          <w:color w:val="000000" w:themeColor="text1"/>
          <w:kern w:val="2"/>
          <w:szCs w:val="21"/>
          <w14:textFill>
            <w14:solidFill>
              <w14:schemeClr w14:val="tx1"/>
            </w14:solidFill>
          </w14:textFill>
        </w:rPr>
      </w:pPr>
      <w:r>
        <w:rPr>
          <w:rFonts w:ascii="Times New Roman" w:hAnsi="Times New Roman" w:cs="Times New Roman"/>
          <w:color w:val="000000" w:themeColor="text1"/>
          <w:kern w:val="2"/>
          <w:szCs w:val="21"/>
          <w14:textFill>
            <w14:solidFill>
              <w14:schemeClr w14:val="tx1"/>
            </w14:solidFill>
          </w14:textFill>
        </w:rPr>
        <w:t xml:space="preserve">投标人授权代表姓名（签字）： </w:t>
      </w:r>
    </w:p>
    <w:p w14:paraId="3E210F6B">
      <w:pPr>
        <w:pStyle w:val="50"/>
        <w:widowControl w:val="0"/>
        <w:spacing w:before="0" w:after="0" w:line="300" w:lineRule="auto"/>
        <w:ind w:left="420" w:leftChars="200" w:firstLineChars="200"/>
        <w:rPr>
          <w:rFonts w:ascii="Times New Roman" w:hAnsi="Times New Roman" w:cs="Times New Roman"/>
          <w:color w:val="000000" w:themeColor="text1"/>
          <w:kern w:val="2"/>
          <w:szCs w:val="21"/>
          <w14:textFill>
            <w14:solidFill>
              <w14:schemeClr w14:val="tx1"/>
            </w14:solidFill>
          </w14:textFill>
        </w:rPr>
      </w:pPr>
      <w:r>
        <w:rPr>
          <w:rFonts w:ascii="Times New Roman" w:hAnsi="Times New Roman" w:cs="Times New Roman"/>
          <w:color w:val="000000" w:themeColor="text1"/>
          <w:kern w:val="2"/>
          <w:szCs w:val="21"/>
          <w14:textFill>
            <w14:solidFill>
              <w14:schemeClr w14:val="tx1"/>
            </w14:solidFill>
          </w14:textFill>
        </w:rPr>
        <w:t>投标人名称（</w:t>
      </w:r>
      <w:r>
        <w:rPr>
          <w:rFonts w:hint="eastAsia" w:ascii="Times New Roman" w:hAnsi="Times New Roman" w:cs="Times New Roman"/>
          <w:color w:val="000000" w:themeColor="text1"/>
          <w:kern w:val="2"/>
          <w:szCs w:val="21"/>
          <w14:textFill>
            <w14:solidFill>
              <w14:schemeClr w14:val="tx1"/>
            </w14:solidFill>
          </w14:textFill>
        </w:rPr>
        <w:t>投标人公章</w:t>
      </w:r>
      <w:r>
        <w:rPr>
          <w:rFonts w:ascii="Times New Roman" w:hAnsi="Times New Roman" w:cs="Times New Roman"/>
          <w:color w:val="000000" w:themeColor="text1"/>
          <w:kern w:val="2"/>
          <w:szCs w:val="21"/>
          <w14:textFill>
            <w14:solidFill>
              <w14:schemeClr w14:val="tx1"/>
            </w14:solidFill>
          </w14:textFill>
        </w:rPr>
        <w:t xml:space="preserve">）： </w:t>
      </w:r>
    </w:p>
    <w:p w14:paraId="15593F76">
      <w:pPr>
        <w:pStyle w:val="50"/>
        <w:widowControl w:val="0"/>
        <w:spacing w:before="0" w:after="0" w:line="300" w:lineRule="auto"/>
        <w:ind w:left="420" w:leftChars="200" w:firstLineChars="200"/>
        <w:rPr>
          <w:rFonts w:ascii="Times New Roman" w:hAnsi="Times New Roman" w:cs="Times New Roman"/>
          <w:color w:val="000000" w:themeColor="text1"/>
          <w:kern w:val="2"/>
          <w:szCs w:val="21"/>
          <w14:textFill>
            <w14:solidFill>
              <w14:schemeClr w14:val="tx1"/>
            </w14:solidFill>
          </w14:textFill>
        </w:rPr>
      </w:pPr>
      <w:r>
        <w:rPr>
          <w:rFonts w:ascii="Times New Roman" w:hAnsi="Times New Roman" w:cs="Times New Roman"/>
          <w:color w:val="000000" w:themeColor="text1"/>
          <w:kern w:val="2"/>
          <w:szCs w:val="21"/>
          <w14:textFill>
            <w14:solidFill>
              <w14:schemeClr w14:val="tx1"/>
            </w14:solidFill>
          </w14:textFill>
        </w:rPr>
        <w:t>日        期：________年____月____日</w:t>
      </w:r>
    </w:p>
    <w:p w14:paraId="1BE43F34">
      <w:pPr>
        <w:snapToGrid w:val="0"/>
        <w:spacing w:line="360" w:lineRule="auto"/>
        <w:jc w:val="right"/>
        <w:rPr>
          <w:rFonts w:hint="eastAsia" w:ascii="宋体" w:hAnsi="宋体" w:eastAsia="宋体" w:cs="宋体"/>
          <w:color w:val="000000" w:themeColor="text1"/>
          <w:szCs w:val="21"/>
          <w:u w:color="000000"/>
          <w14:textFill>
            <w14:solidFill>
              <w14:schemeClr w14:val="tx1"/>
            </w14:solidFill>
          </w14:textFill>
        </w:rPr>
      </w:pPr>
    </w:p>
    <w:p w14:paraId="1E595D3F">
      <w:pPr>
        <w:spacing w:line="360" w:lineRule="auto"/>
        <w:jc w:val="right"/>
        <w:rPr>
          <w:rFonts w:hint="eastAsia" w:ascii="宋体" w:hAnsi="宋体" w:eastAsia="宋体" w:cs="宋体"/>
          <w:color w:val="000000" w:themeColor="text1"/>
          <w:szCs w:val="21"/>
          <w:u w:color="000000"/>
          <w14:textFill>
            <w14:solidFill>
              <w14:schemeClr w14:val="tx1"/>
            </w14:solidFill>
          </w14:textFill>
        </w:rPr>
      </w:pPr>
    </w:p>
    <w:p w14:paraId="655B0BEE">
      <w:pPr>
        <w:jc w:val="left"/>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br w:type="page"/>
      </w:r>
    </w:p>
    <w:p w14:paraId="70E5A5B0">
      <w:pPr>
        <w:tabs>
          <w:tab w:val="left" w:pos="576"/>
        </w:tabs>
        <w:spacing w:before="156" w:beforeLines="50" w:after="156" w:afterLines="50" w:line="360" w:lineRule="auto"/>
        <w:outlineLvl w:val="2"/>
        <w:rPr>
          <w:rFonts w:ascii="Times New Roman" w:hAnsi="Times New Roman" w:eastAsia="黑体" w:cs="Times New Roman"/>
          <w:color w:val="000000" w:themeColor="text1"/>
          <w:sz w:val="24"/>
          <w:szCs w:val="24"/>
          <w:u w:color="000000"/>
          <w14:textFill>
            <w14:solidFill>
              <w14:schemeClr w14:val="tx1"/>
            </w14:solidFill>
          </w14:textFill>
        </w:rPr>
      </w:pPr>
      <w:bookmarkStart w:id="63" w:name="_Toc415494579"/>
      <w:bookmarkStart w:id="64" w:name="_Toc448069992"/>
      <w:bookmarkStart w:id="65" w:name="_Toc11859492"/>
      <w:bookmarkStart w:id="66" w:name="_Toc415494575"/>
      <w:bookmarkStart w:id="67" w:name="_Toc452541709"/>
      <w:bookmarkStart w:id="68" w:name="_Toc448069989"/>
      <w:bookmarkStart w:id="69" w:name="_Toc51"/>
      <w:r>
        <w:rPr>
          <w:rFonts w:ascii="Times New Roman" w:hAnsi="Times New Roman" w:eastAsia="黑体" w:cs="Times New Roman"/>
          <w:color w:val="000000" w:themeColor="text1"/>
          <w:sz w:val="24"/>
          <w:szCs w:val="24"/>
          <w:u w:color="000000"/>
          <w14:textFill>
            <w14:solidFill>
              <w14:schemeClr w14:val="tx1"/>
            </w14:solidFill>
          </w14:textFill>
        </w:rPr>
        <w:t xml:space="preserve">6.2 </w:t>
      </w:r>
      <w:r>
        <w:rPr>
          <w:rFonts w:hint="eastAsia" w:ascii="Times New Roman" w:hAnsi="Times New Roman" w:eastAsia="黑体" w:cs="Times New Roman"/>
          <w:color w:val="000000" w:themeColor="text1"/>
          <w:sz w:val="24"/>
          <w:szCs w:val="24"/>
          <w:u w:color="000000"/>
          <w14:textFill>
            <w14:solidFill>
              <w14:schemeClr w14:val="tx1"/>
            </w14:solidFill>
          </w14:textFill>
        </w:rPr>
        <w:t>投标一览表</w:t>
      </w:r>
      <w:bookmarkEnd w:id="63"/>
      <w:bookmarkEnd w:id="64"/>
      <w:bookmarkEnd w:id="65"/>
    </w:p>
    <w:p w14:paraId="35125749">
      <w:pPr>
        <w:snapToGrid w:val="0"/>
        <w:spacing w:line="360" w:lineRule="auto"/>
        <w:jc w:val="center"/>
        <w:rPr>
          <w:rFonts w:hint="eastAsia" w:ascii="黑体" w:hAnsi="黑体" w:eastAsia="黑体" w:cs="Times New Roman"/>
          <w:color w:val="000000" w:themeColor="text1"/>
          <w:sz w:val="28"/>
          <w:szCs w:val="24"/>
          <w:u w:color="000000"/>
          <w:lang w:val="zh-TW"/>
          <w14:textFill>
            <w14:solidFill>
              <w14:schemeClr w14:val="tx1"/>
            </w14:solidFill>
          </w14:textFill>
        </w:rPr>
      </w:pPr>
      <w:r>
        <w:rPr>
          <w:rFonts w:hint="eastAsia" w:ascii="黑体" w:hAnsi="黑体" w:eastAsia="黑体" w:cs="Times New Roman"/>
          <w:color w:val="000000" w:themeColor="text1"/>
          <w:sz w:val="28"/>
          <w:szCs w:val="24"/>
          <w:u w:color="000000"/>
          <w:lang w:val="zh-TW"/>
          <w14:textFill>
            <w14:solidFill>
              <w14:schemeClr w14:val="tx1"/>
            </w14:solidFill>
          </w14:textFill>
        </w:rPr>
        <w:t>投标一览表</w:t>
      </w:r>
    </w:p>
    <w:p w14:paraId="1BAB5939">
      <w:pPr>
        <w:adjustRightInd w:val="0"/>
        <w:snapToGrid w:val="0"/>
        <w:spacing w:line="360" w:lineRule="auto"/>
        <w:ind w:firstLine="480" w:firstLineChars="20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投标人全称（</w:t>
      </w:r>
      <w:r>
        <w:rPr>
          <w:rFonts w:hint="eastAsia" w:ascii="Times New Roman" w:hAnsi="Times New Roman" w:cs="Times New Roman"/>
          <w:color w:val="000000" w:themeColor="text1"/>
          <w:sz w:val="24"/>
          <w:szCs w:val="24"/>
          <w14:textFill>
            <w14:solidFill>
              <w14:schemeClr w14:val="tx1"/>
            </w14:solidFill>
          </w14:textFill>
        </w:rPr>
        <w:t>加盖投标人公章</w:t>
      </w:r>
      <w:r>
        <w:rPr>
          <w:rFonts w:ascii="Times New Roman" w:hAnsi="Times New Roman" w:cs="Times New Roman"/>
          <w:color w:val="000000" w:themeColor="text1"/>
          <w:sz w:val="24"/>
          <w:szCs w:val="24"/>
          <w14:textFill>
            <w14:solidFill>
              <w14:schemeClr w14:val="tx1"/>
            </w14:solidFill>
          </w14:textFill>
        </w:rPr>
        <w:t>）：</w:t>
      </w:r>
    </w:p>
    <w:p w14:paraId="178AA10C">
      <w:pPr>
        <w:adjustRightInd w:val="0"/>
        <w:snapToGrid w:val="0"/>
        <w:spacing w:line="360" w:lineRule="auto"/>
        <w:ind w:firstLine="480" w:firstLineChars="20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项目名称：</w:t>
      </w:r>
      <w:r>
        <w:rPr>
          <w:rFonts w:hint="eastAsia" w:ascii="Times New Roman" w:hAnsi="Times New Roman" w:cs="Times New Roman"/>
          <w:color w:val="000000" w:themeColor="text1"/>
          <w:sz w:val="24"/>
          <w:szCs w:val="24"/>
          <w14:textFill>
            <w14:solidFill>
              <w14:schemeClr w14:val="tx1"/>
            </w14:solidFill>
          </w14:textFill>
        </w:rPr>
        <w:t>紫金山实验室API安全网关系统采购项目</w:t>
      </w:r>
    </w:p>
    <w:p w14:paraId="3C510BD2">
      <w:pPr>
        <w:adjustRightInd w:val="0"/>
        <w:snapToGrid w:val="0"/>
        <w:spacing w:line="360" w:lineRule="auto"/>
        <w:ind w:firstLine="480" w:firstLineChars="20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项目编号：PML-ZH-ZB-</w:t>
      </w:r>
      <w:r>
        <w:rPr>
          <w:rFonts w:hint="eastAsia" w:ascii="Times New Roman" w:hAnsi="Times New Roman" w:cs="Times New Roman"/>
          <w:color w:val="000000" w:themeColor="text1"/>
          <w:sz w:val="24"/>
          <w:szCs w:val="24"/>
          <w14:textFill>
            <w14:solidFill>
              <w14:schemeClr w14:val="tx1"/>
            </w14:solidFill>
          </w14:textFill>
        </w:rPr>
        <w:t>2025019</w:t>
      </w:r>
    </w:p>
    <w:tbl>
      <w:tblPr>
        <w:tblStyle w:val="28"/>
        <w:tblW w:w="487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47"/>
        <w:gridCol w:w="6327"/>
      </w:tblGrid>
      <w:tr w14:paraId="6D5B7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7" w:hRule="atLeast"/>
          <w:jc w:val="center"/>
        </w:trPr>
        <w:tc>
          <w:tcPr>
            <w:tcW w:w="1394" w:type="pct"/>
            <w:vAlign w:val="center"/>
          </w:tcPr>
          <w:p w14:paraId="0C3F558D">
            <w:pPr>
              <w:pStyle w:val="12"/>
              <w:adjustRightInd w:val="0"/>
              <w:snapToGrid w:val="0"/>
              <w:spacing w:after="0" w:line="360" w:lineRule="auto"/>
              <w:jc w:val="center"/>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人民币报价总计</w:t>
            </w:r>
          </w:p>
          <w:p w14:paraId="74C1C907">
            <w:pPr>
              <w:pStyle w:val="12"/>
              <w:adjustRightInd w:val="0"/>
              <w:snapToGrid w:val="0"/>
              <w:spacing w:after="0" w:line="360" w:lineRule="auto"/>
              <w:jc w:val="center"/>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（元）</w:t>
            </w:r>
          </w:p>
        </w:tc>
        <w:tc>
          <w:tcPr>
            <w:tcW w:w="3605" w:type="pct"/>
            <w:vAlign w:val="center"/>
          </w:tcPr>
          <w:p w14:paraId="494A0455">
            <w:pPr>
              <w:pStyle w:val="12"/>
              <w:adjustRightInd w:val="0"/>
              <w:snapToGrid w:val="0"/>
              <w:spacing w:after="0" w:line="360" w:lineRule="auto"/>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大写：</w:t>
            </w:r>
          </w:p>
          <w:p w14:paraId="37951535">
            <w:pPr>
              <w:pStyle w:val="50"/>
              <w:widowControl w:val="0"/>
              <w:snapToGrid w:val="0"/>
              <w:spacing w:before="0" w:after="0"/>
              <w:ind w:firstLine="0"/>
              <w:rPr>
                <w:rFonts w:ascii="Times New Roman" w:hAnsi="Times New Roman" w:cs="Times New Roman"/>
                <w:color w:val="000000" w:themeColor="text1"/>
                <w:kern w:val="2"/>
                <w:szCs w:val="2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小写：</w:t>
            </w:r>
          </w:p>
        </w:tc>
      </w:tr>
      <w:tr w14:paraId="0B4AB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atLeast"/>
          <w:jc w:val="center"/>
        </w:trPr>
        <w:tc>
          <w:tcPr>
            <w:tcW w:w="1394" w:type="pct"/>
            <w:vAlign w:val="center"/>
          </w:tcPr>
          <w:p w14:paraId="688DB809">
            <w:pPr>
              <w:pStyle w:val="12"/>
              <w:adjustRightInd w:val="0"/>
              <w:snapToGrid w:val="0"/>
              <w:spacing w:after="0" w:line="360" w:lineRule="auto"/>
              <w:jc w:val="center"/>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质保期（年）</w:t>
            </w:r>
          </w:p>
        </w:tc>
        <w:tc>
          <w:tcPr>
            <w:tcW w:w="3605" w:type="pct"/>
            <w:vAlign w:val="center"/>
          </w:tcPr>
          <w:p w14:paraId="1FDA0DA9">
            <w:pPr>
              <w:pStyle w:val="50"/>
              <w:widowControl w:val="0"/>
              <w:snapToGrid w:val="0"/>
              <w:spacing w:before="0" w:after="0"/>
              <w:ind w:firstLine="0"/>
              <w:rPr>
                <w:rFonts w:ascii="Times New Roman" w:hAnsi="Times New Roman" w:cs="Times New Roman"/>
                <w:color w:val="000000" w:themeColor="text1"/>
                <w14:textFill>
                  <w14:solidFill>
                    <w14:schemeClr w14:val="tx1"/>
                  </w14:solidFill>
                </w14:textFill>
              </w:rPr>
            </w:pPr>
          </w:p>
        </w:tc>
      </w:tr>
      <w:tr w14:paraId="4EAC3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2" w:hRule="atLeast"/>
          <w:jc w:val="center"/>
        </w:trPr>
        <w:tc>
          <w:tcPr>
            <w:tcW w:w="1394" w:type="pct"/>
            <w:vAlign w:val="center"/>
          </w:tcPr>
          <w:p w14:paraId="4D790224">
            <w:pPr>
              <w:pStyle w:val="12"/>
              <w:adjustRightInd w:val="0"/>
              <w:snapToGrid w:val="0"/>
              <w:spacing w:after="0" w:line="360" w:lineRule="auto"/>
              <w:jc w:val="center"/>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供货期（天）</w:t>
            </w:r>
          </w:p>
        </w:tc>
        <w:tc>
          <w:tcPr>
            <w:tcW w:w="3605" w:type="pct"/>
            <w:vAlign w:val="center"/>
          </w:tcPr>
          <w:p w14:paraId="3653FA0B">
            <w:pPr>
              <w:pStyle w:val="50"/>
              <w:widowControl w:val="0"/>
              <w:snapToGrid w:val="0"/>
              <w:spacing w:before="0" w:after="0"/>
              <w:ind w:firstLine="0"/>
              <w:rPr>
                <w:rFonts w:ascii="Times New Roman" w:hAnsi="Times New Roman" w:cs="Times New Roman"/>
                <w:color w:val="000000" w:themeColor="text1"/>
                <w14:textFill>
                  <w14:solidFill>
                    <w14:schemeClr w14:val="tx1"/>
                  </w14:solidFill>
                </w14:textFill>
              </w:rPr>
            </w:pPr>
          </w:p>
        </w:tc>
      </w:tr>
      <w:tr w14:paraId="4255B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1" w:hRule="atLeast"/>
          <w:jc w:val="center"/>
        </w:trPr>
        <w:tc>
          <w:tcPr>
            <w:tcW w:w="1394" w:type="pct"/>
            <w:vAlign w:val="center"/>
          </w:tcPr>
          <w:p w14:paraId="40FDB0BF">
            <w:pPr>
              <w:pStyle w:val="12"/>
              <w:adjustRightInd w:val="0"/>
              <w:snapToGrid w:val="0"/>
              <w:spacing w:after="0" w:line="360" w:lineRule="auto"/>
              <w:jc w:val="center"/>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投标人是否属于小微型企业</w:t>
            </w:r>
          </w:p>
        </w:tc>
        <w:tc>
          <w:tcPr>
            <w:tcW w:w="3605" w:type="pct"/>
            <w:vAlign w:val="center"/>
          </w:tcPr>
          <w:p w14:paraId="5F72633B">
            <w:pPr>
              <w:pStyle w:val="12"/>
              <w:adjustRightInd w:val="0"/>
              <w:snapToGrid w:val="0"/>
              <w:spacing w:after="0" w:line="360" w:lineRule="auto"/>
              <w:rPr>
                <w:rFonts w:ascii="Times New Roman" w:hAnsi="Times New Roman" w:eastAsia="宋体" w:cs="Times New Roman"/>
                <w:color w:val="000000" w:themeColor="text1"/>
                <w:sz w:val="24"/>
                <w:szCs w:val="24"/>
                <w14:textFill>
                  <w14:solidFill>
                    <w14:schemeClr w14:val="tx1"/>
                  </w14:solidFill>
                </w14:textFill>
              </w:rPr>
            </w:pPr>
            <w:r>
              <w:rPr>
                <w:rFonts w:hint="eastAsia" w:ascii="宋体" w:cs="宋体"/>
                <w:color w:val="000000" w:themeColor="text1"/>
                <w:sz w:val="24"/>
                <w:szCs w:val="24"/>
                <w:u w:val="single"/>
                <w14:textFill>
                  <w14:solidFill>
                    <w14:schemeClr w14:val="tx1"/>
                  </w14:solidFill>
                </w14:textFill>
              </w:rPr>
              <w:t xml:space="preserve">     </w:t>
            </w:r>
            <w:r>
              <w:rPr>
                <w:rFonts w:hint="eastAsia" w:ascii="宋体" w:cs="宋体"/>
                <w:color w:val="000000" w:themeColor="text1"/>
                <w:spacing w:val="-3"/>
                <w:sz w:val="24"/>
                <w:szCs w:val="24"/>
                <w:u w:val="single"/>
                <w14:textFill>
                  <w14:solidFill>
                    <w14:schemeClr w14:val="tx1"/>
                  </w14:solidFill>
                </w14:textFill>
              </w:rPr>
              <w:t xml:space="preserve"> </w:t>
            </w:r>
            <w:r>
              <w:rPr>
                <w:rFonts w:hint="eastAsia" w:ascii="宋体" w:cs="宋体"/>
                <w:color w:val="000000" w:themeColor="text1"/>
                <w:sz w:val="24"/>
                <w:szCs w:val="24"/>
                <w:u w:val="single"/>
                <w14:textFill>
                  <w14:solidFill>
                    <w14:schemeClr w14:val="tx1"/>
                  </w14:solidFill>
                </w14:textFill>
              </w:rPr>
              <w:t xml:space="preserve">   </w:t>
            </w:r>
            <w:r>
              <w:rPr>
                <w:rFonts w:hint="eastAsia" w:ascii="宋体" w:cs="宋体"/>
                <w:color w:val="000000" w:themeColor="text1"/>
                <w:spacing w:val="-3"/>
                <w:sz w:val="24"/>
                <w:szCs w:val="24"/>
                <w:u w:val="single"/>
                <w14:textFill>
                  <w14:solidFill>
                    <w14:schemeClr w14:val="tx1"/>
                  </w14:solidFill>
                </w14:textFill>
              </w:rPr>
              <w:t xml:space="preserve"> </w:t>
            </w:r>
            <w:r>
              <w:rPr>
                <w:rFonts w:hint="eastAsia" w:ascii="宋体" w:cs="宋体"/>
                <w:color w:val="000000" w:themeColor="text1"/>
                <w:sz w:val="24"/>
                <w:szCs w:val="24"/>
                <w:u w:val="single"/>
                <w14:textFill>
                  <w14:solidFill>
                    <w14:schemeClr w14:val="tx1"/>
                  </w14:solidFill>
                </w14:textFill>
              </w:rPr>
              <w:t xml:space="preserve">   </w:t>
            </w:r>
            <w:r>
              <w:rPr>
                <w:rFonts w:hint="eastAsia" w:ascii="宋体" w:cs="宋体"/>
                <w:color w:val="000000" w:themeColor="text1"/>
                <w:spacing w:val="-3"/>
                <w:sz w:val="24"/>
                <w:szCs w:val="24"/>
                <w:u w:val="single"/>
                <w14:textFill>
                  <w14:solidFill>
                    <w14:schemeClr w14:val="tx1"/>
                  </w14:solidFill>
                </w14:textFill>
              </w:rPr>
              <w:t xml:space="preserve"> </w:t>
            </w:r>
            <w:r>
              <w:rPr>
                <w:rFonts w:hint="eastAsia" w:ascii="宋体" w:cs="宋体"/>
                <w:color w:val="000000" w:themeColor="text1"/>
                <w:sz w:val="24"/>
                <w:szCs w:val="24"/>
                <w:u w:val="single"/>
                <w14:textFill>
                  <w14:solidFill>
                    <w14:schemeClr w14:val="tx1"/>
                  </w14:solidFill>
                </w14:textFill>
              </w:rPr>
              <w:t xml:space="preserve">   </w:t>
            </w:r>
            <w:r>
              <w:rPr>
                <w:rFonts w:hint="eastAsia" w:ascii="宋体" w:cs="宋体"/>
                <w:color w:val="000000" w:themeColor="text1"/>
                <w:spacing w:val="-3"/>
                <w:sz w:val="24"/>
                <w:szCs w:val="24"/>
                <w:u w:val="single"/>
                <w14:textFill>
                  <w14:solidFill>
                    <w14:schemeClr w14:val="tx1"/>
                  </w14:solidFill>
                </w14:textFill>
              </w:rPr>
              <w:t xml:space="preserve"> </w:t>
            </w:r>
            <w:r>
              <w:rPr>
                <w:rFonts w:hint="eastAsia" w:ascii="宋体" w:cs="宋体"/>
                <w:color w:val="000000" w:themeColor="text1"/>
                <w:sz w:val="24"/>
                <w:szCs w:val="24"/>
                <w:u w:val="single"/>
                <w14:textFill>
                  <w14:solidFill>
                    <w14:schemeClr w14:val="tx1"/>
                  </w14:solidFill>
                </w14:textFill>
              </w:rPr>
              <w:t xml:space="preserve"> </w:t>
            </w:r>
            <w:r>
              <w:rPr>
                <w:rFonts w:hint="eastAsia" w:ascii="宋体" w:cs="宋体"/>
                <w:color w:val="000000" w:themeColor="text1"/>
                <w:spacing w:val="-1"/>
                <w:sz w:val="24"/>
                <w:szCs w:val="24"/>
                <w:u w:val="single"/>
                <w14:textFill>
                  <w14:solidFill>
                    <w14:schemeClr w14:val="tx1"/>
                  </w14:solidFill>
                </w14:textFill>
              </w:rPr>
              <w:t xml:space="preserve"> </w:t>
            </w:r>
            <w:r>
              <w:rPr>
                <w:rFonts w:hint="eastAsia" w:ascii="宋体" w:cs="宋体"/>
                <w:color w:val="000000" w:themeColor="text1"/>
                <w:sz w:val="24"/>
                <w:szCs w:val="24"/>
                <w14:textFill>
                  <w14:solidFill>
                    <w14:schemeClr w14:val="tx1"/>
                  </w14:solidFill>
                </w14:textFill>
              </w:rPr>
              <w:t>（填写“是”或“否）</w:t>
            </w:r>
          </w:p>
        </w:tc>
      </w:tr>
    </w:tbl>
    <w:p w14:paraId="6C9DE628">
      <w:pPr>
        <w:adjustRightInd w:val="0"/>
        <w:snapToGrid w:val="0"/>
        <w:jc w:val="right"/>
        <w:rPr>
          <w:rFonts w:hint="eastAsia" w:ascii="宋体" w:hAnsi="宋体"/>
          <w:color w:val="000000" w:themeColor="text1"/>
          <w:sz w:val="24"/>
          <w:szCs w:val="24"/>
          <w14:textFill>
            <w14:solidFill>
              <w14:schemeClr w14:val="tx1"/>
            </w14:solidFill>
          </w14:textFill>
        </w:rPr>
      </w:pPr>
    </w:p>
    <w:p w14:paraId="00938984">
      <w:pPr>
        <w:adjustRightInd w:val="0"/>
        <w:snapToGrid w:val="0"/>
        <w:spacing w:line="360" w:lineRule="auto"/>
        <w:jc w:val="right"/>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法定代表人（授权代表）签字：</w:t>
      </w:r>
      <w:r>
        <w:rPr>
          <w:rFonts w:hint="eastAsia" w:ascii="宋体" w:hAnsi="宋体"/>
          <w:color w:val="000000" w:themeColor="text1"/>
          <w:sz w:val="24"/>
          <w:szCs w:val="24"/>
          <w:u w:val="single"/>
          <w14:textFill>
            <w14:solidFill>
              <w14:schemeClr w14:val="tx1"/>
            </w14:solidFill>
          </w14:textFill>
        </w:rPr>
        <w:t xml:space="preserve"> </w:t>
      </w:r>
      <w:r>
        <w:rPr>
          <w:rFonts w:ascii="宋体" w:hAnsi="宋体"/>
          <w:color w:val="000000" w:themeColor="text1"/>
          <w:sz w:val="24"/>
          <w:szCs w:val="24"/>
          <w:u w:val="single"/>
          <w14:textFill>
            <w14:solidFill>
              <w14:schemeClr w14:val="tx1"/>
            </w14:solidFill>
          </w14:textFill>
        </w:rPr>
        <w:t xml:space="preserve">              </w:t>
      </w:r>
    </w:p>
    <w:p w14:paraId="370F3F88">
      <w:pPr>
        <w:adjustRightInd w:val="0"/>
        <w:snapToGrid w:val="0"/>
        <w:spacing w:line="360" w:lineRule="auto"/>
        <w:ind w:firstLine="5880" w:firstLineChars="2450"/>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日期：</w:t>
      </w:r>
      <w:r>
        <w:rPr>
          <w:rFonts w:hint="eastAsia" w:ascii="宋体" w:hAnsi="宋体"/>
          <w:color w:val="000000" w:themeColor="text1"/>
          <w:sz w:val="24"/>
          <w:szCs w:val="24"/>
          <w:u w:val="single"/>
          <w14:textFill>
            <w14:solidFill>
              <w14:schemeClr w14:val="tx1"/>
            </w14:solidFill>
          </w14:textFill>
        </w:rPr>
        <w:t xml:space="preserve">  </w:t>
      </w:r>
      <w:r>
        <w:rPr>
          <w:rFonts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年</w:t>
      </w:r>
      <w:r>
        <w:rPr>
          <w:rFonts w:hint="eastAsia" w:ascii="宋体" w:hAnsi="宋体"/>
          <w:color w:val="000000" w:themeColor="text1"/>
          <w:sz w:val="24"/>
          <w:szCs w:val="24"/>
          <w:u w:val="single"/>
          <w14:textFill>
            <w14:solidFill>
              <w14:schemeClr w14:val="tx1"/>
            </w14:solidFill>
          </w14:textFill>
        </w:rPr>
        <w:t xml:space="preserve"> </w:t>
      </w:r>
      <w:r>
        <w:rPr>
          <w:rFonts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月</w:t>
      </w:r>
      <w:r>
        <w:rPr>
          <w:rFonts w:hint="eastAsia"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日</w:t>
      </w:r>
    </w:p>
    <w:p w14:paraId="5F050F2F">
      <w:pPr>
        <w:adjustRightInd w:val="0"/>
        <w:snapToGrid w:val="0"/>
        <w:spacing w:line="440" w:lineRule="exact"/>
        <w:ind w:firstLine="480" w:firstLineChars="20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填写说明：</w:t>
      </w:r>
    </w:p>
    <w:p w14:paraId="60246E04">
      <w:pPr>
        <w:adjustRightInd w:val="0"/>
        <w:snapToGrid w:val="0"/>
        <w:spacing w:line="360" w:lineRule="exact"/>
        <w:ind w:firstLine="480" w:firstLineChars="200"/>
        <w:rPr>
          <w:rFonts w:hint="eastAsia"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1、投标一览表必须加盖投标单位投标人公章，并单独装在小信封内于投标截止时间前与投标文件一起递交。</w:t>
      </w:r>
    </w:p>
    <w:p w14:paraId="709D7787">
      <w:pPr>
        <w:adjustRightInd w:val="0"/>
        <w:snapToGrid w:val="0"/>
        <w:spacing w:line="360" w:lineRule="exact"/>
        <w:ind w:firstLine="480" w:firstLineChars="200"/>
        <w:rPr>
          <w:rFonts w:hint="eastAsia"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2、“投标人是否属于小微型企业”栏内填写“是”或“否”。如填写“是”，投标人需提供《中小企业声明函》、《残疾人福利性单位声明函》、《属于监狱企业的证明文件》。</w:t>
      </w:r>
    </w:p>
    <w:p w14:paraId="63FF5B58">
      <w:pPr>
        <w:pStyle w:val="27"/>
        <w:ind w:firstLine="480"/>
        <w:rPr>
          <w:rFonts w:hint="eastAsia"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3、投标货物为国产货物的，单价和总价采用人民币含税报价。</w:t>
      </w:r>
    </w:p>
    <w:p w14:paraId="56602EFC">
      <w:pPr>
        <w:rPr>
          <w:rFonts w:hint="eastAsia"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 xml:space="preserve">       投标货物为进口货物的，单价和总价采用人民币免税报价。</w:t>
      </w:r>
    </w:p>
    <w:p w14:paraId="42F76897">
      <w:pPr>
        <w:pStyle w:val="27"/>
        <w:ind w:firstLine="480"/>
        <w:rPr>
          <w:rFonts w:ascii="Times New Roman" w:hAnsi="Times New Roman" w:cs="Times New Roman"/>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 xml:space="preserve">   本项目报价采用总承包方式，投标人的报价应包括但不限于所投产品全部费用、安装调试费、安装中的相关费用、外贸公司进口代理费用（含办理免税手续费用）、国际国内运输（至甲方指定地点）及保险费用、运行维护费用、全部税金、培训、售后服务、进口产品因汇率波动产生的汇总损益、及其他有关的为完成本项目发生的所有费用，招标文件中另有规定的除外。</w:t>
      </w:r>
    </w:p>
    <w:p w14:paraId="28744A0A">
      <w:pPr>
        <w:spacing w:line="360" w:lineRule="exact"/>
        <w:jc w:val="left"/>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br w:type="page"/>
      </w:r>
    </w:p>
    <w:p w14:paraId="10492BAA">
      <w:pPr>
        <w:spacing w:line="360" w:lineRule="auto"/>
        <w:jc w:val="center"/>
        <w:rPr>
          <w:rFonts w:hint="eastAsia" w:ascii="黑体" w:hAnsi="黑体" w:eastAsia="黑体" w:cs="Times New Roman"/>
          <w:color w:val="000000" w:themeColor="text1"/>
          <w:sz w:val="28"/>
          <w:szCs w:val="28"/>
          <w14:textFill>
            <w14:solidFill>
              <w14:schemeClr w14:val="tx1"/>
            </w14:solidFill>
          </w14:textFill>
        </w:rPr>
      </w:pPr>
      <w:r>
        <w:rPr>
          <w:rFonts w:ascii="黑体" w:hAnsi="黑体" w:eastAsia="黑体" w:cs="Times New Roman"/>
          <w:color w:val="000000" w:themeColor="text1"/>
          <w:sz w:val="28"/>
          <w:szCs w:val="28"/>
          <w14:textFill>
            <w14:solidFill>
              <w14:schemeClr w14:val="tx1"/>
            </w14:solidFill>
          </w14:textFill>
        </w:rPr>
        <w:t>投标报价明细表</w:t>
      </w:r>
      <w:r>
        <w:rPr>
          <w:rFonts w:hint="eastAsia" w:ascii="黑体" w:hAnsi="黑体" w:eastAsia="黑体" w:cs="Times New Roman"/>
          <w:color w:val="000000" w:themeColor="text1"/>
          <w:sz w:val="28"/>
          <w:szCs w:val="28"/>
          <w14:textFill>
            <w14:solidFill>
              <w14:schemeClr w14:val="tx1"/>
            </w14:solidFill>
          </w14:textFill>
        </w:rPr>
        <w:t>（</w:t>
      </w:r>
      <w:r>
        <w:rPr>
          <w:rFonts w:ascii="黑体" w:hAnsi="黑体" w:eastAsia="黑体" w:cs="Times New Roman"/>
          <w:color w:val="000000" w:themeColor="text1"/>
          <w:sz w:val="28"/>
          <w:szCs w:val="28"/>
          <w14:textFill>
            <w14:solidFill>
              <w14:schemeClr w14:val="tx1"/>
            </w14:solidFill>
          </w14:textFill>
        </w:rPr>
        <w:t>格式</w:t>
      </w:r>
      <w:r>
        <w:rPr>
          <w:rFonts w:hint="eastAsia" w:ascii="黑体" w:hAnsi="黑体" w:eastAsia="黑体" w:cs="Times New Roman"/>
          <w:color w:val="000000" w:themeColor="text1"/>
          <w:sz w:val="28"/>
          <w:szCs w:val="28"/>
          <w14:textFill>
            <w14:solidFill>
              <w14:schemeClr w14:val="tx1"/>
            </w14:solidFill>
          </w14:textFill>
        </w:rPr>
        <w:t>）</w:t>
      </w:r>
    </w:p>
    <w:p w14:paraId="621CDDEA">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投标人全称（</w:t>
      </w:r>
      <w:r>
        <w:rPr>
          <w:rFonts w:hint="eastAsia" w:ascii="Times New Roman" w:hAnsi="Times New Roman" w:cs="Times New Roman"/>
          <w:color w:val="000000" w:themeColor="text1"/>
          <w:szCs w:val="21"/>
          <w14:textFill>
            <w14:solidFill>
              <w14:schemeClr w14:val="tx1"/>
            </w14:solidFill>
          </w14:textFill>
        </w:rPr>
        <w:t>投标人公章</w:t>
      </w:r>
      <w:r>
        <w:rPr>
          <w:rFonts w:ascii="Times New Roman" w:hAnsi="Times New Roman" w:cs="Times New Roman"/>
          <w:color w:val="000000" w:themeColor="text1"/>
          <w:szCs w:val="21"/>
          <w14:textFill>
            <w14:solidFill>
              <w14:schemeClr w14:val="tx1"/>
            </w14:solidFill>
          </w14:textFill>
        </w:rPr>
        <w:t>）</w:t>
      </w:r>
      <w:r>
        <w:rPr>
          <w:rFonts w:hint="eastAsia" w:ascii="Times New Roman" w:hAnsi="Times New Roman" w:cs="Times New Roman"/>
          <w:color w:val="000000" w:themeColor="text1"/>
          <w:szCs w:val="21"/>
          <w14:textFill>
            <w14:solidFill>
              <w14:schemeClr w14:val="tx1"/>
            </w14:solidFill>
          </w14:textFill>
        </w:rPr>
        <w:t>：</w:t>
      </w:r>
      <w:r>
        <w:rPr>
          <w:rFonts w:ascii="Times New Roman" w:hAnsi="Times New Roman" w:cs="Times New Roman"/>
          <w:color w:val="000000" w:themeColor="text1"/>
          <w:szCs w:val="21"/>
          <w:u w:val="single"/>
          <w14:textFill>
            <w14:solidFill>
              <w14:schemeClr w14:val="tx1"/>
            </w14:solidFill>
          </w14:textFill>
        </w:rPr>
        <w:t xml:space="preserve">                       </w:t>
      </w:r>
    </w:p>
    <w:p w14:paraId="087A4CF4">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项目名称：</w:t>
      </w:r>
      <w:r>
        <w:rPr>
          <w:rFonts w:hint="eastAsia" w:ascii="Times New Roman" w:hAnsi="Times New Roman" w:cs="Times New Roman"/>
          <w:color w:val="000000" w:themeColor="text1"/>
          <w:szCs w:val="21"/>
          <w:u w:val="single"/>
          <w14:textFill>
            <w14:solidFill>
              <w14:schemeClr w14:val="tx1"/>
            </w14:solidFill>
          </w14:textFill>
        </w:rPr>
        <w:t xml:space="preserve">                                 </w:t>
      </w:r>
    </w:p>
    <w:tbl>
      <w:tblPr>
        <w:tblStyle w:val="28"/>
        <w:tblW w:w="945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30"/>
        <w:gridCol w:w="1329"/>
        <w:gridCol w:w="1329"/>
        <w:gridCol w:w="739"/>
        <w:gridCol w:w="592"/>
        <w:gridCol w:w="826"/>
        <w:gridCol w:w="826"/>
        <w:gridCol w:w="826"/>
        <w:gridCol w:w="826"/>
        <w:gridCol w:w="830"/>
      </w:tblGrid>
      <w:tr w14:paraId="0517C3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92" w:hRule="atLeast"/>
          <w:jc w:val="center"/>
        </w:trPr>
        <w:tc>
          <w:tcPr>
            <w:tcW w:w="1330" w:type="dxa"/>
            <w:tcBorders>
              <w:top w:val="single" w:color="auto" w:sz="4" w:space="0"/>
              <w:left w:val="single" w:color="auto" w:sz="4" w:space="0"/>
              <w:bottom w:val="single" w:color="auto" w:sz="4" w:space="0"/>
              <w:right w:val="single" w:color="auto" w:sz="4" w:space="0"/>
            </w:tcBorders>
            <w:vAlign w:val="center"/>
          </w:tcPr>
          <w:p w14:paraId="56E6D22E">
            <w:pPr>
              <w:jc w:val="center"/>
              <w:rPr>
                <w:rFonts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货物名称</w:t>
            </w:r>
          </w:p>
        </w:tc>
        <w:tc>
          <w:tcPr>
            <w:tcW w:w="1329" w:type="dxa"/>
            <w:tcBorders>
              <w:top w:val="single" w:color="auto" w:sz="4" w:space="0"/>
              <w:left w:val="single" w:color="auto" w:sz="4" w:space="0"/>
              <w:bottom w:val="single" w:color="auto" w:sz="4" w:space="0"/>
              <w:right w:val="single" w:color="auto" w:sz="4" w:space="0"/>
            </w:tcBorders>
            <w:vAlign w:val="center"/>
          </w:tcPr>
          <w:p w14:paraId="701A089F">
            <w:pPr>
              <w:jc w:val="center"/>
              <w:rPr>
                <w:rFonts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规格型号</w:t>
            </w:r>
          </w:p>
        </w:tc>
        <w:tc>
          <w:tcPr>
            <w:tcW w:w="1329" w:type="dxa"/>
            <w:tcBorders>
              <w:top w:val="single" w:color="auto" w:sz="4" w:space="0"/>
              <w:left w:val="single" w:color="auto" w:sz="4" w:space="0"/>
              <w:bottom w:val="single" w:color="auto" w:sz="4" w:space="0"/>
              <w:right w:val="single" w:color="auto" w:sz="4" w:space="0"/>
            </w:tcBorders>
            <w:vAlign w:val="center"/>
          </w:tcPr>
          <w:p w14:paraId="31C9BAC4">
            <w:pPr>
              <w:jc w:val="center"/>
              <w:rPr>
                <w:rFonts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配置参数</w:t>
            </w:r>
          </w:p>
        </w:tc>
        <w:tc>
          <w:tcPr>
            <w:tcW w:w="1331" w:type="dxa"/>
            <w:gridSpan w:val="2"/>
            <w:tcBorders>
              <w:top w:val="single" w:color="auto" w:sz="4" w:space="0"/>
              <w:left w:val="single" w:color="auto" w:sz="4" w:space="0"/>
              <w:bottom w:val="single" w:color="auto" w:sz="4" w:space="0"/>
              <w:right w:val="single" w:color="auto" w:sz="4" w:space="0"/>
            </w:tcBorders>
            <w:vAlign w:val="center"/>
          </w:tcPr>
          <w:p w14:paraId="230EC68C">
            <w:pPr>
              <w:jc w:val="center"/>
              <w:rPr>
                <w:rFonts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生产厂家</w:t>
            </w:r>
          </w:p>
        </w:tc>
        <w:tc>
          <w:tcPr>
            <w:tcW w:w="826" w:type="dxa"/>
            <w:tcBorders>
              <w:top w:val="single" w:color="auto" w:sz="4" w:space="0"/>
              <w:left w:val="single" w:color="auto" w:sz="4" w:space="0"/>
              <w:bottom w:val="single" w:color="auto" w:sz="4" w:space="0"/>
              <w:right w:val="single" w:color="auto" w:sz="4" w:space="0"/>
            </w:tcBorders>
            <w:vAlign w:val="center"/>
          </w:tcPr>
          <w:p w14:paraId="08E3BE6E">
            <w:pPr>
              <w:jc w:val="center"/>
              <w:rPr>
                <w:rFonts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数量</w:t>
            </w:r>
          </w:p>
        </w:tc>
        <w:tc>
          <w:tcPr>
            <w:tcW w:w="826" w:type="dxa"/>
            <w:tcBorders>
              <w:top w:val="single" w:color="auto" w:sz="4" w:space="0"/>
              <w:left w:val="single" w:color="auto" w:sz="4" w:space="0"/>
              <w:bottom w:val="single" w:color="auto" w:sz="4" w:space="0"/>
              <w:right w:val="single" w:color="auto" w:sz="4" w:space="0"/>
            </w:tcBorders>
            <w:vAlign w:val="center"/>
          </w:tcPr>
          <w:p w14:paraId="240D4613">
            <w:pPr>
              <w:jc w:val="center"/>
              <w:rPr>
                <w:rFonts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单价</w:t>
            </w:r>
          </w:p>
        </w:tc>
        <w:tc>
          <w:tcPr>
            <w:tcW w:w="826" w:type="dxa"/>
            <w:tcBorders>
              <w:top w:val="single" w:color="auto" w:sz="4" w:space="0"/>
              <w:left w:val="single" w:color="auto" w:sz="4" w:space="0"/>
              <w:bottom w:val="single" w:color="auto" w:sz="4" w:space="0"/>
              <w:right w:val="single" w:color="auto" w:sz="4" w:space="0"/>
            </w:tcBorders>
            <w:vAlign w:val="center"/>
          </w:tcPr>
          <w:p w14:paraId="2C45FEA7">
            <w:pPr>
              <w:jc w:val="center"/>
              <w:rPr>
                <w:rFonts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税率</w:t>
            </w:r>
          </w:p>
        </w:tc>
        <w:tc>
          <w:tcPr>
            <w:tcW w:w="826" w:type="dxa"/>
            <w:tcBorders>
              <w:top w:val="single" w:color="auto" w:sz="4" w:space="0"/>
              <w:left w:val="single" w:color="auto" w:sz="4" w:space="0"/>
              <w:bottom w:val="single" w:color="auto" w:sz="4" w:space="0"/>
              <w:right w:val="single" w:color="auto" w:sz="4" w:space="0"/>
            </w:tcBorders>
            <w:vAlign w:val="center"/>
          </w:tcPr>
          <w:p w14:paraId="1447058B">
            <w:pPr>
              <w:jc w:val="center"/>
              <w:rPr>
                <w:rFonts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总价</w:t>
            </w:r>
          </w:p>
        </w:tc>
        <w:tc>
          <w:tcPr>
            <w:tcW w:w="830" w:type="dxa"/>
            <w:tcBorders>
              <w:left w:val="single" w:color="auto" w:sz="4" w:space="0"/>
              <w:bottom w:val="single" w:color="auto" w:sz="4" w:space="0"/>
              <w:right w:val="single" w:color="auto" w:sz="4" w:space="0"/>
            </w:tcBorders>
            <w:vAlign w:val="center"/>
          </w:tcPr>
          <w:p w14:paraId="03AC53CE">
            <w:pPr>
              <w:jc w:val="center"/>
              <w:rPr>
                <w:rFonts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备注</w:t>
            </w:r>
          </w:p>
        </w:tc>
      </w:tr>
      <w:tr w14:paraId="512E86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70" w:hRule="atLeast"/>
          <w:jc w:val="center"/>
        </w:trPr>
        <w:tc>
          <w:tcPr>
            <w:tcW w:w="1330" w:type="dxa"/>
            <w:tcBorders>
              <w:top w:val="single" w:color="auto" w:sz="4" w:space="0"/>
              <w:left w:val="single" w:color="auto" w:sz="4" w:space="0"/>
              <w:bottom w:val="single" w:color="auto" w:sz="4" w:space="0"/>
              <w:right w:val="single" w:color="auto" w:sz="4" w:space="0"/>
            </w:tcBorders>
            <w:vAlign w:val="center"/>
          </w:tcPr>
          <w:p w14:paraId="7BA2B2EB">
            <w:pPr>
              <w:rPr>
                <w:rFonts w:ascii="Times New Roman" w:hAnsi="Times New Roman" w:cs="Times New Roman"/>
                <w:color w:val="000000" w:themeColor="text1"/>
                <w:szCs w:val="21"/>
                <w14:textFill>
                  <w14:solidFill>
                    <w14:schemeClr w14:val="tx1"/>
                  </w14:solidFill>
                </w14:textFill>
              </w:rPr>
            </w:pPr>
          </w:p>
        </w:tc>
        <w:tc>
          <w:tcPr>
            <w:tcW w:w="1329" w:type="dxa"/>
            <w:tcBorders>
              <w:top w:val="single" w:color="auto" w:sz="4" w:space="0"/>
              <w:left w:val="single" w:color="auto" w:sz="4" w:space="0"/>
              <w:bottom w:val="single" w:color="auto" w:sz="4" w:space="0"/>
              <w:right w:val="single" w:color="auto" w:sz="4" w:space="0"/>
            </w:tcBorders>
            <w:vAlign w:val="center"/>
          </w:tcPr>
          <w:p w14:paraId="2BB6E279">
            <w:pPr>
              <w:rPr>
                <w:rFonts w:ascii="Times New Roman" w:hAnsi="Times New Roman" w:cs="Times New Roman"/>
                <w:color w:val="000000" w:themeColor="text1"/>
                <w:szCs w:val="21"/>
                <w14:textFill>
                  <w14:solidFill>
                    <w14:schemeClr w14:val="tx1"/>
                  </w14:solidFill>
                </w14:textFill>
              </w:rPr>
            </w:pPr>
          </w:p>
        </w:tc>
        <w:tc>
          <w:tcPr>
            <w:tcW w:w="1329" w:type="dxa"/>
            <w:tcBorders>
              <w:top w:val="single" w:color="auto" w:sz="4" w:space="0"/>
              <w:left w:val="single" w:color="auto" w:sz="4" w:space="0"/>
              <w:bottom w:val="single" w:color="auto" w:sz="4" w:space="0"/>
              <w:right w:val="single" w:color="auto" w:sz="4" w:space="0"/>
            </w:tcBorders>
            <w:vAlign w:val="center"/>
          </w:tcPr>
          <w:p w14:paraId="221B1499">
            <w:pPr>
              <w:rPr>
                <w:rFonts w:ascii="Times New Roman" w:hAnsi="Times New Roman" w:cs="Times New Roman"/>
                <w:color w:val="000000" w:themeColor="text1"/>
                <w:szCs w:val="21"/>
                <w14:textFill>
                  <w14:solidFill>
                    <w14:schemeClr w14:val="tx1"/>
                  </w14:solidFill>
                </w14:textFill>
              </w:rPr>
            </w:pPr>
          </w:p>
        </w:tc>
        <w:tc>
          <w:tcPr>
            <w:tcW w:w="1331" w:type="dxa"/>
            <w:gridSpan w:val="2"/>
            <w:tcBorders>
              <w:top w:val="single" w:color="auto" w:sz="4" w:space="0"/>
              <w:left w:val="single" w:color="auto" w:sz="4" w:space="0"/>
              <w:bottom w:val="single" w:color="auto" w:sz="4" w:space="0"/>
              <w:right w:val="single" w:color="auto" w:sz="4" w:space="0"/>
            </w:tcBorders>
            <w:vAlign w:val="center"/>
          </w:tcPr>
          <w:p w14:paraId="03F206DB">
            <w:pPr>
              <w:rPr>
                <w:rFonts w:ascii="Times New Roman" w:hAnsi="Times New Roman" w:cs="Times New Roman"/>
                <w:color w:val="000000" w:themeColor="text1"/>
                <w:szCs w:val="21"/>
                <w14:textFill>
                  <w14:solidFill>
                    <w14:schemeClr w14:val="tx1"/>
                  </w14:solidFill>
                </w14:textFill>
              </w:rPr>
            </w:pPr>
          </w:p>
        </w:tc>
        <w:tc>
          <w:tcPr>
            <w:tcW w:w="826" w:type="dxa"/>
            <w:tcBorders>
              <w:top w:val="single" w:color="auto" w:sz="4" w:space="0"/>
              <w:left w:val="single" w:color="auto" w:sz="4" w:space="0"/>
              <w:bottom w:val="single" w:color="auto" w:sz="4" w:space="0"/>
              <w:right w:val="single" w:color="auto" w:sz="4" w:space="0"/>
            </w:tcBorders>
            <w:vAlign w:val="center"/>
          </w:tcPr>
          <w:p w14:paraId="76FDA7CB">
            <w:pPr>
              <w:rPr>
                <w:rFonts w:ascii="Times New Roman" w:hAnsi="Times New Roman" w:cs="Times New Roman"/>
                <w:color w:val="000000" w:themeColor="text1"/>
                <w:szCs w:val="21"/>
                <w14:textFill>
                  <w14:solidFill>
                    <w14:schemeClr w14:val="tx1"/>
                  </w14:solidFill>
                </w14:textFill>
              </w:rPr>
            </w:pPr>
          </w:p>
        </w:tc>
        <w:tc>
          <w:tcPr>
            <w:tcW w:w="826" w:type="dxa"/>
            <w:tcBorders>
              <w:top w:val="single" w:color="auto" w:sz="4" w:space="0"/>
              <w:left w:val="single" w:color="auto" w:sz="4" w:space="0"/>
              <w:bottom w:val="single" w:color="auto" w:sz="4" w:space="0"/>
              <w:right w:val="single" w:color="auto" w:sz="4" w:space="0"/>
            </w:tcBorders>
            <w:vAlign w:val="center"/>
          </w:tcPr>
          <w:p w14:paraId="7C1B0556">
            <w:pPr>
              <w:rPr>
                <w:rFonts w:ascii="Times New Roman" w:hAnsi="Times New Roman" w:cs="Times New Roman"/>
                <w:color w:val="000000" w:themeColor="text1"/>
                <w:szCs w:val="21"/>
                <w14:textFill>
                  <w14:solidFill>
                    <w14:schemeClr w14:val="tx1"/>
                  </w14:solidFill>
                </w14:textFill>
              </w:rPr>
            </w:pPr>
          </w:p>
        </w:tc>
        <w:tc>
          <w:tcPr>
            <w:tcW w:w="826" w:type="dxa"/>
            <w:tcBorders>
              <w:top w:val="single" w:color="auto" w:sz="4" w:space="0"/>
              <w:left w:val="single" w:color="auto" w:sz="4" w:space="0"/>
              <w:bottom w:val="single" w:color="auto" w:sz="4" w:space="0"/>
              <w:right w:val="single" w:color="auto" w:sz="4" w:space="0"/>
            </w:tcBorders>
            <w:vAlign w:val="center"/>
          </w:tcPr>
          <w:p w14:paraId="33A8B858">
            <w:pPr>
              <w:rPr>
                <w:rFonts w:ascii="Times New Roman" w:hAnsi="Times New Roman" w:cs="Times New Roman"/>
                <w:color w:val="000000" w:themeColor="text1"/>
                <w:szCs w:val="21"/>
                <w14:textFill>
                  <w14:solidFill>
                    <w14:schemeClr w14:val="tx1"/>
                  </w14:solidFill>
                </w14:textFill>
              </w:rPr>
            </w:pPr>
          </w:p>
        </w:tc>
        <w:tc>
          <w:tcPr>
            <w:tcW w:w="826" w:type="dxa"/>
            <w:tcBorders>
              <w:top w:val="single" w:color="auto" w:sz="4" w:space="0"/>
              <w:left w:val="single" w:color="auto" w:sz="4" w:space="0"/>
              <w:bottom w:val="single" w:color="auto" w:sz="4" w:space="0"/>
              <w:right w:val="single" w:color="auto" w:sz="4" w:space="0"/>
            </w:tcBorders>
            <w:vAlign w:val="center"/>
          </w:tcPr>
          <w:p w14:paraId="6AB4C46F">
            <w:pPr>
              <w:rPr>
                <w:rFonts w:ascii="Times New Roman" w:hAnsi="Times New Roman" w:cs="Times New Roman"/>
                <w:color w:val="000000" w:themeColor="text1"/>
                <w:szCs w:val="21"/>
                <w14:textFill>
                  <w14:solidFill>
                    <w14:schemeClr w14:val="tx1"/>
                  </w14:solidFill>
                </w14:textFill>
              </w:rPr>
            </w:pPr>
          </w:p>
        </w:tc>
        <w:tc>
          <w:tcPr>
            <w:tcW w:w="830" w:type="dxa"/>
            <w:tcBorders>
              <w:top w:val="single" w:color="auto" w:sz="4" w:space="0"/>
              <w:left w:val="single" w:color="auto" w:sz="4" w:space="0"/>
              <w:bottom w:val="single" w:color="auto" w:sz="4" w:space="0"/>
              <w:right w:val="single" w:color="auto" w:sz="4" w:space="0"/>
            </w:tcBorders>
            <w:vAlign w:val="center"/>
          </w:tcPr>
          <w:p w14:paraId="33E0C691">
            <w:pPr>
              <w:rPr>
                <w:rFonts w:ascii="Times New Roman" w:hAnsi="Times New Roman" w:cs="Times New Roman"/>
                <w:color w:val="000000" w:themeColor="text1"/>
                <w:szCs w:val="21"/>
                <w14:textFill>
                  <w14:solidFill>
                    <w14:schemeClr w14:val="tx1"/>
                  </w14:solidFill>
                </w14:textFill>
              </w:rPr>
            </w:pPr>
          </w:p>
        </w:tc>
      </w:tr>
      <w:tr w14:paraId="606858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1330" w:type="dxa"/>
            <w:tcBorders>
              <w:top w:val="single" w:color="auto" w:sz="4" w:space="0"/>
              <w:left w:val="single" w:color="auto" w:sz="4" w:space="0"/>
              <w:bottom w:val="single" w:color="auto" w:sz="4" w:space="0"/>
              <w:right w:val="single" w:color="auto" w:sz="4" w:space="0"/>
            </w:tcBorders>
            <w:vAlign w:val="center"/>
          </w:tcPr>
          <w:p w14:paraId="00E18D2A">
            <w:pPr>
              <w:rPr>
                <w:rFonts w:ascii="Times New Roman" w:hAnsi="Times New Roman" w:cs="Times New Roman"/>
                <w:color w:val="000000" w:themeColor="text1"/>
                <w:szCs w:val="21"/>
                <w14:textFill>
                  <w14:solidFill>
                    <w14:schemeClr w14:val="tx1"/>
                  </w14:solidFill>
                </w14:textFill>
              </w:rPr>
            </w:pPr>
          </w:p>
        </w:tc>
        <w:tc>
          <w:tcPr>
            <w:tcW w:w="1329" w:type="dxa"/>
            <w:tcBorders>
              <w:top w:val="single" w:color="auto" w:sz="4" w:space="0"/>
              <w:left w:val="single" w:color="auto" w:sz="4" w:space="0"/>
              <w:bottom w:val="single" w:color="auto" w:sz="4" w:space="0"/>
              <w:right w:val="single" w:color="auto" w:sz="4" w:space="0"/>
            </w:tcBorders>
            <w:vAlign w:val="center"/>
          </w:tcPr>
          <w:p w14:paraId="67F1290C">
            <w:pPr>
              <w:rPr>
                <w:rFonts w:ascii="Times New Roman" w:hAnsi="Times New Roman" w:cs="Times New Roman"/>
                <w:color w:val="000000" w:themeColor="text1"/>
                <w:szCs w:val="21"/>
                <w14:textFill>
                  <w14:solidFill>
                    <w14:schemeClr w14:val="tx1"/>
                  </w14:solidFill>
                </w14:textFill>
              </w:rPr>
            </w:pPr>
          </w:p>
        </w:tc>
        <w:tc>
          <w:tcPr>
            <w:tcW w:w="1329" w:type="dxa"/>
            <w:tcBorders>
              <w:top w:val="single" w:color="auto" w:sz="4" w:space="0"/>
              <w:left w:val="single" w:color="auto" w:sz="4" w:space="0"/>
              <w:bottom w:val="single" w:color="auto" w:sz="4" w:space="0"/>
              <w:right w:val="single" w:color="auto" w:sz="4" w:space="0"/>
            </w:tcBorders>
            <w:vAlign w:val="center"/>
          </w:tcPr>
          <w:p w14:paraId="29C09252">
            <w:pPr>
              <w:rPr>
                <w:rFonts w:ascii="Times New Roman" w:hAnsi="Times New Roman" w:cs="Times New Roman"/>
                <w:color w:val="000000" w:themeColor="text1"/>
                <w:szCs w:val="21"/>
                <w14:textFill>
                  <w14:solidFill>
                    <w14:schemeClr w14:val="tx1"/>
                  </w14:solidFill>
                </w14:textFill>
              </w:rPr>
            </w:pPr>
          </w:p>
        </w:tc>
        <w:tc>
          <w:tcPr>
            <w:tcW w:w="1331" w:type="dxa"/>
            <w:gridSpan w:val="2"/>
            <w:tcBorders>
              <w:top w:val="single" w:color="auto" w:sz="4" w:space="0"/>
              <w:left w:val="single" w:color="auto" w:sz="4" w:space="0"/>
              <w:bottom w:val="single" w:color="auto" w:sz="4" w:space="0"/>
              <w:right w:val="single" w:color="auto" w:sz="4" w:space="0"/>
            </w:tcBorders>
            <w:vAlign w:val="center"/>
          </w:tcPr>
          <w:p w14:paraId="5BBA1460">
            <w:pPr>
              <w:rPr>
                <w:rFonts w:ascii="Times New Roman" w:hAnsi="Times New Roman" w:cs="Times New Roman"/>
                <w:color w:val="000000" w:themeColor="text1"/>
                <w:szCs w:val="21"/>
                <w14:textFill>
                  <w14:solidFill>
                    <w14:schemeClr w14:val="tx1"/>
                  </w14:solidFill>
                </w14:textFill>
              </w:rPr>
            </w:pPr>
          </w:p>
        </w:tc>
        <w:tc>
          <w:tcPr>
            <w:tcW w:w="826" w:type="dxa"/>
            <w:tcBorders>
              <w:top w:val="single" w:color="auto" w:sz="4" w:space="0"/>
              <w:left w:val="single" w:color="auto" w:sz="4" w:space="0"/>
              <w:bottom w:val="single" w:color="auto" w:sz="4" w:space="0"/>
              <w:right w:val="single" w:color="auto" w:sz="4" w:space="0"/>
            </w:tcBorders>
            <w:vAlign w:val="center"/>
          </w:tcPr>
          <w:p w14:paraId="0CAC96BF">
            <w:pPr>
              <w:rPr>
                <w:rFonts w:ascii="Times New Roman" w:hAnsi="Times New Roman" w:cs="Times New Roman"/>
                <w:color w:val="000000" w:themeColor="text1"/>
                <w:szCs w:val="21"/>
                <w14:textFill>
                  <w14:solidFill>
                    <w14:schemeClr w14:val="tx1"/>
                  </w14:solidFill>
                </w14:textFill>
              </w:rPr>
            </w:pPr>
          </w:p>
        </w:tc>
        <w:tc>
          <w:tcPr>
            <w:tcW w:w="826" w:type="dxa"/>
            <w:tcBorders>
              <w:top w:val="single" w:color="auto" w:sz="4" w:space="0"/>
              <w:left w:val="single" w:color="auto" w:sz="4" w:space="0"/>
              <w:bottom w:val="single" w:color="auto" w:sz="4" w:space="0"/>
              <w:right w:val="single" w:color="auto" w:sz="4" w:space="0"/>
            </w:tcBorders>
            <w:vAlign w:val="center"/>
          </w:tcPr>
          <w:p w14:paraId="541FD821">
            <w:pPr>
              <w:rPr>
                <w:rFonts w:ascii="Times New Roman" w:hAnsi="Times New Roman" w:cs="Times New Roman"/>
                <w:color w:val="000000" w:themeColor="text1"/>
                <w:szCs w:val="21"/>
                <w14:textFill>
                  <w14:solidFill>
                    <w14:schemeClr w14:val="tx1"/>
                  </w14:solidFill>
                </w14:textFill>
              </w:rPr>
            </w:pPr>
          </w:p>
        </w:tc>
        <w:tc>
          <w:tcPr>
            <w:tcW w:w="826" w:type="dxa"/>
            <w:tcBorders>
              <w:top w:val="single" w:color="auto" w:sz="4" w:space="0"/>
              <w:left w:val="single" w:color="auto" w:sz="4" w:space="0"/>
              <w:bottom w:val="single" w:color="auto" w:sz="4" w:space="0"/>
              <w:right w:val="single" w:color="auto" w:sz="4" w:space="0"/>
            </w:tcBorders>
            <w:vAlign w:val="center"/>
          </w:tcPr>
          <w:p w14:paraId="64B35369">
            <w:pPr>
              <w:rPr>
                <w:rFonts w:ascii="Times New Roman" w:hAnsi="Times New Roman" w:cs="Times New Roman"/>
                <w:color w:val="000000" w:themeColor="text1"/>
                <w:szCs w:val="21"/>
                <w14:textFill>
                  <w14:solidFill>
                    <w14:schemeClr w14:val="tx1"/>
                  </w14:solidFill>
                </w14:textFill>
              </w:rPr>
            </w:pPr>
          </w:p>
        </w:tc>
        <w:tc>
          <w:tcPr>
            <w:tcW w:w="826" w:type="dxa"/>
            <w:tcBorders>
              <w:top w:val="single" w:color="auto" w:sz="4" w:space="0"/>
              <w:left w:val="single" w:color="auto" w:sz="4" w:space="0"/>
              <w:bottom w:val="single" w:color="auto" w:sz="4" w:space="0"/>
              <w:right w:val="single" w:color="auto" w:sz="4" w:space="0"/>
            </w:tcBorders>
            <w:vAlign w:val="center"/>
          </w:tcPr>
          <w:p w14:paraId="4E93D2CA">
            <w:pPr>
              <w:rPr>
                <w:rFonts w:ascii="Times New Roman" w:hAnsi="Times New Roman" w:cs="Times New Roman"/>
                <w:color w:val="000000" w:themeColor="text1"/>
                <w:szCs w:val="21"/>
                <w14:textFill>
                  <w14:solidFill>
                    <w14:schemeClr w14:val="tx1"/>
                  </w14:solidFill>
                </w14:textFill>
              </w:rPr>
            </w:pPr>
          </w:p>
        </w:tc>
        <w:tc>
          <w:tcPr>
            <w:tcW w:w="830" w:type="dxa"/>
            <w:tcBorders>
              <w:top w:val="single" w:color="auto" w:sz="4" w:space="0"/>
              <w:left w:val="single" w:color="auto" w:sz="4" w:space="0"/>
              <w:bottom w:val="single" w:color="auto" w:sz="4" w:space="0"/>
              <w:right w:val="single" w:color="auto" w:sz="4" w:space="0"/>
            </w:tcBorders>
            <w:vAlign w:val="center"/>
          </w:tcPr>
          <w:p w14:paraId="180A5B96">
            <w:pPr>
              <w:rPr>
                <w:rFonts w:ascii="Times New Roman" w:hAnsi="Times New Roman" w:cs="Times New Roman"/>
                <w:color w:val="000000" w:themeColor="text1"/>
                <w:szCs w:val="21"/>
                <w14:textFill>
                  <w14:solidFill>
                    <w14:schemeClr w14:val="tx1"/>
                  </w14:solidFill>
                </w14:textFill>
              </w:rPr>
            </w:pPr>
          </w:p>
        </w:tc>
      </w:tr>
      <w:tr w14:paraId="6D693B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76" w:hRule="atLeast"/>
          <w:jc w:val="center"/>
        </w:trPr>
        <w:tc>
          <w:tcPr>
            <w:tcW w:w="1330" w:type="dxa"/>
            <w:tcBorders>
              <w:top w:val="single" w:color="auto" w:sz="4" w:space="0"/>
              <w:left w:val="single" w:color="auto" w:sz="4" w:space="0"/>
              <w:bottom w:val="single" w:color="auto" w:sz="4" w:space="0"/>
              <w:right w:val="single" w:color="auto" w:sz="4" w:space="0"/>
            </w:tcBorders>
            <w:vAlign w:val="center"/>
          </w:tcPr>
          <w:p w14:paraId="1E27F788">
            <w:pPr>
              <w:rPr>
                <w:rFonts w:ascii="Times New Roman" w:hAnsi="Times New Roman" w:cs="Times New Roman"/>
                <w:color w:val="000000" w:themeColor="text1"/>
                <w:szCs w:val="21"/>
                <w14:textFill>
                  <w14:solidFill>
                    <w14:schemeClr w14:val="tx1"/>
                  </w14:solidFill>
                </w14:textFill>
              </w:rPr>
            </w:pPr>
          </w:p>
        </w:tc>
        <w:tc>
          <w:tcPr>
            <w:tcW w:w="1329" w:type="dxa"/>
            <w:tcBorders>
              <w:top w:val="single" w:color="auto" w:sz="4" w:space="0"/>
              <w:left w:val="single" w:color="auto" w:sz="4" w:space="0"/>
              <w:bottom w:val="single" w:color="auto" w:sz="4" w:space="0"/>
              <w:right w:val="single" w:color="auto" w:sz="4" w:space="0"/>
            </w:tcBorders>
            <w:vAlign w:val="center"/>
          </w:tcPr>
          <w:p w14:paraId="7E4FCCCE">
            <w:pPr>
              <w:rPr>
                <w:rFonts w:ascii="Times New Roman" w:hAnsi="Times New Roman" w:cs="Times New Roman"/>
                <w:color w:val="000000" w:themeColor="text1"/>
                <w:szCs w:val="21"/>
                <w14:textFill>
                  <w14:solidFill>
                    <w14:schemeClr w14:val="tx1"/>
                  </w14:solidFill>
                </w14:textFill>
              </w:rPr>
            </w:pPr>
          </w:p>
        </w:tc>
        <w:tc>
          <w:tcPr>
            <w:tcW w:w="1329" w:type="dxa"/>
            <w:tcBorders>
              <w:top w:val="single" w:color="auto" w:sz="4" w:space="0"/>
              <w:left w:val="single" w:color="auto" w:sz="4" w:space="0"/>
              <w:bottom w:val="single" w:color="auto" w:sz="4" w:space="0"/>
              <w:right w:val="single" w:color="auto" w:sz="4" w:space="0"/>
            </w:tcBorders>
            <w:vAlign w:val="center"/>
          </w:tcPr>
          <w:p w14:paraId="56710813">
            <w:pPr>
              <w:rPr>
                <w:rFonts w:ascii="Times New Roman" w:hAnsi="Times New Roman" w:cs="Times New Roman"/>
                <w:color w:val="000000" w:themeColor="text1"/>
                <w:szCs w:val="21"/>
                <w14:textFill>
                  <w14:solidFill>
                    <w14:schemeClr w14:val="tx1"/>
                  </w14:solidFill>
                </w14:textFill>
              </w:rPr>
            </w:pPr>
          </w:p>
        </w:tc>
        <w:tc>
          <w:tcPr>
            <w:tcW w:w="1331" w:type="dxa"/>
            <w:gridSpan w:val="2"/>
            <w:tcBorders>
              <w:top w:val="single" w:color="auto" w:sz="4" w:space="0"/>
              <w:left w:val="single" w:color="auto" w:sz="4" w:space="0"/>
              <w:bottom w:val="single" w:color="auto" w:sz="4" w:space="0"/>
              <w:right w:val="single" w:color="auto" w:sz="4" w:space="0"/>
            </w:tcBorders>
            <w:vAlign w:val="center"/>
          </w:tcPr>
          <w:p w14:paraId="494FA9E0">
            <w:pPr>
              <w:rPr>
                <w:rFonts w:ascii="Times New Roman" w:hAnsi="Times New Roman" w:cs="Times New Roman"/>
                <w:color w:val="000000" w:themeColor="text1"/>
                <w:szCs w:val="21"/>
                <w14:textFill>
                  <w14:solidFill>
                    <w14:schemeClr w14:val="tx1"/>
                  </w14:solidFill>
                </w14:textFill>
              </w:rPr>
            </w:pPr>
          </w:p>
        </w:tc>
        <w:tc>
          <w:tcPr>
            <w:tcW w:w="826" w:type="dxa"/>
            <w:tcBorders>
              <w:top w:val="single" w:color="auto" w:sz="4" w:space="0"/>
              <w:left w:val="single" w:color="auto" w:sz="4" w:space="0"/>
              <w:bottom w:val="single" w:color="auto" w:sz="4" w:space="0"/>
              <w:right w:val="single" w:color="auto" w:sz="4" w:space="0"/>
            </w:tcBorders>
            <w:vAlign w:val="center"/>
          </w:tcPr>
          <w:p w14:paraId="1034E293">
            <w:pPr>
              <w:rPr>
                <w:rFonts w:ascii="Times New Roman" w:hAnsi="Times New Roman" w:cs="Times New Roman"/>
                <w:color w:val="000000" w:themeColor="text1"/>
                <w:szCs w:val="21"/>
                <w14:textFill>
                  <w14:solidFill>
                    <w14:schemeClr w14:val="tx1"/>
                  </w14:solidFill>
                </w14:textFill>
              </w:rPr>
            </w:pPr>
          </w:p>
        </w:tc>
        <w:tc>
          <w:tcPr>
            <w:tcW w:w="826" w:type="dxa"/>
            <w:tcBorders>
              <w:top w:val="single" w:color="auto" w:sz="4" w:space="0"/>
              <w:left w:val="single" w:color="auto" w:sz="4" w:space="0"/>
              <w:bottom w:val="single" w:color="auto" w:sz="4" w:space="0"/>
              <w:right w:val="single" w:color="auto" w:sz="4" w:space="0"/>
            </w:tcBorders>
            <w:vAlign w:val="center"/>
          </w:tcPr>
          <w:p w14:paraId="57E4DFF7">
            <w:pPr>
              <w:rPr>
                <w:rFonts w:ascii="Times New Roman" w:hAnsi="Times New Roman" w:cs="Times New Roman"/>
                <w:color w:val="000000" w:themeColor="text1"/>
                <w:szCs w:val="21"/>
                <w14:textFill>
                  <w14:solidFill>
                    <w14:schemeClr w14:val="tx1"/>
                  </w14:solidFill>
                </w14:textFill>
              </w:rPr>
            </w:pPr>
          </w:p>
        </w:tc>
        <w:tc>
          <w:tcPr>
            <w:tcW w:w="826" w:type="dxa"/>
            <w:tcBorders>
              <w:top w:val="single" w:color="auto" w:sz="4" w:space="0"/>
              <w:left w:val="single" w:color="auto" w:sz="4" w:space="0"/>
              <w:bottom w:val="single" w:color="auto" w:sz="4" w:space="0"/>
              <w:right w:val="single" w:color="auto" w:sz="4" w:space="0"/>
            </w:tcBorders>
            <w:vAlign w:val="center"/>
          </w:tcPr>
          <w:p w14:paraId="0270FA46">
            <w:pPr>
              <w:rPr>
                <w:rFonts w:ascii="Times New Roman" w:hAnsi="Times New Roman" w:cs="Times New Roman"/>
                <w:color w:val="000000" w:themeColor="text1"/>
                <w:szCs w:val="21"/>
                <w14:textFill>
                  <w14:solidFill>
                    <w14:schemeClr w14:val="tx1"/>
                  </w14:solidFill>
                </w14:textFill>
              </w:rPr>
            </w:pPr>
          </w:p>
        </w:tc>
        <w:tc>
          <w:tcPr>
            <w:tcW w:w="826" w:type="dxa"/>
            <w:tcBorders>
              <w:top w:val="single" w:color="auto" w:sz="4" w:space="0"/>
              <w:left w:val="single" w:color="auto" w:sz="4" w:space="0"/>
              <w:bottom w:val="single" w:color="auto" w:sz="4" w:space="0"/>
              <w:right w:val="single" w:color="auto" w:sz="4" w:space="0"/>
            </w:tcBorders>
            <w:vAlign w:val="center"/>
          </w:tcPr>
          <w:p w14:paraId="433E065A">
            <w:pPr>
              <w:rPr>
                <w:rFonts w:ascii="Times New Roman" w:hAnsi="Times New Roman" w:cs="Times New Roman"/>
                <w:color w:val="000000" w:themeColor="text1"/>
                <w:szCs w:val="21"/>
                <w14:textFill>
                  <w14:solidFill>
                    <w14:schemeClr w14:val="tx1"/>
                  </w14:solidFill>
                </w14:textFill>
              </w:rPr>
            </w:pPr>
          </w:p>
        </w:tc>
        <w:tc>
          <w:tcPr>
            <w:tcW w:w="830" w:type="dxa"/>
            <w:tcBorders>
              <w:top w:val="single" w:color="auto" w:sz="4" w:space="0"/>
              <w:left w:val="single" w:color="auto" w:sz="4" w:space="0"/>
              <w:bottom w:val="single" w:color="auto" w:sz="4" w:space="0"/>
              <w:right w:val="single" w:color="auto" w:sz="4" w:space="0"/>
            </w:tcBorders>
            <w:vAlign w:val="center"/>
          </w:tcPr>
          <w:p w14:paraId="3D868A02">
            <w:pPr>
              <w:rPr>
                <w:rFonts w:ascii="Times New Roman" w:hAnsi="Times New Roman" w:cs="Times New Roman"/>
                <w:color w:val="000000" w:themeColor="text1"/>
                <w:szCs w:val="21"/>
                <w14:textFill>
                  <w14:solidFill>
                    <w14:schemeClr w14:val="tx1"/>
                  </w14:solidFill>
                </w14:textFill>
              </w:rPr>
            </w:pPr>
          </w:p>
        </w:tc>
      </w:tr>
      <w:tr w14:paraId="579233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76" w:hRule="atLeast"/>
          <w:jc w:val="center"/>
        </w:trPr>
        <w:tc>
          <w:tcPr>
            <w:tcW w:w="1330" w:type="dxa"/>
            <w:tcBorders>
              <w:top w:val="single" w:color="auto" w:sz="4" w:space="0"/>
              <w:left w:val="single" w:color="auto" w:sz="4" w:space="0"/>
              <w:bottom w:val="single" w:color="auto" w:sz="4" w:space="0"/>
              <w:right w:val="single" w:color="auto" w:sz="4" w:space="0"/>
            </w:tcBorders>
            <w:vAlign w:val="center"/>
          </w:tcPr>
          <w:p w14:paraId="79096BC1">
            <w:pPr>
              <w:rPr>
                <w:rFonts w:ascii="Times New Roman" w:hAnsi="Times New Roman" w:cs="Times New Roman"/>
                <w:color w:val="000000" w:themeColor="text1"/>
                <w:szCs w:val="21"/>
                <w14:textFill>
                  <w14:solidFill>
                    <w14:schemeClr w14:val="tx1"/>
                  </w14:solidFill>
                </w14:textFill>
              </w:rPr>
            </w:pPr>
          </w:p>
        </w:tc>
        <w:tc>
          <w:tcPr>
            <w:tcW w:w="1329" w:type="dxa"/>
            <w:tcBorders>
              <w:top w:val="single" w:color="auto" w:sz="4" w:space="0"/>
              <w:left w:val="single" w:color="auto" w:sz="4" w:space="0"/>
              <w:bottom w:val="single" w:color="auto" w:sz="4" w:space="0"/>
              <w:right w:val="single" w:color="auto" w:sz="4" w:space="0"/>
            </w:tcBorders>
            <w:vAlign w:val="center"/>
          </w:tcPr>
          <w:p w14:paraId="7977B595">
            <w:pPr>
              <w:rPr>
                <w:rFonts w:ascii="Times New Roman" w:hAnsi="Times New Roman" w:cs="Times New Roman"/>
                <w:color w:val="000000" w:themeColor="text1"/>
                <w:szCs w:val="21"/>
                <w14:textFill>
                  <w14:solidFill>
                    <w14:schemeClr w14:val="tx1"/>
                  </w14:solidFill>
                </w14:textFill>
              </w:rPr>
            </w:pPr>
          </w:p>
        </w:tc>
        <w:tc>
          <w:tcPr>
            <w:tcW w:w="1329" w:type="dxa"/>
            <w:tcBorders>
              <w:top w:val="single" w:color="auto" w:sz="4" w:space="0"/>
              <w:left w:val="single" w:color="auto" w:sz="4" w:space="0"/>
              <w:bottom w:val="single" w:color="auto" w:sz="4" w:space="0"/>
              <w:right w:val="single" w:color="auto" w:sz="4" w:space="0"/>
            </w:tcBorders>
            <w:vAlign w:val="center"/>
          </w:tcPr>
          <w:p w14:paraId="007E19AE">
            <w:pPr>
              <w:rPr>
                <w:rFonts w:ascii="Times New Roman" w:hAnsi="Times New Roman" w:cs="Times New Roman"/>
                <w:color w:val="000000" w:themeColor="text1"/>
                <w:szCs w:val="21"/>
                <w14:textFill>
                  <w14:solidFill>
                    <w14:schemeClr w14:val="tx1"/>
                  </w14:solidFill>
                </w14:textFill>
              </w:rPr>
            </w:pPr>
          </w:p>
        </w:tc>
        <w:tc>
          <w:tcPr>
            <w:tcW w:w="1331" w:type="dxa"/>
            <w:gridSpan w:val="2"/>
            <w:tcBorders>
              <w:top w:val="single" w:color="auto" w:sz="4" w:space="0"/>
              <w:left w:val="single" w:color="auto" w:sz="4" w:space="0"/>
              <w:bottom w:val="single" w:color="auto" w:sz="4" w:space="0"/>
              <w:right w:val="single" w:color="auto" w:sz="4" w:space="0"/>
            </w:tcBorders>
            <w:vAlign w:val="center"/>
          </w:tcPr>
          <w:p w14:paraId="00ABE821">
            <w:pPr>
              <w:rPr>
                <w:rFonts w:ascii="Times New Roman" w:hAnsi="Times New Roman" w:cs="Times New Roman"/>
                <w:color w:val="000000" w:themeColor="text1"/>
                <w:szCs w:val="21"/>
                <w14:textFill>
                  <w14:solidFill>
                    <w14:schemeClr w14:val="tx1"/>
                  </w14:solidFill>
                </w14:textFill>
              </w:rPr>
            </w:pPr>
          </w:p>
        </w:tc>
        <w:tc>
          <w:tcPr>
            <w:tcW w:w="826" w:type="dxa"/>
            <w:tcBorders>
              <w:top w:val="single" w:color="auto" w:sz="4" w:space="0"/>
              <w:left w:val="single" w:color="auto" w:sz="4" w:space="0"/>
              <w:bottom w:val="single" w:color="auto" w:sz="4" w:space="0"/>
              <w:right w:val="single" w:color="auto" w:sz="4" w:space="0"/>
            </w:tcBorders>
            <w:vAlign w:val="center"/>
          </w:tcPr>
          <w:p w14:paraId="5DF4EB24">
            <w:pPr>
              <w:rPr>
                <w:rFonts w:ascii="Times New Roman" w:hAnsi="Times New Roman" w:cs="Times New Roman"/>
                <w:color w:val="000000" w:themeColor="text1"/>
                <w:szCs w:val="21"/>
                <w14:textFill>
                  <w14:solidFill>
                    <w14:schemeClr w14:val="tx1"/>
                  </w14:solidFill>
                </w14:textFill>
              </w:rPr>
            </w:pPr>
          </w:p>
        </w:tc>
        <w:tc>
          <w:tcPr>
            <w:tcW w:w="826" w:type="dxa"/>
            <w:tcBorders>
              <w:top w:val="single" w:color="auto" w:sz="4" w:space="0"/>
              <w:left w:val="single" w:color="auto" w:sz="4" w:space="0"/>
              <w:bottom w:val="single" w:color="auto" w:sz="4" w:space="0"/>
              <w:right w:val="single" w:color="auto" w:sz="4" w:space="0"/>
            </w:tcBorders>
            <w:vAlign w:val="center"/>
          </w:tcPr>
          <w:p w14:paraId="17EDAF6A">
            <w:pPr>
              <w:rPr>
                <w:rFonts w:ascii="Times New Roman" w:hAnsi="Times New Roman" w:cs="Times New Roman"/>
                <w:color w:val="000000" w:themeColor="text1"/>
                <w:szCs w:val="21"/>
                <w14:textFill>
                  <w14:solidFill>
                    <w14:schemeClr w14:val="tx1"/>
                  </w14:solidFill>
                </w14:textFill>
              </w:rPr>
            </w:pPr>
          </w:p>
        </w:tc>
        <w:tc>
          <w:tcPr>
            <w:tcW w:w="826" w:type="dxa"/>
            <w:tcBorders>
              <w:top w:val="single" w:color="auto" w:sz="4" w:space="0"/>
              <w:left w:val="single" w:color="auto" w:sz="4" w:space="0"/>
              <w:bottom w:val="single" w:color="auto" w:sz="4" w:space="0"/>
              <w:right w:val="single" w:color="auto" w:sz="4" w:space="0"/>
            </w:tcBorders>
            <w:vAlign w:val="center"/>
          </w:tcPr>
          <w:p w14:paraId="146F2CE2">
            <w:pPr>
              <w:rPr>
                <w:rFonts w:ascii="Times New Roman" w:hAnsi="Times New Roman" w:cs="Times New Roman"/>
                <w:color w:val="000000" w:themeColor="text1"/>
                <w:szCs w:val="21"/>
                <w14:textFill>
                  <w14:solidFill>
                    <w14:schemeClr w14:val="tx1"/>
                  </w14:solidFill>
                </w14:textFill>
              </w:rPr>
            </w:pPr>
          </w:p>
        </w:tc>
        <w:tc>
          <w:tcPr>
            <w:tcW w:w="826" w:type="dxa"/>
            <w:tcBorders>
              <w:top w:val="single" w:color="auto" w:sz="4" w:space="0"/>
              <w:left w:val="single" w:color="auto" w:sz="4" w:space="0"/>
              <w:bottom w:val="single" w:color="auto" w:sz="4" w:space="0"/>
              <w:right w:val="single" w:color="auto" w:sz="4" w:space="0"/>
            </w:tcBorders>
            <w:vAlign w:val="center"/>
          </w:tcPr>
          <w:p w14:paraId="0819967F">
            <w:pPr>
              <w:rPr>
                <w:rFonts w:ascii="Times New Roman" w:hAnsi="Times New Roman" w:cs="Times New Roman"/>
                <w:color w:val="000000" w:themeColor="text1"/>
                <w:szCs w:val="21"/>
                <w14:textFill>
                  <w14:solidFill>
                    <w14:schemeClr w14:val="tx1"/>
                  </w14:solidFill>
                </w14:textFill>
              </w:rPr>
            </w:pPr>
          </w:p>
        </w:tc>
        <w:tc>
          <w:tcPr>
            <w:tcW w:w="830" w:type="dxa"/>
            <w:tcBorders>
              <w:top w:val="single" w:color="auto" w:sz="4" w:space="0"/>
              <w:left w:val="single" w:color="auto" w:sz="4" w:space="0"/>
              <w:bottom w:val="single" w:color="auto" w:sz="4" w:space="0"/>
              <w:right w:val="single" w:color="auto" w:sz="4" w:space="0"/>
            </w:tcBorders>
            <w:vAlign w:val="center"/>
          </w:tcPr>
          <w:p w14:paraId="58AF490C">
            <w:pPr>
              <w:rPr>
                <w:rFonts w:ascii="Times New Roman" w:hAnsi="Times New Roman" w:cs="Times New Roman"/>
                <w:color w:val="000000" w:themeColor="text1"/>
                <w:szCs w:val="21"/>
                <w14:textFill>
                  <w14:solidFill>
                    <w14:schemeClr w14:val="tx1"/>
                  </w14:solidFill>
                </w14:textFill>
              </w:rPr>
            </w:pPr>
          </w:p>
        </w:tc>
      </w:tr>
      <w:tr w14:paraId="0D9181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76" w:hRule="atLeast"/>
          <w:jc w:val="center"/>
        </w:trPr>
        <w:tc>
          <w:tcPr>
            <w:tcW w:w="1330" w:type="dxa"/>
            <w:tcBorders>
              <w:top w:val="single" w:color="auto" w:sz="4" w:space="0"/>
              <w:left w:val="single" w:color="auto" w:sz="4" w:space="0"/>
              <w:bottom w:val="single" w:color="auto" w:sz="4" w:space="0"/>
              <w:right w:val="single" w:color="auto" w:sz="4" w:space="0"/>
            </w:tcBorders>
            <w:vAlign w:val="center"/>
          </w:tcPr>
          <w:p w14:paraId="1EBDE79F">
            <w:pPr>
              <w:rPr>
                <w:rFonts w:ascii="Times New Roman" w:hAnsi="Times New Roman" w:cs="Times New Roman"/>
                <w:color w:val="000000" w:themeColor="text1"/>
                <w:szCs w:val="21"/>
                <w14:textFill>
                  <w14:solidFill>
                    <w14:schemeClr w14:val="tx1"/>
                  </w14:solidFill>
                </w14:textFill>
              </w:rPr>
            </w:pPr>
          </w:p>
        </w:tc>
        <w:tc>
          <w:tcPr>
            <w:tcW w:w="1329" w:type="dxa"/>
            <w:tcBorders>
              <w:top w:val="single" w:color="auto" w:sz="4" w:space="0"/>
              <w:left w:val="single" w:color="auto" w:sz="4" w:space="0"/>
              <w:bottom w:val="single" w:color="auto" w:sz="4" w:space="0"/>
              <w:right w:val="single" w:color="auto" w:sz="4" w:space="0"/>
            </w:tcBorders>
            <w:vAlign w:val="center"/>
          </w:tcPr>
          <w:p w14:paraId="766B8D6F">
            <w:pPr>
              <w:rPr>
                <w:rFonts w:ascii="Times New Roman" w:hAnsi="Times New Roman" w:cs="Times New Roman"/>
                <w:color w:val="000000" w:themeColor="text1"/>
                <w:szCs w:val="21"/>
                <w14:textFill>
                  <w14:solidFill>
                    <w14:schemeClr w14:val="tx1"/>
                  </w14:solidFill>
                </w14:textFill>
              </w:rPr>
            </w:pPr>
          </w:p>
        </w:tc>
        <w:tc>
          <w:tcPr>
            <w:tcW w:w="1329" w:type="dxa"/>
            <w:tcBorders>
              <w:top w:val="single" w:color="auto" w:sz="4" w:space="0"/>
              <w:left w:val="single" w:color="auto" w:sz="4" w:space="0"/>
              <w:bottom w:val="single" w:color="auto" w:sz="4" w:space="0"/>
              <w:right w:val="single" w:color="auto" w:sz="4" w:space="0"/>
            </w:tcBorders>
            <w:vAlign w:val="center"/>
          </w:tcPr>
          <w:p w14:paraId="171DD0E4">
            <w:pPr>
              <w:rPr>
                <w:rFonts w:ascii="Times New Roman" w:hAnsi="Times New Roman" w:cs="Times New Roman"/>
                <w:color w:val="000000" w:themeColor="text1"/>
                <w:szCs w:val="21"/>
                <w14:textFill>
                  <w14:solidFill>
                    <w14:schemeClr w14:val="tx1"/>
                  </w14:solidFill>
                </w14:textFill>
              </w:rPr>
            </w:pPr>
          </w:p>
        </w:tc>
        <w:tc>
          <w:tcPr>
            <w:tcW w:w="1331" w:type="dxa"/>
            <w:gridSpan w:val="2"/>
            <w:tcBorders>
              <w:top w:val="single" w:color="auto" w:sz="4" w:space="0"/>
              <w:left w:val="single" w:color="auto" w:sz="4" w:space="0"/>
              <w:bottom w:val="single" w:color="auto" w:sz="4" w:space="0"/>
              <w:right w:val="single" w:color="auto" w:sz="4" w:space="0"/>
            </w:tcBorders>
            <w:vAlign w:val="center"/>
          </w:tcPr>
          <w:p w14:paraId="6DE36E27">
            <w:pPr>
              <w:rPr>
                <w:rFonts w:ascii="Times New Roman" w:hAnsi="Times New Roman" w:cs="Times New Roman"/>
                <w:color w:val="000000" w:themeColor="text1"/>
                <w:szCs w:val="21"/>
                <w14:textFill>
                  <w14:solidFill>
                    <w14:schemeClr w14:val="tx1"/>
                  </w14:solidFill>
                </w14:textFill>
              </w:rPr>
            </w:pPr>
          </w:p>
        </w:tc>
        <w:tc>
          <w:tcPr>
            <w:tcW w:w="826" w:type="dxa"/>
            <w:tcBorders>
              <w:top w:val="single" w:color="auto" w:sz="4" w:space="0"/>
              <w:left w:val="single" w:color="auto" w:sz="4" w:space="0"/>
              <w:bottom w:val="single" w:color="auto" w:sz="4" w:space="0"/>
              <w:right w:val="single" w:color="auto" w:sz="4" w:space="0"/>
            </w:tcBorders>
            <w:vAlign w:val="center"/>
          </w:tcPr>
          <w:p w14:paraId="4905B844">
            <w:pPr>
              <w:rPr>
                <w:rFonts w:ascii="Times New Roman" w:hAnsi="Times New Roman" w:cs="Times New Roman"/>
                <w:color w:val="000000" w:themeColor="text1"/>
                <w:szCs w:val="21"/>
                <w14:textFill>
                  <w14:solidFill>
                    <w14:schemeClr w14:val="tx1"/>
                  </w14:solidFill>
                </w14:textFill>
              </w:rPr>
            </w:pPr>
          </w:p>
        </w:tc>
        <w:tc>
          <w:tcPr>
            <w:tcW w:w="826" w:type="dxa"/>
            <w:tcBorders>
              <w:top w:val="single" w:color="auto" w:sz="4" w:space="0"/>
              <w:left w:val="single" w:color="auto" w:sz="4" w:space="0"/>
              <w:bottom w:val="single" w:color="auto" w:sz="4" w:space="0"/>
              <w:right w:val="single" w:color="auto" w:sz="4" w:space="0"/>
            </w:tcBorders>
            <w:vAlign w:val="center"/>
          </w:tcPr>
          <w:p w14:paraId="7B7AEA55">
            <w:pPr>
              <w:rPr>
                <w:rFonts w:ascii="Times New Roman" w:hAnsi="Times New Roman" w:cs="Times New Roman"/>
                <w:color w:val="000000" w:themeColor="text1"/>
                <w:szCs w:val="21"/>
                <w14:textFill>
                  <w14:solidFill>
                    <w14:schemeClr w14:val="tx1"/>
                  </w14:solidFill>
                </w14:textFill>
              </w:rPr>
            </w:pPr>
          </w:p>
        </w:tc>
        <w:tc>
          <w:tcPr>
            <w:tcW w:w="826" w:type="dxa"/>
            <w:tcBorders>
              <w:top w:val="single" w:color="auto" w:sz="4" w:space="0"/>
              <w:left w:val="single" w:color="auto" w:sz="4" w:space="0"/>
              <w:bottom w:val="single" w:color="auto" w:sz="4" w:space="0"/>
              <w:right w:val="single" w:color="auto" w:sz="4" w:space="0"/>
            </w:tcBorders>
            <w:vAlign w:val="center"/>
          </w:tcPr>
          <w:p w14:paraId="357CB2B8">
            <w:pPr>
              <w:rPr>
                <w:rFonts w:ascii="Times New Roman" w:hAnsi="Times New Roman" w:cs="Times New Roman"/>
                <w:color w:val="000000" w:themeColor="text1"/>
                <w:szCs w:val="21"/>
                <w14:textFill>
                  <w14:solidFill>
                    <w14:schemeClr w14:val="tx1"/>
                  </w14:solidFill>
                </w14:textFill>
              </w:rPr>
            </w:pPr>
          </w:p>
        </w:tc>
        <w:tc>
          <w:tcPr>
            <w:tcW w:w="826" w:type="dxa"/>
            <w:tcBorders>
              <w:top w:val="single" w:color="auto" w:sz="4" w:space="0"/>
              <w:left w:val="single" w:color="auto" w:sz="4" w:space="0"/>
              <w:bottom w:val="single" w:color="auto" w:sz="4" w:space="0"/>
              <w:right w:val="single" w:color="auto" w:sz="4" w:space="0"/>
            </w:tcBorders>
            <w:vAlign w:val="center"/>
          </w:tcPr>
          <w:p w14:paraId="0BE10FCB">
            <w:pPr>
              <w:rPr>
                <w:rFonts w:ascii="Times New Roman" w:hAnsi="Times New Roman" w:cs="Times New Roman"/>
                <w:color w:val="000000" w:themeColor="text1"/>
                <w:szCs w:val="21"/>
                <w14:textFill>
                  <w14:solidFill>
                    <w14:schemeClr w14:val="tx1"/>
                  </w14:solidFill>
                </w14:textFill>
              </w:rPr>
            </w:pPr>
          </w:p>
        </w:tc>
        <w:tc>
          <w:tcPr>
            <w:tcW w:w="830" w:type="dxa"/>
            <w:tcBorders>
              <w:top w:val="single" w:color="auto" w:sz="4" w:space="0"/>
              <w:left w:val="single" w:color="auto" w:sz="4" w:space="0"/>
              <w:bottom w:val="single" w:color="auto" w:sz="4" w:space="0"/>
              <w:right w:val="single" w:color="auto" w:sz="4" w:space="0"/>
            </w:tcBorders>
            <w:vAlign w:val="center"/>
          </w:tcPr>
          <w:p w14:paraId="54279525">
            <w:pPr>
              <w:rPr>
                <w:rFonts w:ascii="Times New Roman" w:hAnsi="Times New Roman" w:cs="Times New Roman"/>
                <w:color w:val="000000" w:themeColor="text1"/>
                <w:szCs w:val="21"/>
                <w14:textFill>
                  <w14:solidFill>
                    <w14:schemeClr w14:val="tx1"/>
                  </w14:solidFill>
                </w14:textFill>
              </w:rPr>
            </w:pPr>
          </w:p>
        </w:tc>
      </w:tr>
      <w:tr w14:paraId="6FB306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76" w:hRule="atLeast"/>
          <w:jc w:val="center"/>
        </w:trPr>
        <w:tc>
          <w:tcPr>
            <w:tcW w:w="1330" w:type="dxa"/>
            <w:tcBorders>
              <w:top w:val="single" w:color="auto" w:sz="4" w:space="0"/>
              <w:left w:val="single" w:color="auto" w:sz="4" w:space="0"/>
              <w:bottom w:val="single" w:color="auto" w:sz="4" w:space="0"/>
              <w:right w:val="single" w:color="auto" w:sz="4" w:space="0"/>
            </w:tcBorders>
            <w:vAlign w:val="center"/>
          </w:tcPr>
          <w:p w14:paraId="221B925E">
            <w:pPr>
              <w:rPr>
                <w:rFonts w:ascii="Times New Roman" w:hAnsi="Times New Roman" w:cs="Times New Roman"/>
                <w:color w:val="000000" w:themeColor="text1"/>
                <w:szCs w:val="21"/>
                <w14:textFill>
                  <w14:solidFill>
                    <w14:schemeClr w14:val="tx1"/>
                  </w14:solidFill>
                </w14:textFill>
              </w:rPr>
            </w:pPr>
          </w:p>
        </w:tc>
        <w:tc>
          <w:tcPr>
            <w:tcW w:w="1329" w:type="dxa"/>
            <w:tcBorders>
              <w:top w:val="single" w:color="auto" w:sz="4" w:space="0"/>
              <w:left w:val="single" w:color="auto" w:sz="4" w:space="0"/>
              <w:bottom w:val="single" w:color="auto" w:sz="4" w:space="0"/>
              <w:right w:val="single" w:color="auto" w:sz="4" w:space="0"/>
            </w:tcBorders>
            <w:vAlign w:val="center"/>
          </w:tcPr>
          <w:p w14:paraId="16CAD6A0">
            <w:pPr>
              <w:rPr>
                <w:rFonts w:ascii="Times New Roman" w:hAnsi="Times New Roman" w:cs="Times New Roman"/>
                <w:color w:val="000000" w:themeColor="text1"/>
                <w:szCs w:val="21"/>
                <w14:textFill>
                  <w14:solidFill>
                    <w14:schemeClr w14:val="tx1"/>
                  </w14:solidFill>
                </w14:textFill>
              </w:rPr>
            </w:pPr>
          </w:p>
        </w:tc>
        <w:tc>
          <w:tcPr>
            <w:tcW w:w="1329" w:type="dxa"/>
            <w:tcBorders>
              <w:top w:val="single" w:color="auto" w:sz="4" w:space="0"/>
              <w:left w:val="single" w:color="auto" w:sz="4" w:space="0"/>
              <w:bottom w:val="single" w:color="auto" w:sz="4" w:space="0"/>
              <w:right w:val="single" w:color="auto" w:sz="4" w:space="0"/>
            </w:tcBorders>
            <w:vAlign w:val="center"/>
          </w:tcPr>
          <w:p w14:paraId="7E986D9F">
            <w:pPr>
              <w:rPr>
                <w:rFonts w:ascii="Times New Roman" w:hAnsi="Times New Roman" w:cs="Times New Roman"/>
                <w:color w:val="000000" w:themeColor="text1"/>
                <w:szCs w:val="21"/>
                <w14:textFill>
                  <w14:solidFill>
                    <w14:schemeClr w14:val="tx1"/>
                  </w14:solidFill>
                </w14:textFill>
              </w:rPr>
            </w:pPr>
          </w:p>
        </w:tc>
        <w:tc>
          <w:tcPr>
            <w:tcW w:w="1331" w:type="dxa"/>
            <w:gridSpan w:val="2"/>
            <w:tcBorders>
              <w:top w:val="single" w:color="auto" w:sz="4" w:space="0"/>
              <w:left w:val="single" w:color="auto" w:sz="4" w:space="0"/>
              <w:bottom w:val="single" w:color="auto" w:sz="4" w:space="0"/>
              <w:right w:val="single" w:color="auto" w:sz="4" w:space="0"/>
            </w:tcBorders>
            <w:vAlign w:val="center"/>
          </w:tcPr>
          <w:p w14:paraId="38B26120">
            <w:pPr>
              <w:rPr>
                <w:rFonts w:ascii="Times New Roman" w:hAnsi="Times New Roman" w:cs="Times New Roman"/>
                <w:color w:val="000000" w:themeColor="text1"/>
                <w:szCs w:val="21"/>
                <w14:textFill>
                  <w14:solidFill>
                    <w14:schemeClr w14:val="tx1"/>
                  </w14:solidFill>
                </w14:textFill>
              </w:rPr>
            </w:pPr>
          </w:p>
        </w:tc>
        <w:tc>
          <w:tcPr>
            <w:tcW w:w="826" w:type="dxa"/>
            <w:tcBorders>
              <w:top w:val="single" w:color="auto" w:sz="4" w:space="0"/>
              <w:left w:val="single" w:color="auto" w:sz="4" w:space="0"/>
              <w:bottom w:val="single" w:color="auto" w:sz="4" w:space="0"/>
              <w:right w:val="single" w:color="auto" w:sz="4" w:space="0"/>
            </w:tcBorders>
            <w:vAlign w:val="center"/>
          </w:tcPr>
          <w:p w14:paraId="2E44E5EA">
            <w:pPr>
              <w:rPr>
                <w:rFonts w:ascii="Times New Roman" w:hAnsi="Times New Roman" w:cs="Times New Roman"/>
                <w:color w:val="000000" w:themeColor="text1"/>
                <w:szCs w:val="21"/>
                <w14:textFill>
                  <w14:solidFill>
                    <w14:schemeClr w14:val="tx1"/>
                  </w14:solidFill>
                </w14:textFill>
              </w:rPr>
            </w:pPr>
          </w:p>
        </w:tc>
        <w:tc>
          <w:tcPr>
            <w:tcW w:w="826" w:type="dxa"/>
            <w:tcBorders>
              <w:top w:val="single" w:color="auto" w:sz="4" w:space="0"/>
              <w:left w:val="single" w:color="auto" w:sz="4" w:space="0"/>
              <w:bottom w:val="single" w:color="auto" w:sz="4" w:space="0"/>
              <w:right w:val="single" w:color="auto" w:sz="4" w:space="0"/>
            </w:tcBorders>
            <w:vAlign w:val="center"/>
          </w:tcPr>
          <w:p w14:paraId="2434FAF5">
            <w:pPr>
              <w:rPr>
                <w:rFonts w:ascii="Times New Roman" w:hAnsi="Times New Roman" w:cs="Times New Roman"/>
                <w:color w:val="000000" w:themeColor="text1"/>
                <w:szCs w:val="21"/>
                <w14:textFill>
                  <w14:solidFill>
                    <w14:schemeClr w14:val="tx1"/>
                  </w14:solidFill>
                </w14:textFill>
              </w:rPr>
            </w:pPr>
          </w:p>
        </w:tc>
        <w:tc>
          <w:tcPr>
            <w:tcW w:w="826" w:type="dxa"/>
            <w:tcBorders>
              <w:top w:val="single" w:color="auto" w:sz="4" w:space="0"/>
              <w:left w:val="single" w:color="auto" w:sz="4" w:space="0"/>
              <w:bottom w:val="single" w:color="auto" w:sz="4" w:space="0"/>
              <w:right w:val="single" w:color="auto" w:sz="4" w:space="0"/>
            </w:tcBorders>
            <w:vAlign w:val="center"/>
          </w:tcPr>
          <w:p w14:paraId="1F8C3E48">
            <w:pPr>
              <w:rPr>
                <w:rFonts w:ascii="Times New Roman" w:hAnsi="Times New Roman" w:cs="Times New Roman"/>
                <w:color w:val="000000" w:themeColor="text1"/>
                <w:szCs w:val="21"/>
                <w14:textFill>
                  <w14:solidFill>
                    <w14:schemeClr w14:val="tx1"/>
                  </w14:solidFill>
                </w14:textFill>
              </w:rPr>
            </w:pPr>
          </w:p>
        </w:tc>
        <w:tc>
          <w:tcPr>
            <w:tcW w:w="826" w:type="dxa"/>
            <w:tcBorders>
              <w:top w:val="single" w:color="auto" w:sz="4" w:space="0"/>
              <w:left w:val="single" w:color="auto" w:sz="4" w:space="0"/>
              <w:bottom w:val="single" w:color="auto" w:sz="4" w:space="0"/>
              <w:right w:val="single" w:color="auto" w:sz="4" w:space="0"/>
            </w:tcBorders>
            <w:vAlign w:val="center"/>
          </w:tcPr>
          <w:p w14:paraId="623E0940">
            <w:pPr>
              <w:rPr>
                <w:rFonts w:ascii="Times New Roman" w:hAnsi="Times New Roman" w:cs="Times New Roman"/>
                <w:color w:val="000000" w:themeColor="text1"/>
                <w:szCs w:val="21"/>
                <w14:textFill>
                  <w14:solidFill>
                    <w14:schemeClr w14:val="tx1"/>
                  </w14:solidFill>
                </w14:textFill>
              </w:rPr>
            </w:pPr>
          </w:p>
        </w:tc>
        <w:tc>
          <w:tcPr>
            <w:tcW w:w="830" w:type="dxa"/>
            <w:tcBorders>
              <w:top w:val="single" w:color="auto" w:sz="4" w:space="0"/>
              <w:left w:val="single" w:color="auto" w:sz="4" w:space="0"/>
              <w:bottom w:val="single" w:color="auto" w:sz="4" w:space="0"/>
              <w:right w:val="single" w:color="auto" w:sz="4" w:space="0"/>
            </w:tcBorders>
            <w:vAlign w:val="center"/>
          </w:tcPr>
          <w:p w14:paraId="00F5C5D4">
            <w:pPr>
              <w:rPr>
                <w:rFonts w:ascii="Times New Roman" w:hAnsi="Times New Roman" w:cs="Times New Roman"/>
                <w:color w:val="000000" w:themeColor="text1"/>
                <w:szCs w:val="21"/>
                <w14:textFill>
                  <w14:solidFill>
                    <w14:schemeClr w14:val="tx1"/>
                  </w14:solidFill>
                </w14:textFill>
              </w:rPr>
            </w:pPr>
          </w:p>
        </w:tc>
      </w:tr>
      <w:tr w14:paraId="45606F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76" w:hRule="atLeast"/>
          <w:jc w:val="center"/>
        </w:trPr>
        <w:tc>
          <w:tcPr>
            <w:tcW w:w="1330" w:type="dxa"/>
            <w:tcBorders>
              <w:top w:val="single" w:color="auto" w:sz="4" w:space="0"/>
              <w:left w:val="single" w:color="auto" w:sz="4" w:space="0"/>
              <w:bottom w:val="single" w:color="auto" w:sz="4" w:space="0"/>
              <w:right w:val="single" w:color="auto" w:sz="4" w:space="0"/>
            </w:tcBorders>
            <w:vAlign w:val="center"/>
          </w:tcPr>
          <w:p w14:paraId="421B5CF9">
            <w:pPr>
              <w:rPr>
                <w:rFonts w:ascii="Times New Roman" w:hAnsi="Times New Roman" w:cs="Times New Roman"/>
                <w:color w:val="000000" w:themeColor="text1"/>
                <w:szCs w:val="21"/>
                <w14:textFill>
                  <w14:solidFill>
                    <w14:schemeClr w14:val="tx1"/>
                  </w14:solidFill>
                </w14:textFill>
              </w:rPr>
            </w:pPr>
          </w:p>
        </w:tc>
        <w:tc>
          <w:tcPr>
            <w:tcW w:w="1329" w:type="dxa"/>
            <w:tcBorders>
              <w:top w:val="single" w:color="auto" w:sz="4" w:space="0"/>
              <w:left w:val="single" w:color="auto" w:sz="4" w:space="0"/>
              <w:bottom w:val="single" w:color="auto" w:sz="4" w:space="0"/>
              <w:right w:val="single" w:color="auto" w:sz="4" w:space="0"/>
            </w:tcBorders>
            <w:vAlign w:val="center"/>
          </w:tcPr>
          <w:p w14:paraId="2ECA983F">
            <w:pPr>
              <w:rPr>
                <w:rFonts w:ascii="Times New Roman" w:hAnsi="Times New Roman" w:cs="Times New Roman"/>
                <w:color w:val="000000" w:themeColor="text1"/>
                <w:szCs w:val="21"/>
                <w14:textFill>
                  <w14:solidFill>
                    <w14:schemeClr w14:val="tx1"/>
                  </w14:solidFill>
                </w14:textFill>
              </w:rPr>
            </w:pPr>
          </w:p>
        </w:tc>
        <w:tc>
          <w:tcPr>
            <w:tcW w:w="1329" w:type="dxa"/>
            <w:tcBorders>
              <w:top w:val="single" w:color="auto" w:sz="4" w:space="0"/>
              <w:left w:val="single" w:color="auto" w:sz="4" w:space="0"/>
              <w:bottom w:val="single" w:color="auto" w:sz="4" w:space="0"/>
              <w:right w:val="single" w:color="auto" w:sz="4" w:space="0"/>
            </w:tcBorders>
            <w:vAlign w:val="center"/>
          </w:tcPr>
          <w:p w14:paraId="2D3F6FEC">
            <w:pPr>
              <w:rPr>
                <w:rFonts w:ascii="Times New Roman" w:hAnsi="Times New Roman" w:cs="Times New Roman"/>
                <w:color w:val="000000" w:themeColor="text1"/>
                <w:szCs w:val="21"/>
                <w14:textFill>
                  <w14:solidFill>
                    <w14:schemeClr w14:val="tx1"/>
                  </w14:solidFill>
                </w14:textFill>
              </w:rPr>
            </w:pPr>
          </w:p>
        </w:tc>
        <w:tc>
          <w:tcPr>
            <w:tcW w:w="1331" w:type="dxa"/>
            <w:gridSpan w:val="2"/>
            <w:tcBorders>
              <w:top w:val="single" w:color="auto" w:sz="4" w:space="0"/>
              <w:left w:val="single" w:color="auto" w:sz="4" w:space="0"/>
              <w:bottom w:val="single" w:color="auto" w:sz="4" w:space="0"/>
              <w:right w:val="single" w:color="auto" w:sz="4" w:space="0"/>
            </w:tcBorders>
            <w:vAlign w:val="center"/>
          </w:tcPr>
          <w:p w14:paraId="75B56BB3">
            <w:pPr>
              <w:rPr>
                <w:rFonts w:ascii="Times New Roman" w:hAnsi="Times New Roman" w:cs="Times New Roman"/>
                <w:color w:val="000000" w:themeColor="text1"/>
                <w:szCs w:val="21"/>
                <w14:textFill>
                  <w14:solidFill>
                    <w14:schemeClr w14:val="tx1"/>
                  </w14:solidFill>
                </w14:textFill>
              </w:rPr>
            </w:pPr>
          </w:p>
        </w:tc>
        <w:tc>
          <w:tcPr>
            <w:tcW w:w="826" w:type="dxa"/>
            <w:tcBorders>
              <w:top w:val="single" w:color="auto" w:sz="4" w:space="0"/>
              <w:left w:val="single" w:color="auto" w:sz="4" w:space="0"/>
              <w:bottom w:val="single" w:color="auto" w:sz="4" w:space="0"/>
              <w:right w:val="single" w:color="auto" w:sz="4" w:space="0"/>
            </w:tcBorders>
            <w:vAlign w:val="center"/>
          </w:tcPr>
          <w:p w14:paraId="4BF1B05B">
            <w:pPr>
              <w:rPr>
                <w:rFonts w:ascii="Times New Roman" w:hAnsi="Times New Roman" w:cs="Times New Roman"/>
                <w:color w:val="000000" w:themeColor="text1"/>
                <w:szCs w:val="21"/>
                <w14:textFill>
                  <w14:solidFill>
                    <w14:schemeClr w14:val="tx1"/>
                  </w14:solidFill>
                </w14:textFill>
              </w:rPr>
            </w:pPr>
          </w:p>
        </w:tc>
        <w:tc>
          <w:tcPr>
            <w:tcW w:w="826" w:type="dxa"/>
            <w:tcBorders>
              <w:top w:val="single" w:color="auto" w:sz="4" w:space="0"/>
              <w:left w:val="single" w:color="auto" w:sz="4" w:space="0"/>
              <w:bottom w:val="single" w:color="auto" w:sz="4" w:space="0"/>
              <w:right w:val="single" w:color="auto" w:sz="4" w:space="0"/>
            </w:tcBorders>
            <w:vAlign w:val="center"/>
          </w:tcPr>
          <w:p w14:paraId="1207767E">
            <w:pPr>
              <w:rPr>
                <w:rFonts w:ascii="Times New Roman" w:hAnsi="Times New Roman" w:cs="Times New Roman"/>
                <w:color w:val="000000" w:themeColor="text1"/>
                <w:szCs w:val="21"/>
                <w14:textFill>
                  <w14:solidFill>
                    <w14:schemeClr w14:val="tx1"/>
                  </w14:solidFill>
                </w14:textFill>
              </w:rPr>
            </w:pPr>
          </w:p>
        </w:tc>
        <w:tc>
          <w:tcPr>
            <w:tcW w:w="826" w:type="dxa"/>
            <w:tcBorders>
              <w:top w:val="single" w:color="auto" w:sz="4" w:space="0"/>
              <w:left w:val="single" w:color="auto" w:sz="4" w:space="0"/>
              <w:bottom w:val="single" w:color="auto" w:sz="4" w:space="0"/>
              <w:right w:val="single" w:color="auto" w:sz="4" w:space="0"/>
            </w:tcBorders>
            <w:vAlign w:val="center"/>
          </w:tcPr>
          <w:p w14:paraId="435974AC">
            <w:pPr>
              <w:rPr>
                <w:rFonts w:ascii="Times New Roman" w:hAnsi="Times New Roman" w:cs="Times New Roman"/>
                <w:color w:val="000000" w:themeColor="text1"/>
                <w:szCs w:val="21"/>
                <w14:textFill>
                  <w14:solidFill>
                    <w14:schemeClr w14:val="tx1"/>
                  </w14:solidFill>
                </w14:textFill>
              </w:rPr>
            </w:pPr>
          </w:p>
        </w:tc>
        <w:tc>
          <w:tcPr>
            <w:tcW w:w="826" w:type="dxa"/>
            <w:tcBorders>
              <w:top w:val="single" w:color="auto" w:sz="4" w:space="0"/>
              <w:left w:val="single" w:color="auto" w:sz="4" w:space="0"/>
              <w:bottom w:val="single" w:color="auto" w:sz="4" w:space="0"/>
              <w:right w:val="single" w:color="auto" w:sz="4" w:space="0"/>
            </w:tcBorders>
            <w:vAlign w:val="center"/>
          </w:tcPr>
          <w:p w14:paraId="59DDCD77">
            <w:pPr>
              <w:rPr>
                <w:rFonts w:ascii="Times New Roman" w:hAnsi="Times New Roman" w:cs="Times New Roman"/>
                <w:color w:val="000000" w:themeColor="text1"/>
                <w:szCs w:val="21"/>
                <w14:textFill>
                  <w14:solidFill>
                    <w14:schemeClr w14:val="tx1"/>
                  </w14:solidFill>
                </w14:textFill>
              </w:rPr>
            </w:pPr>
          </w:p>
        </w:tc>
        <w:tc>
          <w:tcPr>
            <w:tcW w:w="830" w:type="dxa"/>
            <w:tcBorders>
              <w:top w:val="single" w:color="auto" w:sz="4" w:space="0"/>
              <w:left w:val="single" w:color="auto" w:sz="4" w:space="0"/>
              <w:bottom w:val="single" w:color="auto" w:sz="4" w:space="0"/>
              <w:right w:val="single" w:color="auto" w:sz="4" w:space="0"/>
            </w:tcBorders>
            <w:vAlign w:val="center"/>
          </w:tcPr>
          <w:p w14:paraId="2D20260C">
            <w:pPr>
              <w:rPr>
                <w:rFonts w:ascii="Times New Roman" w:hAnsi="Times New Roman" w:cs="Times New Roman"/>
                <w:color w:val="000000" w:themeColor="text1"/>
                <w:szCs w:val="21"/>
                <w14:textFill>
                  <w14:solidFill>
                    <w14:schemeClr w14:val="tx1"/>
                  </w14:solidFill>
                </w14:textFill>
              </w:rPr>
            </w:pPr>
          </w:p>
        </w:tc>
      </w:tr>
      <w:tr w14:paraId="4E526E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72" w:hRule="atLeast"/>
          <w:jc w:val="center"/>
        </w:trPr>
        <w:tc>
          <w:tcPr>
            <w:tcW w:w="1330" w:type="dxa"/>
            <w:tcBorders>
              <w:top w:val="single" w:color="auto" w:sz="4" w:space="0"/>
              <w:left w:val="single" w:color="auto" w:sz="4" w:space="0"/>
              <w:bottom w:val="single" w:color="auto" w:sz="4" w:space="0"/>
              <w:right w:val="single" w:color="auto" w:sz="4" w:space="0"/>
            </w:tcBorders>
            <w:vAlign w:val="center"/>
          </w:tcPr>
          <w:p w14:paraId="1FAA21F6">
            <w:pPr>
              <w:rPr>
                <w:rFonts w:ascii="Times New Roman" w:hAnsi="Times New Roman" w:cs="Times New Roman"/>
                <w:color w:val="000000" w:themeColor="text1"/>
                <w:szCs w:val="21"/>
                <w14:textFill>
                  <w14:solidFill>
                    <w14:schemeClr w14:val="tx1"/>
                  </w14:solidFill>
                </w14:textFill>
              </w:rPr>
            </w:pPr>
          </w:p>
        </w:tc>
        <w:tc>
          <w:tcPr>
            <w:tcW w:w="1329" w:type="dxa"/>
            <w:tcBorders>
              <w:top w:val="single" w:color="auto" w:sz="4" w:space="0"/>
              <w:left w:val="single" w:color="auto" w:sz="4" w:space="0"/>
              <w:bottom w:val="single" w:color="auto" w:sz="4" w:space="0"/>
              <w:right w:val="single" w:color="auto" w:sz="4" w:space="0"/>
            </w:tcBorders>
            <w:vAlign w:val="center"/>
          </w:tcPr>
          <w:p w14:paraId="5CE59E7A">
            <w:pPr>
              <w:rPr>
                <w:rFonts w:ascii="Times New Roman" w:hAnsi="Times New Roman" w:cs="Times New Roman"/>
                <w:color w:val="000000" w:themeColor="text1"/>
                <w:szCs w:val="21"/>
                <w14:textFill>
                  <w14:solidFill>
                    <w14:schemeClr w14:val="tx1"/>
                  </w14:solidFill>
                </w14:textFill>
              </w:rPr>
            </w:pPr>
          </w:p>
        </w:tc>
        <w:tc>
          <w:tcPr>
            <w:tcW w:w="1329" w:type="dxa"/>
            <w:tcBorders>
              <w:top w:val="single" w:color="auto" w:sz="4" w:space="0"/>
              <w:left w:val="single" w:color="auto" w:sz="4" w:space="0"/>
              <w:bottom w:val="single" w:color="auto" w:sz="4" w:space="0"/>
              <w:right w:val="single" w:color="auto" w:sz="4" w:space="0"/>
            </w:tcBorders>
            <w:vAlign w:val="center"/>
          </w:tcPr>
          <w:p w14:paraId="6FFD8C6D">
            <w:pPr>
              <w:rPr>
                <w:rFonts w:ascii="Times New Roman" w:hAnsi="Times New Roman" w:cs="Times New Roman"/>
                <w:color w:val="000000" w:themeColor="text1"/>
                <w:szCs w:val="21"/>
                <w14:textFill>
                  <w14:solidFill>
                    <w14:schemeClr w14:val="tx1"/>
                  </w14:solidFill>
                </w14:textFill>
              </w:rPr>
            </w:pPr>
          </w:p>
        </w:tc>
        <w:tc>
          <w:tcPr>
            <w:tcW w:w="1331" w:type="dxa"/>
            <w:gridSpan w:val="2"/>
            <w:tcBorders>
              <w:top w:val="single" w:color="auto" w:sz="4" w:space="0"/>
              <w:left w:val="single" w:color="auto" w:sz="4" w:space="0"/>
              <w:bottom w:val="single" w:color="auto" w:sz="4" w:space="0"/>
              <w:right w:val="single" w:color="auto" w:sz="4" w:space="0"/>
            </w:tcBorders>
            <w:vAlign w:val="center"/>
          </w:tcPr>
          <w:p w14:paraId="6D013731">
            <w:pPr>
              <w:rPr>
                <w:rFonts w:ascii="Times New Roman" w:hAnsi="Times New Roman" w:cs="Times New Roman"/>
                <w:color w:val="000000" w:themeColor="text1"/>
                <w:szCs w:val="21"/>
                <w14:textFill>
                  <w14:solidFill>
                    <w14:schemeClr w14:val="tx1"/>
                  </w14:solidFill>
                </w14:textFill>
              </w:rPr>
            </w:pPr>
          </w:p>
        </w:tc>
        <w:tc>
          <w:tcPr>
            <w:tcW w:w="826" w:type="dxa"/>
            <w:tcBorders>
              <w:top w:val="single" w:color="auto" w:sz="4" w:space="0"/>
              <w:left w:val="single" w:color="auto" w:sz="4" w:space="0"/>
              <w:bottom w:val="single" w:color="auto" w:sz="4" w:space="0"/>
              <w:right w:val="single" w:color="auto" w:sz="4" w:space="0"/>
            </w:tcBorders>
            <w:vAlign w:val="center"/>
          </w:tcPr>
          <w:p w14:paraId="62AF4DE8">
            <w:pPr>
              <w:rPr>
                <w:rFonts w:ascii="Times New Roman" w:hAnsi="Times New Roman" w:cs="Times New Roman"/>
                <w:color w:val="000000" w:themeColor="text1"/>
                <w:szCs w:val="21"/>
                <w14:textFill>
                  <w14:solidFill>
                    <w14:schemeClr w14:val="tx1"/>
                  </w14:solidFill>
                </w14:textFill>
              </w:rPr>
            </w:pPr>
          </w:p>
        </w:tc>
        <w:tc>
          <w:tcPr>
            <w:tcW w:w="826" w:type="dxa"/>
            <w:tcBorders>
              <w:top w:val="single" w:color="auto" w:sz="4" w:space="0"/>
              <w:left w:val="single" w:color="auto" w:sz="4" w:space="0"/>
              <w:bottom w:val="single" w:color="auto" w:sz="4" w:space="0"/>
              <w:right w:val="single" w:color="auto" w:sz="4" w:space="0"/>
            </w:tcBorders>
            <w:vAlign w:val="center"/>
          </w:tcPr>
          <w:p w14:paraId="7A4CA7E7">
            <w:pPr>
              <w:rPr>
                <w:rFonts w:ascii="Times New Roman" w:hAnsi="Times New Roman" w:cs="Times New Roman"/>
                <w:color w:val="000000" w:themeColor="text1"/>
                <w:szCs w:val="21"/>
                <w14:textFill>
                  <w14:solidFill>
                    <w14:schemeClr w14:val="tx1"/>
                  </w14:solidFill>
                </w14:textFill>
              </w:rPr>
            </w:pPr>
          </w:p>
        </w:tc>
        <w:tc>
          <w:tcPr>
            <w:tcW w:w="826" w:type="dxa"/>
            <w:tcBorders>
              <w:top w:val="single" w:color="auto" w:sz="4" w:space="0"/>
              <w:left w:val="single" w:color="auto" w:sz="4" w:space="0"/>
              <w:bottom w:val="single" w:color="auto" w:sz="4" w:space="0"/>
              <w:right w:val="single" w:color="auto" w:sz="4" w:space="0"/>
            </w:tcBorders>
            <w:vAlign w:val="center"/>
          </w:tcPr>
          <w:p w14:paraId="69D234F6">
            <w:pPr>
              <w:rPr>
                <w:rFonts w:ascii="Times New Roman" w:hAnsi="Times New Roman" w:cs="Times New Roman"/>
                <w:color w:val="000000" w:themeColor="text1"/>
                <w:szCs w:val="21"/>
                <w14:textFill>
                  <w14:solidFill>
                    <w14:schemeClr w14:val="tx1"/>
                  </w14:solidFill>
                </w14:textFill>
              </w:rPr>
            </w:pPr>
          </w:p>
        </w:tc>
        <w:tc>
          <w:tcPr>
            <w:tcW w:w="826" w:type="dxa"/>
            <w:tcBorders>
              <w:top w:val="single" w:color="auto" w:sz="4" w:space="0"/>
              <w:left w:val="single" w:color="auto" w:sz="4" w:space="0"/>
              <w:bottom w:val="single" w:color="auto" w:sz="4" w:space="0"/>
              <w:right w:val="single" w:color="auto" w:sz="4" w:space="0"/>
            </w:tcBorders>
            <w:vAlign w:val="center"/>
          </w:tcPr>
          <w:p w14:paraId="4046BEDF">
            <w:pPr>
              <w:rPr>
                <w:rFonts w:ascii="Times New Roman" w:hAnsi="Times New Roman" w:cs="Times New Roman"/>
                <w:color w:val="000000" w:themeColor="text1"/>
                <w:szCs w:val="21"/>
                <w14:textFill>
                  <w14:solidFill>
                    <w14:schemeClr w14:val="tx1"/>
                  </w14:solidFill>
                </w14:textFill>
              </w:rPr>
            </w:pPr>
          </w:p>
        </w:tc>
        <w:tc>
          <w:tcPr>
            <w:tcW w:w="830" w:type="dxa"/>
            <w:tcBorders>
              <w:top w:val="single" w:color="auto" w:sz="4" w:space="0"/>
              <w:left w:val="single" w:color="auto" w:sz="4" w:space="0"/>
              <w:bottom w:val="single" w:color="auto" w:sz="4" w:space="0"/>
              <w:right w:val="single" w:color="auto" w:sz="4" w:space="0"/>
            </w:tcBorders>
            <w:vAlign w:val="center"/>
          </w:tcPr>
          <w:p w14:paraId="7515545D">
            <w:pPr>
              <w:rPr>
                <w:rFonts w:ascii="Times New Roman" w:hAnsi="Times New Roman" w:cs="Times New Roman"/>
                <w:color w:val="000000" w:themeColor="text1"/>
                <w:szCs w:val="21"/>
                <w14:textFill>
                  <w14:solidFill>
                    <w14:schemeClr w14:val="tx1"/>
                  </w14:solidFill>
                </w14:textFill>
              </w:rPr>
            </w:pPr>
          </w:p>
        </w:tc>
      </w:tr>
      <w:tr w14:paraId="382562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0" w:hRule="atLeast"/>
          <w:jc w:val="center"/>
        </w:trPr>
        <w:tc>
          <w:tcPr>
            <w:tcW w:w="4727" w:type="dxa"/>
            <w:gridSpan w:val="4"/>
            <w:tcBorders>
              <w:top w:val="single" w:color="auto" w:sz="4" w:space="0"/>
              <w:left w:val="single" w:color="auto" w:sz="4" w:space="0"/>
              <w:bottom w:val="single" w:color="auto" w:sz="4" w:space="0"/>
              <w:right w:val="single" w:color="auto" w:sz="4" w:space="0"/>
            </w:tcBorders>
            <w:vAlign w:val="center"/>
          </w:tcPr>
          <w:p w14:paraId="4B63CC3A">
            <w:pPr>
              <w:jc w:val="center"/>
              <w:rPr>
                <w:rFonts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合计</w:t>
            </w:r>
          </w:p>
        </w:tc>
        <w:tc>
          <w:tcPr>
            <w:tcW w:w="4726" w:type="dxa"/>
            <w:gridSpan w:val="6"/>
            <w:tcBorders>
              <w:top w:val="single" w:color="auto" w:sz="4" w:space="0"/>
              <w:left w:val="single" w:color="auto" w:sz="4" w:space="0"/>
              <w:bottom w:val="single" w:color="auto" w:sz="4" w:space="0"/>
              <w:right w:val="single" w:color="auto" w:sz="4" w:space="0"/>
            </w:tcBorders>
            <w:vAlign w:val="center"/>
          </w:tcPr>
          <w:p w14:paraId="4E9EAB7B">
            <w:pPr>
              <w:rPr>
                <w:rFonts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大写（小写）</w:t>
            </w:r>
          </w:p>
        </w:tc>
      </w:tr>
    </w:tbl>
    <w:p w14:paraId="0D3DDA26">
      <w:pPr>
        <w:shd w:val="clear" w:color="auto" w:fill="FFFFFF"/>
        <w:snapToGrid w:val="0"/>
        <w:spacing w:line="360" w:lineRule="auto"/>
        <w:ind w:firstLine="3255" w:firstLineChars="1550"/>
        <w:rPr>
          <w:rFonts w:ascii="Times New Roman" w:hAnsi="Times New Roman" w:cs="Times New Roman"/>
          <w:color w:val="000000" w:themeColor="text1"/>
          <w:szCs w:val="21"/>
          <w14:textFill>
            <w14:solidFill>
              <w14:schemeClr w14:val="tx1"/>
            </w14:solidFill>
          </w14:textFill>
        </w:rPr>
      </w:pPr>
    </w:p>
    <w:p w14:paraId="18E6A286">
      <w:pPr>
        <w:adjustRightInd w:val="0"/>
        <w:snapToGrid w:val="0"/>
        <w:spacing w:line="360" w:lineRule="auto"/>
        <w:jc w:val="righ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法定代表人（授权代表）签字：</w:t>
      </w:r>
      <w:r>
        <w:rPr>
          <w:rFonts w:hint="eastAsia"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u w:val="single"/>
          <w14:textFill>
            <w14:solidFill>
              <w14:schemeClr w14:val="tx1"/>
            </w14:solidFill>
          </w14:textFill>
        </w:rPr>
        <w:t xml:space="preserve">              </w:t>
      </w:r>
    </w:p>
    <w:p w14:paraId="62F5A36D">
      <w:pPr>
        <w:adjustRightInd w:val="0"/>
        <w:snapToGrid w:val="0"/>
        <w:spacing w:line="360" w:lineRule="auto"/>
        <w:ind w:firstLine="6195" w:firstLineChars="295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日期：</w:t>
      </w:r>
      <w:r>
        <w:rPr>
          <w:rFonts w:hint="eastAsia"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年</w:t>
      </w:r>
      <w:r>
        <w:rPr>
          <w:rFonts w:hint="eastAsia"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月</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日</w:t>
      </w:r>
    </w:p>
    <w:p w14:paraId="048B8802">
      <w:pPr>
        <w:shd w:val="clear" w:color="auto" w:fill="FFFFFF"/>
        <w:snapToGrid w:val="0"/>
        <w:rPr>
          <w:rFonts w:ascii="Times New Roman" w:hAnsi="Times New Roman" w:cs="Times New Roman"/>
          <w:color w:val="000000" w:themeColor="text1"/>
          <w:szCs w:val="21"/>
          <w14:textFill>
            <w14:solidFill>
              <w14:schemeClr w14:val="tx1"/>
            </w14:solidFill>
          </w14:textFill>
        </w:rPr>
      </w:pPr>
    </w:p>
    <w:p w14:paraId="77ED6E6B">
      <w:pPr>
        <w:shd w:val="clear" w:color="auto" w:fill="FFFFFF"/>
        <w:snapToGrid w:val="0"/>
        <w:spacing w:line="360" w:lineRule="exact"/>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注：</w:t>
      </w:r>
    </w:p>
    <w:p w14:paraId="6AB1F9D3">
      <w:pPr>
        <w:shd w:val="clear" w:color="auto" w:fill="FFFFFF"/>
        <w:snapToGrid w:val="0"/>
        <w:spacing w:line="360" w:lineRule="exact"/>
        <w:ind w:firstLine="480"/>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1、单价和总价均应包括全部</w:t>
      </w:r>
      <w:r>
        <w:rPr>
          <w:rFonts w:hint="eastAsia" w:ascii="Times New Roman" w:hAnsi="Times New Roman" w:cs="Times New Roman"/>
          <w:color w:val="000000" w:themeColor="text1"/>
          <w:szCs w:val="21"/>
          <w14:textFill>
            <w14:solidFill>
              <w14:schemeClr w14:val="tx1"/>
            </w14:solidFill>
          </w14:textFill>
        </w:rPr>
        <w:t>货物</w:t>
      </w:r>
      <w:r>
        <w:rPr>
          <w:rFonts w:ascii="Times New Roman" w:hAnsi="Times New Roman" w:cs="Times New Roman"/>
          <w:color w:val="000000" w:themeColor="text1"/>
          <w:szCs w:val="21"/>
          <w14:textFill>
            <w14:solidFill>
              <w14:schemeClr w14:val="tx1"/>
            </w14:solidFill>
          </w14:textFill>
        </w:rPr>
        <w:t>价、包装费、运输、安装、调试、培训、技术服务、必不可少的部件、标准备件、专用工具等费用，以及已支付或将支付的营业税和其它税费；</w:t>
      </w:r>
    </w:p>
    <w:p w14:paraId="48CA16B4">
      <w:pPr>
        <w:shd w:val="clear" w:color="auto" w:fill="FFFFFF"/>
        <w:snapToGrid w:val="0"/>
        <w:spacing w:line="360" w:lineRule="exact"/>
        <w:ind w:firstLine="480"/>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2、如果单价和总价不符时，以单价为准；</w:t>
      </w:r>
    </w:p>
    <w:p w14:paraId="0BD5C552">
      <w:pPr>
        <w:shd w:val="clear" w:color="auto" w:fill="FFFFFF"/>
        <w:snapToGrid w:val="0"/>
        <w:spacing w:line="360" w:lineRule="exact"/>
        <w:ind w:firstLine="480"/>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3、请提供本采购文件要求</w:t>
      </w:r>
      <w:r>
        <w:rPr>
          <w:rFonts w:hint="eastAsia" w:ascii="Times New Roman" w:hAnsi="Times New Roman" w:cs="Times New Roman"/>
          <w:color w:val="000000" w:themeColor="text1"/>
          <w:szCs w:val="21"/>
          <w14:textFill>
            <w14:solidFill>
              <w14:schemeClr w14:val="tx1"/>
            </w14:solidFill>
          </w14:textFill>
        </w:rPr>
        <w:t>货物</w:t>
      </w:r>
      <w:r>
        <w:rPr>
          <w:rFonts w:ascii="Times New Roman" w:hAnsi="Times New Roman" w:cs="Times New Roman"/>
          <w:color w:val="000000" w:themeColor="text1"/>
          <w:szCs w:val="21"/>
          <w14:textFill>
            <w14:solidFill>
              <w14:schemeClr w14:val="tx1"/>
            </w14:solidFill>
          </w14:textFill>
        </w:rPr>
        <w:t>详细的配置清单及分项报价，包括标准件及选购件；</w:t>
      </w:r>
    </w:p>
    <w:p w14:paraId="22FF8AAC">
      <w:pPr>
        <w:shd w:val="clear" w:color="auto" w:fill="FFFFFF"/>
        <w:snapToGrid w:val="0"/>
        <w:spacing w:line="360" w:lineRule="exact"/>
        <w:ind w:firstLine="480"/>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4、定型产品须在表中标明所提供的</w:t>
      </w:r>
      <w:r>
        <w:rPr>
          <w:rFonts w:hint="eastAsia" w:ascii="Times New Roman" w:hAnsi="Times New Roman" w:cs="Times New Roman"/>
          <w:color w:val="000000" w:themeColor="text1"/>
          <w:szCs w:val="21"/>
          <w14:textFill>
            <w14:solidFill>
              <w14:schemeClr w14:val="tx1"/>
            </w14:solidFill>
          </w14:textFill>
        </w:rPr>
        <w:t>货物</w:t>
      </w:r>
      <w:r>
        <w:rPr>
          <w:rFonts w:ascii="Times New Roman" w:hAnsi="Times New Roman" w:cs="Times New Roman"/>
          <w:color w:val="000000" w:themeColor="text1"/>
          <w:szCs w:val="21"/>
          <w14:textFill>
            <w14:solidFill>
              <w14:schemeClr w14:val="tx1"/>
            </w14:solidFill>
          </w14:textFill>
        </w:rPr>
        <w:t>品牌、规格型号及原产地；加工定制产品需在表中标明主要部件的名称、型号及原产地。</w:t>
      </w:r>
    </w:p>
    <w:p w14:paraId="40779E95">
      <w:pPr>
        <w:shd w:val="clear" w:color="auto" w:fill="FFFFFF"/>
        <w:snapToGrid w:val="0"/>
        <w:spacing w:line="360" w:lineRule="exact"/>
        <w:ind w:firstLine="480"/>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5、本项目为货物类采购，投标人所填写的税率应当按照国家标准的货物税率进行填写。</w:t>
      </w:r>
    </w:p>
    <w:p w14:paraId="480B9983">
      <w:pPr>
        <w:adjustRightInd w:val="0"/>
        <w:snapToGrid w:val="0"/>
        <w:spacing w:line="440" w:lineRule="exact"/>
        <w:ind w:firstLine="420" w:firstLineChars="200"/>
        <w:rPr>
          <w:rFonts w:ascii="Times New Roman" w:hAnsi="Times New Roman" w:cs="Times New Roman"/>
          <w:color w:val="000000" w:themeColor="text1"/>
          <w:szCs w:val="21"/>
          <w14:textFill>
            <w14:solidFill>
              <w14:schemeClr w14:val="tx1"/>
            </w14:solidFill>
          </w14:textFill>
        </w:rPr>
      </w:pPr>
    </w:p>
    <w:p w14:paraId="000D1933">
      <w:pPr>
        <w:jc w:val="left"/>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br w:type="page"/>
      </w:r>
    </w:p>
    <w:p w14:paraId="118C6E81">
      <w:pPr>
        <w:tabs>
          <w:tab w:val="left" w:pos="576"/>
        </w:tabs>
        <w:spacing w:before="156" w:beforeLines="50" w:after="156" w:afterLines="50" w:line="360" w:lineRule="auto"/>
        <w:outlineLvl w:val="2"/>
        <w:rPr>
          <w:rFonts w:ascii="Times New Roman" w:hAnsi="Times New Roman" w:eastAsia="黑体" w:cs="Times New Roman"/>
          <w:color w:val="000000" w:themeColor="text1"/>
          <w:sz w:val="24"/>
          <w:szCs w:val="24"/>
          <w:u w:color="000000"/>
          <w14:textFill>
            <w14:solidFill>
              <w14:schemeClr w14:val="tx1"/>
            </w14:solidFill>
          </w14:textFill>
        </w:rPr>
      </w:pPr>
      <w:bookmarkStart w:id="70" w:name="_Toc55"/>
      <w:bookmarkStart w:id="71" w:name="_Toc415494580"/>
      <w:bookmarkStart w:id="72" w:name="_Toc448069993"/>
      <w:bookmarkStart w:id="73" w:name="_Toc11859493"/>
      <w:r>
        <w:rPr>
          <w:rFonts w:ascii="Times New Roman" w:hAnsi="Times New Roman" w:eastAsia="黑体" w:cs="Times New Roman"/>
          <w:color w:val="000000" w:themeColor="text1"/>
          <w:sz w:val="24"/>
          <w:szCs w:val="24"/>
          <w:u w:color="000000"/>
          <w14:textFill>
            <w14:solidFill>
              <w14:schemeClr w14:val="tx1"/>
            </w14:solidFill>
          </w14:textFill>
        </w:rPr>
        <w:t xml:space="preserve">6.3 </w:t>
      </w:r>
      <w:r>
        <w:rPr>
          <w:rFonts w:hint="eastAsia" w:ascii="Times New Roman" w:hAnsi="Times New Roman" w:eastAsia="黑体" w:cs="Times New Roman"/>
          <w:color w:val="000000" w:themeColor="text1"/>
          <w:sz w:val="24"/>
          <w:szCs w:val="24"/>
          <w:u w:color="000000"/>
          <w14:textFill>
            <w14:solidFill>
              <w14:schemeClr w14:val="tx1"/>
            </w14:solidFill>
          </w14:textFill>
        </w:rPr>
        <w:t>法人授权书</w:t>
      </w:r>
      <w:bookmarkEnd w:id="70"/>
      <w:bookmarkEnd w:id="71"/>
      <w:bookmarkEnd w:id="72"/>
      <w:bookmarkEnd w:id="73"/>
    </w:p>
    <w:p w14:paraId="53780E73">
      <w:pPr>
        <w:spacing w:line="360" w:lineRule="auto"/>
        <w:jc w:val="center"/>
        <w:rPr>
          <w:rFonts w:hint="eastAsia" w:ascii="黑体" w:hAnsi="黑体" w:eastAsia="黑体" w:cs="Times New Roman Bold"/>
          <w:color w:val="000000" w:themeColor="text1"/>
          <w:sz w:val="28"/>
          <w:szCs w:val="28"/>
          <w:u w:color="000000"/>
          <w14:textFill>
            <w14:solidFill>
              <w14:schemeClr w14:val="tx1"/>
            </w14:solidFill>
          </w14:textFill>
        </w:rPr>
      </w:pPr>
      <w:r>
        <w:rPr>
          <w:rFonts w:hint="eastAsia" w:ascii="黑体" w:hAnsi="黑体" w:eastAsia="黑体" w:cs="宋体"/>
          <w:bCs/>
          <w:color w:val="000000" w:themeColor="text1"/>
          <w:sz w:val="28"/>
          <w:szCs w:val="28"/>
          <w:u w:color="000000"/>
          <w:lang w:val="zh-TW"/>
          <w14:textFill>
            <w14:solidFill>
              <w14:schemeClr w14:val="tx1"/>
            </w14:solidFill>
          </w14:textFill>
        </w:rPr>
        <w:t>法人授权书</w:t>
      </w:r>
    </w:p>
    <w:p w14:paraId="3FCF3321">
      <w:pPr>
        <w:shd w:val="clear" w:color="auto" w:fill="FFFFFF"/>
        <w:snapToGrid w:val="0"/>
        <w:spacing w:line="360" w:lineRule="auto"/>
        <w:ind w:firstLine="482"/>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bCs/>
          <w:color w:val="000000" w:themeColor="text1"/>
          <w:sz w:val="24"/>
          <w:szCs w:val="24"/>
          <w14:textFill>
            <w14:solidFill>
              <w14:schemeClr w14:val="tx1"/>
            </w14:solidFill>
          </w14:textFill>
        </w:rPr>
        <w:t>本授权书声明：____________（</w:t>
      </w:r>
      <w:r>
        <w:rPr>
          <w:rFonts w:hint="eastAsia" w:ascii="Times New Roman" w:hAnsi="Times New Roman" w:cs="Times New Roman"/>
          <w:bCs/>
          <w:color w:val="000000" w:themeColor="text1"/>
          <w:sz w:val="24"/>
          <w:szCs w:val="24"/>
          <w14:textFill>
            <w14:solidFill>
              <w14:schemeClr w14:val="tx1"/>
            </w14:solidFill>
          </w14:textFill>
        </w:rPr>
        <w:t>投标人</w:t>
      </w:r>
      <w:r>
        <w:rPr>
          <w:rFonts w:ascii="Times New Roman" w:hAnsi="Times New Roman" w:cs="Times New Roman"/>
          <w:bCs/>
          <w:color w:val="000000" w:themeColor="text1"/>
          <w:sz w:val="24"/>
          <w:szCs w:val="24"/>
          <w14:textFill>
            <w14:solidFill>
              <w14:schemeClr w14:val="tx1"/>
            </w14:solidFill>
          </w14:textFill>
        </w:rPr>
        <w:t>名称）授权________________（被授权人的姓名、职务）为我方就</w:t>
      </w:r>
      <w:r>
        <w:rPr>
          <w:rFonts w:ascii="Times New Roman" w:hAnsi="Times New Roman" w:cs="Times New Roman"/>
          <w:bCs/>
          <w:color w:val="000000" w:themeColor="text1"/>
          <w:sz w:val="24"/>
          <w:szCs w:val="24"/>
          <w:u w:val="single"/>
          <w14:textFill>
            <w14:solidFill>
              <w14:schemeClr w14:val="tx1"/>
            </w14:solidFill>
          </w14:textFill>
        </w:rPr>
        <w:t xml:space="preserve">                </w:t>
      </w:r>
      <w:r>
        <w:rPr>
          <w:rFonts w:hint="eastAsia" w:ascii="Times New Roman" w:hAnsi="Times New Roman" w:cs="Times New Roman"/>
          <w:bCs/>
          <w:color w:val="000000" w:themeColor="text1"/>
          <w:sz w:val="24"/>
          <w:szCs w:val="24"/>
          <w:u w:val="single"/>
          <w14:textFill>
            <w14:solidFill>
              <w14:schemeClr w14:val="tx1"/>
            </w14:solidFill>
          </w14:textFill>
        </w:rPr>
        <w:t>项目</w:t>
      </w:r>
      <w:r>
        <w:rPr>
          <w:rFonts w:ascii="Times New Roman" w:hAnsi="Times New Roman" w:cs="Times New Roman"/>
          <w:bCs/>
          <w:color w:val="000000" w:themeColor="text1"/>
          <w:sz w:val="24"/>
          <w:szCs w:val="24"/>
          <w14:textFill>
            <w14:solidFill>
              <w14:schemeClr w14:val="tx1"/>
            </w14:solidFill>
          </w14:textFill>
        </w:rPr>
        <w:t>（</w:t>
      </w:r>
      <w:r>
        <w:rPr>
          <w:rFonts w:hint="eastAsia" w:ascii="Times New Roman" w:hAnsi="Times New Roman" w:cs="Times New Roman"/>
          <w:bCs/>
          <w:color w:val="000000" w:themeColor="text1"/>
          <w:sz w:val="24"/>
          <w:szCs w:val="24"/>
          <w14:textFill>
            <w14:solidFill>
              <w14:schemeClr w14:val="tx1"/>
            </w14:solidFill>
          </w14:textFill>
        </w:rPr>
        <w:t>项目</w:t>
      </w:r>
      <w:r>
        <w:rPr>
          <w:rFonts w:ascii="Times New Roman" w:hAnsi="Times New Roman" w:cs="Times New Roman"/>
          <w:bCs/>
          <w:color w:val="000000" w:themeColor="text1"/>
          <w:sz w:val="24"/>
          <w:szCs w:val="24"/>
          <w14:textFill>
            <w14:solidFill>
              <w14:schemeClr w14:val="tx1"/>
            </w14:solidFill>
          </w14:textFill>
        </w:rPr>
        <w:t>编号</w:t>
      </w:r>
      <w:r>
        <w:rPr>
          <w:rFonts w:hint="eastAsia" w:ascii="Times New Roman" w:hAnsi="Times New Roman" w:cs="Times New Roman"/>
          <w:bCs/>
          <w:color w:val="000000" w:themeColor="text1"/>
          <w:sz w:val="24"/>
          <w:szCs w:val="24"/>
          <w14:textFill>
            <w14:solidFill>
              <w14:schemeClr w14:val="tx1"/>
            </w14:solidFill>
          </w14:textFill>
        </w:rPr>
        <w:t>：</w:t>
      </w:r>
      <w:r>
        <w:rPr>
          <w:rFonts w:hint="eastAsia" w:ascii="Times New Roman" w:hAnsi="Times New Roman" w:cs="Times New Roman"/>
          <w:bCs/>
          <w:color w:val="000000" w:themeColor="text1"/>
          <w:sz w:val="24"/>
          <w:szCs w:val="24"/>
          <w:u w:val="single"/>
          <w14:textFill>
            <w14:solidFill>
              <w14:schemeClr w14:val="tx1"/>
            </w14:solidFill>
          </w14:textFill>
        </w:rPr>
        <w:t xml:space="preserve"> </w:t>
      </w:r>
      <w:r>
        <w:rPr>
          <w:rFonts w:ascii="Times New Roman" w:hAnsi="Times New Roman" w:cs="Times New Roman"/>
          <w:bCs/>
          <w:color w:val="000000" w:themeColor="text1"/>
          <w:sz w:val="24"/>
          <w:szCs w:val="24"/>
          <w:u w:val="single"/>
          <w14:textFill>
            <w14:solidFill>
              <w14:schemeClr w14:val="tx1"/>
            </w14:solidFill>
          </w14:textFill>
        </w:rPr>
        <w:t xml:space="preserve">        </w:t>
      </w:r>
      <w:r>
        <w:rPr>
          <w:rFonts w:ascii="Times New Roman" w:hAnsi="Times New Roman" w:cs="Times New Roman"/>
          <w:bCs/>
          <w:color w:val="000000" w:themeColor="text1"/>
          <w:sz w:val="24"/>
          <w:szCs w:val="24"/>
          <w14:textFill>
            <w14:solidFill>
              <w14:schemeClr w14:val="tx1"/>
            </w14:solidFill>
          </w14:textFill>
        </w:rPr>
        <w:t>）采购活动的合法代理人，以本单位名义全权处理一切与该项目采购有关的事务。</w:t>
      </w:r>
    </w:p>
    <w:p w14:paraId="0AE94917">
      <w:pPr>
        <w:shd w:val="clear" w:color="auto" w:fill="FFFFFF"/>
        <w:snapToGrid w:val="0"/>
        <w:spacing w:line="360" w:lineRule="auto"/>
        <w:ind w:firstLine="482"/>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bCs/>
          <w:color w:val="000000" w:themeColor="text1"/>
          <w:sz w:val="24"/>
          <w:szCs w:val="24"/>
          <w14:textFill>
            <w14:solidFill>
              <w14:schemeClr w14:val="tx1"/>
            </w14:solidFill>
          </w14:textFill>
        </w:rPr>
        <w:t>本授权书于______年____月____日起生效，特此声明。</w:t>
      </w:r>
    </w:p>
    <w:p w14:paraId="32A5B180">
      <w:pPr>
        <w:shd w:val="clear" w:color="auto" w:fill="FFFFFF"/>
        <w:snapToGrid w:val="0"/>
        <w:spacing w:line="360" w:lineRule="auto"/>
        <w:ind w:firstLine="480"/>
        <w:rPr>
          <w:rFonts w:ascii="Times New Roman" w:hAnsi="Times New Roman" w:cs="Times New Roman"/>
          <w:bCs/>
          <w:color w:val="000000" w:themeColor="text1"/>
          <w14:textFill>
            <w14:solidFill>
              <w14:schemeClr w14:val="tx1"/>
            </w14:solidFill>
          </w14:textFill>
        </w:rPr>
      </w:pPr>
    </w:p>
    <w:p w14:paraId="1997538B">
      <w:pPr>
        <w:shd w:val="clear" w:color="auto" w:fill="FFFFFF"/>
        <w:snapToGrid w:val="0"/>
        <w:spacing w:line="360" w:lineRule="auto"/>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bCs/>
          <w:color w:val="000000" w:themeColor="text1"/>
          <w:sz w:val="24"/>
          <w:szCs w:val="24"/>
          <w14:textFill>
            <w14:solidFill>
              <w14:schemeClr w14:val="tx1"/>
            </w14:solidFill>
          </w14:textFill>
        </w:rPr>
        <w:t xml:space="preserve">         授权单位盖章：_________________________________</w:t>
      </w:r>
    </w:p>
    <w:p w14:paraId="5D6CBF61">
      <w:pPr>
        <w:shd w:val="clear" w:color="auto" w:fill="FFFFFF"/>
        <w:snapToGrid w:val="0"/>
        <w:spacing w:line="360" w:lineRule="auto"/>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bCs/>
          <w:color w:val="000000" w:themeColor="text1"/>
          <w:sz w:val="24"/>
          <w:szCs w:val="24"/>
          <w14:textFill>
            <w14:solidFill>
              <w14:schemeClr w14:val="tx1"/>
            </w14:solidFill>
          </w14:textFill>
        </w:rPr>
        <w:t xml:space="preserve">         单位名称：_____________________________________</w:t>
      </w:r>
    </w:p>
    <w:p w14:paraId="2FF6DBCF">
      <w:pPr>
        <w:shd w:val="clear" w:color="auto" w:fill="FFFFFF"/>
        <w:snapToGrid w:val="0"/>
        <w:spacing w:line="360" w:lineRule="auto"/>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bCs/>
          <w:color w:val="000000" w:themeColor="text1"/>
          <w:sz w:val="24"/>
          <w:szCs w:val="24"/>
          <w14:textFill>
            <w14:solidFill>
              <w14:schemeClr w14:val="tx1"/>
            </w14:solidFill>
          </w14:textFill>
        </w:rPr>
        <w:t xml:space="preserve">         法人签字：_____________________________________</w:t>
      </w:r>
    </w:p>
    <w:p w14:paraId="2C5B596F">
      <w:pPr>
        <w:shd w:val="clear" w:color="auto" w:fill="FFFFFF"/>
        <w:snapToGrid w:val="0"/>
        <w:spacing w:line="360" w:lineRule="auto"/>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bCs/>
          <w:color w:val="000000" w:themeColor="text1"/>
          <w:sz w:val="24"/>
          <w:szCs w:val="24"/>
          <w14:textFill>
            <w14:solidFill>
              <w14:schemeClr w14:val="tx1"/>
            </w14:solidFill>
          </w14:textFill>
        </w:rPr>
        <w:t xml:space="preserve">         代理人（被授权人）签字：_______________________</w:t>
      </w:r>
    </w:p>
    <w:p w14:paraId="4782CADE">
      <w:pPr>
        <w:shd w:val="clear" w:color="auto" w:fill="FFFFFF"/>
        <w:snapToGrid w:val="0"/>
        <w:spacing w:line="360" w:lineRule="auto"/>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bCs/>
          <w:color w:val="000000" w:themeColor="text1"/>
          <w:sz w:val="24"/>
          <w:szCs w:val="24"/>
          <w14:textFill>
            <w14:solidFill>
              <w14:schemeClr w14:val="tx1"/>
            </w14:solidFill>
          </w14:textFill>
        </w:rPr>
        <w:t xml:space="preserve">         职    务：_____________________________________</w:t>
      </w:r>
    </w:p>
    <w:p w14:paraId="7FAD94CA">
      <w:pPr>
        <w:shd w:val="clear" w:color="auto" w:fill="FFFFFF"/>
        <w:snapToGrid w:val="0"/>
        <w:spacing w:line="360" w:lineRule="auto"/>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bCs/>
          <w:color w:val="000000" w:themeColor="text1"/>
          <w:sz w:val="24"/>
          <w:szCs w:val="24"/>
          <w14:textFill>
            <w14:solidFill>
              <w14:schemeClr w14:val="tx1"/>
            </w14:solidFill>
          </w14:textFill>
        </w:rPr>
        <w:t xml:space="preserve">        </w:t>
      </w:r>
      <w:r>
        <w:rPr>
          <w:rFonts w:hint="eastAsia" w:ascii="Times New Roman" w:hAnsi="Times New Roman" w:cs="Times New Roman"/>
          <w:bCs/>
          <w:color w:val="000000" w:themeColor="text1"/>
          <w:sz w:val="24"/>
          <w:szCs w:val="24"/>
          <w14:textFill>
            <w14:solidFill>
              <w14:schemeClr w14:val="tx1"/>
            </w14:solidFill>
          </w14:textFill>
        </w:rPr>
        <w:t xml:space="preserve"> </w:t>
      </w:r>
      <w:r>
        <w:rPr>
          <w:rFonts w:ascii="Times New Roman" w:hAnsi="Times New Roman" w:cs="Times New Roman"/>
          <w:bCs/>
          <w:color w:val="000000" w:themeColor="text1"/>
          <w:sz w:val="24"/>
          <w:szCs w:val="24"/>
          <w14:textFill>
            <w14:solidFill>
              <w14:schemeClr w14:val="tx1"/>
            </w14:solidFill>
          </w14:textFill>
        </w:rPr>
        <w:t>地址：</w:t>
      </w:r>
      <w:r>
        <w:rPr>
          <w:rFonts w:ascii="Times New Roman" w:hAnsi="Times New Roman" w:cs="Times New Roman"/>
          <w:bCs/>
          <w:color w:val="000000" w:themeColor="text1"/>
          <w:sz w:val="24"/>
          <w:szCs w:val="24"/>
          <w:u w:val="single"/>
          <w14:textFill>
            <w14:solidFill>
              <w14:schemeClr w14:val="tx1"/>
            </w14:solidFill>
          </w14:textFill>
        </w:rPr>
        <w:t xml:space="preserve">                                         </w:t>
      </w:r>
    </w:p>
    <w:p w14:paraId="41320A09">
      <w:pPr>
        <w:shd w:val="clear" w:color="auto" w:fill="FFFFFF"/>
        <w:snapToGrid w:val="0"/>
        <w:spacing w:line="36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bCs/>
          <w:color w:val="000000" w:themeColor="text1"/>
          <w:sz w:val="24"/>
          <w:szCs w:val="24"/>
          <w14:textFill>
            <w14:solidFill>
              <w14:schemeClr w14:val="tx1"/>
            </w14:solidFill>
          </w14:textFill>
        </w:rPr>
        <w:t xml:space="preserve">         日期：______年____月____日</w:t>
      </w:r>
    </w:p>
    <w:p w14:paraId="37B7D077">
      <w:pPr>
        <w:spacing w:line="360" w:lineRule="auto"/>
        <w:rPr>
          <w:rFonts w:hint="eastAsia" w:ascii="宋体" w:hAnsi="宋体" w:eastAsia="宋体" w:cs="宋体"/>
          <w:b/>
          <w:bCs/>
          <w:color w:val="000000" w:themeColor="text1"/>
          <w:kern w:val="11"/>
          <w:szCs w:val="21"/>
          <w:u w:val="single" w:color="000000"/>
          <w:lang w:val="zh-TW"/>
          <w14:textFill>
            <w14:solidFill>
              <w14:schemeClr w14:val="tx1"/>
            </w14:solidFill>
          </w14:textFill>
        </w:rPr>
      </w:pPr>
    </w:p>
    <w:p w14:paraId="21C52CDD">
      <w:pPr>
        <w:spacing w:line="360" w:lineRule="auto"/>
        <w:ind w:right="420"/>
        <w:rPr>
          <w:rFonts w:hint="eastAsia" w:ascii="宋体" w:hAnsi="宋体" w:eastAsia="PMingLiU" w:cs="宋体"/>
          <w:color w:val="000000" w:themeColor="text1"/>
          <w:szCs w:val="21"/>
          <w:u w:color="000000"/>
          <w:lang w:val="zh-TW"/>
          <w14:textFill>
            <w14:solidFill>
              <w14:schemeClr w14:val="tx1"/>
            </w14:solidFill>
          </w14:textFill>
        </w:rPr>
      </w:pPr>
    </w:p>
    <w:p w14:paraId="2456E6A4">
      <w:pPr>
        <w:spacing w:line="360" w:lineRule="auto"/>
        <w:ind w:right="420"/>
        <w:rPr>
          <w:rFonts w:hint="eastAsia" w:ascii="宋体" w:hAnsi="宋体" w:eastAsia="宋体" w:cs="宋体"/>
          <w:b/>
          <w:color w:val="000000" w:themeColor="text1"/>
          <w:szCs w:val="21"/>
          <w:u w:color="000000"/>
          <w:lang w:val="zh-TW"/>
          <w14:textFill>
            <w14:solidFill>
              <w14:schemeClr w14:val="tx1"/>
            </w14:solidFill>
          </w14:textFill>
        </w:rPr>
      </w:pPr>
      <w:r>
        <w:rPr>
          <w:rFonts w:hint="eastAsia" w:ascii="宋体" w:hAnsi="宋体" w:eastAsia="宋体" w:cs="宋体"/>
          <w:b/>
          <w:color w:val="000000" w:themeColor="text1"/>
          <w:szCs w:val="21"/>
          <w:u w:color="000000"/>
          <w:lang w:val="zh-TW"/>
          <w14:textFill>
            <w14:solidFill>
              <w14:schemeClr w14:val="tx1"/>
            </w14:solidFill>
          </w14:textFill>
        </w:rPr>
        <w:t>注：代理人应持本授权书参加投标，并提供一份原件在投标文件中。</w:t>
      </w:r>
    </w:p>
    <w:p w14:paraId="34DAD894">
      <w:pPr>
        <w:spacing w:line="360" w:lineRule="auto"/>
        <w:ind w:right="420"/>
        <w:rPr>
          <w:rFonts w:hint="eastAsia" w:ascii="宋体" w:hAnsi="宋体" w:eastAsia="宋体" w:cs="宋体"/>
          <w:color w:val="000000" w:themeColor="text1"/>
          <w:szCs w:val="21"/>
          <w:u w:color="000000"/>
          <w14:textFill>
            <w14:solidFill>
              <w14:schemeClr w14:val="tx1"/>
            </w14:solidFill>
          </w14:textFill>
        </w:rPr>
      </w:pPr>
    </w:p>
    <w:p w14:paraId="4AB365AE">
      <w:pPr>
        <w:jc w:val="left"/>
        <w:rPr>
          <w:rFonts w:hint="eastAsia" w:ascii="宋体" w:hAnsi="宋体" w:eastAsia="宋体" w:cs="宋体"/>
          <w:color w:val="000000" w:themeColor="text1"/>
          <w:szCs w:val="21"/>
          <w:u w:color="000000"/>
          <w14:textFill>
            <w14:solidFill>
              <w14:schemeClr w14:val="tx1"/>
            </w14:solidFill>
          </w14:textFill>
        </w:rPr>
      </w:pPr>
      <w:r>
        <w:rPr>
          <w:rFonts w:ascii="宋体" w:hAnsi="宋体" w:eastAsia="宋体" w:cs="宋体"/>
          <w:color w:val="000000" w:themeColor="text1"/>
          <w:szCs w:val="21"/>
          <w:u w:color="000000"/>
          <w14:textFill>
            <w14:solidFill>
              <w14:schemeClr w14:val="tx1"/>
            </w14:solidFill>
          </w14:textFill>
        </w:rPr>
        <w:br w:type="page"/>
      </w:r>
    </w:p>
    <w:p w14:paraId="5F509BBA">
      <w:pPr>
        <w:snapToGrid w:val="0"/>
        <w:spacing w:line="360" w:lineRule="auto"/>
        <w:ind w:firstLine="482"/>
        <w:rPr>
          <w:rFonts w:hint="eastAsia" w:ascii="宋体" w:hAnsi="宋体" w:eastAsia="PMingLiU" w:cs="宋体"/>
          <w:color w:val="000000" w:themeColor="text1"/>
          <w:sz w:val="24"/>
          <w:szCs w:val="24"/>
          <w:u w:color="000000"/>
          <w:lang w:val="zh-TW"/>
          <w14:textFill>
            <w14:solidFill>
              <w14:schemeClr w14:val="tx1"/>
            </w14:solidFill>
          </w14:textFill>
        </w:rPr>
      </w:pPr>
      <w:r>
        <w:rPr>
          <w:rFonts w:hint="eastAsia" w:ascii="宋体" w:hAnsi="宋体" w:eastAsia="宋体" w:cs="宋体"/>
          <w:color w:val="000000" w:themeColor="text1"/>
          <w:sz w:val="24"/>
          <w:szCs w:val="24"/>
          <w:u w:color="000000"/>
          <w:lang w:val="zh-TW"/>
          <w14:textFill>
            <w14:solidFill>
              <w14:schemeClr w14:val="tx1"/>
            </w14:solidFill>
          </w14:textFill>
        </w:rPr>
        <w:t>附：</w:t>
      </w:r>
      <w:r>
        <w:rPr>
          <w:rFonts w:ascii="Times New Roman" w:hAnsi="Times New Roman" w:cs="Times New Roman"/>
          <w:bCs/>
          <w:color w:val="000000" w:themeColor="text1"/>
          <w:sz w:val="24"/>
          <w:szCs w:val="24"/>
          <w14:textFill>
            <w14:solidFill>
              <w14:schemeClr w14:val="tx1"/>
            </w14:solidFill>
          </w14:textFill>
        </w:rPr>
        <w:t>法人</w:t>
      </w:r>
      <w:r>
        <w:rPr>
          <w:rFonts w:hint="eastAsia" w:ascii="宋体" w:hAnsi="宋体" w:eastAsia="宋体" w:cs="宋体"/>
          <w:color w:val="000000" w:themeColor="text1"/>
          <w:sz w:val="24"/>
          <w:szCs w:val="24"/>
          <w:u w:color="000000"/>
          <w:lang w:val="zh-TW"/>
          <w14:textFill>
            <w14:solidFill>
              <w14:schemeClr w14:val="tx1"/>
            </w14:solidFill>
          </w14:textFill>
        </w:rPr>
        <w:t>身份证复印件（需同时提供正面及背面）</w:t>
      </w:r>
    </w:p>
    <w:tbl>
      <w:tblPr>
        <w:tblStyle w:val="28"/>
        <w:tblW w:w="8002" w:type="dxa"/>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001"/>
        <w:gridCol w:w="4001"/>
      </w:tblGrid>
      <w:tr w14:paraId="28B3C392">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500" w:hRule="atLeast"/>
          <w:jc w:val="center"/>
        </w:trPr>
        <w:tc>
          <w:tcPr>
            <w:tcW w:w="4001" w:type="dxa"/>
            <w:vAlign w:val="center"/>
          </w:tcPr>
          <w:p w14:paraId="32730E68">
            <w:pPr>
              <w:jc w:val="center"/>
              <w:rPr>
                <w:rFonts w:hint="eastAsia" w:ascii="宋体" w:hAnsi="宋体"/>
                <w:color w:val="000000" w:themeColor="text1"/>
                <w:sz w:val="24"/>
                <w:szCs w:val="24"/>
                <w14:textFill>
                  <w14:solidFill>
                    <w14:schemeClr w14:val="tx1"/>
                  </w14:solidFill>
                </w14:textFill>
              </w:rPr>
            </w:pPr>
            <w:r>
              <w:rPr>
                <w:rFonts w:hint="eastAsia" w:ascii="Times New Roman" w:hAnsi="Times New Roman" w:cs="Times New Roman"/>
                <w:bCs/>
                <w:color w:val="000000" w:themeColor="text1"/>
                <w:sz w:val="24"/>
                <w:szCs w:val="24"/>
                <w14:textFill>
                  <w14:solidFill>
                    <w14:schemeClr w14:val="tx1"/>
                  </w14:solidFill>
                </w14:textFill>
              </w:rPr>
              <w:t>法人</w:t>
            </w:r>
            <w:r>
              <w:rPr>
                <w:rFonts w:hint="eastAsia" w:ascii="宋体" w:hAnsi="宋体"/>
                <w:color w:val="000000" w:themeColor="text1"/>
                <w:sz w:val="24"/>
                <w:szCs w:val="24"/>
                <w14:textFill>
                  <w14:solidFill>
                    <w14:schemeClr w14:val="tx1"/>
                  </w14:solidFill>
                </w14:textFill>
              </w:rPr>
              <w:t>身份证复印件正面</w:t>
            </w:r>
          </w:p>
        </w:tc>
        <w:tc>
          <w:tcPr>
            <w:tcW w:w="4001" w:type="dxa"/>
            <w:vAlign w:val="center"/>
          </w:tcPr>
          <w:p w14:paraId="02FC6B79">
            <w:pPr>
              <w:jc w:val="center"/>
              <w:rPr>
                <w:rFonts w:hint="eastAsia" w:ascii="宋体" w:hAnsi="宋体"/>
                <w:color w:val="000000" w:themeColor="text1"/>
                <w:sz w:val="24"/>
                <w:szCs w:val="24"/>
                <w14:textFill>
                  <w14:solidFill>
                    <w14:schemeClr w14:val="tx1"/>
                  </w14:solidFill>
                </w14:textFill>
              </w:rPr>
            </w:pPr>
            <w:r>
              <w:rPr>
                <w:rFonts w:hint="eastAsia" w:ascii="Times New Roman" w:hAnsi="Times New Roman" w:cs="Times New Roman"/>
                <w:bCs/>
                <w:color w:val="000000" w:themeColor="text1"/>
                <w:sz w:val="24"/>
                <w:szCs w:val="24"/>
                <w14:textFill>
                  <w14:solidFill>
                    <w14:schemeClr w14:val="tx1"/>
                  </w14:solidFill>
                </w14:textFill>
              </w:rPr>
              <w:t>法人</w:t>
            </w:r>
            <w:r>
              <w:rPr>
                <w:rFonts w:hint="eastAsia" w:ascii="宋体" w:hAnsi="宋体"/>
                <w:color w:val="000000" w:themeColor="text1"/>
                <w:sz w:val="24"/>
                <w:szCs w:val="24"/>
                <w14:textFill>
                  <w14:solidFill>
                    <w14:schemeClr w14:val="tx1"/>
                  </w14:solidFill>
                </w14:textFill>
              </w:rPr>
              <w:t>身份证复印件背面</w:t>
            </w:r>
          </w:p>
        </w:tc>
      </w:tr>
    </w:tbl>
    <w:p w14:paraId="13627DE1">
      <w:pPr>
        <w:snapToGrid w:val="0"/>
        <w:spacing w:line="360" w:lineRule="auto"/>
        <w:ind w:firstLine="482"/>
        <w:rPr>
          <w:rFonts w:hint="eastAsia" w:ascii="宋体" w:hAnsi="宋体" w:eastAsia="PMingLiU" w:cs="宋体"/>
          <w:color w:val="000000" w:themeColor="text1"/>
          <w:sz w:val="24"/>
          <w:szCs w:val="24"/>
          <w:u w:color="000000"/>
          <w14:textFill>
            <w14:solidFill>
              <w14:schemeClr w14:val="tx1"/>
            </w14:solidFill>
          </w14:textFill>
        </w:rPr>
      </w:pPr>
    </w:p>
    <w:p w14:paraId="4483CFF1">
      <w:pPr>
        <w:snapToGrid w:val="0"/>
        <w:spacing w:line="360" w:lineRule="auto"/>
        <w:ind w:firstLine="482"/>
        <w:rPr>
          <w:rFonts w:hint="eastAsia" w:ascii="宋体" w:hAnsi="宋体" w:eastAsia="PMingLiU" w:cs="宋体"/>
          <w:color w:val="000000" w:themeColor="text1"/>
          <w:sz w:val="24"/>
          <w:szCs w:val="24"/>
          <w:u w:color="000000"/>
          <w14:textFill>
            <w14:solidFill>
              <w14:schemeClr w14:val="tx1"/>
            </w14:solidFill>
          </w14:textFill>
        </w:rPr>
      </w:pPr>
    </w:p>
    <w:p w14:paraId="0FCD3B07">
      <w:pPr>
        <w:snapToGrid w:val="0"/>
        <w:spacing w:line="360" w:lineRule="auto"/>
        <w:ind w:firstLine="482"/>
        <w:rPr>
          <w:rFonts w:hint="eastAsia" w:ascii="宋体" w:hAnsi="宋体" w:eastAsia="PMingLiU" w:cs="宋体"/>
          <w:color w:val="000000" w:themeColor="text1"/>
          <w:sz w:val="24"/>
          <w:szCs w:val="24"/>
          <w:u w:color="000000"/>
          <w:lang w:val="zh-TW"/>
          <w14:textFill>
            <w14:solidFill>
              <w14:schemeClr w14:val="tx1"/>
            </w14:solidFill>
          </w14:textFill>
        </w:rPr>
      </w:pPr>
      <w:r>
        <w:rPr>
          <w:rFonts w:hint="eastAsia" w:ascii="宋体" w:hAnsi="宋体" w:eastAsia="宋体" w:cs="宋体"/>
          <w:color w:val="000000" w:themeColor="text1"/>
          <w:sz w:val="24"/>
          <w:szCs w:val="24"/>
          <w:u w:color="000000"/>
          <w:lang w:val="zh-TW"/>
          <w14:textFill>
            <w14:solidFill>
              <w14:schemeClr w14:val="tx1"/>
            </w14:solidFill>
          </w14:textFill>
        </w:rPr>
        <w:t>附：委托代理人身份证复印件（需同时提供正面及背面）</w:t>
      </w:r>
    </w:p>
    <w:tbl>
      <w:tblPr>
        <w:tblStyle w:val="28"/>
        <w:tblW w:w="8002" w:type="dxa"/>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001"/>
        <w:gridCol w:w="4001"/>
      </w:tblGrid>
      <w:tr w14:paraId="6AE6BC91">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493" w:hRule="atLeast"/>
          <w:jc w:val="center"/>
        </w:trPr>
        <w:tc>
          <w:tcPr>
            <w:tcW w:w="4001" w:type="dxa"/>
            <w:vAlign w:val="center"/>
          </w:tcPr>
          <w:p w14:paraId="4F5E334A">
            <w:pPr>
              <w:jc w:val="center"/>
              <w:rPr>
                <w:rFonts w:hint="eastAsia" w:ascii="宋体" w:hAnsi="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u w:color="000000"/>
                <w:lang w:val="zh-TW"/>
                <w14:textFill>
                  <w14:solidFill>
                    <w14:schemeClr w14:val="tx1"/>
                  </w14:solidFill>
                </w14:textFill>
              </w:rPr>
              <w:t>代理人</w:t>
            </w:r>
            <w:r>
              <w:rPr>
                <w:rFonts w:hint="eastAsia" w:ascii="宋体" w:hAnsi="宋体"/>
                <w:color w:val="000000" w:themeColor="text1"/>
                <w:sz w:val="24"/>
                <w:szCs w:val="24"/>
                <w14:textFill>
                  <w14:solidFill>
                    <w14:schemeClr w14:val="tx1"/>
                  </w14:solidFill>
                </w14:textFill>
              </w:rPr>
              <w:t>身份证复印件正面</w:t>
            </w:r>
          </w:p>
        </w:tc>
        <w:tc>
          <w:tcPr>
            <w:tcW w:w="4001" w:type="dxa"/>
            <w:vAlign w:val="center"/>
          </w:tcPr>
          <w:p w14:paraId="6BE27D1D">
            <w:pPr>
              <w:jc w:val="center"/>
              <w:rPr>
                <w:rFonts w:hint="eastAsia" w:ascii="宋体" w:hAnsi="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u w:color="000000"/>
                <w:lang w:val="zh-TW"/>
                <w14:textFill>
                  <w14:solidFill>
                    <w14:schemeClr w14:val="tx1"/>
                  </w14:solidFill>
                </w14:textFill>
              </w:rPr>
              <w:t>代理人</w:t>
            </w:r>
            <w:r>
              <w:rPr>
                <w:rFonts w:hint="eastAsia" w:ascii="宋体" w:hAnsi="宋体"/>
                <w:color w:val="000000" w:themeColor="text1"/>
                <w:sz w:val="24"/>
                <w:szCs w:val="24"/>
                <w14:textFill>
                  <w14:solidFill>
                    <w14:schemeClr w14:val="tx1"/>
                  </w14:solidFill>
                </w14:textFill>
              </w:rPr>
              <w:t>身份证复印件背面</w:t>
            </w:r>
          </w:p>
        </w:tc>
      </w:tr>
    </w:tbl>
    <w:p w14:paraId="30DCEA68">
      <w:pPr>
        <w:spacing w:line="360" w:lineRule="auto"/>
        <w:ind w:right="420"/>
        <w:rPr>
          <w:rFonts w:hint="eastAsia" w:ascii="宋体" w:hAnsi="宋体" w:eastAsia="宋体" w:cs="宋体"/>
          <w:color w:val="000000" w:themeColor="text1"/>
          <w:szCs w:val="21"/>
          <w:u w:color="000000"/>
          <w14:textFill>
            <w14:solidFill>
              <w14:schemeClr w14:val="tx1"/>
            </w14:solidFill>
          </w14:textFill>
        </w:rPr>
      </w:pPr>
    </w:p>
    <w:p w14:paraId="261968A1">
      <w:pPr>
        <w:spacing w:line="360" w:lineRule="auto"/>
        <w:ind w:right="420"/>
        <w:rPr>
          <w:rFonts w:hint="eastAsia" w:ascii="宋体" w:hAnsi="宋体" w:eastAsia="宋体" w:cs="宋体"/>
          <w:color w:val="000000" w:themeColor="text1"/>
          <w:szCs w:val="21"/>
          <w:u w:color="000000"/>
          <w14:textFill>
            <w14:solidFill>
              <w14:schemeClr w14:val="tx1"/>
            </w14:solidFill>
          </w14:textFill>
        </w:rPr>
      </w:pPr>
    </w:p>
    <w:p w14:paraId="37CFC1F4">
      <w:pPr>
        <w:jc w:val="left"/>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br w:type="page"/>
      </w:r>
    </w:p>
    <w:p w14:paraId="385082D6">
      <w:pPr>
        <w:tabs>
          <w:tab w:val="left" w:pos="576"/>
        </w:tabs>
        <w:spacing w:before="156" w:beforeLines="50" w:after="156" w:afterLines="50" w:line="360" w:lineRule="auto"/>
        <w:outlineLvl w:val="2"/>
        <w:rPr>
          <w:rFonts w:ascii="Times New Roman" w:hAnsi="Times New Roman" w:eastAsia="黑体" w:cs="Times New Roman"/>
          <w:color w:val="000000" w:themeColor="text1"/>
          <w:sz w:val="24"/>
          <w:szCs w:val="24"/>
          <w:u w:color="000000"/>
          <w14:textFill>
            <w14:solidFill>
              <w14:schemeClr w14:val="tx1"/>
            </w14:solidFill>
          </w14:textFill>
        </w:rPr>
      </w:pPr>
      <w:bookmarkStart w:id="74" w:name="_Toc11859494"/>
      <w:bookmarkStart w:id="75" w:name="_Toc415494581"/>
      <w:bookmarkStart w:id="76" w:name="_Toc448069994"/>
      <w:bookmarkStart w:id="77" w:name="_Toc56"/>
      <w:r>
        <w:rPr>
          <w:rFonts w:ascii="Times New Roman" w:hAnsi="Times New Roman" w:eastAsia="黑体" w:cs="Times New Roman"/>
          <w:color w:val="000000" w:themeColor="text1"/>
          <w:sz w:val="24"/>
          <w:szCs w:val="24"/>
          <w:u w:color="000000"/>
          <w14:textFill>
            <w14:solidFill>
              <w14:schemeClr w14:val="tx1"/>
            </w14:solidFill>
          </w14:textFill>
        </w:rPr>
        <w:t>6.4 资格证明文件</w:t>
      </w:r>
      <w:bookmarkEnd w:id="74"/>
      <w:bookmarkEnd w:id="75"/>
      <w:bookmarkEnd w:id="76"/>
      <w:bookmarkEnd w:id="77"/>
    </w:p>
    <w:p w14:paraId="03B81361">
      <w:pPr>
        <w:spacing w:line="360" w:lineRule="auto"/>
        <w:ind w:firstLine="480" w:firstLineChars="200"/>
        <w:rPr>
          <w:rFonts w:ascii="Times New Roman" w:hAnsi="Times New Roman" w:eastAsia="宋体" w:cs="Times New Roman"/>
          <w:color w:val="000000" w:themeColor="text1"/>
          <w:sz w:val="24"/>
          <w:szCs w:val="24"/>
          <w:u w:color="FF0000"/>
          <w14:textFill>
            <w14:solidFill>
              <w14:schemeClr w14:val="tx1"/>
            </w14:solidFill>
          </w14:textFill>
        </w:rPr>
      </w:pPr>
      <w:r>
        <w:rPr>
          <w:rFonts w:hint="eastAsia" w:ascii="Times New Roman" w:hAnsi="Times New Roman" w:eastAsia="宋体" w:cs="Times New Roman"/>
          <w:color w:val="000000" w:themeColor="text1"/>
          <w:sz w:val="24"/>
          <w:szCs w:val="24"/>
          <w:u w:color="FF0000"/>
          <w14:textFill>
            <w14:solidFill>
              <w14:schemeClr w14:val="tx1"/>
            </w14:solidFill>
          </w14:textFill>
        </w:rPr>
        <w:t>文件1 法人或者其他组织的营业执照等证明文件（复印件）</w:t>
      </w:r>
    </w:p>
    <w:p w14:paraId="47CC163A">
      <w:pPr>
        <w:spacing w:line="360" w:lineRule="auto"/>
        <w:ind w:firstLine="480" w:firstLineChars="200"/>
        <w:rPr>
          <w:rFonts w:ascii="Times New Roman" w:hAnsi="Times New Roman" w:eastAsia="宋体" w:cs="Times New Roman"/>
          <w:color w:val="000000" w:themeColor="text1"/>
          <w:sz w:val="24"/>
          <w:szCs w:val="24"/>
          <w:u w:color="FF0000"/>
          <w14:textFill>
            <w14:solidFill>
              <w14:schemeClr w14:val="tx1"/>
            </w14:solidFill>
          </w14:textFill>
        </w:rPr>
      </w:pPr>
      <w:r>
        <w:rPr>
          <w:rFonts w:hint="eastAsia" w:ascii="Times New Roman" w:hAnsi="Times New Roman" w:eastAsia="宋体" w:cs="Times New Roman"/>
          <w:color w:val="000000" w:themeColor="text1"/>
          <w:sz w:val="24"/>
          <w:szCs w:val="24"/>
          <w:u w:color="FF0000"/>
          <w14:textFill>
            <w14:solidFill>
              <w14:schemeClr w14:val="tx1"/>
            </w14:solidFill>
          </w14:textFill>
        </w:rPr>
        <w:t>文件2 财务状况报告（复印件）</w:t>
      </w:r>
    </w:p>
    <w:p w14:paraId="7B7D8C6D">
      <w:pPr>
        <w:spacing w:line="360" w:lineRule="auto"/>
        <w:ind w:firstLine="480" w:firstLineChars="200"/>
        <w:rPr>
          <w:rFonts w:ascii="Times New Roman" w:hAnsi="Times New Roman" w:eastAsia="宋体" w:cs="Times New Roman"/>
          <w:color w:val="000000" w:themeColor="text1"/>
          <w:sz w:val="24"/>
          <w:szCs w:val="24"/>
          <w:u w:color="FF0000"/>
          <w14:textFill>
            <w14:solidFill>
              <w14:schemeClr w14:val="tx1"/>
            </w14:solidFill>
          </w14:textFill>
        </w:rPr>
      </w:pPr>
      <w:r>
        <w:rPr>
          <w:rFonts w:hint="eastAsia" w:ascii="Times New Roman" w:hAnsi="Times New Roman" w:eastAsia="宋体" w:cs="Times New Roman"/>
          <w:color w:val="000000" w:themeColor="text1"/>
          <w:sz w:val="24"/>
          <w:szCs w:val="24"/>
          <w:u w:color="FF0000"/>
          <w14:textFill>
            <w14:solidFill>
              <w14:schemeClr w14:val="tx1"/>
            </w14:solidFill>
          </w14:textFill>
        </w:rPr>
        <w:t>文件</w:t>
      </w:r>
      <w:r>
        <w:rPr>
          <w:rFonts w:ascii="Times New Roman" w:hAnsi="Times New Roman" w:eastAsia="宋体" w:cs="Times New Roman"/>
          <w:color w:val="000000" w:themeColor="text1"/>
          <w:sz w:val="24"/>
          <w:szCs w:val="24"/>
          <w:u w:color="FF0000"/>
          <w14:textFill>
            <w14:solidFill>
              <w14:schemeClr w14:val="tx1"/>
            </w14:solidFill>
          </w14:textFill>
        </w:rPr>
        <w:t xml:space="preserve">3 </w:t>
      </w:r>
      <w:r>
        <w:rPr>
          <w:rFonts w:hint="eastAsia" w:ascii="Times New Roman" w:hAnsi="Times New Roman" w:eastAsia="宋体" w:cs="Times New Roman"/>
          <w:color w:val="000000" w:themeColor="text1"/>
          <w:sz w:val="24"/>
          <w:szCs w:val="24"/>
          <w:u w:color="FF0000"/>
          <w14:textFill>
            <w14:solidFill>
              <w14:schemeClr w14:val="tx1"/>
            </w14:solidFill>
          </w14:textFill>
        </w:rPr>
        <w:t>依法缴纳税收和社会保障资金的相关材料（复印件）</w:t>
      </w:r>
    </w:p>
    <w:p w14:paraId="1A813E3E">
      <w:pPr>
        <w:spacing w:line="360" w:lineRule="auto"/>
        <w:ind w:firstLine="480" w:firstLineChars="200"/>
        <w:rPr>
          <w:rFonts w:ascii="Times New Roman" w:hAnsi="Times New Roman" w:eastAsia="宋体" w:cs="Times New Roman"/>
          <w:color w:val="000000" w:themeColor="text1"/>
          <w:sz w:val="24"/>
          <w:szCs w:val="24"/>
          <w:u w:color="FF0000"/>
          <w14:textFill>
            <w14:solidFill>
              <w14:schemeClr w14:val="tx1"/>
            </w14:solidFill>
          </w14:textFill>
        </w:rPr>
      </w:pPr>
      <w:r>
        <w:rPr>
          <w:rFonts w:hint="eastAsia" w:ascii="Times New Roman" w:hAnsi="Times New Roman" w:eastAsia="宋体" w:cs="Times New Roman"/>
          <w:color w:val="000000" w:themeColor="text1"/>
          <w:sz w:val="24"/>
          <w:szCs w:val="24"/>
          <w:u w:color="FF0000"/>
          <w14:textFill>
            <w14:solidFill>
              <w14:schemeClr w14:val="tx1"/>
            </w14:solidFill>
          </w14:textFill>
        </w:rPr>
        <w:t>文件</w:t>
      </w:r>
      <w:r>
        <w:rPr>
          <w:rFonts w:ascii="Times New Roman" w:hAnsi="Times New Roman" w:eastAsia="宋体" w:cs="Times New Roman"/>
          <w:color w:val="000000" w:themeColor="text1"/>
          <w:sz w:val="24"/>
          <w:szCs w:val="24"/>
          <w:u w:color="FF0000"/>
          <w14:textFill>
            <w14:solidFill>
              <w14:schemeClr w14:val="tx1"/>
            </w14:solidFill>
          </w14:textFill>
        </w:rPr>
        <w:t>4</w:t>
      </w:r>
      <w:r>
        <w:rPr>
          <w:rFonts w:hint="eastAsia" w:ascii="Times New Roman" w:hAnsi="Times New Roman" w:eastAsia="宋体" w:cs="Times New Roman"/>
          <w:color w:val="000000" w:themeColor="text1"/>
          <w:sz w:val="24"/>
          <w:szCs w:val="24"/>
          <w:u w:color="FF0000"/>
          <w14:textFill>
            <w14:solidFill>
              <w14:schemeClr w14:val="tx1"/>
            </w14:solidFill>
          </w14:textFill>
        </w:rPr>
        <w:t xml:space="preserve"> 具备履行合同所必需的货物和专业技术能力的书面声明（原件）</w:t>
      </w:r>
    </w:p>
    <w:p w14:paraId="6B3D81C0">
      <w:pPr>
        <w:spacing w:line="360" w:lineRule="auto"/>
        <w:ind w:firstLine="480" w:firstLineChars="200"/>
        <w:rPr>
          <w:rFonts w:ascii="Times New Roman" w:hAnsi="Times New Roman" w:eastAsia="宋体" w:cs="Times New Roman"/>
          <w:color w:val="000000" w:themeColor="text1"/>
          <w:sz w:val="24"/>
          <w:szCs w:val="24"/>
          <w:u w:color="FF0000"/>
          <w14:textFill>
            <w14:solidFill>
              <w14:schemeClr w14:val="tx1"/>
            </w14:solidFill>
          </w14:textFill>
        </w:rPr>
      </w:pPr>
      <w:r>
        <w:rPr>
          <w:rFonts w:hint="eastAsia" w:ascii="Times New Roman" w:hAnsi="Times New Roman" w:eastAsia="宋体" w:cs="Times New Roman"/>
          <w:color w:val="000000" w:themeColor="text1"/>
          <w:sz w:val="24"/>
          <w:szCs w:val="24"/>
          <w:u w:color="FF0000"/>
          <w14:textFill>
            <w14:solidFill>
              <w14:schemeClr w14:val="tx1"/>
            </w14:solidFill>
          </w14:textFill>
        </w:rPr>
        <w:t>文件</w:t>
      </w:r>
      <w:r>
        <w:rPr>
          <w:rFonts w:ascii="Times New Roman" w:hAnsi="Times New Roman" w:eastAsia="宋体" w:cs="Times New Roman"/>
          <w:color w:val="000000" w:themeColor="text1"/>
          <w:sz w:val="24"/>
          <w:szCs w:val="24"/>
          <w:u w:color="FF0000"/>
          <w14:textFill>
            <w14:solidFill>
              <w14:schemeClr w14:val="tx1"/>
            </w14:solidFill>
          </w14:textFill>
        </w:rPr>
        <w:t xml:space="preserve">5 </w:t>
      </w:r>
      <w:r>
        <w:rPr>
          <w:rFonts w:hint="eastAsia" w:ascii="Times New Roman" w:hAnsi="Times New Roman" w:eastAsia="宋体" w:cs="Times New Roman"/>
          <w:color w:val="000000" w:themeColor="text1"/>
          <w:sz w:val="24"/>
          <w:szCs w:val="24"/>
          <w:u w:color="FF0000"/>
          <w14:textFill>
            <w14:solidFill>
              <w14:schemeClr w14:val="tx1"/>
            </w14:solidFill>
          </w14:textFill>
        </w:rPr>
        <w:t>无违法违规记录声明（原件）</w:t>
      </w:r>
    </w:p>
    <w:p w14:paraId="31A7898E">
      <w:pPr>
        <w:spacing w:line="360" w:lineRule="auto"/>
        <w:ind w:firstLine="480" w:firstLineChars="200"/>
        <w:rPr>
          <w:rFonts w:ascii="Times New Roman" w:hAnsi="Times New Roman" w:eastAsia="宋体" w:cs="Times New Roman"/>
          <w:color w:val="000000" w:themeColor="text1"/>
          <w:sz w:val="24"/>
          <w:szCs w:val="24"/>
          <w:u w:color="FF0000"/>
          <w14:textFill>
            <w14:solidFill>
              <w14:schemeClr w14:val="tx1"/>
            </w14:solidFill>
          </w14:textFill>
        </w:rPr>
      </w:pPr>
      <w:r>
        <w:rPr>
          <w:rFonts w:hint="eastAsia" w:ascii="Times New Roman" w:hAnsi="Times New Roman" w:eastAsia="宋体" w:cs="Times New Roman"/>
          <w:color w:val="000000" w:themeColor="text1"/>
          <w:sz w:val="24"/>
          <w:szCs w:val="24"/>
          <w:u w:color="FF0000"/>
          <w14:textFill>
            <w14:solidFill>
              <w14:schemeClr w14:val="tx1"/>
            </w14:solidFill>
          </w14:textFill>
        </w:rPr>
        <w:t>文件</w:t>
      </w:r>
      <w:r>
        <w:rPr>
          <w:rFonts w:ascii="Times New Roman" w:hAnsi="Times New Roman" w:eastAsia="宋体" w:cs="Times New Roman"/>
          <w:color w:val="000000" w:themeColor="text1"/>
          <w:sz w:val="24"/>
          <w:szCs w:val="24"/>
          <w:u w:color="FF0000"/>
          <w14:textFill>
            <w14:solidFill>
              <w14:schemeClr w14:val="tx1"/>
            </w14:solidFill>
          </w14:textFill>
        </w:rPr>
        <w:t xml:space="preserve">6 </w:t>
      </w:r>
      <w:r>
        <w:rPr>
          <w:rFonts w:hint="eastAsia" w:ascii="Times New Roman" w:hAnsi="Times New Roman" w:eastAsia="宋体" w:cs="Times New Roman"/>
          <w:color w:val="000000" w:themeColor="text1"/>
          <w:sz w:val="24"/>
          <w:szCs w:val="24"/>
          <w:u w:color="FF0000"/>
          <w14:textFill>
            <w14:solidFill>
              <w14:schemeClr w14:val="tx1"/>
            </w14:solidFill>
          </w14:textFill>
        </w:rPr>
        <w:t>自招标公告发布之日至投标截止前的“信用中国”（www.creditchina.gov.cn）或“诚信江苏”（www.jscredit.gov.cn）或中国政府采购网（www.ccgp.gov.cn）查询的信用记录截图证明（加盖投标人公章），证明未被列入失信被执行人、重大税收违法案件当事人名单、政府采购严重失信行为记录名单</w:t>
      </w:r>
    </w:p>
    <w:p w14:paraId="0354C828">
      <w:pPr>
        <w:spacing w:line="360" w:lineRule="auto"/>
        <w:ind w:firstLine="480" w:firstLineChars="200"/>
        <w:rPr>
          <w:rFonts w:ascii="Times New Roman" w:hAnsi="Times New Roman" w:eastAsia="宋体" w:cs="Times New Roman"/>
          <w:color w:val="000000" w:themeColor="text1"/>
          <w:sz w:val="24"/>
          <w:szCs w:val="24"/>
          <w:u w:color="FF0000"/>
          <w14:textFill>
            <w14:solidFill>
              <w14:schemeClr w14:val="tx1"/>
            </w14:solidFill>
          </w14:textFill>
        </w:rPr>
      </w:pPr>
      <w:r>
        <w:rPr>
          <w:rFonts w:hint="eastAsia" w:ascii="Times New Roman" w:hAnsi="Times New Roman" w:eastAsia="宋体" w:cs="Times New Roman"/>
          <w:color w:val="000000" w:themeColor="text1"/>
          <w:sz w:val="24"/>
          <w:szCs w:val="24"/>
          <w:u w:color="FF0000"/>
          <w14:textFill>
            <w14:solidFill>
              <w14:schemeClr w14:val="tx1"/>
            </w14:solidFill>
          </w14:textFill>
        </w:rPr>
        <w:t>文件7 诚信档案</w:t>
      </w:r>
    </w:p>
    <w:p w14:paraId="668F6984">
      <w:pPr>
        <w:spacing w:line="360" w:lineRule="auto"/>
        <w:ind w:firstLine="480" w:firstLineChars="200"/>
        <w:rPr>
          <w:rFonts w:ascii="Times New Roman" w:hAnsi="Times New Roman" w:eastAsia="宋体" w:cs="Times New Roman"/>
          <w:color w:val="000000" w:themeColor="text1"/>
          <w:sz w:val="24"/>
          <w:szCs w:val="24"/>
          <w:u w:color="FF0000"/>
          <w14:textFill>
            <w14:solidFill>
              <w14:schemeClr w14:val="tx1"/>
            </w14:solidFill>
          </w14:textFill>
        </w:rPr>
      </w:pPr>
      <w:r>
        <w:rPr>
          <w:rFonts w:hint="eastAsia" w:ascii="Times New Roman" w:hAnsi="Times New Roman" w:eastAsia="宋体" w:cs="Times New Roman"/>
          <w:color w:val="000000" w:themeColor="text1"/>
          <w:sz w:val="24"/>
          <w:szCs w:val="24"/>
          <w:u w:color="FF0000"/>
          <w14:textFill>
            <w14:solidFill>
              <w14:schemeClr w14:val="tx1"/>
            </w14:solidFill>
          </w14:textFill>
        </w:rPr>
        <w:t>文件8 不接受联合体投标声明</w:t>
      </w:r>
    </w:p>
    <w:p w14:paraId="26CFD5A2">
      <w:pPr>
        <w:spacing w:line="360" w:lineRule="auto"/>
        <w:ind w:firstLine="420" w:firstLineChars="200"/>
        <w:rPr>
          <w:rFonts w:ascii="Times New Roman" w:hAnsi="Times New Roman" w:eastAsia="宋体" w:cs="Times New Roman"/>
          <w:color w:val="000000" w:themeColor="text1"/>
          <w:szCs w:val="21"/>
          <w:u w:color="FF0000"/>
          <w14:textFill>
            <w14:solidFill>
              <w14:schemeClr w14:val="tx1"/>
            </w14:solidFill>
          </w14:textFill>
        </w:rPr>
      </w:pPr>
    </w:p>
    <w:p w14:paraId="0E4368D1">
      <w:pPr>
        <w:spacing w:line="360" w:lineRule="auto"/>
        <w:ind w:firstLine="420" w:firstLineChars="200"/>
        <w:rPr>
          <w:rFonts w:ascii="Times New Roman" w:hAnsi="Times New Roman" w:eastAsia="宋体" w:cs="Times New Roman"/>
          <w:color w:val="000000" w:themeColor="text1"/>
          <w:szCs w:val="21"/>
          <w:u w:color="FF0000"/>
          <w14:textFill>
            <w14:solidFill>
              <w14:schemeClr w14:val="tx1"/>
            </w14:solidFill>
          </w14:textFill>
        </w:rPr>
      </w:pPr>
    </w:p>
    <w:p w14:paraId="4B18DFE9">
      <w:pPr>
        <w:jc w:val="left"/>
        <w:rPr>
          <w:rFonts w:ascii="Times New Roman" w:hAnsi="Times New Roman" w:eastAsia="宋体" w:cs="Times New Roman"/>
          <w:color w:val="000000" w:themeColor="text1"/>
          <w:szCs w:val="21"/>
          <w:u w:color="FF0000"/>
          <w14:textFill>
            <w14:solidFill>
              <w14:schemeClr w14:val="tx1"/>
            </w14:solidFill>
          </w14:textFill>
        </w:rPr>
      </w:pPr>
      <w:r>
        <w:rPr>
          <w:rFonts w:ascii="Times New Roman" w:hAnsi="Times New Roman" w:eastAsia="宋体" w:cs="Times New Roman"/>
          <w:color w:val="000000" w:themeColor="text1"/>
          <w:szCs w:val="21"/>
          <w:u w:color="FF0000"/>
          <w14:textFill>
            <w14:solidFill>
              <w14:schemeClr w14:val="tx1"/>
            </w14:solidFill>
          </w14:textFill>
        </w:rPr>
        <w:br w:type="page"/>
      </w:r>
    </w:p>
    <w:p w14:paraId="1452BA26">
      <w:pPr>
        <w:spacing w:before="156" w:beforeLines="50" w:after="156" w:afterLines="50" w:line="360" w:lineRule="auto"/>
        <w:jc w:val="center"/>
        <w:rPr>
          <w:rFonts w:hint="eastAsia" w:ascii="黑体" w:hAnsi="黑体" w:eastAsia="黑体" w:cs="Times New Roman"/>
          <w:color w:val="000000" w:themeColor="text1"/>
          <w:sz w:val="28"/>
          <w:szCs w:val="21"/>
          <w:u w:color="FF0000"/>
          <w14:textFill>
            <w14:solidFill>
              <w14:schemeClr w14:val="tx1"/>
            </w14:solidFill>
          </w14:textFill>
        </w:rPr>
      </w:pPr>
      <w:r>
        <w:rPr>
          <w:rFonts w:hint="eastAsia" w:ascii="黑体" w:hAnsi="黑体" w:eastAsia="黑体" w:cs="Times New Roman"/>
          <w:color w:val="000000" w:themeColor="text1"/>
          <w:sz w:val="28"/>
          <w:szCs w:val="21"/>
          <w:u w:color="FF0000"/>
          <w14:textFill>
            <w14:solidFill>
              <w14:schemeClr w14:val="tx1"/>
            </w14:solidFill>
          </w14:textFill>
        </w:rPr>
        <w:t>具备履行合同所必需的货物和专业技术能力的书面声明</w:t>
      </w:r>
    </w:p>
    <w:p w14:paraId="44BC08BD">
      <w:pPr>
        <w:spacing w:line="460" w:lineRule="exact"/>
        <w:ind w:firstLine="492"/>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bCs/>
          <w:color w:val="000000" w:themeColor="text1"/>
          <w:sz w:val="24"/>
          <w:szCs w:val="24"/>
          <w14:textFill>
            <w14:solidFill>
              <w14:schemeClr w14:val="tx1"/>
            </w14:solidFill>
          </w14:textFill>
        </w:rPr>
        <w:t>我公司郑重声明：我公司具备履行本项采购合同所必需的</w:t>
      </w:r>
      <w:r>
        <w:rPr>
          <w:rFonts w:hint="eastAsia" w:ascii="Times New Roman" w:hAnsi="Times New Roman" w:cs="Times New Roman"/>
          <w:bCs/>
          <w:color w:val="000000" w:themeColor="text1"/>
          <w:sz w:val="24"/>
          <w:szCs w:val="24"/>
          <w14:textFill>
            <w14:solidFill>
              <w14:schemeClr w14:val="tx1"/>
            </w14:solidFill>
          </w14:textFill>
        </w:rPr>
        <w:t>货物</w:t>
      </w:r>
      <w:r>
        <w:rPr>
          <w:rFonts w:ascii="Times New Roman" w:hAnsi="Times New Roman" w:cs="Times New Roman"/>
          <w:bCs/>
          <w:color w:val="000000" w:themeColor="text1"/>
          <w:sz w:val="24"/>
          <w:szCs w:val="24"/>
          <w14:textFill>
            <w14:solidFill>
              <w14:schemeClr w14:val="tx1"/>
            </w14:solidFill>
          </w14:textFill>
        </w:rPr>
        <w:t>和专业技术能力，为履行本项采购合同我公司具备如下主要</w:t>
      </w:r>
      <w:r>
        <w:rPr>
          <w:rFonts w:hint="eastAsia" w:ascii="Times New Roman" w:hAnsi="Times New Roman" w:cs="Times New Roman"/>
          <w:bCs/>
          <w:color w:val="000000" w:themeColor="text1"/>
          <w:sz w:val="24"/>
          <w:szCs w:val="24"/>
          <w14:textFill>
            <w14:solidFill>
              <w14:schemeClr w14:val="tx1"/>
            </w14:solidFill>
          </w14:textFill>
        </w:rPr>
        <w:t>货物</w:t>
      </w:r>
      <w:r>
        <w:rPr>
          <w:rFonts w:ascii="Times New Roman" w:hAnsi="Times New Roman" w:cs="Times New Roman"/>
          <w:bCs/>
          <w:color w:val="000000" w:themeColor="text1"/>
          <w:sz w:val="24"/>
          <w:szCs w:val="24"/>
          <w14:textFill>
            <w14:solidFill>
              <w14:schemeClr w14:val="tx1"/>
            </w14:solidFill>
          </w14:textFill>
        </w:rPr>
        <w:t>和主要专业技术能力：</w:t>
      </w:r>
    </w:p>
    <w:p w14:paraId="7CA818B1">
      <w:pPr>
        <w:spacing w:line="460" w:lineRule="exact"/>
        <w:ind w:firstLine="492"/>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bCs/>
          <w:color w:val="000000" w:themeColor="text1"/>
          <w:sz w:val="24"/>
          <w:szCs w:val="24"/>
          <w14:textFill>
            <w14:solidFill>
              <w14:schemeClr w14:val="tx1"/>
            </w14:solidFill>
          </w14:textFill>
        </w:rPr>
        <w:t>主要</w:t>
      </w:r>
      <w:r>
        <w:rPr>
          <w:rFonts w:hint="eastAsia" w:ascii="Times New Roman" w:hAnsi="Times New Roman" w:cs="Times New Roman"/>
          <w:bCs/>
          <w:color w:val="000000" w:themeColor="text1"/>
          <w:sz w:val="24"/>
          <w:szCs w:val="24"/>
          <w14:textFill>
            <w14:solidFill>
              <w14:schemeClr w14:val="tx1"/>
            </w14:solidFill>
          </w14:textFill>
        </w:rPr>
        <w:t>货物</w:t>
      </w:r>
      <w:r>
        <w:rPr>
          <w:rFonts w:ascii="Times New Roman" w:hAnsi="Times New Roman" w:cs="Times New Roman"/>
          <w:bCs/>
          <w:color w:val="000000" w:themeColor="text1"/>
          <w:sz w:val="24"/>
          <w:szCs w:val="24"/>
          <w14:textFill>
            <w14:solidFill>
              <w14:schemeClr w14:val="tx1"/>
            </w14:solidFill>
          </w14:textFill>
        </w:rPr>
        <w:t>有：  。</w:t>
      </w:r>
    </w:p>
    <w:p w14:paraId="57C83CEE">
      <w:pPr>
        <w:spacing w:line="460" w:lineRule="exact"/>
        <w:ind w:firstLine="492"/>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bCs/>
          <w:color w:val="000000" w:themeColor="text1"/>
          <w:sz w:val="24"/>
          <w:szCs w:val="24"/>
          <w14:textFill>
            <w14:solidFill>
              <w14:schemeClr w14:val="tx1"/>
            </w14:solidFill>
          </w14:textFill>
        </w:rPr>
        <w:t>主要专业技术能力有：   。</w:t>
      </w:r>
    </w:p>
    <w:p w14:paraId="37D64F67">
      <w:pPr>
        <w:spacing w:line="460" w:lineRule="exact"/>
        <w:ind w:firstLine="492"/>
        <w:rPr>
          <w:rFonts w:ascii="Times New Roman" w:hAnsi="Times New Roman" w:cs="Times New Roman"/>
          <w:bCs/>
          <w:color w:val="000000" w:themeColor="text1"/>
          <w:sz w:val="24"/>
          <w:szCs w:val="24"/>
          <w14:textFill>
            <w14:solidFill>
              <w14:schemeClr w14:val="tx1"/>
            </w14:solidFill>
          </w14:textFill>
        </w:rPr>
      </w:pPr>
    </w:p>
    <w:p w14:paraId="33B0ED33">
      <w:pPr>
        <w:adjustRightInd w:val="0"/>
        <w:snapToGrid w:val="0"/>
        <w:spacing w:line="420" w:lineRule="exact"/>
        <w:ind w:firstLine="480" w:firstLineChars="20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bCs/>
          <w:color w:val="000000" w:themeColor="text1"/>
          <w:sz w:val="24"/>
          <w:szCs w:val="24"/>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声明人：</w:t>
      </w:r>
      <w:r>
        <w:rPr>
          <w:rFonts w:hint="eastAsia" w:ascii="Times New Roman" w:hAnsi="Times New Roman" w:cs="Times New Roman"/>
          <w:color w:val="000000" w:themeColor="text1"/>
          <w:sz w:val="24"/>
          <w:szCs w:val="24"/>
          <w:u w:val="single"/>
          <w14:textFill>
            <w14:solidFill>
              <w14:schemeClr w14:val="tx1"/>
            </w14:solidFill>
          </w14:textFill>
        </w:rPr>
        <w:t xml:space="preserve">                     </w:t>
      </w:r>
      <w:r>
        <w:rPr>
          <w:rFonts w:ascii="Times New Roman" w:hAnsi="Times New Roman" w:cs="Times New Roman"/>
          <w:color w:val="000000" w:themeColor="text1"/>
          <w:sz w:val="24"/>
          <w:szCs w:val="24"/>
          <w:u w:val="single"/>
          <w14:textFill>
            <w14:solidFill>
              <w14:schemeClr w14:val="tx1"/>
            </w14:solidFill>
          </w14:textFill>
        </w:rPr>
        <w:t xml:space="preserve">  </w:t>
      </w:r>
      <w:r>
        <w:rPr>
          <w:rFonts w:hint="eastAsia" w:ascii="Times New Roman" w:hAnsi="Times New Roman" w:cs="Times New Roman"/>
          <w:color w:val="000000" w:themeColor="text1"/>
          <w:sz w:val="24"/>
          <w:szCs w:val="24"/>
          <w:u w:val="single"/>
          <w14:textFill>
            <w14:solidFill>
              <w14:schemeClr w14:val="tx1"/>
            </w14:solidFill>
          </w14:textFill>
        </w:rPr>
        <w:t xml:space="preserve">     </w:t>
      </w:r>
    </w:p>
    <w:p w14:paraId="25887BA5">
      <w:pPr>
        <w:adjustRightInd w:val="0"/>
        <w:snapToGrid w:val="0"/>
        <w:spacing w:line="420" w:lineRule="exact"/>
        <w:ind w:firstLine="480" w:firstLineChars="20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                             法定代表人</w:t>
      </w:r>
      <w:r>
        <w:rPr>
          <w:rFonts w:ascii="Times New Roman" w:hAnsi="Times New Roman" w:cs="Times New Roman"/>
          <w:bCs/>
          <w:color w:val="000000" w:themeColor="text1"/>
          <w:sz w:val="24"/>
          <w:szCs w:val="24"/>
          <w14:textFill>
            <w14:solidFill>
              <w14:schemeClr w14:val="tx1"/>
            </w14:solidFill>
          </w14:textFill>
        </w:rPr>
        <w:t>（被授权人）</w:t>
      </w:r>
      <w:r>
        <w:rPr>
          <w:rFonts w:ascii="Times New Roman" w:hAnsi="Times New Roman" w:cs="Times New Roman"/>
          <w:color w:val="000000" w:themeColor="text1"/>
          <w:sz w:val="24"/>
          <w:szCs w:val="24"/>
          <w14:textFill>
            <w14:solidFill>
              <w14:schemeClr w14:val="tx1"/>
            </w14:solidFill>
          </w14:textFill>
        </w:rPr>
        <w:t>签字：</w:t>
      </w:r>
      <w:r>
        <w:rPr>
          <w:rFonts w:ascii="Times New Roman" w:hAnsi="Times New Roman" w:cs="Times New Roman"/>
          <w:color w:val="000000" w:themeColor="text1"/>
          <w:sz w:val="24"/>
          <w:szCs w:val="24"/>
          <w:u w:val="single"/>
          <w14:textFill>
            <w14:solidFill>
              <w14:schemeClr w14:val="tx1"/>
            </w14:solidFill>
          </w14:textFill>
        </w:rPr>
        <w:t xml:space="preserve">             </w:t>
      </w:r>
    </w:p>
    <w:p w14:paraId="7FFC32AB">
      <w:pPr>
        <w:spacing w:line="460" w:lineRule="exact"/>
        <w:ind w:firstLine="3960" w:firstLineChars="1650"/>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bCs/>
          <w:color w:val="000000" w:themeColor="text1"/>
          <w:sz w:val="24"/>
          <w:szCs w:val="24"/>
          <w14:textFill>
            <w14:solidFill>
              <w14:schemeClr w14:val="tx1"/>
            </w14:solidFill>
          </w14:textFill>
        </w:rPr>
        <w:t>日期：</w:t>
      </w:r>
      <w:r>
        <w:rPr>
          <w:rFonts w:ascii="Times New Roman" w:hAnsi="Times New Roman" w:cs="Times New Roman"/>
          <w:bCs/>
          <w:color w:val="000000" w:themeColor="text1"/>
          <w:sz w:val="24"/>
          <w:szCs w:val="24"/>
          <w:u w:val="single"/>
          <w14:textFill>
            <w14:solidFill>
              <w14:schemeClr w14:val="tx1"/>
            </w14:solidFill>
          </w14:textFill>
        </w:rPr>
        <w:t xml:space="preserve">       </w:t>
      </w:r>
      <w:r>
        <w:rPr>
          <w:rFonts w:ascii="Times New Roman" w:hAnsi="Times New Roman" w:cs="Times New Roman"/>
          <w:bCs/>
          <w:color w:val="000000" w:themeColor="text1"/>
          <w:sz w:val="24"/>
          <w:szCs w:val="24"/>
          <w14:textFill>
            <w14:solidFill>
              <w14:schemeClr w14:val="tx1"/>
            </w14:solidFill>
          </w14:textFill>
        </w:rPr>
        <w:t>年</w:t>
      </w:r>
      <w:r>
        <w:rPr>
          <w:rFonts w:ascii="Times New Roman" w:hAnsi="Times New Roman" w:cs="Times New Roman"/>
          <w:bCs/>
          <w:color w:val="000000" w:themeColor="text1"/>
          <w:sz w:val="24"/>
          <w:szCs w:val="24"/>
          <w:u w:val="single"/>
          <w14:textFill>
            <w14:solidFill>
              <w14:schemeClr w14:val="tx1"/>
            </w14:solidFill>
          </w14:textFill>
        </w:rPr>
        <w:t xml:space="preserve">    </w:t>
      </w:r>
      <w:r>
        <w:rPr>
          <w:rFonts w:ascii="Times New Roman" w:hAnsi="Times New Roman" w:cs="Times New Roman"/>
          <w:bCs/>
          <w:color w:val="000000" w:themeColor="text1"/>
          <w:sz w:val="24"/>
          <w:szCs w:val="24"/>
          <w14:textFill>
            <w14:solidFill>
              <w14:schemeClr w14:val="tx1"/>
            </w14:solidFill>
          </w14:textFill>
        </w:rPr>
        <w:t>月</w:t>
      </w:r>
      <w:r>
        <w:rPr>
          <w:rFonts w:ascii="Times New Roman" w:hAnsi="Times New Roman" w:cs="Times New Roman"/>
          <w:bCs/>
          <w:color w:val="000000" w:themeColor="text1"/>
          <w:sz w:val="24"/>
          <w:szCs w:val="24"/>
          <w:u w:val="single"/>
          <w14:textFill>
            <w14:solidFill>
              <w14:schemeClr w14:val="tx1"/>
            </w14:solidFill>
          </w14:textFill>
        </w:rPr>
        <w:t xml:space="preserve">    </w:t>
      </w:r>
      <w:r>
        <w:rPr>
          <w:rFonts w:ascii="Times New Roman" w:hAnsi="Times New Roman" w:cs="Times New Roman"/>
          <w:bCs/>
          <w:color w:val="000000" w:themeColor="text1"/>
          <w:sz w:val="24"/>
          <w:szCs w:val="24"/>
          <w14:textFill>
            <w14:solidFill>
              <w14:schemeClr w14:val="tx1"/>
            </w14:solidFill>
          </w14:textFill>
        </w:rPr>
        <w:t>日</w:t>
      </w:r>
    </w:p>
    <w:p w14:paraId="0930C023">
      <w:pPr>
        <w:spacing w:line="460" w:lineRule="exact"/>
        <w:rPr>
          <w:rFonts w:ascii="Times New Roman" w:hAnsi="Times New Roman" w:cs="Times New Roman"/>
          <w:bCs/>
          <w:color w:val="000000" w:themeColor="text1"/>
          <w:sz w:val="24"/>
          <w:szCs w:val="24"/>
          <w14:textFill>
            <w14:solidFill>
              <w14:schemeClr w14:val="tx1"/>
            </w14:solidFill>
          </w14:textFill>
        </w:rPr>
      </w:pPr>
    </w:p>
    <w:p w14:paraId="2E47B57D">
      <w:pPr>
        <w:spacing w:line="360" w:lineRule="auto"/>
        <w:ind w:firstLine="480" w:firstLineChars="200"/>
        <w:rPr>
          <w:rFonts w:ascii="Times New Roman" w:hAnsi="Times New Roman" w:eastAsia="宋体" w:cs="Times New Roman"/>
          <w:color w:val="000000" w:themeColor="text1"/>
          <w:sz w:val="24"/>
          <w:szCs w:val="24"/>
          <w:u w:color="FF0000"/>
          <w14:textFill>
            <w14:solidFill>
              <w14:schemeClr w14:val="tx1"/>
            </w14:solidFill>
          </w14:textFill>
        </w:rPr>
      </w:pPr>
    </w:p>
    <w:p w14:paraId="100A4DC9">
      <w:pPr>
        <w:spacing w:line="360" w:lineRule="auto"/>
        <w:ind w:firstLine="420" w:firstLineChars="200"/>
        <w:rPr>
          <w:rFonts w:ascii="Times New Roman" w:hAnsi="Times New Roman" w:eastAsia="宋体" w:cs="Times New Roman"/>
          <w:color w:val="000000" w:themeColor="text1"/>
          <w:szCs w:val="21"/>
          <w:u w:color="FF0000"/>
          <w14:textFill>
            <w14:solidFill>
              <w14:schemeClr w14:val="tx1"/>
            </w14:solidFill>
          </w14:textFill>
        </w:rPr>
      </w:pPr>
    </w:p>
    <w:p w14:paraId="7656D588">
      <w:pPr>
        <w:jc w:val="left"/>
        <w:rPr>
          <w:rFonts w:ascii="Times New Roman" w:hAnsi="Times New Roman" w:eastAsia="宋体" w:cs="Times New Roman"/>
          <w:color w:val="000000" w:themeColor="text1"/>
          <w:szCs w:val="21"/>
          <w:u w:color="FF0000"/>
          <w14:textFill>
            <w14:solidFill>
              <w14:schemeClr w14:val="tx1"/>
            </w14:solidFill>
          </w14:textFill>
        </w:rPr>
      </w:pPr>
      <w:r>
        <w:rPr>
          <w:rFonts w:ascii="Times New Roman" w:hAnsi="Times New Roman" w:eastAsia="宋体" w:cs="Times New Roman"/>
          <w:color w:val="000000" w:themeColor="text1"/>
          <w:szCs w:val="21"/>
          <w:u w:color="FF0000"/>
          <w14:textFill>
            <w14:solidFill>
              <w14:schemeClr w14:val="tx1"/>
            </w14:solidFill>
          </w14:textFill>
        </w:rPr>
        <w:br w:type="page"/>
      </w:r>
    </w:p>
    <w:p w14:paraId="7C4AC77A">
      <w:pPr>
        <w:adjustRightInd w:val="0"/>
        <w:snapToGrid w:val="0"/>
        <w:spacing w:before="156" w:beforeLines="50" w:after="156" w:afterLines="50" w:line="360" w:lineRule="auto"/>
        <w:jc w:val="center"/>
        <w:rPr>
          <w:rFonts w:hint="eastAsia" w:ascii="黑体" w:hAnsi="黑体" w:eastAsia="黑体" w:cs="Times New Roman"/>
          <w:color w:val="000000" w:themeColor="text1"/>
          <w:sz w:val="28"/>
          <w:szCs w:val="28"/>
          <w14:textFill>
            <w14:solidFill>
              <w14:schemeClr w14:val="tx1"/>
            </w14:solidFill>
          </w14:textFill>
        </w:rPr>
      </w:pPr>
      <w:r>
        <w:rPr>
          <w:rFonts w:ascii="黑体" w:hAnsi="黑体" w:eastAsia="黑体" w:cs="Times New Roman"/>
          <w:color w:val="000000" w:themeColor="text1"/>
          <w:sz w:val="28"/>
          <w:szCs w:val="28"/>
          <w14:textFill>
            <w14:solidFill>
              <w14:schemeClr w14:val="tx1"/>
            </w14:solidFill>
          </w14:textFill>
        </w:rPr>
        <w:t>无违法违规记录声明</w:t>
      </w:r>
    </w:p>
    <w:p w14:paraId="5BD383F0">
      <w:pPr>
        <w:adjustRightInd w:val="0"/>
        <w:snapToGrid w:val="0"/>
        <w:spacing w:line="420" w:lineRule="exact"/>
        <w:ind w:firstLine="480" w:firstLineChars="20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本单位在经营活动中没有违法违规记录，近三年内没有被司法部门或行业主管部门处罚，无被政府职能部门认定有行贿和欺诈行为。</w:t>
      </w:r>
    </w:p>
    <w:p w14:paraId="5C796853">
      <w:pPr>
        <w:adjustRightInd w:val="0"/>
        <w:snapToGrid w:val="0"/>
        <w:spacing w:line="420" w:lineRule="exact"/>
        <w:ind w:firstLine="480" w:firstLineChars="20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特此声明</w:t>
      </w:r>
      <w:r>
        <w:rPr>
          <w:rFonts w:hint="eastAsia" w:ascii="Times New Roman" w:hAnsi="Times New Roman" w:cs="Times New Roman"/>
          <w:color w:val="000000" w:themeColor="text1"/>
          <w:sz w:val="24"/>
          <w:szCs w:val="24"/>
          <w14:textFill>
            <w14:solidFill>
              <w14:schemeClr w14:val="tx1"/>
            </w14:solidFill>
          </w14:textFill>
        </w:rPr>
        <w:t>。</w:t>
      </w:r>
    </w:p>
    <w:p w14:paraId="38A425B3">
      <w:pPr>
        <w:adjustRightInd w:val="0"/>
        <w:snapToGrid w:val="0"/>
        <w:spacing w:line="420" w:lineRule="exact"/>
        <w:ind w:firstLine="480" w:firstLineChars="200"/>
        <w:rPr>
          <w:rFonts w:ascii="Times New Roman" w:hAnsi="Times New Roman" w:cs="Times New Roman"/>
          <w:color w:val="000000" w:themeColor="text1"/>
          <w:sz w:val="24"/>
          <w:szCs w:val="24"/>
          <w14:textFill>
            <w14:solidFill>
              <w14:schemeClr w14:val="tx1"/>
            </w14:solidFill>
          </w14:textFill>
        </w:rPr>
      </w:pPr>
    </w:p>
    <w:p w14:paraId="0C470CF0">
      <w:pPr>
        <w:adjustRightInd w:val="0"/>
        <w:snapToGrid w:val="0"/>
        <w:spacing w:line="420" w:lineRule="exact"/>
        <w:ind w:firstLine="480" w:firstLineChars="20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bCs/>
          <w:color w:val="000000" w:themeColor="text1"/>
          <w:sz w:val="24"/>
          <w:szCs w:val="24"/>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声明人：</w:t>
      </w:r>
      <w:r>
        <w:rPr>
          <w:rFonts w:hint="eastAsia" w:ascii="Times New Roman" w:hAnsi="Times New Roman" w:cs="Times New Roman"/>
          <w:color w:val="000000" w:themeColor="text1"/>
          <w:sz w:val="24"/>
          <w:szCs w:val="24"/>
          <w:u w:val="single"/>
          <w14:textFill>
            <w14:solidFill>
              <w14:schemeClr w14:val="tx1"/>
            </w14:solidFill>
          </w14:textFill>
        </w:rPr>
        <w:t xml:space="preserve">                     </w:t>
      </w:r>
      <w:r>
        <w:rPr>
          <w:rFonts w:ascii="Times New Roman" w:hAnsi="Times New Roman" w:cs="Times New Roman"/>
          <w:color w:val="000000" w:themeColor="text1"/>
          <w:sz w:val="24"/>
          <w:szCs w:val="24"/>
          <w:u w:val="single"/>
          <w14:textFill>
            <w14:solidFill>
              <w14:schemeClr w14:val="tx1"/>
            </w14:solidFill>
          </w14:textFill>
        </w:rPr>
        <w:t xml:space="preserve">  </w:t>
      </w:r>
      <w:r>
        <w:rPr>
          <w:rFonts w:hint="eastAsia" w:ascii="Times New Roman" w:hAnsi="Times New Roman" w:cs="Times New Roman"/>
          <w:color w:val="000000" w:themeColor="text1"/>
          <w:sz w:val="24"/>
          <w:szCs w:val="24"/>
          <w:u w:val="single"/>
          <w14:textFill>
            <w14:solidFill>
              <w14:schemeClr w14:val="tx1"/>
            </w14:solidFill>
          </w14:textFill>
        </w:rPr>
        <w:t xml:space="preserve">     </w:t>
      </w:r>
    </w:p>
    <w:p w14:paraId="1CC7FC8D">
      <w:pPr>
        <w:adjustRightInd w:val="0"/>
        <w:snapToGrid w:val="0"/>
        <w:spacing w:line="420" w:lineRule="exact"/>
        <w:ind w:firstLine="480" w:firstLineChars="20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                             法定代表人</w:t>
      </w:r>
      <w:r>
        <w:rPr>
          <w:rFonts w:ascii="Times New Roman" w:hAnsi="Times New Roman" w:cs="Times New Roman"/>
          <w:bCs/>
          <w:color w:val="000000" w:themeColor="text1"/>
          <w:sz w:val="24"/>
          <w:szCs w:val="24"/>
          <w14:textFill>
            <w14:solidFill>
              <w14:schemeClr w14:val="tx1"/>
            </w14:solidFill>
          </w14:textFill>
        </w:rPr>
        <w:t>（被授权人）</w:t>
      </w:r>
      <w:r>
        <w:rPr>
          <w:rFonts w:ascii="Times New Roman" w:hAnsi="Times New Roman" w:cs="Times New Roman"/>
          <w:color w:val="000000" w:themeColor="text1"/>
          <w:sz w:val="24"/>
          <w:szCs w:val="24"/>
          <w14:textFill>
            <w14:solidFill>
              <w14:schemeClr w14:val="tx1"/>
            </w14:solidFill>
          </w14:textFill>
        </w:rPr>
        <w:t>签字：</w:t>
      </w:r>
      <w:r>
        <w:rPr>
          <w:rFonts w:ascii="Times New Roman" w:hAnsi="Times New Roman" w:cs="Times New Roman"/>
          <w:color w:val="000000" w:themeColor="text1"/>
          <w:sz w:val="24"/>
          <w:szCs w:val="24"/>
          <w:u w:val="single"/>
          <w14:textFill>
            <w14:solidFill>
              <w14:schemeClr w14:val="tx1"/>
            </w14:solidFill>
          </w14:textFill>
        </w:rPr>
        <w:t xml:space="preserve">             </w:t>
      </w:r>
    </w:p>
    <w:p w14:paraId="3F306AE4">
      <w:pPr>
        <w:spacing w:line="460" w:lineRule="exact"/>
        <w:ind w:firstLine="3960" w:firstLineChars="1650"/>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bCs/>
          <w:color w:val="000000" w:themeColor="text1"/>
          <w:sz w:val="24"/>
          <w:szCs w:val="24"/>
          <w14:textFill>
            <w14:solidFill>
              <w14:schemeClr w14:val="tx1"/>
            </w14:solidFill>
          </w14:textFill>
        </w:rPr>
        <w:t>日期：</w:t>
      </w:r>
      <w:r>
        <w:rPr>
          <w:rFonts w:ascii="Times New Roman" w:hAnsi="Times New Roman" w:cs="Times New Roman"/>
          <w:bCs/>
          <w:color w:val="000000" w:themeColor="text1"/>
          <w:sz w:val="24"/>
          <w:szCs w:val="24"/>
          <w:u w:val="single"/>
          <w14:textFill>
            <w14:solidFill>
              <w14:schemeClr w14:val="tx1"/>
            </w14:solidFill>
          </w14:textFill>
        </w:rPr>
        <w:t xml:space="preserve">       </w:t>
      </w:r>
      <w:r>
        <w:rPr>
          <w:rFonts w:ascii="Times New Roman" w:hAnsi="Times New Roman" w:cs="Times New Roman"/>
          <w:bCs/>
          <w:color w:val="000000" w:themeColor="text1"/>
          <w:sz w:val="24"/>
          <w:szCs w:val="24"/>
          <w14:textFill>
            <w14:solidFill>
              <w14:schemeClr w14:val="tx1"/>
            </w14:solidFill>
          </w14:textFill>
        </w:rPr>
        <w:t>年</w:t>
      </w:r>
      <w:r>
        <w:rPr>
          <w:rFonts w:ascii="Times New Roman" w:hAnsi="Times New Roman" w:cs="Times New Roman"/>
          <w:bCs/>
          <w:color w:val="000000" w:themeColor="text1"/>
          <w:sz w:val="24"/>
          <w:szCs w:val="24"/>
          <w:u w:val="single"/>
          <w14:textFill>
            <w14:solidFill>
              <w14:schemeClr w14:val="tx1"/>
            </w14:solidFill>
          </w14:textFill>
        </w:rPr>
        <w:t xml:space="preserve">    </w:t>
      </w:r>
      <w:r>
        <w:rPr>
          <w:rFonts w:ascii="Times New Roman" w:hAnsi="Times New Roman" w:cs="Times New Roman"/>
          <w:bCs/>
          <w:color w:val="000000" w:themeColor="text1"/>
          <w:sz w:val="24"/>
          <w:szCs w:val="24"/>
          <w14:textFill>
            <w14:solidFill>
              <w14:schemeClr w14:val="tx1"/>
            </w14:solidFill>
          </w14:textFill>
        </w:rPr>
        <w:t>月</w:t>
      </w:r>
      <w:r>
        <w:rPr>
          <w:rFonts w:ascii="Times New Roman" w:hAnsi="Times New Roman" w:cs="Times New Roman"/>
          <w:bCs/>
          <w:color w:val="000000" w:themeColor="text1"/>
          <w:sz w:val="24"/>
          <w:szCs w:val="24"/>
          <w:u w:val="single"/>
          <w14:textFill>
            <w14:solidFill>
              <w14:schemeClr w14:val="tx1"/>
            </w14:solidFill>
          </w14:textFill>
        </w:rPr>
        <w:t xml:space="preserve">    </w:t>
      </w:r>
      <w:r>
        <w:rPr>
          <w:rFonts w:ascii="Times New Roman" w:hAnsi="Times New Roman" w:cs="Times New Roman"/>
          <w:bCs/>
          <w:color w:val="000000" w:themeColor="text1"/>
          <w:sz w:val="24"/>
          <w:szCs w:val="24"/>
          <w14:textFill>
            <w14:solidFill>
              <w14:schemeClr w14:val="tx1"/>
            </w14:solidFill>
          </w14:textFill>
        </w:rPr>
        <w:t>日</w:t>
      </w:r>
    </w:p>
    <w:p w14:paraId="3F81731C">
      <w:pPr>
        <w:spacing w:line="360" w:lineRule="auto"/>
        <w:ind w:firstLine="420" w:firstLineChars="200"/>
        <w:rPr>
          <w:rFonts w:ascii="Times New Roman" w:hAnsi="Times New Roman" w:eastAsia="宋体" w:cs="Times New Roman"/>
          <w:color w:val="000000" w:themeColor="text1"/>
          <w:szCs w:val="21"/>
          <w:u w:color="FF0000"/>
          <w14:textFill>
            <w14:solidFill>
              <w14:schemeClr w14:val="tx1"/>
            </w14:solidFill>
          </w14:textFill>
        </w:rPr>
      </w:pPr>
    </w:p>
    <w:p w14:paraId="6429E18C">
      <w:pPr>
        <w:spacing w:line="360" w:lineRule="auto"/>
        <w:ind w:firstLine="420" w:firstLineChars="200"/>
        <w:rPr>
          <w:rFonts w:ascii="Times New Roman" w:hAnsi="Times New Roman" w:eastAsia="宋体" w:cs="Times New Roman"/>
          <w:color w:val="000000" w:themeColor="text1"/>
          <w:szCs w:val="21"/>
          <w:u w:color="FF0000"/>
          <w14:textFill>
            <w14:solidFill>
              <w14:schemeClr w14:val="tx1"/>
            </w14:solidFill>
          </w14:textFill>
        </w:rPr>
      </w:pPr>
    </w:p>
    <w:p w14:paraId="35BE92AC">
      <w:pPr>
        <w:jc w:val="left"/>
        <w:rPr>
          <w:rFonts w:ascii="Times New Roman" w:hAnsi="Times New Roman" w:eastAsia="宋体" w:cs="Times New Roman"/>
          <w:color w:val="000000" w:themeColor="text1"/>
          <w:szCs w:val="21"/>
          <w:u w:color="FF0000"/>
          <w14:textFill>
            <w14:solidFill>
              <w14:schemeClr w14:val="tx1"/>
            </w14:solidFill>
          </w14:textFill>
        </w:rPr>
      </w:pPr>
      <w:r>
        <w:rPr>
          <w:rFonts w:ascii="Times New Roman" w:hAnsi="Times New Roman" w:eastAsia="黑体" w:cs="Times New Roman"/>
          <w:color w:val="000000" w:themeColor="text1"/>
          <w:sz w:val="24"/>
          <w:szCs w:val="24"/>
          <w:u w:color="000000"/>
          <w14:textFill>
            <w14:solidFill>
              <w14:schemeClr w14:val="tx1"/>
            </w14:solidFill>
          </w14:textFill>
        </w:rPr>
        <w:br w:type="page"/>
      </w:r>
    </w:p>
    <w:p w14:paraId="6B0DB004">
      <w:pPr>
        <w:tabs>
          <w:tab w:val="left" w:pos="576"/>
        </w:tabs>
        <w:spacing w:before="156" w:beforeLines="50" w:after="156" w:afterLines="50" w:line="360" w:lineRule="auto"/>
        <w:outlineLvl w:val="2"/>
        <w:rPr>
          <w:rFonts w:ascii="Times New Roman" w:hAnsi="Times New Roman" w:eastAsia="黑体" w:cs="Times New Roman"/>
          <w:color w:val="000000" w:themeColor="text1"/>
          <w:sz w:val="24"/>
          <w:szCs w:val="24"/>
          <w:u w:color="000000"/>
          <w14:textFill>
            <w14:solidFill>
              <w14:schemeClr w14:val="tx1"/>
            </w14:solidFill>
          </w14:textFill>
        </w:rPr>
      </w:pPr>
      <w:bookmarkStart w:id="78" w:name="_Toc11859495"/>
      <w:r>
        <w:rPr>
          <w:rFonts w:ascii="Times New Roman" w:hAnsi="Times New Roman" w:eastAsia="黑体" w:cs="Times New Roman"/>
          <w:color w:val="000000" w:themeColor="text1"/>
          <w:sz w:val="24"/>
          <w:szCs w:val="24"/>
          <w:u w:color="000000"/>
          <w14:textFill>
            <w14:solidFill>
              <w14:schemeClr w14:val="tx1"/>
            </w14:solidFill>
          </w14:textFill>
        </w:rPr>
        <w:t xml:space="preserve">6.5 </w:t>
      </w:r>
      <w:r>
        <w:rPr>
          <w:rFonts w:hint="eastAsia" w:ascii="Times New Roman" w:hAnsi="Times New Roman" w:eastAsia="黑体" w:cs="Times New Roman"/>
          <w:color w:val="000000" w:themeColor="text1"/>
          <w:sz w:val="24"/>
          <w:szCs w:val="24"/>
          <w:u w:color="000000"/>
          <w14:textFill>
            <w14:solidFill>
              <w14:schemeClr w14:val="tx1"/>
            </w14:solidFill>
          </w14:textFill>
        </w:rPr>
        <w:t>商务条款响应及偏离表</w:t>
      </w:r>
      <w:bookmarkEnd w:id="78"/>
    </w:p>
    <w:p w14:paraId="07267A00">
      <w:pPr>
        <w:spacing w:before="156" w:beforeLines="50" w:after="156" w:afterLines="50" w:line="360" w:lineRule="auto"/>
        <w:jc w:val="center"/>
        <w:rPr>
          <w:rFonts w:hint="eastAsia" w:ascii="黑体" w:hAnsi="黑体" w:eastAsia="黑体" w:cs="Times New Roman"/>
          <w:bCs/>
          <w:color w:val="000000" w:themeColor="text1"/>
          <w:sz w:val="28"/>
          <w:szCs w:val="28"/>
          <w:u w:color="000000"/>
          <w:lang w:val="zh-TW"/>
          <w14:textFill>
            <w14:solidFill>
              <w14:schemeClr w14:val="tx1"/>
            </w14:solidFill>
          </w14:textFill>
        </w:rPr>
      </w:pPr>
      <w:r>
        <w:rPr>
          <w:rFonts w:hint="eastAsia" w:ascii="黑体" w:hAnsi="黑体" w:eastAsia="黑体" w:cs="Times New Roman"/>
          <w:bCs/>
          <w:color w:val="000000" w:themeColor="text1"/>
          <w:sz w:val="28"/>
          <w:szCs w:val="28"/>
          <w:u w:color="000000"/>
          <w:lang w:val="zh-TW"/>
          <w14:textFill>
            <w14:solidFill>
              <w14:schemeClr w14:val="tx1"/>
            </w14:solidFill>
          </w14:textFill>
        </w:rPr>
        <w:t>商务条款响应及偏离表</w:t>
      </w:r>
    </w:p>
    <w:p w14:paraId="6A22FEE1">
      <w:pPr>
        <w:spacing w:line="36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投标人全称</w:t>
      </w:r>
      <w:r>
        <w:rPr>
          <w:rFonts w:hint="eastAsia" w:ascii="Times New Roman" w:hAnsi="Times New Roman" w:cs="Times New Roman"/>
          <w:color w:val="000000" w:themeColor="text1"/>
          <w:sz w:val="24"/>
          <w:szCs w:val="24"/>
          <w14:textFill>
            <w14:solidFill>
              <w14:schemeClr w14:val="tx1"/>
            </w14:solidFill>
          </w14:textFill>
        </w:rPr>
        <w:t>（投标人公章）：</w:t>
      </w:r>
      <w:r>
        <w:rPr>
          <w:rFonts w:ascii="Times New Roman" w:hAnsi="Times New Roman" w:cs="Times New Roman"/>
          <w:color w:val="000000" w:themeColor="text1"/>
          <w:sz w:val="24"/>
          <w:szCs w:val="24"/>
          <w:u w:val="single"/>
          <w14:textFill>
            <w14:solidFill>
              <w14:schemeClr w14:val="tx1"/>
            </w14:solidFill>
          </w14:textFill>
        </w:rPr>
        <w:t xml:space="preserve">                     </w:t>
      </w:r>
    </w:p>
    <w:p w14:paraId="5B98F65F">
      <w:pPr>
        <w:spacing w:line="36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项目名称：</w:t>
      </w:r>
      <w:r>
        <w:rPr>
          <w:rFonts w:ascii="Times New Roman" w:hAnsi="Times New Roman" w:cs="Times New Roman"/>
          <w:color w:val="000000" w:themeColor="text1"/>
          <w:sz w:val="24"/>
          <w:szCs w:val="24"/>
          <w:u w:val="single"/>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 xml:space="preserve"> </w:t>
      </w:r>
    </w:p>
    <w:tbl>
      <w:tblPr>
        <w:tblStyle w:val="28"/>
        <w:tblW w:w="936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76"/>
        <w:gridCol w:w="2976"/>
        <w:gridCol w:w="1985"/>
        <w:gridCol w:w="1843"/>
        <w:gridCol w:w="1687"/>
      </w:tblGrid>
      <w:tr w14:paraId="572294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2" w:hRule="atLeast"/>
          <w:jc w:val="center"/>
        </w:trPr>
        <w:tc>
          <w:tcPr>
            <w:tcW w:w="876" w:type="dxa"/>
            <w:vAlign w:val="center"/>
          </w:tcPr>
          <w:p w14:paraId="1630854A">
            <w:pPr>
              <w:pStyle w:val="52"/>
              <w:widowControl w:val="0"/>
              <w:snapToGrid w:val="0"/>
              <w:jc w:val="center"/>
              <w:rPr>
                <w:rFonts w:ascii="Times New Roman" w:cs="Times New Roman"/>
                <w:color w:val="000000" w:themeColor="text1"/>
                <w:kern w:val="2"/>
                <w14:textFill>
                  <w14:solidFill>
                    <w14:schemeClr w14:val="tx1"/>
                  </w14:solidFill>
                </w14:textFill>
              </w:rPr>
            </w:pPr>
            <w:r>
              <w:rPr>
                <w:rFonts w:hint="eastAsia" w:ascii="Times New Roman" w:cs="Times New Roman"/>
                <w:color w:val="000000" w:themeColor="text1"/>
                <w:kern w:val="2"/>
                <w14:textFill>
                  <w14:solidFill>
                    <w14:schemeClr w14:val="tx1"/>
                  </w14:solidFill>
                </w14:textFill>
              </w:rPr>
              <w:t>序号</w:t>
            </w:r>
          </w:p>
        </w:tc>
        <w:tc>
          <w:tcPr>
            <w:tcW w:w="2976" w:type="dxa"/>
            <w:vAlign w:val="center"/>
          </w:tcPr>
          <w:p w14:paraId="5E761523">
            <w:pPr>
              <w:pStyle w:val="52"/>
              <w:widowControl w:val="0"/>
              <w:snapToGrid w:val="0"/>
              <w:jc w:val="center"/>
              <w:rPr>
                <w:rFonts w:ascii="Times New Roman" w:cs="Times New Roman"/>
                <w:color w:val="000000" w:themeColor="text1"/>
                <w:kern w:val="2"/>
                <w14:textFill>
                  <w14:solidFill>
                    <w14:schemeClr w14:val="tx1"/>
                  </w14:solidFill>
                </w14:textFill>
              </w:rPr>
            </w:pPr>
            <w:r>
              <w:rPr>
                <w:rFonts w:hint="eastAsia" w:ascii="Times New Roman" w:cs="Times New Roman"/>
                <w:color w:val="000000" w:themeColor="text1"/>
                <w:kern w:val="2"/>
                <w14:textFill>
                  <w14:solidFill>
                    <w14:schemeClr w14:val="tx1"/>
                  </w14:solidFill>
                </w14:textFill>
              </w:rPr>
              <w:t>项目</w:t>
            </w:r>
          </w:p>
        </w:tc>
        <w:tc>
          <w:tcPr>
            <w:tcW w:w="1985" w:type="dxa"/>
            <w:vAlign w:val="center"/>
          </w:tcPr>
          <w:p w14:paraId="7315D4D3">
            <w:pPr>
              <w:pStyle w:val="52"/>
              <w:widowControl w:val="0"/>
              <w:snapToGrid w:val="0"/>
              <w:jc w:val="center"/>
              <w:rPr>
                <w:rFonts w:ascii="Times New Roman" w:cs="Times New Roman"/>
                <w:color w:val="000000" w:themeColor="text1"/>
                <w:kern w:val="2"/>
                <w14:textFill>
                  <w14:solidFill>
                    <w14:schemeClr w14:val="tx1"/>
                  </w14:solidFill>
                </w14:textFill>
              </w:rPr>
            </w:pPr>
            <w:r>
              <w:rPr>
                <w:rFonts w:hint="eastAsia" w:ascii="Times New Roman" w:cs="Times New Roman"/>
                <w:color w:val="000000" w:themeColor="text1"/>
                <w:kern w:val="2"/>
                <w14:textFill>
                  <w14:solidFill>
                    <w14:schemeClr w14:val="tx1"/>
                  </w14:solidFill>
                </w14:textFill>
              </w:rPr>
              <w:t>采购文件要求</w:t>
            </w:r>
          </w:p>
        </w:tc>
        <w:tc>
          <w:tcPr>
            <w:tcW w:w="1843" w:type="dxa"/>
            <w:vAlign w:val="center"/>
          </w:tcPr>
          <w:p w14:paraId="27929F2F">
            <w:pPr>
              <w:pStyle w:val="52"/>
              <w:widowControl w:val="0"/>
              <w:snapToGrid w:val="0"/>
              <w:jc w:val="center"/>
              <w:rPr>
                <w:rFonts w:ascii="Times New Roman" w:cs="Times New Roman"/>
                <w:color w:val="000000" w:themeColor="text1"/>
                <w:kern w:val="2"/>
                <w14:textFill>
                  <w14:solidFill>
                    <w14:schemeClr w14:val="tx1"/>
                  </w14:solidFill>
                </w14:textFill>
              </w:rPr>
            </w:pPr>
            <w:r>
              <w:rPr>
                <w:rFonts w:hint="eastAsia" w:ascii="Times New Roman" w:cs="Times New Roman"/>
                <w:color w:val="000000" w:themeColor="text1"/>
                <w:kern w:val="2"/>
                <w14:textFill>
                  <w14:solidFill>
                    <w14:schemeClr w14:val="tx1"/>
                  </w14:solidFill>
                </w14:textFill>
              </w:rPr>
              <w:t>投标人的承诺或说明</w:t>
            </w:r>
          </w:p>
        </w:tc>
        <w:tc>
          <w:tcPr>
            <w:tcW w:w="1687" w:type="dxa"/>
            <w:vAlign w:val="center"/>
          </w:tcPr>
          <w:p w14:paraId="3EF1A3B8">
            <w:pPr>
              <w:pStyle w:val="52"/>
              <w:widowControl w:val="0"/>
              <w:snapToGrid w:val="0"/>
              <w:jc w:val="center"/>
              <w:rPr>
                <w:rFonts w:ascii="Times New Roman" w:cs="Times New Roman"/>
                <w:color w:val="000000" w:themeColor="text1"/>
                <w:kern w:val="2"/>
                <w14:textFill>
                  <w14:solidFill>
                    <w14:schemeClr w14:val="tx1"/>
                  </w14:solidFill>
                </w14:textFill>
              </w:rPr>
            </w:pPr>
            <w:r>
              <w:rPr>
                <w:rFonts w:hint="eastAsia" w:ascii="Times New Roman" w:cs="Times New Roman"/>
                <w:color w:val="000000" w:themeColor="text1"/>
                <w:kern w:val="2"/>
                <w14:textFill>
                  <w14:solidFill>
                    <w14:schemeClr w14:val="tx1"/>
                  </w14:solidFill>
                </w14:textFill>
              </w:rPr>
              <w:t>偏离情况</w:t>
            </w:r>
          </w:p>
        </w:tc>
      </w:tr>
      <w:tr w14:paraId="1BDF92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876" w:type="dxa"/>
            <w:vAlign w:val="center"/>
          </w:tcPr>
          <w:p w14:paraId="64B7FBB9">
            <w:pPr>
              <w:pStyle w:val="52"/>
              <w:widowControl w:val="0"/>
              <w:snapToGrid w:val="0"/>
              <w:jc w:val="center"/>
              <w:rPr>
                <w:rFonts w:ascii="Times New Roman" w:cs="Times New Roman"/>
                <w:color w:val="000000" w:themeColor="text1"/>
                <w:kern w:val="2"/>
                <w14:textFill>
                  <w14:solidFill>
                    <w14:schemeClr w14:val="tx1"/>
                  </w14:solidFill>
                </w14:textFill>
              </w:rPr>
            </w:pPr>
            <w:r>
              <w:rPr>
                <w:rFonts w:hint="eastAsia" w:ascii="Times New Roman" w:cs="Times New Roman"/>
                <w:color w:val="000000" w:themeColor="text1"/>
                <w:kern w:val="2"/>
                <w14:textFill>
                  <w14:solidFill>
                    <w14:schemeClr w14:val="tx1"/>
                  </w14:solidFill>
                </w14:textFill>
              </w:rPr>
              <w:t>1</w:t>
            </w:r>
          </w:p>
        </w:tc>
        <w:tc>
          <w:tcPr>
            <w:tcW w:w="2976" w:type="dxa"/>
            <w:vAlign w:val="center"/>
          </w:tcPr>
          <w:p w14:paraId="0140C7D2">
            <w:pPr>
              <w:pStyle w:val="52"/>
              <w:widowControl w:val="0"/>
              <w:snapToGrid w:val="0"/>
              <w:jc w:val="center"/>
              <w:rPr>
                <w:rFonts w:ascii="Times New Roman" w:cs="Times New Roman"/>
                <w:color w:val="000000" w:themeColor="text1"/>
                <w:kern w:val="2"/>
                <w14:textFill>
                  <w14:solidFill>
                    <w14:schemeClr w14:val="tx1"/>
                  </w14:solidFill>
                </w14:textFill>
              </w:rPr>
            </w:pPr>
          </w:p>
        </w:tc>
        <w:tc>
          <w:tcPr>
            <w:tcW w:w="1985" w:type="dxa"/>
            <w:vAlign w:val="center"/>
          </w:tcPr>
          <w:p w14:paraId="2D3E6E13">
            <w:pPr>
              <w:pStyle w:val="52"/>
              <w:widowControl w:val="0"/>
              <w:snapToGrid w:val="0"/>
              <w:jc w:val="center"/>
              <w:rPr>
                <w:rFonts w:ascii="Times New Roman" w:cs="Times New Roman"/>
                <w:color w:val="000000" w:themeColor="text1"/>
                <w:kern w:val="2"/>
                <w14:textFill>
                  <w14:solidFill>
                    <w14:schemeClr w14:val="tx1"/>
                  </w14:solidFill>
                </w14:textFill>
              </w:rPr>
            </w:pPr>
          </w:p>
        </w:tc>
        <w:tc>
          <w:tcPr>
            <w:tcW w:w="1843" w:type="dxa"/>
            <w:vAlign w:val="center"/>
          </w:tcPr>
          <w:p w14:paraId="4F119DE1">
            <w:pPr>
              <w:pStyle w:val="52"/>
              <w:widowControl w:val="0"/>
              <w:snapToGrid w:val="0"/>
              <w:jc w:val="center"/>
              <w:rPr>
                <w:rFonts w:ascii="Times New Roman" w:cs="Times New Roman"/>
                <w:color w:val="000000" w:themeColor="text1"/>
                <w:kern w:val="2"/>
                <w14:textFill>
                  <w14:solidFill>
                    <w14:schemeClr w14:val="tx1"/>
                  </w14:solidFill>
                </w14:textFill>
              </w:rPr>
            </w:pPr>
          </w:p>
        </w:tc>
        <w:tc>
          <w:tcPr>
            <w:tcW w:w="1687" w:type="dxa"/>
            <w:vAlign w:val="center"/>
          </w:tcPr>
          <w:p w14:paraId="71E290F2">
            <w:pPr>
              <w:pStyle w:val="52"/>
              <w:widowControl w:val="0"/>
              <w:snapToGrid w:val="0"/>
              <w:jc w:val="center"/>
              <w:rPr>
                <w:rFonts w:ascii="Times New Roman" w:cs="Times New Roman"/>
                <w:color w:val="000000" w:themeColor="text1"/>
                <w:kern w:val="2"/>
                <w14:textFill>
                  <w14:solidFill>
                    <w14:schemeClr w14:val="tx1"/>
                  </w14:solidFill>
                </w14:textFill>
              </w:rPr>
            </w:pPr>
          </w:p>
        </w:tc>
      </w:tr>
      <w:tr w14:paraId="73FF3B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876" w:type="dxa"/>
            <w:vAlign w:val="center"/>
          </w:tcPr>
          <w:p w14:paraId="6AF4780F">
            <w:pPr>
              <w:pStyle w:val="52"/>
              <w:widowControl w:val="0"/>
              <w:snapToGrid w:val="0"/>
              <w:jc w:val="center"/>
              <w:rPr>
                <w:rFonts w:ascii="Times New Roman" w:cs="Times New Roman"/>
                <w:color w:val="000000" w:themeColor="text1"/>
                <w:kern w:val="2"/>
                <w14:textFill>
                  <w14:solidFill>
                    <w14:schemeClr w14:val="tx1"/>
                  </w14:solidFill>
                </w14:textFill>
              </w:rPr>
            </w:pPr>
            <w:r>
              <w:rPr>
                <w:rFonts w:hint="eastAsia" w:ascii="Times New Roman" w:cs="Times New Roman"/>
                <w:color w:val="000000" w:themeColor="text1"/>
                <w:kern w:val="2"/>
                <w14:textFill>
                  <w14:solidFill>
                    <w14:schemeClr w14:val="tx1"/>
                  </w14:solidFill>
                </w14:textFill>
              </w:rPr>
              <w:t>2</w:t>
            </w:r>
          </w:p>
        </w:tc>
        <w:tc>
          <w:tcPr>
            <w:tcW w:w="2976" w:type="dxa"/>
            <w:vAlign w:val="center"/>
          </w:tcPr>
          <w:p w14:paraId="3FAED362">
            <w:pPr>
              <w:pStyle w:val="52"/>
              <w:widowControl w:val="0"/>
              <w:snapToGrid w:val="0"/>
              <w:jc w:val="center"/>
              <w:rPr>
                <w:rFonts w:ascii="Times New Roman" w:cs="Times New Roman"/>
                <w:color w:val="000000" w:themeColor="text1"/>
                <w:kern w:val="2"/>
                <w14:textFill>
                  <w14:solidFill>
                    <w14:schemeClr w14:val="tx1"/>
                  </w14:solidFill>
                </w14:textFill>
              </w:rPr>
            </w:pPr>
          </w:p>
        </w:tc>
        <w:tc>
          <w:tcPr>
            <w:tcW w:w="1985" w:type="dxa"/>
            <w:vAlign w:val="center"/>
          </w:tcPr>
          <w:p w14:paraId="30F01ADD">
            <w:pPr>
              <w:pStyle w:val="52"/>
              <w:widowControl w:val="0"/>
              <w:snapToGrid w:val="0"/>
              <w:jc w:val="center"/>
              <w:rPr>
                <w:rFonts w:ascii="Times New Roman" w:cs="Times New Roman"/>
                <w:color w:val="000000" w:themeColor="text1"/>
                <w:kern w:val="2"/>
                <w14:textFill>
                  <w14:solidFill>
                    <w14:schemeClr w14:val="tx1"/>
                  </w14:solidFill>
                </w14:textFill>
              </w:rPr>
            </w:pPr>
          </w:p>
        </w:tc>
        <w:tc>
          <w:tcPr>
            <w:tcW w:w="1843" w:type="dxa"/>
            <w:vAlign w:val="center"/>
          </w:tcPr>
          <w:p w14:paraId="064355F9">
            <w:pPr>
              <w:pStyle w:val="52"/>
              <w:widowControl w:val="0"/>
              <w:snapToGrid w:val="0"/>
              <w:jc w:val="center"/>
              <w:rPr>
                <w:rFonts w:ascii="Times New Roman" w:cs="Times New Roman"/>
                <w:color w:val="000000" w:themeColor="text1"/>
                <w:kern w:val="2"/>
                <w14:textFill>
                  <w14:solidFill>
                    <w14:schemeClr w14:val="tx1"/>
                  </w14:solidFill>
                </w14:textFill>
              </w:rPr>
            </w:pPr>
          </w:p>
        </w:tc>
        <w:tc>
          <w:tcPr>
            <w:tcW w:w="1687" w:type="dxa"/>
            <w:vAlign w:val="center"/>
          </w:tcPr>
          <w:p w14:paraId="6045E215">
            <w:pPr>
              <w:pStyle w:val="52"/>
              <w:widowControl w:val="0"/>
              <w:snapToGrid w:val="0"/>
              <w:jc w:val="center"/>
              <w:rPr>
                <w:rFonts w:ascii="Times New Roman" w:cs="Times New Roman"/>
                <w:color w:val="000000" w:themeColor="text1"/>
                <w:kern w:val="2"/>
                <w14:textFill>
                  <w14:solidFill>
                    <w14:schemeClr w14:val="tx1"/>
                  </w14:solidFill>
                </w14:textFill>
              </w:rPr>
            </w:pPr>
          </w:p>
        </w:tc>
      </w:tr>
      <w:tr w14:paraId="721EE2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876" w:type="dxa"/>
            <w:vAlign w:val="center"/>
          </w:tcPr>
          <w:p w14:paraId="219707AF">
            <w:pPr>
              <w:pStyle w:val="52"/>
              <w:widowControl w:val="0"/>
              <w:snapToGrid w:val="0"/>
              <w:jc w:val="center"/>
              <w:rPr>
                <w:rFonts w:ascii="Times New Roman" w:cs="Times New Roman"/>
                <w:color w:val="000000" w:themeColor="text1"/>
                <w:kern w:val="2"/>
                <w14:textFill>
                  <w14:solidFill>
                    <w14:schemeClr w14:val="tx1"/>
                  </w14:solidFill>
                </w14:textFill>
              </w:rPr>
            </w:pPr>
            <w:r>
              <w:rPr>
                <w:rFonts w:hint="eastAsia" w:ascii="Times New Roman" w:cs="Times New Roman"/>
                <w:color w:val="000000" w:themeColor="text1"/>
                <w:kern w:val="2"/>
                <w14:textFill>
                  <w14:solidFill>
                    <w14:schemeClr w14:val="tx1"/>
                  </w14:solidFill>
                </w14:textFill>
              </w:rPr>
              <w:t>3</w:t>
            </w:r>
          </w:p>
        </w:tc>
        <w:tc>
          <w:tcPr>
            <w:tcW w:w="2976" w:type="dxa"/>
            <w:vAlign w:val="center"/>
          </w:tcPr>
          <w:p w14:paraId="3A0E84A3">
            <w:pPr>
              <w:pStyle w:val="52"/>
              <w:widowControl w:val="0"/>
              <w:snapToGrid w:val="0"/>
              <w:jc w:val="center"/>
              <w:rPr>
                <w:rFonts w:ascii="Times New Roman" w:cs="Times New Roman"/>
                <w:color w:val="000000" w:themeColor="text1"/>
                <w:kern w:val="2"/>
                <w14:textFill>
                  <w14:solidFill>
                    <w14:schemeClr w14:val="tx1"/>
                  </w14:solidFill>
                </w14:textFill>
              </w:rPr>
            </w:pPr>
          </w:p>
        </w:tc>
        <w:tc>
          <w:tcPr>
            <w:tcW w:w="1985" w:type="dxa"/>
            <w:vAlign w:val="center"/>
          </w:tcPr>
          <w:p w14:paraId="5A0346AB">
            <w:pPr>
              <w:pStyle w:val="52"/>
              <w:widowControl w:val="0"/>
              <w:snapToGrid w:val="0"/>
              <w:jc w:val="center"/>
              <w:rPr>
                <w:rFonts w:ascii="Times New Roman" w:cs="Times New Roman"/>
                <w:color w:val="000000" w:themeColor="text1"/>
                <w:kern w:val="2"/>
                <w14:textFill>
                  <w14:solidFill>
                    <w14:schemeClr w14:val="tx1"/>
                  </w14:solidFill>
                </w14:textFill>
              </w:rPr>
            </w:pPr>
          </w:p>
        </w:tc>
        <w:tc>
          <w:tcPr>
            <w:tcW w:w="1843" w:type="dxa"/>
            <w:vAlign w:val="center"/>
          </w:tcPr>
          <w:p w14:paraId="4ABAE5B6">
            <w:pPr>
              <w:pStyle w:val="52"/>
              <w:widowControl w:val="0"/>
              <w:snapToGrid w:val="0"/>
              <w:jc w:val="center"/>
              <w:rPr>
                <w:rFonts w:ascii="Times New Roman" w:cs="Times New Roman"/>
                <w:color w:val="000000" w:themeColor="text1"/>
                <w:kern w:val="2"/>
                <w14:textFill>
                  <w14:solidFill>
                    <w14:schemeClr w14:val="tx1"/>
                  </w14:solidFill>
                </w14:textFill>
              </w:rPr>
            </w:pPr>
          </w:p>
        </w:tc>
        <w:tc>
          <w:tcPr>
            <w:tcW w:w="1687" w:type="dxa"/>
            <w:vAlign w:val="center"/>
          </w:tcPr>
          <w:p w14:paraId="7F0B5DEA">
            <w:pPr>
              <w:pStyle w:val="52"/>
              <w:widowControl w:val="0"/>
              <w:snapToGrid w:val="0"/>
              <w:jc w:val="center"/>
              <w:rPr>
                <w:rFonts w:ascii="Times New Roman" w:cs="Times New Roman"/>
                <w:color w:val="000000" w:themeColor="text1"/>
                <w:kern w:val="2"/>
                <w14:textFill>
                  <w14:solidFill>
                    <w14:schemeClr w14:val="tx1"/>
                  </w14:solidFill>
                </w14:textFill>
              </w:rPr>
            </w:pPr>
          </w:p>
        </w:tc>
      </w:tr>
      <w:tr w14:paraId="03F862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876" w:type="dxa"/>
            <w:vAlign w:val="center"/>
          </w:tcPr>
          <w:p w14:paraId="25DC8D66">
            <w:pPr>
              <w:pStyle w:val="52"/>
              <w:widowControl w:val="0"/>
              <w:snapToGrid w:val="0"/>
              <w:jc w:val="center"/>
              <w:rPr>
                <w:rFonts w:ascii="Times New Roman" w:cs="Times New Roman"/>
                <w:color w:val="000000" w:themeColor="text1"/>
                <w:kern w:val="2"/>
                <w14:textFill>
                  <w14:solidFill>
                    <w14:schemeClr w14:val="tx1"/>
                  </w14:solidFill>
                </w14:textFill>
              </w:rPr>
            </w:pPr>
            <w:r>
              <w:rPr>
                <w:rFonts w:hint="eastAsia" w:ascii="Times New Roman" w:cs="Times New Roman"/>
                <w:color w:val="000000" w:themeColor="text1"/>
                <w:kern w:val="2"/>
                <w14:textFill>
                  <w14:solidFill>
                    <w14:schemeClr w14:val="tx1"/>
                  </w14:solidFill>
                </w14:textFill>
              </w:rPr>
              <w:t>4</w:t>
            </w:r>
          </w:p>
        </w:tc>
        <w:tc>
          <w:tcPr>
            <w:tcW w:w="2976" w:type="dxa"/>
            <w:vAlign w:val="center"/>
          </w:tcPr>
          <w:p w14:paraId="19294B6A">
            <w:pPr>
              <w:pStyle w:val="52"/>
              <w:widowControl w:val="0"/>
              <w:snapToGrid w:val="0"/>
              <w:jc w:val="center"/>
              <w:rPr>
                <w:rFonts w:ascii="Times New Roman" w:cs="Times New Roman"/>
                <w:color w:val="000000" w:themeColor="text1"/>
                <w:kern w:val="2"/>
                <w14:textFill>
                  <w14:solidFill>
                    <w14:schemeClr w14:val="tx1"/>
                  </w14:solidFill>
                </w14:textFill>
              </w:rPr>
            </w:pPr>
          </w:p>
        </w:tc>
        <w:tc>
          <w:tcPr>
            <w:tcW w:w="1985" w:type="dxa"/>
            <w:vAlign w:val="center"/>
          </w:tcPr>
          <w:p w14:paraId="603ECE50">
            <w:pPr>
              <w:pStyle w:val="52"/>
              <w:widowControl w:val="0"/>
              <w:snapToGrid w:val="0"/>
              <w:jc w:val="center"/>
              <w:rPr>
                <w:rFonts w:ascii="Times New Roman" w:cs="Times New Roman"/>
                <w:color w:val="000000" w:themeColor="text1"/>
                <w:kern w:val="2"/>
                <w14:textFill>
                  <w14:solidFill>
                    <w14:schemeClr w14:val="tx1"/>
                  </w14:solidFill>
                </w14:textFill>
              </w:rPr>
            </w:pPr>
          </w:p>
        </w:tc>
        <w:tc>
          <w:tcPr>
            <w:tcW w:w="1843" w:type="dxa"/>
            <w:vAlign w:val="center"/>
          </w:tcPr>
          <w:p w14:paraId="647DC4BA">
            <w:pPr>
              <w:pStyle w:val="52"/>
              <w:widowControl w:val="0"/>
              <w:snapToGrid w:val="0"/>
              <w:jc w:val="center"/>
              <w:rPr>
                <w:rFonts w:ascii="Times New Roman" w:cs="Times New Roman"/>
                <w:color w:val="000000" w:themeColor="text1"/>
                <w:kern w:val="2"/>
                <w14:textFill>
                  <w14:solidFill>
                    <w14:schemeClr w14:val="tx1"/>
                  </w14:solidFill>
                </w14:textFill>
              </w:rPr>
            </w:pPr>
          </w:p>
        </w:tc>
        <w:tc>
          <w:tcPr>
            <w:tcW w:w="1687" w:type="dxa"/>
            <w:vAlign w:val="center"/>
          </w:tcPr>
          <w:p w14:paraId="47F10277">
            <w:pPr>
              <w:pStyle w:val="52"/>
              <w:widowControl w:val="0"/>
              <w:snapToGrid w:val="0"/>
              <w:jc w:val="center"/>
              <w:rPr>
                <w:rFonts w:ascii="Times New Roman" w:cs="Times New Roman"/>
                <w:color w:val="000000" w:themeColor="text1"/>
                <w:kern w:val="2"/>
                <w14:textFill>
                  <w14:solidFill>
                    <w14:schemeClr w14:val="tx1"/>
                  </w14:solidFill>
                </w14:textFill>
              </w:rPr>
            </w:pPr>
          </w:p>
        </w:tc>
      </w:tr>
      <w:tr w14:paraId="06F82D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876" w:type="dxa"/>
            <w:vAlign w:val="center"/>
          </w:tcPr>
          <w:p w14:paraId="6AE6B497">
            <w:pPr>
              <w:pStyle w:val="52"/>
              <w:widowControl w:val="0"/>
              <w:snapToGrid w:val="0"/>
              <w:jc w:val="center"/>
              <w:rPr>
                <w:rFonts w:ascii="Times New Roman" w:cs="Times New Roman"/>
                <w:color w:val="000000" w:themeColor="text1"/>
                <w:kern w:val="2"/>
                <w14:textFill>
                  <w14:solidFill>
                    <w14:schemeClr w14:val="tx1"/>
                  </w14:solidFill>
                </w14:textFill>
              </w:rPr>
            </w:pPr>
            <w:r>
              <w:rPr>
                <w:rFonts w:hint="eastAsia" w:ascii="Times New Roman" w:cs="Times New Roman"/>
                <w:color w:val="000000" w:themeColor="text1"/>
                <w:kern w:val="2"/>
                <w14:textFill>
                  <w14:solidFill>
                    <w14:schemeClr w14:val="tx1"/>
                  </w14:solidFill>
                </w14:textFill>
              </w:rPr>
              <w:t>5</w:t>
            </w:r>
          </w:p>
        </w:tc>
        <w:tc>
          <w:tcPr>
            <w:tcW w:w="2976" w:type="dxa"/>
            <w:vAlign w:val="center"/>
          </w:tcPr>
          <w:p w14:paraId="2FAAEFA1">
            <w:pPr>
              <w:pStyle w:val="52"/>
              <w:widowControl w:val="0"/>
              <w:snapToGrid w:val="0"/>
              <w:jc w:val="center"/>
              <w:rPr>
                <w:rFonts w:ascii="Times New Roman" w:cs="Times New Roman"/>
                <w:color w:val="000000" w:themeColor="text1"/>
                <w:kern w:val="2"/>
                <w14:textFill>
                  <w14:solidFill>
                    <w14:schemeClr w14:val="tx1"/>
                  </w14:solidFill>
                </w14:textFill>
              </w:rPr>
            </w:pPr>
          </w:p>
        </w:tc>
        <w:tc>
          <w:tcPr>
            <w:tcW w:w="1985" w:type="dxa"/>
            <w:vAlign w:val="center"/>
          </w:tcPr>
          <w:p w14:paraId="4BB7C72F">
            <w:pPr>
              <w:pStyle w:val="52"/>
              <w:widowControl w:val="0"/>
              <w:snapToGrid w:val="0"/>
              <w:jc w:val="center"/>
              <w:rPr>
                <w:rFonts w:ascii="Times New Roman" w:cs="Times New Roman"/>
                <w:color w:val="000000" w:themeColor="text1"/>
                <w:kern w:val="2"/>
                <w14:textFill>
                  <w14:solidFill>
                    <w14:schemeClr w14:val="tx1"/>
                  </w14:solidFill>
                </w14:textFill>
              </w:rPr>
            </w:pPr>
          </w:p>
        </w:tc>
        <w:tc>
          <w:tcPr>
            <w:tcW w:w="1843" w:type="dxa"/>
            <w:vAlign w:val="center"/>
          </w:tcPr>
          <w:p w14:paraId="64612BCA">
            <w:pPr>
              <w:pStyle w:val="52"/>
              <w:widowControl w:val="0"/>
              <w:snapToGrid w:val="0"/>
              <w:jc w:val="center"/>
              <w:rPr>
                <w:rFonts w:ascii="Times New Roman" w:cs="Times New Roman"/>
                <w:color w:val="000000" w:themeColor="text1"/>
                <w:kern w:val="2"/>
                <w14:textFill>
                  <w14:solidFill>
                    <w14:schemeClr w14:val="tx1"/>
                  </w14:solidFill>
                </w14:textFill>
              </w:rPr>
            </w:pPr>
          </w:p>
        </w:tc>
        <w:tc>
          <w:tcPr>
            <w:tcW w:w="1687" w:type="dxa"/>
            <w:vAlign w:val="center"/>
          </w:tcPr>
          <w:p w14:paraId="7ED9DCCA">
            <w:pPr>
              <w:pStyle w:val="52"/>
              <w:widowControl w:val="0"/>
              <w:snapToGrid w:val="0"/>
              <w:jc w:val="center"/>
              <w:rPr>
                <w:rFonts w:ascii="Times New Roman" w:cs="Times New Roman"/>
                <w:color w:val="000000" w:themeColor="text1"/>
                <w:kern w:val="2"/>
                <w14:textFill>
                  <w14:solidFill>
                    <w14:schemeClr w14:val="tx1"/>
                  </w14:solidFill>
                </w14:textFill>
              </w:rPr>
            </w:pPr>
          </w:p>
        </w:tc>
      </w:tr>
      <w:tr w14:paraId="6966DD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876" w:type="dxa"/>
            <w:vAlign w:val="center"/>
          </w:tcPr>
          <w:p w14:paraId="79FAC02A">
            <w:pPr>
              <w:pStyle w:val="52"/>
              <w:widowControl w:val="0"/>
              <w:snapToGrid w:val="0"/>
              <w:jc w:val="center"/>
              <w:rPr>
                <w:rFonts w:ascii="Times New Roman" w:cs="Times New Roman"/>
                <w:color w:val="000000" w:themeColor="text1"/>
                <w:kern w:val="2"/>
                <w14:textFill>
                  <w14:solidFill>
                    <w14:schemeClr w14:val="tx1"/>
                  </w14:solidFill>
                </w14:textFill>
              </w:rPr>
            </w:pPr>
            <w:r>
              <w:rPr>
                <w:rFonts w:hint="eastAsia" w:ascii="Times New Roman" w:cs="Times New Roman"/>
                <w:color w:val="000000" w:themeColor="text1"/>
                <w:kern w:val="2"/>
                <w14:textFill>
                  <w14:solidFill>
                    <w14:schemeClr w14:val="tx1"/>
                  </w14:solidFill>
                </w14:textFill>
              </w:rPr>
              <w:t>6</w:t>
            </w:r>
          </w:p>
        </w:tc>
        <w:tc>
          <w:tcPr>
            <w:tcW w:w="2976" w:type="dxa"/>
            <w:vAlign w:val="center"/>
          </w:tcPr>
          <w:p w14:paraId="23AB0D2F">
            <w:pPr>
              <w:pStyle w:val="52"/>
              <w:widowControl w:val="0"/>
              <w:snapToGrid w:val="0"/>
              <w:jc w:val="center"/>
              <w:rPr>
                <w:rFonts w:ascii="Times New Roman" w:cs="Times New Roman"/>
                <w:color w:val="000000" w:themeColor="text1"/>
                <w:kern w:val="2"/>
                <w14:textFill>
                  <w14:solidFill>
                    <w14:schemeClr w14:val="tx1"/>
                  </w14:solidFill>
                </w14:textFill>
              </w:rPr>
            </w:pPr>
          </w:p>
        </w:tc>
        <w:tc>
          <w:tcPr>
            <w:tcW w:w="1985" w:type="dxa"/>
            <w:vAlign w:val="center"/>
          </w:tcPr>
          <w:p w14:paraId="74259CB6">
            <w:pPr>
              <w:pStyle w:val="52"/>
              <w:widowControl w:val="0"/>
              <w:snapToGrid w:val="0"/>
              <w:jc w:val="center"/>
              <w:rPr>
                <w:rFonts w:ascii="Times New Roman" w:cs="Times New Roman"/>
                <w:color w:val="000000" w:themeColor="text1"/>
                <w:kern w:val="2"/>
                <w14:textFill>
                  <w14:solidFill>
                    <w14:schemeClr w14:val="tx1"/>
                  </w14:solidFill>
                </w14:textFill>
              </w:rPr>
            </w:pPr>
          </w:p>
        </w:tc>
        <w:tc>
          <w:tcPr>
            <w:tcW w:w="1843" w:type="dxa"/>
            <w:vAlign w:val="center"/>
          </w:tcPr>
          <w:p w14:paraId="61F9EDBF">
            <w:pPr>
              <w:pStyle w:val="52"/>
              <w:widowControl w:val="0"/>
              <w:snapToGrid w:val="0"/>
              <w:jc w:val="center"/>
              <w:rPr>
                <w:rFonts w:ascii="Times New Roman" w:cs="Times New Roman"/>
                <w:color w:val="000000" w:themeColor="text1"/>
                <w:kern w:val="2"/>
                <w14:textFill>
                  <w14:solidFill>
                    <w14:schemeClr w14:val="tx1"/>
                  </w14:solidFill>
                </w14:textFill>
              </w:rPr>
            </w:pPr>
          </w:p>
        </w:tc>
        <w:tc>
          <w:tcPr>
            <w:tcW w:w="1687" w:type="dxa"/>
            <w:vAlign w:val="center"/>
          </w:tcPr>
          <w:p w14:paraId="4C22AD80">
            <w:pPr>
              <w:pStyle w:val="52"/>
              <w:widowControl w:val="0"/>
              <w:snapToGrid w:val="0"/>
              <w:jc w:val="center"/>
              <w:rPr>
                <w:rFonts w:ascii="Times New Roman" w:cs="Times New Roman"/>
                <w:color w:val="000000" w:themeColor="text1"/>
                <w:kern w:val="2"/>
                <w14:textFill>
                  <w14:solidFill>
                    <w14:schemeClr w14:val="tx1"/>
                  </w14:solidFill>
                </w14:textFill>
              </w:rPr>
            </w:pPr>
          </w:p>
        </w:tc>
      </w:tr>
      <w:tr w14:paraId="6535B1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876" w:type="dxa"/>
            <w:vAlign w:val="center"/>
          </w:tcPr>
          <w:p w14:paraId="2A52BE9E">
            <w:pPr>
              <w:pStyle w:val="52"/>
              <w:widowControl w:val="0"/>
              <w:snapToGrid w:val="0"/>
              <w:jc w:val="center"/>
              <w:rPr>
                <w:rFonts w:ascii="Times New Roman" w:cs="Times New Roman"/>
                <w:color w:val="000000" w:themeColor="text1"/>
                <w:kern w:val="2"/>
                <w14:textFill>
                  <w14:solidFill>
                    <w14:schemeClr w14:val="tx1"/>
                  </w14:solidFill>
                </w14:textFill>
              </w:rPr>
            </w:pPr>
            <w:r>
              <w:rPr>
                <w:rFonts w:hint="eastAsia" w:ascii="Times New Roman" w:cs="Times New Roman"/>
                <w:color w:val="000000" w:themeColor="text1"/>
                <w:kern w:val="2"/>
                <w14:textFill>
                  <w14:solidFill>
                    <w14:schemeClr w14:val="tx1"/>
                  </w14:solidFill>
                </w14:textFill>
              </w:rPr>
              <w:t>7</w:t>
            </w:r>
          </w:p>
        </w:tc>
        <w:tc>
          <w:tcPr>
            <w:tcW w:w="2976" w:type="dxa"/>
            <w:vAlign w:val="center"/>
          </w:tcPr>
          <w:p w14:paraId="4367708A">
            <w:pPr>
              <w:pStyle w:val="52"/>
              <w:widowControl w:val="0"/>
              <w:snapToGrid w:val="0"/>
              <w:jc w:val="center"/>
              <w:rPr>
                <w:rFonts w:ascii="Times New Roman" w:cs="Times New Roman"/>
                <w:color w:val="000000" w:themeColor="text1"/>
                <w:kern w:val="2"/>
                <w14:textFill>
                  <w14:solidFill>
                    <w14:schemeClr w14:val="tx1"/>
                  </w14:solidFill>
                </w14:textFill>
              </w:rPr>
            </w:pPr>
          </w:p>
        </w:tc>
        <w:tc>
          <w:tcPr>
            <w:tcW w:w="1985" w:type="dxa"/>
            <w:vAlign w:val="center"/>
          </w:tcPr>
          <w:p w14:paraId="7255405C">
            <w:pPr>
              <w:pStyle w:val="52"/>
              <w:widowControl w:val="0"/>
              <w:snapToGrid w:val="0"/>
              <w:jc w:val="center"/>
              <w:rPr>
                <w:rFonts w:ascii="Times New Roman" w:cs="Times New Roman"/>
                <w:color w:val="000000" w:themeColor="text1"/>
                <w:kern w:val="2"/>
                <w14:textFill>
                  <w14:solidFill>
                    <w14:schemeClr w14:val="tx1"/>
                  </w14:solidFill>
                </w14:textFill>
              </w:rPr>
            </w:pPr>
          </w:p>
        </w:tc>
        <w:tc>
          <w:tcPr>
            <w:tcW w:w="1843" w:type="dxa"/>
            <w:vAlign w:val="center"/>
          </w:tcPr>
          <w:p w14:paraId="4B930EA5">
            <w:pPr>
              <w:pStyle w:val="52"/>
              <w:widowControl w:val="0"/>
              <w:snapToGrid w:val="0"/>
              <w:jc w:val="center"/>
              <w:rPr>
                <w:rFonts w:ascii="Times New Roman" w:cs="Times New Roman"/>
                <w:color w:val="000000" w:themeColor="text1"/>
                <w:kern w:val="2"/>
                <w14:textFill>
                  <w14:solidFill>
                    <w14:schemeClr w14:val="tx1"/>
                  </w14:solidFill>
                </w14:textFill>
              </w:rPr>
            </w:pPr>
          </w:p>
        </w:tc>
        <w:tc>
          <w:tcPr>
            <w:tcW w:w="1687" w:type="dxa"/>
            <w:vAlign w:val="center"/>
          </w:tcPr>
          <w:p w14:paraId="63A5A848">
            <w:pPr>
              <w:pStyle w:val="52"/>
              <w:widowControl w:val="0"/>
              <w:snapToGrid w:val="0"/>
              <w:jc w:val="center"/>
              <w:rPr>
                <w:rFonts w:ascii="Times New Roman" w:cs="Times New Roman"/>
                <w:color w:val="000000" w:themeColor="text1"/>
                <w:kern w:val="2"/>
                <w14:textFill>
                  <w14:solidFill>
                    <w14:schemeClr w14:val="tx1"/>
                  </w14:solidFill>
                </w14:textFill>
              </w:rPr>
            </w:pPr>
          </w:p>
        </w:tc>
      </w:tr>
      <w:tr w14:paraId="34B810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876" w:type="dxa"/>
            <w:vAlign w:val="center"/>
          </w:tcPr>
          <w:p w14:paraId="57F73D17">
            <w:pPr>
              <w:pStyle w:val="52"/>
              <w:widowControl w:val="0"/>
              <w:snapToGrid w:val="0"/>
              <w:jc w:val="center"/>
              <w:rPr>
                <w:rFonts w:ascii="Times New Roman" w:cs="Times New Roman"/>
                <w:color w:val="000000" w:themeColor="text1"/>
                <w:kern w:val="2"/>
                <w14:textFill>
                  <w14:solidFill>
                    <w14:schemeClr w14:val="tx1"/>
                  </w14:solidFill>
                </w14:textFill>
              </w:rPr>
            </w:pPr>
            <w:r>
              <w:rPr>
                <w:rFonts w:hint="eastAsia" w:ascii="Times New Roman" w:cs="Times New Roman"/>
                <w:color w:val="000000" w:themeColor="text1"/>
                <w:kern w:val="2"/>
                <w14:textFill>
                  <w14:solidFill>
                    <w14:schemeClr w14:val="tx1"/>
                  </w14:solidFill>
                </w14:textFill>
              </w:rPr>
              <w:t>8</w:t>
            </w:r>
          </w:p>
        </w:tc>
        <w:tc>
          <w:tcPr>
            <w:tcW w:w="2976" w:type="dxa"/>
            <w:vAlign w:val="center"/>
          </w:tcPr>
          <w:p w14:paraId="42EF8874">
            <w:pPr>
              <w:pStyle w:val="52"/>
              <w:widowControl w:val="0"/>
              <w:snapToGrid w:val="0"/>
              <w:jc w:val="center"/>
              <w:rPr>
                <w:rFonts w:ascii="Times New Roman" w:cs="Times New Roman"/>
                <w:color w:val="000000" w:themeColor="text1"/>
                <w:kern w:val="2"/>
                <w14:textFill>
                  <w14:solidFill>
                    <w14:schemeClr w14:val="tx1"/>
                  </w14:solidFill>
                </w14:textFill>
              </w:rPr>
            </w:pPr>
          </w:p>
        </w:tc>
        <w:tc>
          <w:tcPr>
            <w:tcW w:w="1985" w:type="dxa"/>
            <w:vAlign w:val="center"/>
          </w:tcPr>
          <w:p w14:paraId="7A528F99">
            <w:pPr>
              <w:pStyle w:val="52"/>
              <w:widowControl w:val="0"/>
              <w:snapToGrid w:val="0"/>
              <w:jc w:val="center"/>
              <w:rPr>
                <w:rFonts w:ascii="Times New Roman" w:cs="Times New Roman"/>
                <w:color w:val="000000" w:themeColor="text1"/>
                <w:kern w:val="2"/>
                <w14:textFill>
                  <w14:solidFill>
                    <w14:schemeClr w14:val="tx1"/>
                  </w14:solidFill>
                </w14:textFill>
              </w:rPr>
            </w:pPr>
          </w:p>
        </w:tc>
        <w:tc>
          <w:tcPr>
            <w:tcW w:w="1843" w:type="dxa"/>
            <w:vAlign w:val="center"/>
          </w:tcPr>
          <w:p w14:paraId="4C5BC908">
            <w:pPr>
              <w:pStyle w:val="52"/>
              <w:widowControl w:val="0"/>
              <w:snapToGrid w:val="0"/>
              <w:jc w:val="center"/>
              <w:rPr>
                <w:rFonts w:ascii="Times New Roman" w:cs="Times New Roman"/>
                <w:color w:val="000000" w:themeColor="text1"/>
                <w:kern w:val="2"/>
                <w14:textFill>
                  <w14:solidFill>
                    <w14:schemeClr w14:val="tx1"/>
                  </w14:solidFill>
                </w14:textFill>
              </w:rPr>
            </w:pPr>
          </w:p>
        </w:tc>
        <w:tc>
          <w:tcPr>
            <w:tcW w:w="1687" w:type="dxa"/>
            <w:vAlign w:val="center"/>
          </w:tcPr>
          <w:p w14:paraId="783C19D6">
            <w:pPr>
              <w:pStyle w:val="52"/>
              <w:widowControl w:val="0"/>
              <w:snapToGrid w:val="0"/>
              <w:jc w:val="center"/>
              <w:rPr>
                <w:rFonts w:ascii="Times New Roman" w:cs="Times New Roman"/>
                <w:color w:val="000000" w:themeColor="text1"/>
                <w:kern w:val="2"/>
                <w14:textFill>
                  <w14:solidFill>
                    <w14:schemeClr w14:val="tx1"/>
                  </w14:solidFill>
                </w14:textFill>
              </w:rPr>
            </w:pPr>
          </w:p>
        </w:tc>
      </w:tr>
      <w:tr w14:paraId="72410C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876" w:type="dxa"/>
            <w:vAlign w:val="center"/>
          </w:tcPr>
          <w:p w14:paraId="144E2B2F">
            <w:pPr>
              <w:pStyle w:val="52"/>
              <w:widowControl w:val="0"/>
              <w:snapToGrid w:val="0"/>
              <w:jc w:val="center"/>
              <w:rPr>
                <w:rFonts w:ascii="Times New Roman" w:cs="Times New Roman"/>
                <w:color w:val="000000" w:themeColor="text1"/>
                <w:kern w:val="2"/>
                <w14:textFill>
                  <w14:solidFill>
                    <w14:schemeClr w14:val="tx1"/>
                  </w14:solidFill>
                </w14:textFill>
              </w:rPr>
            </w:pPr>
            <w:r>
              <w:rPr>
                <w:rFonts w:hint="eastAsia" w:ascii="Times New Roman" w:cs="Times New Roman"/>
                <w:color w:val="000000" w:themeColor="text1"/>
                <w:kern w:val="2"/>
                <w14:textFill>
                  <w14:solidFill>
                    <w14:schemeClr w14:val="tx1"/>
                  </w14:solidFill>
                </w14:textFill>
              </w:rPr>
              <w:t>9</w:t>
            </w:r>
          </w:p>
        </w:tc>
        <w:tc>
          <w:tcPr>
            <w:tcW w:w="2976" w:type="dxa"/>
            <w:vAlign w:val="center"/>
          </w:tcPr>
          <w:p w14:paraId="15DB61F9">
            <w:pPr>
              <w:pStyle w:val="52"/>
              <w:widowControl w:val="0"/>
              <w:snapToGrid w:val="0"/>
              <w:jc w:val="center"/>
              <w:rPr>
                <w:rFonts w:ascii="Times New Roman" w:cs="Times New Roman"/>
                <w:color w:val="000000" w:themeColor="text1"/>
                <w:kern w:val="2"/>
                <w14:textFill>
                  <w14:solidFill>
                    <w14:schemeClr w14:val="tx1"/>
                  </w14:solidFill>
                </w14:textFill>
              </w:rPr>
            </w:pPr>
          </w:p>
        </w:tc>
        <w:tc>
          <w:tcPr>
            <w:tcW w:w="1985" w:type="dxa"/>
            <w:vAlign w:val="center"/>
          </w:tcPr>
          <w:p w14:paraId="1C4A5444">
            <w:pPr>
              <w:pStyle w:val="52"/>
              <w:widowControl w:val="0"/>
              <w:snapToGrid w:val="0"/>
              <w:jc w:val="center"/>
              <w:rPr>
                <w:rFonts w:ascii="Times New Roman" w:cs="Times New Roman"/>
                <w:color w:val="000000" w:themeColor="text1"/>
                <w:kern w:val="2"/>
                <w14:textFill>
                  <w14:solidFill>
                    <w14:schemeClr w14:val="tx1"/>
                  </w14:solidFill>
                </w14:textFill>
              </w:rPr>
            </w:pPr>
          </w:p>
        </w:tc>
        <w:tc>
          <w:tcPr>
            <w:tcW w:w="1843" w:type="dxa"/>
            <w:vAlign w:val="center"/>
          </w:tcPr>
          <w:p w14:paraId="6A8F8121">
            <w:pPr>
              <w:pStyle w:val="52"/>
              <w:widowControl w:val="0"/>
              <w:snapToGrid w:val="0"/>
              <w:jc w:val="center"/>
              <w:rPr>
                <w:rFonts w:ascii="Times New Roman" w:cs="Times New Roman"/>
                <w:color w:val="000000" w:themeColor="text1"/>
                <w:kern w:val="2"/>
                <w14:textFill>
                  <w14:solidFill>
                    <w14:schemeClr w14:val="tx1"/>
                  </w14:solidFill>
                </w14:textFill>
              </w:rPr>
            </w:pPr>
          </w:p>
        </w:tc>
        <w:tc>
          <w:tcPr>
            <w:tcW w:w="1687" w:type="dxa"/>
            <w:vAlign w:val="center"/>
          </w:tcPr>
          <w:p w14:paraId="1E59B352">
            <w:pPr>
              <w:pStyle w:val="52"/>
              <w:widowControl w:val="0"/>
              <w:snapToGrid w:val="0"/>
              <w:jc w:val="center"/>
              <w:rPr>
                <w:rFonts w:ascii="Times New Roman" w:cs="Times New Roman"/>
                <w:color w:val="000000" w:themeColor="text1"/>
                <w:kern w:val="2"/>
                <w14:textFill>
                  <w14:solidFill>
                    <w14:schemeClr w14:val="tx1"/>
                  </w14:solidFill>
                </w14:textFill>
              </w:rPr>
            </w:pPr>
          </w:p>
        </w:tc>
      </w:tr>
    </w:tbl>
    <w:p w14:paraId="448C8805">
      <w:pPr>
        <w:pStyle w:val="52"/>
        <w:widowControl w:val="0"/>
        <w:spacing w:line="360" w:lineRule="auto"/>
        <w:ind w:firstLine="4320" w:firstLineChars="1800"/>
        <w:rPr>
          <w:rFonts w:ascii="Times New Roman" w:cs="Times New Roman"/>
          <w:color w:val="000000" w:themeColor="text1"/>
          <w:u w:val="single"/>
          <w14:textFill>
            <w14:solidFill>
              <w14:schemeClr w14:val="tx1"/>
            </w14:solidFill>
          </w14:textFill>
        </w:rPr>
      </w:pPr>
      <w:r>
        <w:rPr>
          <w:rFonts w:ascii="Times New Roman" w:cs="Times New Roman"/>
          <w:color w:val="000000" w:themeColor="text1"/>
          <w14:textFill>
            <w14:solidFill>
              <w14:schemeClr w14:val="tx1"/>
            </w14:solidFill>
          </w14:textFill>
        </w:rPr>
        <w:t>法定代表人（授权代表）签字：</w:t>
      </w:r>
      <w:r>
        <w:rPr>
          <w:rFonts w:ascii="Times New Roman" w:cs="Times New Roman"/>
          <w:color w:val="000000" w:themeColor="text1"/>
          <w:u w:val="single"/>
          <w14:textFill>
            <w14:solidFill>
              <w14:schemeClr w14:val="tx1"/>
            </w14:solidFill>
          </w14:textFill>
        </w:rPr>
        <w:t xml:space="preserve">         </w:t>
      </w:r>
    </w:p>
    <w:p w14:paraId="5E4B0434">
      <w:pPr>
        <w:pStyle w:val="52"/>
        <w:widowControl w:val="0"/>
        <w:spacing w:line="360" w:lineRule="auto"/>
        <w:ind w:firstLine="5640" w:firstLineChars="2350"/>
        <w:rPr>
          <w:rFonts w:ascii="Times New Roman" w:cs="Times New Roman"/>
          <w:color w:val="000000" w:themeColor="text1"/>
          <w:u w:val="single"/>
          <w14:textFill>
            <w14:solidFill>
              <w14:schemeClr w14:val="tx1"/>
            </w14:solidFill>
          </w14:textFill>
        </w:rPr>
      </w:pPr>
      <w:r>
        <w:rPr>
          <w:rFonts w:ascii="Times New Roman" w:cs="Times New Roman"/>
          <w:bCs/>
          <w:color w:val="000000" w:themeColor="text1"/>
          <w14:textFill>
            <w14:solidFill>
              <w14:schemeClr w14:val="tx1"/>
            </w14:solidFill>
          </w14:textFill>
        </w:rPr>
        <w:t>日期：</w:t>
      </w:r>
      <w:r>
        <w:rPr>
          <w:rFonts w:ascii="Times New Roman" w:cs="Times New Roman"/>
          <w:bCs/>
          <w:color w:val="000000" w:themeColor="text1"/>
          <w:u w:val="single"/>
          <w14:textFill>
            <w14:solidFill>
              <w14:schemeClr w14:val="tx1"/>
            </w14:solidFill>
          </w14:textFill>
        </w:rPr>
        <w:t xml:space="preserve">       </w:t>
      </w:r>
      <w:r>
        <w:rPr>
          <w:rFonts w:ascii="Times New Roman" w:cs="Times New Roman"/>
          <w:bCs/>
          <w:color w:val="000000" w:themeColor="text1"/>
          <w14:textFill>
            <w14:solidFill>
              <w14:schemeClr w14:val="tx1"/>
            </w14:solidFill>
          </w14:textFill>
        </w:rPr>
        <w:t>年</w:t>
      </w:r>
      <w:r>
        <w:rPr>
          <w:rFonts w:ascii="Times New Roman" w:cs="Times New Roman"/>
          <w:bCs/>
          <w:color w:val="000000" w:themeColor="text1"/>
          <w:u w:val="single"/>
          <w14:textFill>
            <w14:solidFill>
              <w14:schemeClr w14:val="tx1"/>
            </w14:solidFill>
          </w14:textFill>
        </w:rPr>
        <w:t xml:space="preserve">    </w:t>
      </w:r>
      <w:r>
        <w:rPr>
          <w:rFonts w:ascii="Times New Roman" w:cs="Times New Roman"/>
          <w:bCs/>
          <w:color w:val="000000" w:themeColor="text1"/>
          <w14:textFill>
            <w14:solidFill>
              <w14:schemeClr w14:val="tx1"/>
            </w14:solidFill>
          </w14:textFill>
        </w:rPr>
        <w:t>月</w:t>
      </w:r>
      <w:r>
        <w:rPr>
          <w:rFonts w:ascii="Times New Roman" w:cs="Times New Roman"/>
          <w:bCs/>
          <w:color w:val="000000" w:themeColor="text1"/>
          <w:u w:val="single"/>
          <w14:textFill>
            <w14:solidFill>
              <w14:schemeClr w14:val="tx1"/>
            </w14:solidFill>
          </w14:textFill>
        </w:rPr>
        <w:t xml:space="preserve">    </w:t>
      </w:r>
      <w:r>
        <w:rPr>
          <w:rFonts w:ascii="Times New Roman" w:cs="Times New Roman"/>
          <w:bCs/>
          <w:color w:val="000000" w:themeColor="text1"/>
          <w14:textFill>
            <w14:solidFill>
              <w14:schemeClr w14:val="tx1"/>
            </w14:solidFill>
          </w14:textFill>
        </w:rPr>
        <w:t>日</w:t>
      </w:r>
    </w:p>
    <w:p w14:paraId="7EED174D">
      <w:pPr>
        <w:pStyle w:val="52"/>
        <w:widowControl w:val="0"/>
        <w:spacing w:line="360" w:lineRule="auto"/>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注：</w:t>
      </w:r>
    </w:p>
    <w:p w14:paraId="68A3F20F">
      <w:pPr>
        <w:pStyle w:val="52"/>
        <w:widowControl w:val="0"/>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1、此表为表样，行数可自行添加，但表式不变；</w:t>
      </w:r>
    </w:p>
    <w:p w14:paraId="748A2AD9">
      <w:pPr>
        <w:pStyle w:val="52"/>
        <w:widowControl w:val="0"/>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2、投标单位根据项目添加的服务承诺、培训等也请列出；</w:t>
      </w:r>
    </w:p>
    <w:p w14:paraId="739ABB45">
      <w:pPr>
        <w:pStyle w:val="52"/>
        <w:widowControl w:val="0"/>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3、是否偏离用符号“+、=、-”分别表示正偏离、完全响应、负偏离；</w:t>
      </w:r>
    </w:p>
    <w:p w14:paraId="120F2A66">
      <w:pPr>
        <w:pStyle w:val="52"/>
        <w:widowControl w:val="0"/>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4、投标单位必须仔细阅读采购文件中所有商务条款和相关服务要求，并对所有商务条款和服务要求偏离的条目列入上表。投标单位必须根据所将提供服务的实际情况如实填写，评标工作组如发现有虚假描述的，该投标文件视为无效。</w:t>
      </w:r>
    </w:p>
    <w:p w14:paraId="6ADA46EC">
      <w:pPr>
        <w:spacing w:line="360" w:lineRule="auto"/>
        <w:ind w:firstLine="420" w:firstLineChars="200"/>
        <w:rPr>
          <w:rFonts w:ascii="Times New Roman" w:hAnsi="Times New Roman" w:eastAsia="宋体" w:cs="Times New Roman"/>
          <w:color w:val="000000" w:themeColor="text1"/>
          <w:szCs w:val="21"/>
          <w:u w:color="FF0000"/>
          <w14:textFill>
            <w14:solidFill>
              <w14:schemeClr w14:val="tx1"/>
            </w14:solidFill>
          </w14:textFill>
        </w:rPr>
      </w:pPr>
    </w:p>
    <w:p w14:paraId="52DFAA98">
      <w:pPr>
        <w:jc w:val="left"/>
        <w:rPr>
          <w:rFonts w:ascii="Times New Roman" w:hAnsi="Times New Roman" w:eastAsia="黑体" w:cs="Times New Roman"/>
          <w:color w:val="000000" w:themeColor="text1"/>
          <w:sz w:val="24"/>
          <w:szCs w:val="24"/>
          <w:u w:color="000000"/>
          <w14:textFill>
            <w14:solidFill>
              <w14:schemeClr w14:val="tx1"/>
            </w14:solidFill>
          </w14:textFill>
        </w:rPr>
      </w:pPr>
      <w:r>
        <w:rPr>
          <w:rFonts w:ascii="Times New Roman" w:hAnsi="Times New Roman" w:eastAsia="黑体" w:cs="Times New Roman"/>
          <w:color w:val="000000" w:themeColor="text1"/>
          <w:sz w:val="24"/>
          <w:szCs w:val="24"/>
          <w:u w:color="000000"/>
          <w14:textFill>
            <w14:solidFill>
              <w14:schemeClr w14:val="tx1"/>
            </w14:solidFill>
          </w14:textFill>
        </w:rPr>
        <w:br w:type="page"/>
      </w:r>
    </w:p>
    <w:p w14:paraId="69A0618F">
      <w:pPr>
        <w:tabs>
          <w:tab w:val="left" w:pos="576"/>
        </w:tabs>
        <w:spacing w:before="156" w:beforeLines="50" w:after="156" w:afterLines="50" w:line="360" w:lineRule="auto"/>
        <w:outlineLvl w:val="2"/>
        <w:rPr>
          <w:rFonts w:ascii="Times New Roman" w:hAnsi="Times New Roman" w:eastAsia="黑体" w:cs="Times New Roman"/>
          <w:color w:val="000000" w:themeColor="text1"/>
          <w:sz w:val="24"/>
          <w:szCs w:val="24"/>
          <w:u w:color="000000"/>
          <w14:textFill>
            <w14:solidFill>
              <w14:schemeClr w14:val="tx1"/>
            </w14:solidFill>
          </w14:textFill>
        </w:rPr>
      </w:pPr>
      <w:bookmarkStart w:id="79" w:name="_Toc11859496"/>
      <w:r>
        <w:rPr>
          <w:rFonts w:ascii="Times New Roman" w:hAnsi="Times New Roman" w:eastAsia="黑体" w:cs="Times New Roman"/>
          <w:color w:val="000000" w:themeColor="text1"/>
          <w:sz w:val="24"/>
          <w:szCs w:val="24"/>
          <w:u w:color="000000"/>
          <w14:textFill>
            <w14:solidFill>
              <w14:schemeClr w14:val="tx1"/>
            </w14:solidFill>
          </w14:textFill>
        </w:rPr>
        <w:t xml:space="preserve">6.6 </w:t>
      </w:r>
      <w:r>
        <w:rPr>
          <w:rFonts w:hint="eastAsia" w:ascii="Times New Roman" w:hAnsi="Times New Roman" w:eastAsia="黑体" w:cs="Times New Roman"/>
          <w:color w:val="000000" w:themeColor="text1"/>
          <w:sz w:val="24"/>
          <w:szCs w:val="24"/>
          <w:u w:color="000000"/>
          <w14:textFill>
            <w14:solidFill>
              <w14:schemeClr w14:val="tx1"/>
            </w14:solidFill>
          </w14:textFill>
        </w:rPr>
        <w:t>技术参数响应及偏离表</w:t>
      </w:r>
      <w:bookmarkEnd w:id="79"/>
    </w:p>
    <w:p w14:paraId="48CB8AB5">
      <w:pPr>
        <w:spacing w:before="156" w:beforeLines="50" w:after="156" w:afterLines="50" w:line="360" w:lineRule="auto"/>
        <w:jc w:val="center"/>
        <w:rPr>
          <w:rFonts w:hint="eastAsia" w:ascii="黑体" w:hAnsi="黑体" w:eastAsia="黑体" w:cs="Times New Roman"/>
          <w:bCs/>
          <w:color w:val="000000" w:themeColor="text1"/>
          <w:sz w:val="28"/>
          <w:szCs w:val="28"/>
          <w:u w:color="000000"/>
          <w:lang w:val="zh-TW"/>
          <w14:textFill>
            <w14:solidFill>
              <w14:schemeClr w14:val="tx1"/>
            </w14:solidFill>
          </w14:textFill>
        </w:rPr>
      </w:pPr>
      <w:r>
        <w:rPr>
          <w:rFonts w:hint="eastAsia" w:ascii="黑体" w:hAnsi="黑体" w:eastAsia="黑体" w:cs="Times New Roman"/>
          <w:bCs/>
          <w:color w:val="000000" w:themeColor="text1"/>
          <w:sz w:val="28"/>
          <w:szCs w:val="28"/>
          <w:u w:color="000000"/>
          <w:lang w:val="zh-TW"/>
          <w14:textFill>
            <w14:solidFill>
              <w14:schemeClr w14:val="tx1"/>
            </w14:solidFill>
          </w14:textFill>
        </w:rPr>
        <w:t>技术参数响应及偏离表</w:t>
      </w:r>
    </w:p>
    <w:p w14:paraId="439520D7">
      <w:pPr>
        <w:spacing w:line="36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投标人全称</w:t>
      </w:r>
      <w:r>
        <w:rPr>
          <w:rFonts w:hint="eastAsia" w:ascii="Times New Roman" w:hAnsi="Times New Roman" w:cs="Times New Roman"/>
          <w:color w:val="000000" w:themeColor="text1"/>
          <w:sz w:val="24"/>
          <w:szCs w:val="24"/>
          <w14:textFill>
            <w14:solidFill>
              <w14:schemeClr w14:val="tx1"/>
            </w14:solidFill>
          </w14:textFill>
        </w:rPr>
        <w:t>（投标人公章）：</w:t>
      </w:r>
      <w:r>
        <w:rPr>
          <w:rFonts w:ascii="Times New Roman" w:hAnsi="Times New Roman" w:cs="Times New Roman"/>
          <w:color w:val="000000" w:themeColor="text1"/>
          <w:sz w:val="24"/>
          <w:szCs w:val="24"/>
          <w:u w:val="single"/>
          <w14:textFill>
            <w14:solidFill>
              <w14:schemeClr w14:val="tx1"/>
            </w14:solidFill>
          </w14:textFill>
        </w:rPr>
        <w:t xml:space="preserve">                     </w:t>
      </w:r>
    </w:p>
    <w:p w14:paraId="4B199ED6">
      <w:pPr>
        <w:spacing w:line="36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项目名称：</w:t>
      </w:r>
      <w:r>
        <w:rPr>
          <w:rFonts w:ascii="Times New Roman" w:hAnsi="Times New Roman" w:cs="Times New Roman"/>
          <w:color w:val="000000" w:themeColor="text1"/>
          <w:sz w:val="24"/>
          <w:szCs w:val="24"/>
          <w:u w:val="single"/>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 xml:space="preserve"> </w:t>
      </w:r>
    </w:p>
    <w:tbl>
      <w:tblPr>
        <w:tblStyle w:val="28"/>
        <w:tblW w:w="91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84"/>
        <w:gridCol w:w="4086"/>
        <w:gridCol w:w="1618"/>
        <w:gridCol w:w="1308"/>
        <w:gridCol w:w="1173"/>
      </w:tblGrid>
      <w:tr w14:paraId="013F0B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42" w:hRule="atLeast"/>
          <w:jc w:val="center"/>
        </w:trPr>
        <w:tc>
          <w:tcPr>
            <w:tcW w:w="984" w:type="dxa"/>
            <w:tcBorders>
              <w:top w:val="single" w:color="auto" w:sz="4" w:space="0"/>
              <w:left w:val="single" w:color="auto" w:sz="4" w:space="0"/>
              <w:bottom w:val="single" w:color="auto" w:sz="4" w:space="0"/>
              <w:right w:val="single" w:color="auto" w:sz="4" w:space="0"/>
            </w:tcBorders>
            <w:vAlign w:val="center"/>
          </w:tcPr>
          <w:p w14:paraId="30EF6391">
            <w:pPr>
              <w:adjustRightInd w:val="0"/>
              <w:snapToGrid w:val="0"/>
              <w:jc w:val="center"/>
              <w:rPr>
                <w:rFonts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color w:val="000000" w:themeColor="text1"/>
                <w:sz w:val="24"/>
                <w:szCs w:val="24"/>
                <w14:textFill>
                  <w14:solidFill>
                    <w14:schemeClr w14:val="tx1"/>
                  </w14:solidFill>
                </w14:textFill>
              </w:rPr>
              <w:t>序号</w:t>
            </w:r>
          </w:p>
        </w:tc>
        <w:tc>
          <w:tcPr>
            <w:tcW w:w="4086" w:type="dxa"/>
            <w:tcBorders>
              <w:top w:val="single" w:color="auto" w:sz="4" w:space="0"/>
              <w:left w:val="single" w:color="auto" w:sz="4" w:space="0"/>
              <w:bottom w:val="single" w:color="auto" w:sz="4" w:space="0"/>
              <w:right w:val="single" w:color="auto" w:sz="4" w:space="0"/>
            </w:tcBorders>
            <w:vAlign w:val="center"/>
          </w:tcPr>
          <w:p w14:paraId="6ACB73C3">
            <w:pPr>
              <w:adjustRightInd w:val="0"/>
              <w:snapToGrid w:val="0"/>
              <w:jc w:val="center"/>
              <w:rPr>
                <w:rFonts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color w:val="000000" w:themeColor="text1"/>
                <w:sz w:val="24"/>
                <w:szCs w:val="24"/>
                <w14:textFill>
                  <w14:solidFill>
                    <w14:schemeClr w14:val="tx1"/>
                  </w14:solidFill>
                </w14:textFill>
              </w:rPr>
              <w:t>采购文件要求</w:t>
            </w:r>
          </w:p>
        </w:tc>
        <w:tc>
          <w:tcPr>
            <w:tcW w:w="1618" w:type="dxa"/>
            <w:tcBorders>
              <w:top w:val="single" w:color="auto" w:sz="4" w:space="0"/>
              <w:left w:val="single" w:color="auto" w:sz="4" w:space="0"/>
              <w:bottom w:val="single" w:color="auto" w:sz="4" w:space="0"/>
              <w:right w:val="single" w:color="auto" w:sz="4" w:space="0"/>
            </w:tcBorders>
            <w:vAlign w:val="center"/>
          </w:tcPr>
          <w:p w14:paraId="1A24E1A0">
            <w:pPr>
              <w:adjustRightInd w:val="0"/>
              <w:snapToGrid w:val="0"/>
              <w:jc w:val="center"/>
              <w:rPr>
                <w:rFonts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color w:val="000000" w:themeColor="text1"/>
                <w:sz w:val="24"/>
                <w:szCs w:val="24"/>
                <w14:textFill>
                  <w14:solidFill>
                    <w14:schemeClr w14:val="tx1"/>
                  </w14:solidFill>
                </w14:textFill>
              </w:rPr>
              <w:t>投标人响应</w:t>
            </w:r>
          </w:p>
        </w:tc>
        <w:tc>
          <w:tcPr>
            <w:tcW w:w="1308" w:type="dxa"/>
            <w:tcBorders>
              <w:top w:val="single" w:color="auto" w:sz="4" w:space="0"/>
              <w:left w:val="single" w:color="auto" w:sz="4" w:space="0"/>
              <w:bottom w:val="single" w:color="auto" w:sz="4" w:space="0"/>
              <w:right w:val="single" w:color="auto" w:sz="4" w:space="0"/>
            </w:tcBorders>
            <w:vAlign w:val="center"/>
          </w:tcPr>
          <w:p w14:paraId="13F06C41">
            <w:pPr>
              <w:adjustRightInd w:val="0"/>
              <w:snapToGrid w:val="0"/>
              <w:jc w:val="center"/>
              <w:rPr>
                <w:rFonts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color w:val="000000" w:themeColor="text1"/>
                <w:sz w:val="24"/>
                <w:szCs w:val="24"/>
                <w14:textFill>
                  <w14:solidFill>
                    <w14:schemeClr w14:val="tx1"/>
                  </w14:solidFill>
                </w14:textFill>
              </w:rPr>
              <w:t>超出、符合或偏离</w:t>
            </w:r>
          </w:p>
        </w:tc>
        <w:tc>
          <w:tcPr>
            <w:tcW w:w="1173" w:type="dxa"/>
            <w:tcBorders>
              <w:top w:val="single" w:color="auto" w:sz="4" w:space="0"/>
              <w:left w:val="single" w:color="auto" w:sz="4" w:space="0"/>
              <w:bottom w:val="single" w:color="auto" w:sz="4" w:space="0"/>
              <w:right w:val="single" w:color="auto" w:sz="4" w:space="0"/>
            </w:tcBorders>
            <w:vAlign w:val="center"/>
          </w:tcPr>
          <w:p w14:paraId="0975A4C7">
            <w:pPr>
              <w:adjustRightInd w:val="0"/>
              <w:snapToGrid w:val="0"/>
              <w:jc w:val="center"/>
              <w:rPr>
                <w:rFonts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color w:val="000000" w:themeColor="text1"/>
                <w:sz w:val="24"/>
                <w:szCs w:val="24"/>
                <w14:textFill>
                  <w14:solidFill>
                    <w14:schemeClr w14:val="tx1"/>
                  </w14:solidFill>
                </w14:textFill>
              </w:rPr>
              <w:t>原因</w:t>
            </w:r>
          </w:p>
        </w:tc>
      </w:tr>
      <w:tr w14:paraId="18516D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40" w:hRule="atLeast"/>
          <w:jc w:val="center"/>
        </w:trPr>
        <w:tc>
          <w:tcPr>
            <w:tcW w:w="984" w:type="dxa"/>
            <w:tcBorders>
              <w:top w:val="single" w:color="auto" w:sz="4" w:space="0"/>
              <w:left w:val="single" w:color="auto" w:sz="4" w:space="0"/>
              <w:bottom w:val="single" w:color="auto" w:sz="4" w:space="0"/>
              <w:right w:val="single" w:color="auto" w:sz="4" w:space="0"/>
            </w:tcBorders>
          </w:tcPr>
          <w:p w14:paraId="6AA48511">
            <w:pPr>
              <w:jc w:val="center"/>
              <w:rPr>
                <w:rFonts w:ascii="Times New Roman" w:hAnsi="Times New Roman" w:cs="Times New Roman"/>
                <w:color w:val="000000" w:themeColor="text1"/>
                <w:sz w:val="24"/>
                <w:szCs w:val="24"/>
                <w14:textFill>
                  <w14:solidFill>
                    <w14:schemeClr w14:val="tx1"/>
                  </w14:solidFill>
                </w14:textFill>
              </w:rPr>
            </w:pPr>
          </w:p>
        </w:tc>
        <w:tc>
          <w:tcPr>
            <w:tcW w:w="4086" w:type="dxa"/>
            <w:tcBorders>
              <w:top w:val="single" w:color="auto" w:sz="4" w:space="0"/>
              <w:left w:val="single" w:color="auto" w:sz="4" w:space="0"/>
              <w:bottom w:val="single" w:color="auto" w:sz="4" w:space="0"/>
              <w:right w:val="single" w:color="auto" w:sz="4" w:space="0"/>
            </w:tcBorders>
          </w:tcPr>
          <w:p w14:paraId="4491CE8B">
            <w:pPr>
              <w:jc w:val="center"/>
              <w:rPr>
                <w:rFonts w:ascii="Times New Roman" w:hAnsi="Times New Roman" w:cs="Times New Roman"/>
                <w:color w:val="000000" w:themeColor="text1"/>
                <w:sz w:val="24"/>
                <w:szCs w:val="24"/>
                <w14:textFill>
                  <w14:solidFill>
                    <w14:schemeClr w14:val="tx1"/>
                  </w14:solidFill>
                </w14:textFill>
              </w:rPr>
            </w:pPr>
          </w:p>
        </w:tc>
        <w:tc>
          <w:tcPr>
            <w:tcW w:w="1618" w:type="dxa"/>
            <w:tcBorders>
              <w:top w:val="single" w:color="auto" w:sz="4" w:space="0"/>
              <w:left w:val="single" w:color="auto" w:sz="4" w:space="0"/>
              <w:bottom w:val="single" w:color="auto" w:sz="4" w:space="0"/>
              <w:right w:val="single" w:color="auto" w:sz="4" w:space="0"/>
            </w:tcBorders>
          </w:tcPr>
          <w:p w14:paraId="28AD88FB">
            <w:pPr>
              <w:jc w:val="center"/>
              <w:rPr>
                <w:rFonts w:ascii="Times New Roman" w:hAnsi="Times New Roman" w:cs="Times New Roman"/>
                <w:color w:val="000000" w:themeColor="text1"/>
                <w:sz w:val="24"/>
                <w:szCs w:val="24"/>
                <w14:textFill>
                  <w14:solidFill>
                    <w14:schemeClr w14:val="tx1"/>
                  </w14:solidFill>
                </w14:textFill>
              </w:rPr>
            </w:pPr>
          </w:p>
        </w:tc>
        <w:tc>
          <w:tcPr>
            <w:tcW w:w="1308" w:type="dxa"/>
            <w:tcBorders>
              <w:top w:val="single" w:color="auto" w:sz="4" w:space="0"/>
              <w:left w:val="single" w:color="auto" w:sz="4" w:space="0"/>
              <w:bottom w:val="single" w:color="auto" w:sz="4" w:space="0"/>
              <w:right w:val="single" w:color="auto" w:sz="4" w:space="0"/>
            </w:tcBorders>
          </w:tcPr>
          <w:p w14:paraId="246CE0E6">
            <w:pPr>
              <w:jc w:val="center"/>
              <w:rPr>
                <w:rFonts w:ascii="Times New Roman" w:hAnsi="Times New Roman" w:cs="Times New Roman"/>
                <w:color w:val="000000" w:themeColor="text1"/>
                <w:sz w:val="24"/>
                <w:szCs w:val="24"/>
                <w14:textFill>
                  <w14:solidFill>
                    <w14:schemeClr w14:val="tx1"/>
                  </w14:solidFill>
                </w14:textFill>
              </w:rPr>
            </w:pPr>
          </w:p>
        </w:tc>
        <w:tc>
          <w:tcPr>
            <w:tcW w:w="1173" w:type="dxa"/>
            <w:tcBorders>
              <w:top w:val="single" w:color="auto" w:sz="4" w:space="0"/>
              <w:left w:val="single" w:color="auto" w:sz="4" w:space="0"/>
              <w:bottom w:val="single" w:color="auto" w:sz="4" w:space="0"/>
              <w:right w:val="single" w:color="auto" w:sz="4" w:space="0"/>
            </w:tcBorders>
          </w:tcPr>
          <w:p w14:paraId="7FFC979D">
            <w:pPr>
              <w:jc w:val="center"/>
              <w:rPr>
                <w:rFonts w:ascii="Times New Roman" w:hAnsi="Times New Roman" w:cs="Times New Roman"/>
                <w:color w:val="000000" w:themeColor="text1"/>
                <w:sz w:val="24"/>
                <w:szCs w:val="24"/>
                <w14:textFill>
                  <w14:solidFill>
                    <w14:schemeClr w14:val="tx1"/>
                  </w14:solidFill>
                </w14:textFill>
              </w:rPr>
            </w:pPr>
          </w:p>
        </w:tc>
      </w:tr>
      <w:tr w14:paraId="67A50D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40" w:hRule="atLeast"/>
          <w:jc w:val="center"/>
        </w:trPr>
        <w:tc>
          <w:tcPr>
            <w:tcW w:w="984" w:type="dxa"/>
            <w:tcBorders>
              <w:top w:val="single" w:color="auto" w:sz="4" w:space="0"/>
              <w:left w:val="single" w:color="auto" w:sz="4" w:space="0"/>
              <w:bottom w:val="single" w:color="auto" w:sz="4" w:space="0"/>
              <w:right w:val="single" w:color="auto" w:sz="4" w:space="0"/>
            </w:tcBorders>
          </w:tcPr>
          <w:p w14:paraId="06F01BF1">
            <w:pPr>
              <w:jc w:val="center"/>
              <w:rPr>
                <w:rFonts w:ascii="Times New Roman" w:hAnsi="Times New Roman" w:cs="Times New Roman"/>
                <w:color w:val="000000" w:themeColor="text1"/>
                <w:sz w:val="24"/>
                <w:szCs w:val="24"/>
                <w14:textFill>
                  <w14:solidFill>
                    <w14:schemeClr w14:val="tx1"/>
                  </w14:solidFill>
                </w14:textFill>
              </w:rPr>
            </w:pPr>
          </w:p>
        </w:tc>
        <w:tc>
          <w:tcPr>
            <w:tcW w:w="4086" w:type="dxa"/>
            <w:tcBorders>
              <w:top w:val="single" w:color="auto" w:sz="4" w:space="0"/>
              <w:left w:val="single" w:color="auto" w:sz="4" w:space="0"/>
              <w:bottom w:val="single" w:color="auto" w:sz="4" w:space="0"/>
              <w:right w:val="single" w:color="auto" w:sz="4" w:space="0"/>
            </w:tcBorders>
          </w:tcPr>
          <w:p w14:paraId="446C9490">
            <w:pPr>
              <w:jc w:val="center"/>
              <w:rPr>
                <w:rFonts w:ascii="Times New Roman" w:hAnsi="Times New Roman" w:cs="Times New Roman"/>
                <w:color w:val="000000" w:themeColor="text1"/>
                <w:sz w:val="24"/>
                <w:szCs w:val="24"/>
                <w14:textFill>
                  <w14:solidFill>
                    <w14:schemeClr w14:val="tx1"/>
                  </w14:solidFill>
                </w14:textFill>
              </w:rPr>
            </w:pPr>
          </w:p>
        </w:tc>
        <w:tc>
          <w:tcPr>
            <w:tcW w:w="1618" w:type="dxa"/>
            <w:tcBorders>
              <w:top w:val="single" w:color="auto" w:sz="4" w:space="0"/>
              <w:left w:val="single" w:color="auto" w:sz="4" w:space="0"/>
              <w:bottom w:val="single" w:color="auto" w:sz="4" w:space="0"/>
              <w:right w:val="single" w:color="auto" w:sz="4" w:space="0"/>
            </w:tcBorders>
          </w:tcPr>
          <w:p w14:paraId="148C3201">
            <w:pPr>
              <w:jc w:val="center"/>
              <w:rPr>
                <w:rFonts w:ascii="Times New Roman" w:hAnsi="Times New Roman" w:cs="Times New Roman"/>
                <w:color w:val="000000" w:themeColor="text1"/>
                <w:sz w:val="24"/>
                <w:szCs w:val="24"/>
                <w14:textFill>
                  <w14:solidFill>
                    <w14:schemeClr w14:val="tx1"/>
                  </w14:solidFill>
                </w14:textFill>
              </w:rPr>
            </w:pPr>
          </w:p>
        </w:tc>
        <w:tc>
          <w:tcPr>
            <w:tcW w:w="1308" w:type="dxa"/>
            <w:tcBorders>
              <w:top w:val="single" w:color="auto" w:sz="4" w:space="0"/>
              <w:left w:val="single" w:color="auto" w:sz="4" w:space="0"/>
              <w:bottom w:val="single" w:color="auto" w:sz="4" w:space="0"/>
              <w:right w:val="single" w:color="auto" w:sz="4" w:space="0"/>
            </w:tcBorders>
          </w:tcPr>
          <w:p w14:paraId="61671419">
            <w:pPr>
              <w:jc w:val="center"/>
              <w:rPr>
                <w:rFonts w:ascii="Times New Roman" w:hAnsi="Times New Roman" w:cs="Times New Roman"/>
                <w:color w:val="000000" w:themeColor="text1"/>
                <w:sz w:val="24"/>
                <w:szCs w:val="24"/>
                <w14:textFill>
                  <w14:solidFill>
                    <w14:schemeClr w14:val="tx1"/>
                  </w14:solidFill>
                </w14:textFill>
              </w:rPr>
            </w:pPr>
          </w:p>
        </w:tc>
        <w:tc>
          <w:tcPr>
            <w:tcW w:w="1173" w:type="dxa"/>
            <w:tcBorders>
              <w:top w:val="single" w:color="auto" w:sz="4" w:space="0"/>
              <w:left w:val="single" w:color="auto" w:sz="4" w:space="0"/>
              <w:bottom w:val="single" w:color="auto" w:sz="4" w:space="0"/>
              <w:right w:val="single" w:color="auto" w:sz="4" w:space="0"/>
            </w:tcBorders>
          </w:tcPr>
          <w:p w14:paraId="4A7AE4B7">
            <w:pPr>
              <w:jc w:val="center"/>
              <w:rPr>
                <w:rFonts w:ascii="Times New Roman" w:hAnsi="Times New Roman" w:cs="Times New Roman"/>
                <w:color w:val="000000" w:themeColor="text1"/>
                <w:sz w:val="24"/>
                <w:szCs w:val="24"/>
                <w14:textFill>
                  <w14:solidFill>
                    <w14:schemeClr w14:val="tx1"/>
                  </w14:solidFill>
                </w14:textFill>
              </w:rPr>
            </w:pPr>
          </w:p>
        </w:tc>
      </w:tr>
      <w:tr w14:paraId="208F60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40" w:hRule="atLeast"/>
          <w:jc w:val="center"/>
        </w:trPr>
        <w:tc>
          <w:tcPr>
            <w:tcW w:w="984" w:type="dxa"/>
            <w:tcBorders>
              <w:top w:val="single" w:color="auto" w:sz="4" w:space="0"/>
              <w:left w:val="single" w:color="auto" w:sz="4" w:space="0"/>
              <w:bottom w:val="single" w:color="auto" w:sz="4" w:space="0"/>
              <w:right w:val="single" w:color="auto" w:sz="4" w:space="0"/>
            </w:tcBorders>
          </w:tcPr>
          <w:p w14:paraId="421542CD">
            <w:pPr>
              <w:jc w:val="center"/>
              <w:rPr>
                <w:rFonts w:ascii="Times New Roman" w:hAnsi="Times New Roman" w:cs="Times New Roman"/>
                <w:color w:val="000000" w:themeColor="text1"/>
                <w:sz w:val="24"/>
                <w:szCs w:val="24"/>
                <w14:textFill>
                  <w14:solidFill>
                    <w14:schemeClr w14:val="tx1"/>
                  </w14:solidFill>
                </w14:textFill>
              </w:rPr>
            </w:pPr>
          </w:p>
        </w:tc>
        <w:tc>
          <w:tcPr>
            <w:tcW w:w="4086" w:type="dxa"/>
            <w:tcBorders>
              <w:top w:val="single" w:color="auto" w:sz="4" w:space="0"/>
              <w:left w:val="single" w:color="auto" w:sz="4" w:space="0"/>
              <w:bottom w:val="single" w:color="auto" w:sz="4" w:space="0"/>
              <w:right w:val="single" w:color="auto" w:sz="4" w:space="0"/>
            </w:tcBorders>
          </w:tcPr>
          <w:p w14:paraId="44B0814C">
            <w:pPr>
              <w:rPr>
                <w:rFonts w:ascii="Times New Roman" w:hAnsi="Times New Roman" w:cs="Times New Roman"/>
                <w:color w:val="000000" w:themeColor="text1"/>
                <w:sz w:val="24"/>
                <w:szCs w:val="24"/>
                <w14:textFill>
                  <w14:solidFill>
                    <w14:schemeClr w14:val="tx1"/>
                  </w14:solidFill>
                </w14:textFill>
              </w:rPr>
            </w:pPr>
          </w:p>
        </w:tc>
        <w:tc>
          <w:tcPr>
            <w:tcW w:w="1618" w:type="dxa"/>
            <w:tcBorders>
              <w:top w:val="single" w:color="auto" w:sz="4" w:space="0"/>
              <w:left w:val="single" w:color="auto" w:sz="4" w:space="0"/>
              <w:bottom w:val="single" w:color="auto" w:sz="4" w:space="0"/>
              <w:right w:val="single" w:color="auto" w:sz="4" w:space="0"/>
            </w:tcBorders>
          </w:tcPr>
          <w:p w14:paraId="425D1DBF">
            <w:pPr>
              <w:jc w:val="center"/>
              <w:rPr>
                <w:rFonts w:ascii="Times New Roman" w:hAnsi="Times New Roman" w:cs="Times New Roman"/>
                <w:color w:val="000000" w:themeColor="text1"/>
                <w:sz w:val="24"/>
                <w:szCs w:val="24"/>
                <w14:textFill>
                  <w14:solidFill>
                    <w14:schemeClr w14:val="tx1"/>
                  </w14:solidFill>
                </w14:textFill>
              </w:rPr>
            </w:pPr>
          </w:p>
        </w:tc>
        <w:tc>
          <w:tcPr>
            <w:tcW w:w="1308" w:type="dxa"/>
            <w:tcBorders>
              <w:top w:val="single" w:color="auto" w:sz="4" w:space="0"/>
              <w:left w:val="single" w:color="auto" w:sz="4" w:space="0"/>
              <w:bottom w:val="single" w:color="auto" w:sz="4" w:space="0"/>
              <w:right w:val="single" w:color="auto" w:sz="4" w:space="0"/>
            </w:tcBorders>
          </w:tcPr>
          <w:p w14:paraId="094AF9C3">
            <w:pPr>
              <w:jc w:val="center"/>
              <w:rPr>
                <w:rFonts w:ascii="Times New Roman" w:hAnsi="Times New Roman" w:cs="Times New Roman"/>
                <w:color w:val="000000" w:themeColor="text1"/>
                <w:sz w:val="24"/>
                <w:szCs w:val="24"/>
                <w14:textFill>
                  <w14:solidFill>
                    <w14:schemeClr w14:val="tx1"/>
                  </w14:solidFill>
                </w14:textFill>
              </w:rPr>
            </w:pPr>
          </w:p>
        </w:tc>
        <w:tc>
          <w:tcPr>
            <w:tcW w:w="1173" w:type="dxa"/>
            <w:tcBorders>
              <w:top w:val="single" w:color="auto" w:sz="4" w:space="0"/>
              <w:left w:val="single" w:color="auto" w:sz="4" w:space="0"/>
              <w:bottom w:val="single" w:color="auto" w:sz="4" w:space="0"/>
              <w:right w:val="single" w:color="auto" w:sz="4" w:space="0"/>
            </w:tcBorders>
          </w:tcPr>
          <w:p w14:paraId="1C5C6B5C">
            <w:pPr>
              <w:jc w:val="center"/>
              <w:rPr>
                <w:rFonts w:ascii="Times New Roman" w:hAnsi="Times New Roman" w:cs="Times New Roman"/>
                <w:color w:val="000000" w:themeColor="text1"/>
                <w:sz w:val="24"/>
                <w:szCs w:val="24"/>
                <w14:textFill>
                  <w14:solidFill>
                    <w14:schemeClr w14:val="tx1"/>
                  </w14:solidFill>
                </w14:textFill>
              </w:rPr>
            </w:pPr>
          </w:p>
        </w:tc>
      </w:tr>
      <w:tr w14:paraId="1B40AB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40" w:hRule="atLeast"/>
          <w:jc w:val="center"/>
        </w:trPr>
        <w:tc>
          <w:tcPr>
            <w:tcW w:w="984" w:type="dxa"/>
            <w:tcBorders>
              <w:top w:val="single" w:color="auto" w:sz="4" w:space="0"/>
              <w:left w:val="single" w:color="auto" w:sz="4" w:space="0"/>
              <w:bottom w:val="single" w:color="auto" w:sz="4" w:space="0"/>
              <w:right w:val="single" w:color="auto" w:sz="4" w:space="0"/>
            </w:tcBorders>
          </w:tcPr>
          <w:p w14:paraId="37802FD2">
            <w:pPr>
              <w:jc w:val="center"/>
              <w:rPr>
                <w:rFonts w:ascii="Times New Roman" w:hAnsi="Times New Roman" w:cs="Times New Roman"/>
                <w:color w:val="000000" w:themeColor="text1"/>
                <w:sz w:val="24"/>
                <w:szCs w:val="24"/>
                <w14:textFill>
                  <w14:solidFill>
                    <w14:schemeClr w14:val="tx1"/>
                  </w14:solidFill>
                </w14:textFill>
              </w:rPr>
            </w:pPr>
          </w:p>
        </w:tc>
        <w:tc>
          <w:tcPr>
            <w:tcW w:w="4086" w:type="dxa"/>
            <w:tcBorders>
              <w:top w:val="single" w:color="auto" w:sz="4" w:space="0"/>
              <w:left w:val="single" w:color="auto" w:sz="4" w:space="0"/>
              <w:bottom w:val="single" w:color="auto" w:sz="4" w:space="0"/>
              <w:right w:val="single" w:color="auto" w:sz="4" w:space="0"/>
            </w:tcBorders>
          </w:tcPr>
          <w:p w14:paraId="4BB7655A">
            <w:pPr>
              <w:rPr>
                <w:rFonts w:ascii="Times New Roman" w:hAnsi="Times New Roman" w:cs="Times New Roman"/>
                <w:color w:val="000000" w:themeColor="text1"/>
                <w:sz w:val="24"/>
                <w:szCs w:val="24"/>
                <w14:textFill>
                  <w14:solidFill>
                    <w14:schemeClr w14:val="tx1"/>
                  </w14:solidFill>
                </w14:textFill>
              </w:rPr>
            </w:pPr>
          </w:p>
        </w:tc>
        <w:tc>
          <w:tcPr>
            <w:tcW w:w="1618" w:type="dxa"/>
            <w:tcBorders>
              <w:top w:val="single" w:color="auto" w:sz="4" w:space="0"/>
              <w:left w:val="single" w:color="auto" w:sz="4" w:space="0"/>
              <w:bottom w:val="single" w:color="auto" w:sz="4" w:space="0"/>
              <w:right w:val="single" w:color="auto" w:sz="4" w:space="0"/>
            </w:tcBorders>
          </w:tcPr>
          <w:p w14:paraId="55B81445">
            <w:pPr>
              <w:jc w:val="center"/>
              <w:rPr>
                <w:rFonts w:ascii="Times New Roman" w:hAnsi="Times New Roman" w:cs="Times New Roman"/>
                <w:color w:val="000000" w:themeColor="text1"/>
                <w:sz w:val="24"/>
                <w:szCs w:val="24"/>
                <w14:textFill>
                  <w14:solidFill>
                    <w14:schemeClr w14:val="tx1"/>
                  </w14:solidFill>
                </w14:textFill>
              </w:rPr>
            </w:pPr>
          </w:p>
        </w:tc>
        <w:tc>
          <w:tcPr>
            <w:tcW w:w="1308" w:type="dxa"/>
            <w:tcBorders>
              <w:top w:val="single" w:color="auto" w:sz="4" w:space="0"/>
              <w:left w:val="single" w:color="auto" w:sz="4" w:space="0"/>
              <w:bottom w:val="single" w:color="auto" w:sz="4" w:space="0"/>
              <w:right w:val="single" w:color="auto" w:sz="4" w:space="0"/>
            </w:tcBorders>
          </w:tcPr>
          <w:p w14:paraId="11EE8E76">
            <w:pPr>
              <w:jc w:val="center"/>
              <w:rPr>
                <w:rFonts w:ascii="Times New Roman" w:hAnsi="Times New Roman" w:cs="Times New Roman"/>
                <w:color w:val="000000" w:themeColor="text1"/>
                <w:sz w:val="24"/>
                <w:szCs w:val="24"/>
                <w14:textFill>
                  <w14:solidFill>
                    <w14:schemeClr w14:val="tx1"/>
                  </w14:solidFill>
                </w14:textFill>
              </w:rPr>
            </w:pPr>
          </w:p>
        </w:tc>
        <w:tc>
          <w:tcPr>
            <w:tcW w:w="1173" w:type="dxa"/>
            <w:tcBorders>
              <w:top w:val="single" w:color="auto" w:sz="4" w:space="0"/>
              <w:left w:val="single" w:color="auto" w:sz="4" w:space="0"/>
              <w:bottom w:val="single" w:color="auto" w:sz="4" w:space="0"/>
              <w:right w:val="single" w:color="auto" w:sz="4" w:space="0"/>
            </w:tcBorders>
          </w:tcPr>
          <w:p w14:paraId="07DBEDDB">
            <w:pPr>
              <w:jc w:val="center"/>
              <w:rPr>
                <w:rFonts w:ascii="Times New Roman" w:hAnsi="Times New Roman" w:cs="Times New Roman"/>
                <w:color w:val="000000" w:themeColor="text1"/>
                <w:sz w:val="24"/>
                <w:szCs w:val="24"/>
                <w14:textFill>
                  <w14:solidFill>
                    <w14:schemeClr w14:val="tx1"/>
                  </w14:solidFill>
                </w14:textFill>
              </w:rPr>
            </w:pPr>
          </w:p>
        </w:tc>
      </w:tr>
      <w:tr w14:paraId="180C23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40" w:hRule="atLeast"/>
          <w:jc w:val="center"/>
        </w:trPr>
        <w:tc>
          <w:tcPr>
            <w:tcW w:w="984" w:type="dxa"/>
            <w:tcBorders>
              <w:top w:val="single" w:color="auto" w:sz="4" w:space="0"/>
              <w:left w:val="single" w:color="auto" w:sz="4" w:space="0"/>
              <w:bottom w:val="single" w:color="auto" w:sz="4" w:space="0"/>
              <w:right w:val="single" w:color="auto" w:sz="4" w:space="0"/>
            </w:tcBorders>
          </w:tcPr>
          <w:p w14:paraId="1B099947">
            <w:pPr>
              <w:jc w:val="center"/>
              <w:rPr>
                <w:rFonts w:ascii="Times New Roman" w:hAnsi="Times New Roman" w:cs="Times New Roman"/>
                <w:color w:val="000000" w:themeColor="text1"/>
                <w:sz w:val="24"/>
                <w:szCs w:val="24"/>
                <w14:textFill>
                  <w14:solidFill>
                    <w14:schemeClr w14:val="tx1"/>
                  </w14:solidFill>
                </w14:textFill>
              </w:rPr>
            </w:pPr>
          </w:p>
        </w:tc>
        <w:tc>
          <w:tcPr>
            <w:tcW w:w="4086" w:type="dxa"/>
            <w:tcBorders>
              <w:top w:val="single" w:color="auto" w:sz="4" w:space="0"/>
              <w:left w:val="single" w:color="auto" w:sz="4" w:space="0"/>
              <w:bottom w:val="single" w:color="auto" w:sz="4" w:space="0"/>
              <w:right w:val="single" w:color="auto" w:sz="4" w:space="0"/>
            </w:tcBorders>
          </w:tcPr>
          <w:p w14:paraId="5A49F8EE">
            <w:pPr>
              <w:rPr>
                <w:rFonts w:ascii="Times New Roman" w:hAnsi="Times New Roman" w:cs="Times New Roman"/>
                <w:color w:val="000000" w:themeColor="text1"/>
                <w:sz w:val="24"/>
                <w:szCs w:val="24"/>
                <w14:textFill>
                  <w14:solidFill>
                    <w14:schemeClr w14:val="tx1"/>
                  </w14:solidFill>
                </w14:textFill>
              </w:rPr>
            </w:pPr>
          </w:p>
        </w:tc>
        <w:tc>
          <w:tcPr>
            <w:tcW w:w="1618" w:type="dxa"/>
            <w:tcBorders>
              <w:top w:val="single" w:color="auto" w:sz="4" w:space="0"/>
              <w:left w:val="single" w:color="auto" w:sz="4" w:space="0"/>
              <w:bottom w:val="single" w:color="auto" w:sz="4" w:space="0"/>
              <w:right w:val="single" w:color="auto" w:sz="4" w:space="0"/>
            </w:tcBorders>
          </w:tcPr>
          <w:p w14:paraId="62DFAEE1">
            <w:pPr>
              <w:jc w:val="center"/>
              <w:rPr>
                <w:rFonts w:ascii="Times New Roman" w:hAnsi="Times New Roman" w:cs="Times New Roman"/>
                <w:color w:val="000000" w:themeColor="text1"/>
                <w:sz w:val="24"/>
                <w:szCs w:val="24"/>
                <w14:textFill>
                  <w14:solidFill>
                    <w14:schemeClr w14:val="tx1"/>
                  </w14:solidFill>
                </w14:textFill>
              </w:rPr>
            </w:pPr>
          </w:p>
        </w:tc>
        <w:tc>
          <w:tcPr>
            <w:tcW w:w="1308" w:type="dxa"/>
            <w:tcBorders>
              <w:top w:val="single" w:color="auto" w:sz="4" w:space="0"/>
              <w:left w:val="single" w:color="auto" w:sz="4" w:space="0"/>
              <w:bottom w:val="single" w:color="auto" w:sz="4" w:space="0"/>
              <w:right w:val="single" w:color="auto" w:sz="4" w:space="0"/>
            </w:tcBorders>
          </w:tcPr>
          <w:p w14:paraId="3A44E793">
            <w:pPr>
              <w:jc w:val="center"/>
              <w:rPr>
                <w:rFonts w:ascii="Times New Roman" w:hAnsi="Times New Roman" w:cs="Times New Roman"/>
                <w:color w:val="000000" w:themeColor="text1"/>
                <w:sz w:val="24"/>
                <w:szCs w:val="24"/>
                <w14:textFill>
                  <w14:solidFill>
                    <w14:schemeClr w14:val="tx1"/>
                  </w14:solidFill>
                </w14:textFill>
              </w:rPr>
            </w:pPr>
          </w:p>
        </w:tc>
        <w:tc>
          <w:tcPr>
            <w:tcW w:w="1173" w:type="dxa"/>
            <w:tcBorders>
              <w:top w:val="single" w:color="auto" w:sz="4" w:space="0"/>
              <w:left w:val="single" w:color="auto" w:sz="4" w:space="0"/>
              <w:bottom w:val="single" w:color="auto" w:sz="4" w:space="0"/>
              <w:right w:val="single" w:color="auto" w:sz="4" w:space="0"/>
            </w:tcBorders>
          </w:tcPr>
          <w:p w14:paraId="0074B338">
            <w:pPr>
              <w:jc w:val="center"/>
              <w:rPr>
                <w:rFonts w:ascii="Times New Roman" w:hAnsi="Times New Roman" w:cs="Times New Roman"/>
                <w:color w:val="000000" w:themeColor="text1"/>
                <w:sz w:val="24"/>
                <w:szCs w:val="24"/>
                <w14:textFill>
                  <w14:solidFill>
                    <w14:schemeClr w14:val="tx1"/>
                  </w14:solidFill>
                </w14:textFill>
              </w:rPr>
            </w:pPr>
          </w:p>
        </w:tc>
      </w:tr>
      <w:tr w14:paraId="068827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40" w:hRule="atLeast"/>
          <w:jc w:val="center"/>
        </w:trPr>
        <w:tc>
          <w:tcPr>
            <w:tcW w:w="984" w:type="dxa"/>
            <w:tcBorders>
              <w:top w:val="single" w:color="auto" w:sz="4" w:space="0"/>
              <w:left w:val="single" w:color="auto" w:sz="4" w:space="0"/>
              <w:bottom w:val="single" w:color="auto" w:sz="4" w:space="0"/>
              <w:right w:val="single" w:color="auto" w:sz="4" w:space="0"/>
            </w:tcBorders>
          </w:tcPr>
          <w:p w14:paraId="24B68813">
            <w:pPr>
              <w:jc w:val="center"/>
              <w:rPr>
                <w:rFonts w:ascii="Times New Roman" w:hAnsi="Times New Roman" w:cs="Times New Roman"/>
                <w:color w:val="000000" w:themeColor="text1"/>
                <w:sz w:val="24"/>
                <w:szCs w:val="24"/>
                <w14:textFill>
                  <w14:solidFill>
                    <w14:schemeClr w14:val="tx1"/>
                  </w14:solidFill>
                </w14:textFill>
              </w:rPr>
            </w:pPr>
          </w:p>
        </w:tc>
        <w:tc>
          <w:tcPr>
            <w:tcW w:w="4086" w:type="dxa"/>
            <w:tcBorders>
              <w:top w:val="single" w:color="auto" w:sz="4" w:space="0"/>
              <w:left w:val="single" w:color="auto" w:sz="4" w:space="0"/>
              <w:bottom w:val="single" w:color="auto" w:sz="4" w:space="0"/>
              <w:right w:val="single" w:color="auto" w:sz="4" w:space="0"/>
            </w:tcBorders>
          </w:tcPr>
          <w:p w14:paraId="098F1098">
            <w:pPr>
              <w:rPr>
                <w:rFonts w:ascii="Times New Roman" w:hAnsi="Times New Roman" w:cs="Times New Roman"/>
                <w:color w:val="000000" w:themeColor="text1"/>
                <w:sz w:val="24"/>
                <w:szCs w:val="24"/>
                <w14:textFill>
                  <w14:solidFill>
                    <w14:schemeClr w14:val="tx1"/>
                  </w14:solidFill>
                </w14:textFill>
              </w:rPr>
            </w:pPr>
          </w:p>
        </w:tc>
        <w:tc>
          <w:tcPr>
            <w:tcW w:w="1618" w:type="dxa"/>
            <w:tcBorders>
              <w:top w:val="single" w:color="auto" w:sz="4" w:space="0"/>
              <w:left w:val="single" w:color="auto" w:sz="4" w:space="0"/>
              <w:bottom w:val="single" w:color="auto" w:sz="4" w:space="0"/>
              <w:right w:val="single" w:color="auto" w:sz="4" w:space="0"/>
            </w:tcBorders>
          </w:tcPr>
          <w:p w14:paraId="507C3E38">
            <w:pPr>
              <w:jc w:val="center"/>
              <w:rPr>
                <w:rFonts w:ascii="Times New Roman" w:hAnsi="Times New Roman" w:cs="Times New Roman"/>
                <w:color w:val="000000" w:themeColor="text1"/>
                <w:sz w:val="24"/>
                <w:szCs w:val="24"/>
                <w14:textFill>
                  <w14:solidFill>
                    <w14:schemeClr w14:val="tx1"/>
                  </w14:solidFill>
                </w14:textFill>
              </w:rPr>
            </w:pPr>
          </w:p>
        </w:tc>
        <w:tc>
          <w:tcPr>
            <w:tcW w:w="1308" w:type="dxa"/>
            <w:tcBorders>
              <w:top w:val="single" w:color="auto" w:sz="4" w:space="0"/>
              <w:left w:val="single" w:color="auto" w:sz="4" w:space="0"/>
              <w:bottom w:val="single" w:color="auto" w:sz="4" w:space="0"/>
              <w:right w:val="single" w:color="auto" w:sz="4" w:space="0"/>
            </w:tcBorders>
          </w:tcPr>
          <w:p w14:paraId="496BC5DE">
            <w:pPr>
              <w:jc w:val="center"/>
              <w:rPr>
                <w:rFonts w:ascii="Times New Roman" w:hAnsi="Times New Roman" w:cs="Times New Roman"/>
                <w:color w:val="000000" w:themeColor="text1"/>
                <w:sz w:val="24"/>
                <w:szCs w:val="24"/>
                <w14:textFill>
                  <w14:solidFill>
                    <w14:schemeClr w14:val="tx1"/>
                  </w14:solidFill>
                </w14:textFill>
              </w:rPr>
            </w:pPr>
          </w:p>
        </w:tc>
        <w:tc>
          <w:tcPr>
            <w:tcW w:w="1173" w:type="dxa"/>
            <w:tcBorders>
              <w:top w:val="single" w:color="auto" w:sz="4" w:space="0"/>
              <w:left w:val="single" w:color="auto" w:sz="4" w:space="0"/>
              <w:bottom w:val="single" w:color="auto" w:sz="4" w:space="0"/>
              <w:right w:val="single" w:color="auto" w:sz="4" w:space="0"/>
            </w:tcBorders>
          </w:tcPr>
          <w:p w14:paraId="4692BDCC">
            <w:pPr>
              <w:jc w:val="center"/>
              <w:rPr>
                <w:rFonts w:ascii="Times New Roman" w:hAnsi="Times New Roman" w:cs="Times New Roman"/>
                <w:color w:val="000000" w:themeColor="text1"/>
                <w:sz w:val="24"/>
                <w:szCs w:val="24"/>
                <w14:textFill>
                  <w14:solidFill>
                    <w14:schemeClr w14:val="tx1"/>
                  </w14:solidFill>
                </w14:textFill>
              </w:rPr>
            </w:pPr>
          </w:p>
        </w:tc>
      </w:tr>
      <w:tr w14:paraId="2C5229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40" w:hRule="atLeast"/>
          <w:jc w:val="center"/>
        </w:trPr>
        <w:tc>
          <w:tcPr>
            <w:tcW w:w="984" w:type="dxa"/>
            <w:tcBorders>
              <w:top w:val="single" w:color="auto" w:sz="4" w:space="0"/>
              <w:left w:val="single" w:color="auto" w:sz="4" w:space="0"/>
              <w:bottom w:val="single" w:color="auto" w:sz="4" w:space="0"/>
              <w:right w:val="single" w:color="auto" w:sz="4" w:space="0"/>
            </w:tcBorders>
          </w:tcPr>
          <w:p w14:paraId="305BA023">
            <w:pPr>
              <w:jc w:val="center"/>
              <w:rPr>
                <w:rFonts w:ascii="Times New Roman" w:hAnsi="Times New Roman" w:cs="Times New Roman"/>
                <w:color w:val="000000" w:themeColor="text1"/>
                <w:sz w:val="24"/>
                <w:szCs w:val="24"/>
                <w14:textFill>
                  <w14:solidFill>
                    <w14:schemeClr w14:val="tx1"/>
                  </w14:solidFill>
                </w14:textFill>
              </w:rPr>
            </w:pPr>
          </w:p>
        </w:tc>
        <w:tc>
          <w:tcPr>
            <w:tcW w:w="4086" w:type="dxa"/>
            <w:tcBorders>
              <w:top w:val="single" w:color="auto" w:sz="4" w:space="0"/>
              <w:left w:val="single" w:color="auto" w:sz="4" w:space="0"/>
              <w:bottom w:val="single" w:color="auto" w:sz="4" w:space="0"/>
              <w:right w:val="single" w:color="auto" w:sz="4" w:space="0"/>
            </w:tcBorders>
          </w:tcPr>
          <w:p w14:paraId="461B27C5">
            <w:pPr>
              <w:rPr>
                <w:rFonts w:ascii="Times New Roman" w:hAnsi="Times New Roman" w:cs="Times New Roman"/>
                <w:color w:val="000000" w:themeColor="text1"/>
                <w:sz w:val="24"/>
                <w:szCs w:val="24"/>
                <w14:textFill>
                  <w14:solidFill>
                    <w14:schemeClr w14:val="tx1"/>
                  </w14:solidFill>
                </w14:textFill>
              </w:rPr>
            </w:pPr>
          </w:p>
        </w:tc>
        <w:tc>
          <w:tcPr>
            <w:tcW w:w="1618" w:type="dxa"/>
            <w:tcBorders>
              <w:top w:val="single" w:color="auto" w:sz="4" w:space="0"/>
              <w:left w:val="single" w:color="auto" w:sz="4" w:space="0"/>
              <w:bottom w:val="single" w:color="auto" w:sz="4" w:space="0"/>
              <w:right w:val="single" w:color="auto" w:sz="4" w:space="0"/>
            </w:tcBorders>
          </w:tcPr>
          <w:p w14:paraId="1AD18E3B">
            <w:pPr>
              <w:jc w:val="center"/>
              <w:rPr>
                <w:rFonts w:ascii="Times New Roman" w:hAnsi="Times New Roman" w:cs="Times New Roman"/>
                <w:color w:val="000000" w:themeColor="text1"/>
                <w:sz w:val="24"/>
                <w:szCs w:val="24"/>
                <w14:textFill>
                  <w14:solidFill>
                    <w14:schemeClr w14:val="tx1"/>
                  </w14:solidFill>
                </w14:textFill>
              </w:rPr>
            </w:pPr>
          </w:p>
        </w:tc>
        <w:tc>
          <w:tcPr>
            <w:tcW w:w="1308" w:type="dxa"/>
            <w:tcBorders>
              <w:top w:val="single" w:color="auto" w:sz="4" w:space="0"/>
              <w:left w:val="single" w:color="auto" w:sz="4" w:space="0"/>
              <w:bottom w:val="single" w:color="auto" w:sz="4" w:space="0"/>
              <w:right w:val="single" w:color="auto" w:sz="4" w:space="0"/>
            </w:tcBorders>
          </w:tcPr>
          <w:p w14:paraId="744A22DB">
            <w:pPr>
              <w:jc w:val="center"/>
              <w:rPr>
                <w:rFonts w:ascii="Times New Roman" w:hAnsi="Times New Roman" w:cs="Times New Roman"/>
                <w:color w:val="000000" w:themeColor="text1"/>
                <w:sz w:val="24"/>
                <w:szCs w:val="24"/>
                <w14:textFill>
                  <w14:solidFill>
                    <w14:schemeClr w14:val="tx1"/>
                  </w14:solidFill>
                </w14:textFill>
              </w:rPr>
            </w:pPr>
          </w:p>
        </w:tc>
        <w:tc>
          <w:tcPr>
            <w:tcW w:w="1173" w:type="dxa"/>
            <w:tcBorders>
              <w:top w:val="single" w:color="auto" w:sz="4" w:space="0"/>
              <w:left w:val="single" w:color="auto" w:sz="4" w:space="0"/>
              <w:bottom w:val="single" w:color="auto" w:sz="4" w:space="0"/>
              <w:right w:val="single" w:color="auto" w:sz="4" w:space="0"/>
            </w:tcBorders>
          </w:tcPr>
          <w:p w14:paraId="5B2818F4">
            <w:pPr>
              <w:jc w:val="center"/>
              <w:rPr>
                <w:rFonts w:ascii="Times New Roman" w:hAnsi="Times New Roman" w:cs="Times New Roman"/>
                <w:color w:val="000000" w:themeColor="text1"/>
                <w:sz w:val="24"/>
                <w:szCs w:val="24"/>
                <w14:textFill>
                  <w14:solidFill>
                    <w14:schemeClr w14:val="tx1"/>
                  </w14:solidFill>
                </w14:textFill>
              </w:rPr>
            </w:pPr>
          </w:p>
        </w:tc>
      </w:tr>
      <w:tr w14:paraId="3DDE65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40" w:hRule="atLeast"/>
          <w:jc w:val="center"/>
        </w:trPr>
        <w:tc>
          <w:tcPr>
            <w:tcW w:w="984" w:type="dxa"/>
            <w:tcBorders>
              <w:top w:val="single" w:color="auto" w:sz="4" w:space="0"/>
              <w:left w:val="single" w:color="auto" w:sz="4" w:space="0"/>
              <w:bottom w:val="single" w:color="auto" w:sz="4" w:space="0"/>
              <w:right w:val="single" w:color="auto" w:sz="4" w:space="0"/>
            </w:tcBorders>
          </w:tcPr>
          <w:p w14:paraId="67210D6C">
            <w:pPr>
              <w:jc w:val="center"/>
              <w:rPr>
                <w:rFonts w:ascii="Times New Roman" w:hAnsi="Times New Roman" w:cs="Times New Roman"/>
                <w:color w:val="000000" w:themeColor="text1"/>
                <w:sz w:val="24"/>
                <w:szCs w:val="24"/>
                <w14:textFill>
                  <w14:solidFill>
                    <w14:schemeClr w14:val="tx1"/>
                  </w14:solidFill>
                </w14:textFill>
              </w:rPr>
            </w:pPr>
          </w:p>
        </w:tc>
        <w:tc>
          <w:tcPr>
            <w:tcW w:w="4086" w:type="dxa"/>
            <w:tcBorders>
              <w:top w:val="single" w:color="auto" w:sz="4" w:space="0"/>
              <w:left w:val="single" w:color="auto" w:sz="4" w:space="0"/>
              <w:bottom w:val="single" w:color="auto" w:sz="4" w:space="0"/>
              <w:right w:val="single" w:color="auto" w:sz="4" w:space="0"/>
            </w:tcBorders>
          </w:tcPr>
          <w:p w14:paraId="7A0CCB83">
            <w:pPr>
              <w:rPr>
                <w:rFonts w:ascii="Times New Roman" w:hAnsi="Times New Roman" w:cs="Times New Roman"/>
                <w:color w:val="000000" w:themeColor="text1"/>
                <w:sz w:val="24"/>
                <w:szCs w:val="24"/>
                <w14:textFill>
                  <w14:solidFill>
                    <w14:schemeClr w14:val="tx1"/>
                  </w14:solidFill>
                </w14:textFill>
              </w:rPr>
            </w:pPr>
          </w:p>
        </w:tc>
        <w:tc>
          <w:tcPr>
            <w:tcW w:w="1618" w:type="dxa"/>
            <w:tcBorders>
              <w:top w:val="single" w:color="auto" w:sz="4" w:space="0"/>
              <w:left w:val="single" w:color="auto" w:sz="4" w:space="0"/>
              <w:bottom w:val="single" w:color="auto" w:sz="4" w:space="0"/>
              <w:right w:val="single" w:color="auto" w:sz="4" w:space="0"/>
            </w:tcBorders>
          </w:tcPr>
          <w:p w14:paraId="57E85447">
            <w:pPr>
              <w:jc w:val="center"/>
              <w:rPr>
                <w:rFonts w:ascii="Times New Roman" w:hAnsi="Times New Roman" w:cs="Times New Roman"/>
                <w:color w:val="000000" w:themeColor="text1"/>
                <w:sz w:val="24"/>
                <w:szCs w:val="24"/>
                <w14:textFill>
                  <w14:solidFill>
                    <w14:schemeClr w14:val="tx1"/>
                  </w14:solidFill>
                </w14:textFill>
              </w:rPr>
            </w:pPr>
          </w:p>
        </w:tc>
        <w:tc>
          <w:tcPr>
            <w:tcW w:w="1308" w:type="dxa"/>
            <w:tcBorders>
              <w:top w:val="single" w:color="auto" w:sz="4" w:space="0"/>
              <w:left w:val="single" w:color="auto" w:sz="4" w:space="0"/>
              <w:bottom w:val="single" w:color="auto" w:sz="4" w:space="0"/>
              <w:right w:val="single" w:color="auto" w:sz="4" w:space="0"/>
            </w:tcBorders>
          </w:tcPr>
          <w:p w14:paraId="06F61305">
            <w:pPr>
              <w:jc w:val="center"/>
              <w:rPr>
                <w:rFonts w:ascii="Times New Roman" w:hAnsi="Times New Roman" w:cs="Times New Roman"/>
                <w:color w:val="000000" w:themeColor="text1"/>
                <w:sz w:val="24"/>
                <w:szCs w:val="24"/>
                <w14:textFill>
                  <w14:solidFill>
                    <w14:schemeClr w14:val="tx1"/>
                  </w14:solidFill>
                </w14:textFill>
              </w:rPr>
            </w:pPr>
          </w:p>
        </w:tc>
        <w:tc>
          <w:tcPr>
            <w:tcW w:w="1173" w:type="dxa"/>
            <w:tcBorders>
              <w:top w:val="single" w:color="auto" w:sz="4" w:space="0"/>
              <w:left w:val="single" w:color="auto" w:sz="4" w:space="0"/>
              <w:bottom w:val="single" w:color="auto" w:sz="4" w:space="0"/>
              <w:right w:val="single" w:color="auto" w:sz="4" w:space="0"/>
            </w:tcBorders>
          </w:tcPr>
          <w:p w14:paraId="29445786">
            <w:pPr>
              <w:jc w:val="center"/>
              <w:rPr>
                <w:rFonts w:ascii="Times New Roman" w:hAnsi="Times New Roman" w:cs="Times New Roman"/>
                <w:color w:val="000000" w:themeColor="text1"/>
                <w:sz w:val="24"/>
                <w:szCs w:val="24"/>
                <w14:textFill>
                  <w14:solidFill>
                    <w14:schemeClr w14:val="tx1"/>
                  </w14:solidFill>
                </w14:textFill>
              </w:rPr>
            </w:pPr>
          </w:p>
        </w:tc>
      </w:tr>
      <w:tr w14:paraId="255C88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40" w:hRule="atLeast"/>
          <w:jc w:val="center"/>
        </w:trPr>
        <w:tc>
          <w:tcPr>
            <w:tcW w:w="984" w:type="dxa"/>
            <w:tcBorders>
              <w:top w:val="single" w:color="auto" w:sz="4" w:space="0"/>
              <w:left w:val="single" w:color="auto" w:sz="4" w:space="0"/>
              <w:bottom w:val="single" w:color="auto" w:sz="4" w:space="0"/>
              <w:right w:val="single" w:color="auto" w:sz="4" w:space="0"/>
            </w:tcBorders>
          </w:tcPr>
          <w:p w14:paraId="17F082CF">
            <w:pPr>
              <w:jc w:val="center"/>
              <w:rPr>
                <w:rFonts w:ascii="Times New Roman" w:hAnsi="Times New Roman" w:cs="Times New Roman"/>
                <w:color w:val="000000" w:themeColor="text1"/>
                <w:sz w:val="24"/>
                <w:szCs w:val="24"/>
                <w14:textFill>
                  <w14:solidFill>
                    <w14:schemeClr w14:val="tx1"/>
                  </w14:solidFill>
                </w14:textFill>
              </w:rPr>
            </w:pPr>
          </w:p>
        </w:tc>
        <w:tc>
          <w:tcPr>
            <w:tcW w:w="4086" w:type="dxa"/>
            <w:tcBorders>
              <w:top w:val="single" w:color="auto" w:sz="4" w:space="0"/>
              <w:left w:val="single" w:color="auto" w:sz="4" w:space="0"/>
              <w:bottom w:val="single" w:color="auto" w:sz="4" w:space="0"/>
              <w:right w:val="single" w:color="auto" w:sz="4" w:space="0"/>
            </w:tcBorders>
          </w:tcPr>
          <w:p w14:paraId="00D6FF91">
            <w:pPr>
              <w:rPr>
                <w:rFonts w:ascii="Times New Roman" w:hAnsi="Times New Roman" w:cs="Times New Roman"/>
                <w:color w:val="000000" w:themeColor="text1"/>
                <w:sz w:val="24"/>
                <w:szCs w:val="24"/>
                <w:shd w:val="clear" w:color="auto" w:fill="FFFFFF"/>
                <w14:textFill>
                  <w14:solidFill>
                    <w14:schemeClr w14:val="tx1"/>
                  </w14:solidFill>
                </w14:textFill>
              </w:rPr>
            </w:pPr>
          </w:p>
        </w:tc>
        <w:tc>
          <w:tcPr>
            <w:tcW w:w="1618" w:type="dxa"/>
            <w:tcBorders>
              <w:top w:val="single" w:color="auto" w:sz="4" w:space="0"/>
              <w:left w:val="single" w:color="auto" w:sz="4" w:space="0"/>
              <w:bottom w:val="single" w:color="auto" w:sz="4" w:space="0"/>
              <w:right w:val="single" w:color="auto" w:sz="4" w:space="0"/>
            </w:tcBorders>
          </w:tcPr>
          <w:p w14:paraId="53171246">
            <w:pPr>
              <w:jc w:val="center"/>
              <w:rPr>
                <w:rFonts w:ascii="Times New Roman" w:hAnsi="Times New Roman" w:cs="Times New Roman"/>
                <w:color w:val="000000" w:themeColor="text1"/>
                <w:sz w:val="24"/>
                <w:szCs w:val="24"/>
                <w14:textFill>
                  <w14:solidFill>
                    <w14:schemeClr w14:val="tx1"/>
                  </w14:solidFill>
                </w14:textFill>
              </w:rPr>
            </w:pPr>
          </w:p>
        </w:tc>
        <w:tc>
          <w:tcPr>
            <w:tcW w:w="1308" w:type="dxa"/>
            <w:tcBorders>
              <w:top w:val="single" w:color="auto" w:sz="4" w:space="0"/>
              <w:left w:val="single" w:color="auto" w:sz="4" w:space="0"/>
              <w:bottom w:val="single" w:color="auto" w:sz="4" w:space="0"/>
              <w:right w:val="single" w:color="auto" w:sz="4" w:space="0"/>
            </w:tcBorders>
          </w:tcPr>
          <w:p w14:paraId="3724F4E7">
            <w:pPr>
              <w:jc w:val="center"/>
              <w:rPr>
                <w:rFonts w:ascii="Times New Roman" w:hAnsi="Times New Roman" w:cs="Times New Roman"/>
                <w:color w:val="000000" w:themeColor="text1"/>
                <w:sz w:val="24"/>
                <w:szCs w:val="24"/>
                <w14:textFill>
                  <w14:solidFill>
                    <w14:schemeClr w14:val="tx1"/>
                  </w14:solidFill>
                </w14:textFill>
              </w:rPr>
            </w:pPr>
          </w:p>
        </w:tc>
        <w:tc>
          <w:tcPr>
            <w:tcW w:w="1173" w:type="dxa"/>
            <w:tcBorders>
              <w:top w:val="single" w:color="auto" w:sz="4" w:space="0"/>
              <w:left w:val="single" w:color="auto" w:sz="4" w:space="0"/>
              <w:bottom w:val="single" w:color="auto" w:sz="4" w:space="0"/>
              <w:right w:val="single" w:color="auto" w:sz="4" w:space="0"/>
            </w:tcBorders>
          </w:tcPr>
          <w:p w14:paraId="1FD40F52">
            <w:pPr>
              <w:jc w:val="center"/>
              <w:rPr>
                <w:rFonts w:ascii="Times New Roman" w:hAnsi="Times New Roman" w:cs="Times New Roman"/>
                <w:color w:val="000000" w:themeColor="text1"/>
                <w:sz w:val="24"/>
                <w:szCs w:val="24"/>
                <w14:textFill>
                  <w14:solidFill>
                    <w14:schemeClr w14:val="tx1"/>
                  </w14:solidFill>
                </w14:textFill>
              </w:rPr>
            </w:pPr>
          </w:p>
        </w:tc>
      </w:tr>
      <w:tr w14:paraId="33766D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40" w:hRule="atLeast"/>
          <w:jc w:val="center"/>
        </w:trPr>
        <w:tc>
          <w:tcPr>
            <w:tcW w:w="984" w:type="dxa"/>
            <w:tcBorders>
              <w:top w:val="single" w:color="auto" w:sz="4" w:space="0"/>
              <w:left w:val="single" w:color="auto" w:sz="4" w:space="0"/>
              <w:bottom w:val="single" w:color="auto" w:sz="4" w:space="0"/>
              <w:right w:val="single" w:color="auto" w:sz="4" w:space="0"/>
            </w:tcBorders>
          </w:tcPr>
          <w:p w14:paraId="69F1E858">
            <w:pPr>
              <w:jc w:val="center"/>
              <w:rPr>
                <w:rFonts w:ascii="Times New Roman" w:hAnsi="Times New Roman" w:cs="Times New Roman"/>
                <w:color w:val="000000" w:themeColor="text1"/>
                <w:sz w:val="24"/>
                <w:szCs w:val="24"/>
                <w14:textFill>
                  <w14:solidFill>
                    <w14:schemeClr w14:val="tx1"/>
                  </w14:solidFill>
                </w14:textFill>
              </w:rPr>
            </w:pPr>
          </w:p>
        </w:tc>
        <w:tc>
          <w:tcPr>
            <w:tcW w:w="4086" w:type="dxa"/>
            <w:tcBorders>
              <w:top w:val="single" w:color="auto" w:sz="4" w:space="0"/>
              <w:left w:val="single" w:color="auto" w:sz="4" w:space="0"/>
              <w:bottom w:val="single" w:color="auto" w:sz="4" w:space="0"/>
              <w:right w:val="single" w:color="auto" w:sz="4" w:space="0"/>
            </w:tcBorders>
          </w:tcPr>
          <w:p w14:paraId="006B54BC">
            <w:pPr>
              <w:rPr>
                <w:rFonts w:ascii="Times New Roman" w:hAnsi="Times New Roman" w:cs="Times New Roman"/>
                <w:color w:val="000000" w:themeColor="text1"/>
                <w:sz w:val="24"/>
                <w:szCs w:val="24"/>
                <w:shd w:val="clear" w:color="auto" w:fill="FFFFFF"/>
                <w14:textFill>
                  <w14:solidFill>
                    <w14:schemeClr w14:val="tx1"/>
                  </w14:solidFill>
                </w14:textFill>
              </w:rPr>
            </w:pPr>
          </w:p>
        </w:tc>
        <w:tc>
          <w:tcPr>
            <w:tcW w:w="1618" w:type="dxa"/>
            <w:tcBorders>
              <w:top w:val="single" w:color="auto" w:sz="4" w:space="0"/>
              <w:left w:val="single" w:color="auto" w:sz="4" w:space="0"/>
              <w:bottom w:val="single" w:color="auto" w:sz="4" w:space="0"/>
              <w:right w:val="single" w:color="auto" w:sz="4" w:space="0"/>
            </w:tcBorders>
          </w:tcPr>
          <w:p w14:paraId="309E5ED4">
            <w:pPr>
              <w:rPr>
                <w:rFonts w:ascii="Times New Roman" w:hAnsi="Times New Roman" w:cs="Times New Roman"/>
                <w:color w:val="000000" w:themeColor="text1"/>
                <w:sz w:val="24"/>
                <w:szCs w:val="24"/>
                <w:shd w:val="clear" w:color="auto" w:fill="FFFFFF"/>
                <w14:textFill>
                  <w14:solidFill>
                    <w14:schemeClr w14:val="tx1"/>
                  </w14:solidFill>
                </w14:textFill>
              </w:rPr>
            </w:pPr>
          </w:p>
        </w:tc>
        <w:tc>
          <w:tcPr>
            <w:tcW w:w="1308" w:type="dxa"/>
            <w:tcBorders>
              <w:top w:val="single" w:color="auto" w:sz="4" w:space="0"/>
              <w:left w:val="single" w:color="auto" w:sz="4" w:space="0"/>
              <w:bottom w:val="single" w:color="auto" w:sz="4" w:space="0"/>
              <w:right w:val="single" w:color="auto" w:sz="4" w:space="0"/>
            </w:tcBorders>
          </w:tcPr>
          <w:p w14:paraId="46A8BD23">
            <w:pPr>
              <w:jc w:val="center"/>
              <w:rPr>
                <w:rFonts w:ascii="Times New Roman" w:hAnsi="Times New Roman" w:cs="Times New Roman"/>
                <w:color w:val="000000" w:themeColor="text1"/>
                <w:sz w:val="24"/>
                <w:szCs w:val="24"/>
                <w14:textFill>
                  <w14:solidFill>
                    <w14:schemeClr w14:val="tx1"/>
                  </w14:solidFill>
                </w14:textFill>
              </w:rPr>
            </w:pPr>
          </w:p>
        </w:tc>
        <w:tc>
          <w:tcPr>
            <w:tcW w:w="1173" w:type="dxa"/>
            <w:tcBorders>
              <w:top w:val="single" w:color="auto" w:sz="4" w:space="0"/>
              <w:left w:val="single" w:color="auto" w:sz="4" w:space="0"/>
              <w:bottom w:val="single" w:color="auto" w:sz="4" w:space="0"/>
              <w:right w:val="single" w:color="auto" w:sz="4" w:space="0"/>
            </w:tcBorders>
          </w:tcPr>
          <w:p w14:paraId="526CD00D">
            <w:pPr>
              <w:jc w:val="center"/>
              <w:rPr>
                <w:rFonts w:ascii="Times New Roman" w:hAnsi="Times New Roman" w:cs="Times New Roman"/>
                <w:color w:val="000000" w:themeColor="text1"/>
                <w:sz w:val="24"/>
                <w:szCs w:val="24"/>
                <w14:textFill>
                  <w14:solidFill>
                    <w14:schemeClr w14:val="tx1"/>
                  </w14:solidFill>
                </w14:textFill>
              </w:rPr>
            </w:pPr>
          </w:p>
        </w:tc>
      </w:tr>
    </w:tbl>
    <w:p w14:paraId="614AD525">
      <w:pPr>
        <w:pStyle w:val="52"/>
        <w:widowControl w:val="0"/>
        <w:spacing w:line="360" w:lineRule="auto"/>
        <w:ind w:firstLine="4320" w:firstLineChars="1800"/>
        <w:rPr>
          <w:rFonts w:ascii="Times New Roman" w:cs="Times New Roman"/>
          <w:color w:val="000000" w:themeColor="text1"/>
          <w:u w:val="single"/>
          <w14:textFill>
            <w14:solidFill>
              <w14:schemeClr w14:val="tx1"/>
            </w14:solidFill>
          </w14:textFill>
        </w:rPr>
      </w:pPr>
      <w:r>
        <w:rPr>
          <w:rFonts w:ascii="Times New Roman" w:cs="Times New Roman"/>
          <w:color w:val="000000" w:themeColor="text1"/>
          <w14:textFill>
            <w14:solidFill>
              <w14:schemeClr w14:val="tx1"/>
            </w14:solidFill>
          </w14:textFill>
        </w:rPr>
        <w:t>法定代表人（授权代表）签字：</w:t>
      </w:r>
      <w:r>
        <w:rPr>
          <w:rFonts w:ascii="Times New Roman" w:cs="Times New Roman"/>
          <w:color w:val="000000" w:themeColor="text1"/>
          <w:u w:val="single"/>
          <w14:textFill>
            <w14:solidFill>
              <w14:schemeClr w14:val="tx1"/>
            </w14:solidFill>
          </w14:textFill>
        </w:rPr>
        <w:t xml:space="preserve">         </w:t>
      </w:r>
    </w:p>
    <w:p w14:paraId="0EDFC78F">
      <w:pPr>
        <w:pStyle w:val="52"/>
        <w:widowControl w:val="0"/>
        <w:spacing w:line="360" w:lineRule="auto"/>
        <w:ind w:firstLine="5040" w:firstLineChars="2100"/>
        <w:rPr>
          <w:rFonts w:ascii="Times New Roman" w:cs="Times New Roman"/>
          <w:color w:val="000000" w:themeColor="text1"/>
          <w:u w:val="single"/>
          <w14:textFill>
            <w14:solidFill>
              <w14:schemeClr w14:val="tx1"/>
            </w14:solidFill>
          </w14:textFill>
        </w:rPr>
      </w:pPr>
      <w:r>
        <w:rPr>
          <w:rFonts w:ascii="Times New Roman" w:cs="Times New Roman"/>
          <w:bCs/>
          <w:color w:val="000000" w:themeColor="text1"/>
          <w14:textFill>
            <w14:solidFill>
              <w14:schemeClr w14:val="tx1"/>
            </w14:solidFill>
          </w14:textFill>
        </w:rPr>
        <w:t>日期：</w:t>
      </w:r>
      <w:r>
        <w:rPr>
          <w:rFonts w:ascii="Times New Roman" w:cs="Times New Roman"/>
          <w:bCs/>
          <w:color w:val="000000" w:themeColor="text1"/>
          <w:u w:val="single"/>
          <w14:textFill>
            <w14:solidFill>
              <w14:schemeClr w14:val="tx1"/>
            </w14:solidFill>
          </w14:textFill>
        </w:rPr>
        <w:t xml:space="preserve">       </w:t>
      </w:r>
      <w:r>
        <w:rPr>
          <w:rFonts w:ascii="Times New Roman" w:cs="Times New Roman"/>
          <w:bCs/>
          <w:color w:val="000000" w:themeColor="text1"/>
          <w14:textFill>
            <w14:solidFill>
              <w14:schemeClr w14:val="tx1"/>
            </w14:solidFill>
          </w14:textFill>
        </w:rPr>
        <w:t>年</w:t>
      </w:r>
      <w:r>
        <w:rPr>
          <w:rFonts w:ascii="Times New Roman" w:cs="Times New Roman"/>
          <w:bCs/>
          <w:color w:val="000000" w:themeColor="text1"/>
          <w:u w:val="single"/>
          <w14:textFill>
            <w14:solidFill>
              <w14:schemeClr w14:val="tx1"/>
            </w14:solidFill>
          </w14:textFill>
        </w:rPr>
        <w:t xml:space="preserve">    </w:t>
      </w:r>
      <w:r>
        <w:rPr>
          <w:rFonts w:ascii="Times New Roman" w:cs="Times New Roman"/>
          <w:bCs/>
          <w:color w:val="000000" w:themeColor="text1"/>
          <w14:textFill>
            <w14:solidFill>
              <w14:schemeClr w14:val="tx1"/>
            </w14:solidFill>
          </w14:textFill>
        </w:rPr>
        <w:t>月</w:t>
      </w:r>
      <w:r>
        <w:rPr>
          <w:rFonts w:ascii="Times New Roman" w:cs="Times New Roman"/>
          <w:bCs/>
          <w:color w:val="000000" w:themeColor="text1"/>
          <w:u w:val="single"/>
          <w14:textFill>
            <w14:solidFill>
              <w14:schemeClr w14:val="tx1"/>
            </w14:solidFill>
          </w14:textFill>
        </w:rPr>
        <w:t xml:space="preserve">    </w:t>
      </w:r>
      <w:r>
        <w:rPr>
          <w:rFonts w:ascii="Times New Roman" w:cs="Times New Roman"/>
          <w:bCs/>
          <w:color w:val="000000" w:themeColor="text1"/>
          <w14:textFill>
            <w14:solidFill>
              <w14:schemeClr w14:val="tx1"/>
            </w14:solidFill>
          </w14:textFill>
        </w:rPr>
        <w:t>日</w:t>
      </w:r>
    </w:p>
    <w:p w14:paraId="39F767A1">
      <w:pPr>
        <w:shd w:val="clear" w:color="auto" w:fill="FFFFFF"/>
        <w:snapToGrid w:val="0"/>
        <w:spacing w:line="360" w:lineRule="exact"/>
        <w:rPr>
          <w:rFonts w:ascii="Times New Roman" w:hAnsi="Times New Roman" w:cs="Times New Roman"/>
          <w:color w:val="000000" w:themeColor="text1"/>
          <w14:textFill>
            <w14:solidFill>
              <w14:schemeClr w14:val="tx1"/>
            </w14:solidFill>
          </w14:textFill>
        </w:rPr>
      </w:pPr>
    </w:p>
    <w:p w14:paraId="634F6B8B">
      <w:pPr>
        <w:shd w:val="clear" w:color="auto" w:fill="FFFFFF"/>
        <w:snapToGrid w:val="0"/>
        <w:spacing w:line="360" w:lineRule="exac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注：按照技术参数要求详细填列。</w:t>
      </w:r>
    </w:p>
    <w:p w14:paraId="78DDAE73">
      <w:pPr>
        <w:spacing w:line="360" w:lineRule="auto"/>
        <w:ind w:firstLine="420" w:firstLineChars="200"/>
        <w:rPr>
          <w:rFonts w:ascii="Times New Roman" w:hAnsi="Times New Roman" w:eastAsia="宋体" w:cs="Times New Roman"/>
          <w:color w:val="000000" w:themeColor="text1"/>
          <w:szCs w:val="21"/>
          <w:u w:color="FF0000"/>
          <w14:textFill>
            <w14:solidFill>
              <w14:schemeClr w14:val="tx1"/>
            </w14:solidFill>
          </w14:textFill>
        </w:rPr>
      </w:pPr>
    </w:p>
    <w:p w14:paraId="6B7A74C0">
      <w:pPr>
        <w:jc w:val="left"/>
        <w:rPr>
          <w:rFonts w:ascii="Times New Roman" w:hAnsi="Times New Roman" w:eastAsia="黑体" w:cs="Times New Roman"/>
          <w:color w:val="000000" w:themeColor="text1"/>
          <w:sz w:val="24"/>
          <w:szCs w:val="24"/>
          <w:u w:color="000000"/>
          <w14:textFill>
            <w14:solidFill>
              <w14:schemeClr w14:val="tx1"/>
            </w14:solidFill>
          </w14:textFill>
        </w:rPr>
      </w:pPr>
      <w:r>
        <w:rPr>
          <w:rFonts w:ascii="Times New Roman" w:hAnsi="Times New Roman" w:eastAsia="黑体" w:cs="Times New Roman"/>
          <w:color w:val="000000" w:themeColor="text1"/>
          <w:sz w:val="24"/>
          <w:szCs w:val="24"/>
          <w:u w:color="000000"/>
          <w14:textFill>
            <w14:solidFill>
              <w14:schemeClr w14:val="tx1"/>
            </w14:solidFill>
          </w14:textFill>
        </w:rPr>
        <w:br w:type="page"/>
      </w:r>
    </w:p>
    <w:p w14:paraId="53DDD712">
      <w:pPr>
        <w:tabs>
          <w:tab w:val="left" w:pos="576"/>
        </w:tabs>
        <w:spacing w:before="156" w:beforeLines="50" w:after="156" w:afterLines="50" w:line="360" w:lineRule="auto"/>
        <w:jc w:val="left"/>
        <w:outlineLvl w:val="2"/>
        <w:rPr>
          <w:rFonts w:ascii="Times New Roman" w:hAnsi="Times New Roman" w:eastAsia="黑体" w:cs="Times New Roman"/>
          <w:color w:val="000000" w:themeColor="text1"/>
          <w:sz w:val="24"/>
          <w:szCs w:val="24"/>
          <w:u w:color="000000"/>
          <w14:textFill>
            <w14:solidFill>
              <w14:schemeClr w14:val="tx1"/>
            </w14:solidFill>
          </w14:textFill>
        </w:rPr>
      </w:pPr>
      <w:bookmarkStart w:id="80" w:name="_Toc11859497"/>
      <w:r>
        <w:rPr>
          <w:rFonts w:ascii="Times New Roman" w:hAnsi="Times New Roman" w:eastAsia="黑体" w:cs="Times New Roman"/>
          <w:color w:val="000000" w:themeColor="text1"/>
          <w:sz w:val="24"/>
          <w:szCs w:val="24"/>
          <w:u w:color="000000"/>
          <w14:textFill>
            <w14:solidFill>
              <w14:schemeClr w14:val="tx1"/>
            </w14:solidFill>
          </w14:textFill>
        </w:rPr>
        <w:t xml:space="preserve">6.7 </w:t>
      </w:r>
      <w:bookmarkEnd w:id="80"/>
      <w:bookmarkStart w:id="81" w:name="_Toc11859498"/>
      <w:r>
        <w:rPr>
          <w:rFonts w:hint="eastAsia" w:ascii="Times New Roman" w:hAnsi="Times New Roman" w:eastAsia="黑体" w:cs="Times New Roman"/>
          <w:color w:val="000000" w:themeColor="text1"/>
          <w:sz w:val="24"/>
          <w:szCs w:val="24"/>
          <w:u w:color="000000"/>
          <w14:textFill>
            <w14:solidFill>
              <w14:schemeClr w14:val="tx1"/>
            </w14:solidFill>
          </w14:textFill>
        </w:rPr>
        <w:t>项目技术说明或实施方案</w:t>
      </w:r>
      <w:bookmarkEnd w:id="81"/>
    </w:p>
    <w:p w14:paraId="0090A7FB">
      <w:pPr>
        <w:spacing w:line="360" w:lineRule="auto"/>
        <w:ind w:firstLine="480" w:firstLineChars="200"/>
        <w:rPr>
          <w:rFonts w:ascii="Times New Roman" w:hAnsi="Times New Roman" w:eastAsia="宋体" w:cs="Times New Roman"/>
          <w:color w:val="000000" w:themeColor="text1"/>
          <w:sz w:val="24"/>
          <w:szCs w:val="24"/>
          <w:u w:color="FF0000"/>
          <w14:textFill>
            <w14:solidFill>
              <w14:schemeClr w14:val="tx1"/>
            </w14:solidFill>
          </w14:textFill>
        </w:rPr>
      </w:pPr>
      <w:r>
        <w:rPr>
          <w:rFonts w:hint="eastAsia" w:ascii="Times New Roman" w:hAnsi="Times New Roman" w:eastAsia="宋体" w:cs="Times New Roman"/>
          <w:color w:val="000000" w:themeColor="text1"/>
          <w:sz w:val="24"/>
          <w:szCs w:val="24"/>
          <w:u w:color="FF0000"/>
          <w14:textFill>
            <w14:solidFill>
              <w14:schemeClr w14:val="tx1"/>
            </w14:solidFill>
          </w14:textFill>
        </w:rPr>
        <w:t>包括</w:t>
      </w:r>
      <w:r>
        <w:rPr>
          <w:rFonts w:ascii="Times New Roman" w:hAnsi="Times New Roman" w:eastAsia="宋体" w:cs="Times New Roman"/>
          <w:color w:val="000000" w:themeColor="text1"/>
          <w:sz w:val="24"/>
          <w:szCs w:val="24"/>
          <w:u w:color="FF0000"/>
          <w14:textFill>
            <w14:solidFill>
              <w14:schemeClr w14:val="tx1"/>
            </w14:solidFill>
          </w14:textFill>
        </w:rPr>
        <w:t>但不限于如下内容：</w:t>
      </w:r>
    </w:p>
    <w:p w14:paraId="5C86E925">
      <w:pPr>
        <w:pStyle w:val="27"/>
        <w:numPr>
          <w:ilvl w:val="0"/>
          <w:numId w:val="5"/>
        </w:numPr>
        <w:spacing w:line="400" w:lineRule="exact"/>
        <w:ind w:firstLine="480"/>
        <w:rPr>
          <w:rFonts w:ascii="Times New Roman" w:hAnsi="Times New Roman" w:eastAsia="宋体" w:cs="Times New Roman"/>
          <w:color w:val="000000" w:themeColor="text1"/>
          <w:sz w:val="24"/>
          <w:szCs w:val="24"/>
          <w:u w:color="FF0000"/>
          <w14:textFill>
            <w14:solidFill>
              <w14:schemeClr w14:val="tx1"/>
            </w14:solidFill>
          </w14:textFill>
        </w:rPr>
      </w:pPr>
      <w:r>
        <w:rPr>
          <w:rFonts w:hint="eastAsia" w:ascii="Times New Roman" w:hAnsi="Times New Roman" w:eastAsia="宋体" w:cs="Times New Roman"/>
          <w:color w:val="000000" w:themeColor="text1"/>
          <w:sz w:val="24"/>
          <w:szCs w:val="24"/>
          <w:u w:color="FF0000"/>
          <w14:textFill>
            <w14:solidFill>
              <w14:schemeClr w14:val="tx1"/>
            </w14:solidFill>
          </w14:textFill>
        </w:rPr>
        <w:t>实施方案</w:t>
      </w:r>
    </w:p>
    <w:p w14:paraId="256F5874">
      <w:pPr>
        <w:pStyle w:val="27"/>
        <w:numPr>
          <w:ilvl w:val="0"/>
          <w:numId w:val="5"/>
        </w:numPr>
        <w:spacing w:line="400" w:lineRule="exact"/>
        <w:ind w:firstLine="480"/>
        <w:rPr>
          <w:rFonts w:eastAsia="宋体"/>
        </w:rPr>
      </w:pPr>
      <w:r>
        <w:rPr>
          <w:rFonts w:hint="eastAsia" w:ascii="Times New Roman" w:hAnsi="Times New Roman" w:eastAsia="宋体" w:cs="Times New Roman"/>
          <w:color w:val="000000" w:themeColor="text1"/>
          <w:sz w:val="24"/>
          <w:szCs w:val="24"/>
          <w:u w:color="FF0000"/>
          <w14:textFill>
            <w14:solidFill>
              <w14:schemeClr w14:val="tx1"/>
            </w14:solidFill>
          </w14:textFill>
        </w:rPr>
        <w:t>售后服务方案</w:t>
      </w:r>
    </w:p>
    <w:p w14:paraId="3523830E">
      <w:pPr>
        <w:spacing w:line="360" w:lineRule="auto"/>
        <w:ind w:firstLine="480" w:firstLineChars="200"/>
        <w:rPr>
          <w:rFonts w:ascii="Times New Roman" w:hAnsi="Times New Roman" w:eastAsia="宋体" w:cs="Times New Roman"/>
          <w:color w:val="000000" w:themeColor="text1"/>
          <w:sz w:val="24"/>
          <w:szCs w:val="24"/>
          <w:u w:color="FF0000"/>
          <w14:textFill>
            <w14:solidFill>
              <w14:schemeClr w14:val="tx1"/>
            </w14:solidFill>
          </w14:textFill>
        </w:rPr>
      </w:pPr>
    </w:p>
    <w:p w14:paraId="2E678654">
      <w:pPr>
        <w:pStyle w:val="27"/>
        <w:numPr>
          <w:ilvl w:val="255"/>
          <w:numId w:val="0"/>
        </w:numPr>
        <w:rPr>
          <w:rFonts w:ascii="Times New Roman" w:hAnsi="Times New Roman" w:eastAsia="宋体" w:cs="Times New Roman"/>
          <w:color w:val="000000" w:themeColor="text1"/>
          <w:sz w:val="24"/>
          <w:szCs w:val="24"/>
          <w:u w:color="FF0000"/>
          <w14:textFill>
            <w14:solidFill>
              <w14:schemeClr w14:val="tx1"/>
            </w14:solidFill>
          </w14:textFill>
        </w:rPr>
      </w:pPr>
    </w:p>
    <w:p w14:paraId="549920FA">
      <w:pPr>
        <w:spacing w:line="360" w:lineRule="auto"/>
        <w:ind w:firstLine="480" w:firstLineChars="200"/>
        <w:rPr>
          <w:rFonts w:ascii="Times New Roman" w:hAnsi="Times New Roman" w:eastAsia="宋体" w:cs="Times New Roman"/>
          <w:color w:val="000000" w:themeColor="text1"/>
          <w:sz w:val="24"/>
          <w:szCs w:val="24"/>
          <w:u w:color="FF0000"/>
          <w14:textFill>
            <w14:solidFill>
              <w14:schemeClr w14:val="tx1"/>
            </w14:solidFill>
          </w14:textFill>
        </w:rPr>
      </w:pPr>
    </w:p>
    <w:p w14:paraId="1192F635">
      <w:pPr>
        <w:pStyle w:val="27"/>
        <w:numPr>
          <w:ilvl w:val="255"/>
          <w:numId w:val="0"/>
        </w:numPr>
        <w:rPr>
          <w:rFonts w:ascii="Times New Roman" w:hAnsi="Times New Roman" w:eastAsia="宋体" w:cs="Times New Roman"/>
          <w:color w:val="000000" w:themeColor="text1"/>
          <w:sz w:val="24"/>
          <w:szCs w:val="24"/>
          <w:u w:color="FF0000"/>
          <w14:textFill>
            <w14:solidFill>
              <w14:schemeClr w14:val="tx1"/>
            </w14:solidFill>
          </w14:textFill>
        </w:rPr>
      </w:pPr>
    </w:p>
    <w:p w14:paraId="4DFC0B7F">
      <w:pPr>
        <w:spacing w:line="360" w:lineRule="auto"/>
        <w:ind w:firstLine="480" w:firstLineChars="200"/>
        <w:rPr>
          <w:rFonts w:ascii="Times New Roman" w:hAnsi="Times New Roman" w:eastAsia="宋体" w:cs="Times New Roman"/>
          <w:color w:val="000000" w:themeColor="text1"/>
          <w:sz w:val="24"/>
          <w:szCs w:val="24"/>
          <w:u w:color="FF0000"/>
          <w14:textFill>
            <w14:solidFill>
              <w14:schemeClr w14:val="tx1"/>
            </w14:solidFill>
          </w14:textFill>
        </w:rPr>
      </w:pPr>
    </w:p>
    <w:p w14:paraId="5951E279">
      <w:pPr>
        <w:jc w:val="left"/>
        <w:rPr>
          <w:rFonts w:ascii="Times New Roman" w:hAnsi="Times New Roman" w:eastAsia="黑体" w:cs="Times New Roman"/>
          <w:color w:val="000000" w:themeColor="text1"/>
          <w:sz w:val="24"/>
          <w:szCs w:val="24"/>
          <w:u w:color="000000"/>
          <w14:textFill>
            <w14:solidFill>
              <w14:schemeClr w14:val="tx1"/>
            </w14:solidFill>
          </w14:textFill>
        </w:rPr>
      </w:pPr>
      <w:r>
        <w:rPr>
          <w:rFonts w:ascii="Times New Roman" w:hAnsi="Times New Roman" w:eastAsia="黑体" w:cs="Times New Roman"/>
          <w:color w:val="000000" w:themeColor="text1"/>
          <w:sz w:val="24"/>
          <w:szCs w:val="24"/>
          <w:u w:color="000000"/>
          <w14:textFill>
            <w14:solidFill>
              <w14:schemeClr w14:val="tx1"/>
            </w14:solidFill>
          </w14:textFill>
        </w:rPr>
        <w:br w:type="page"/>
      </w:r>
    </w:p>
    <w:p w14:paraId="356A25E8">
      <w:pPr>
        <w:tabs>
          <w:tab w:val="left" w:pos="576"/>
        </w:tabs>
        <w:spacing w:before="156" w:beforeLines="50" w:after="156" w:afterLines="50" w:line="360" w:lineRule="auto"/>
        <w:outlineLvl w:val="2"/>
        <w:rPr>
          <w:rFonts w:ascii="Times New Roman" w:hAnsi="Times New Roman" w:eastAsia="黑体" w:cs="Times New Roman"/>
          <w:color w:val="000000" w:themeColor="text1"/>
          <w:sz w:val="24"/>
          <w:szCs w:val="24"/>
          <w:u w:color="000000"/>
          <w14:textFill>
            <w14:solidFill>
              <w14:schemeClr w14:val="tx1"/>
            </w14:solidFill>
          </w14:textFill>
        </w:rPr>
      </w:pPr>
      <w:bookmarkStart w:id="82" w:name="_Toc11859499"/>
      <w:r>
        <w:rPr>
          <w:rFonts w:ascii="Times New Roman" w:hAnsi="Times New Roman" w:eastAsia="黑体" w:cs="Times New Roman"/>
          <w:color w:val="000000" w:themeColor="text1"/>
          <w:sz w:val="24"/>
          <w:szCs w:val="24"/>
          <w:u w:color="000000"/>
          <w14:textFill>
            <w14:solidFill>
              <w14:schemeClr w14:val="tx1"/>
            </w14:solidFill>
          </w14:textFill>
        </w:rPr>
        <w:t>6.</w:t>
      </w:r>
      <w:r>
        <w:rPr>
          <w:rFonts w:hint="eastAsia" w:ascii="Times New Roman" w:hAnsi="Times New Roman" w:eastAsia="黑体" w:cs="Times New Roman"/>
          <w:color w:val="000000" w:themeColor="text1"/>
          <w:sz w:val="24"/>
          <w:szCs w:val="24"/>
          <w:u w:color="000000"/>
          <w14:textFill>
            <w14:solidFill>
              <w14:schemeClr w14:val="tx1"/>
            </w14:solidFill>
          </w14:textFill>
        </w:rPr>
        <w:t>8</w:t>
      </w:r>
      <w:r>
        <w:rPr>
          <w:rFonts w:ascii="Times New Roman" w:hAnsi="Times New Roman" w:eastAsia="黑体" w:cs="Times New Roman"/>
          <w:color w:val="000000" w:themeColor="text1"/>
          <w:sz w:val="24"/>
          <w:szCs w:val="24"/>
          <w:u w:color="000000"/>
          <w14:textFill>
            <w14:solidFill>
              <w14:schemeClr w14:val="tx1"/>
            </w14:solidFill>
          </w14:textFill>
        </w:rPr>
        <w:t xml:space="preserve"> </w:t>
      </w:r>
      <w:bookmarkEnd w:id="82"/>
      <w:r>
        <w:rPr>
          <w:rFonts w:hint="eastAsia" w:ascii="Times New Roman" w:hAnsi="Times New Roman" w:eastAsia="黑体" w:cs="Times New Roman"/>
          <w:color w:val="000000" w:themeColor="text1"/>
          <w:sz w:val="24"/>
          <w:szCs w:val="24"/>
          <w:u w:color="000000"/>
          <w14:textFill>
            <w14:solidFill>
              <w14:schemeClr w14:val="tx1"/>
            </w14:solidFill>
          </w14:textFill>
        </w:rPr>
        <w:t>其他所需要的材料</w:t>
      </w:r>
    </w:p>
    <w:p w14:paraId="443D08FA">
      <w:pPr>
        <w:spacing w:line="360" w:lineRule="auto"/>
        <w:ind w:firstLine="420" w:firstLineChars="200"/>
        <w:rPr>
          <w:rFonts w:ascii="Times New Roman" w:hAnsi="Times New Roman" w:eastAsia="宋体" w:cs="Times New Roman"/>
          <w:color w:val="000000" w:themeColor="text1"/>
          <w:szCs w:val="21"/>
          <w:u w:color="FF0000"/>
          <w14:textFill>
            <w14:solidFill>
              <w14:schemeClr w14:val="tx1"/>
            </w14:solidFill>
          </w14:textFill>
        </w:rPr>
      </w:pPr>
    </w:p>
    <w:p w14:paraId="748E3489">
      <w:pPr>
        <w:jc w:val="left"/>
        <w:rPr>
          <w:b/>
          <w:bCs/>
          <w:color w:val="000000" w:themeColor="text1"/>
          <w14:textFill>
            <w14:solidFill>
              <w14:schemeClr w14:val="tx1"/>
            </w14:solidFill>
          </w14:textFill>
        </w:rPr>
      </w:pPr>
      <w:r>
        <w:rPr>
          <w:b/>
          <w:bCs/>
          <w:color w:val="000000" w:themeColor="text1"/>
          <w14:textFill>
            <w14:solidFill>
              <w14:schemeClr w14:val="tx1"/>
            </w14:solidFill>
          </w14:textFill>
        </w:rPr>
        <w:br w:type="page"/>
      </w:r>
    </w:p>
    <w:p w14:paraId="0E82642F">
      <w:pPr>
        <w:pStyle w:val="12"/>
        <w:kinsoku w:val="0"/>
        <w:overflowPunct w:val="0"/>
        <w:spacing w:before="7"/>
        <w:ind w:right="103" w:firstLine="402"/>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投标人</w:t>
      </w:r>
      <w:r>
        <w:rPr>
          <w:b/>
          <w:bCs/>
          <w:color w:val="000000" w:themeColor="text1"/>
          <w14:textFill>
            <w14:solidFill>
              <w14:schemeClr w14:val="tx1"/>
            </w14:solidFill>
          </w14:textFill>
        </w:rPr>
        <w:t>若符合相关要求，请提供</w:t>
      </w:r>
      <w:r>
        <w:rPr>
          <w:rFonts w:hint="eastAsia"/>
          <w:b/>
          <w:bCs/>
          <w:color w:val="000000" w:themeColor="text1"/>
          <w14:textFill>
            <w14:solidFill>
              <w14:schemeClr w14:val="tx1"/>
            </w14:solidFill>
          </w14:textFill>
        </w:rPr>
        <w:t>企业声明函。</w:t>
      </w:r>
    </w:p>
    <w:p w14:paraId="3B4A0EA8">
      <w:pPr>
        <w:pStyle w:val="12"/>
        <w:kinsoku w:val="0"/>
        <w:overflowPunct w:val="0"/>
        <w:spacing w:before="7"/>
        <w:ind w:right="103" w:firstLine="402"/>
        <w:rPr>
          <w:color w:val="000000" w:themeColor="text1"/>
          <w14:textFill>
            <w14:solidFill>
              <w14:schemeClr w14:val="tx1"/>
            </w14:solidFill>
          </w14:textFill>
        </w:rPr>
      </w:pPr>
      <w:r>
        <w:rPr>
          <w:rFonts w:hint="eastAsia"/>
          <w:b/>
          <w:bCs/>
          <w:color w:val="000000" w:themeColor="text1"/>
          <w14:textFill>
            <w14:solidFill>
              <w14:schemeClr w14:val="tx1"/>
            </w14:solidFill>
          </w14:textFill>
        </w:rPr>
        <w:t>企业声明函格式</w:t>
      </w:r>
    </w:p>
    <w:p w14:paraId="2321039F">
      <w:pPr>
        <w:pStyle w:val="24"/>
        <w:widowControl w:val="0"/>
        <w:kinsoku w:val="0"/>
        <w:overflowPunct w:val="0"/>
        <w:spacing w:before="0" w:beforeAutospacing="0" w:after="120" w:afterAutospacing="0" w:line="460" w:lineRule="exact"/>
        <w:ind w:right="14"/>
        <w:jc w:val="center"/>
        <w:rPr>
          <w:rFonts w:hint="eastAsia"/>
        </w:rPr>
      </w:pPr>
      <w:bookmarkStart w:id="83" w:name="_Toc21478"/>
      <w:r>
        <w:rPr>
          <w:b/>
          <w:kern w:val="2"/>
          <w:sz w:val="28"/>
          <w:szCs w:val="28"/>
          <w:lang w:bidi="ar"/>
        </w:rPr>
        <w:t>中小企业声明函（货物）</w:t>
      </w:r>
    </w:p>
    <w:p w14:paraId="4494B444">
      <w:pPr>
        <w:pStyle w:val="24"/>
        <w:widowControl w:val="0"/>
        <w:tabs>
          <w:tab w:val="left" w:pos="2429"/>
          <w:tab w:val="left" w:pos="3656"/>
        </w:tabs>
        <w:kinsoku w:val="0"/>
        <w:overflowPunct w:val="0"/>
        <w:spacing w:before="0" w:beforeAutospacing="0" w:after="120" w:afterAutospacing="0" w:line="360" w:lineRule="auto"/>
        <w:ind w:right="208" w:firstLine="396"/>
        <w:jc w:val="both"/>
        <w:rPr>
          <w:rFonts w:hint="eastAsia"/>
          <w:spacing w:val="-5"/>
        </w:rPr>
      </w:pPr>
      <w:r>
        <w:rPr>
          <w:spacing w:val="-5"/>
          <w:kern w:val="2"/>
          <w:lang w:bidi="ar"/>
        </w:rPr>
        <w:t>本公司（联合体）郑重声明，根据《政府采购促进中小企业发展管理办法》（财库﹝2020﹞46号）的规定，本公司（联合体）参加</w:t>
      </w:r>
      <w:r>
        <w:rPr>
          <w:spacing w:val="-5"/>
          <w:kern w:val="2"/>
          <w:u w:val="single"/>
          <w:lang w:bidi="ar"/>
        </w:rPr>
        <w:t>（单位名称）</w:t>
      </w:r>
      <w:r>
        <w:rPr>
          <w:spacing w:val="-5"/>
          <w:kern w:val="2"/>
          <w:lang w:bidi="ar"/>
        </w:rPr>
        <w:t>的</w:t>
      </w:r>
      <w:r>
        <w:rPr>
          <w:spacing w:val="-5"/>
          <w:kern w:val="2"/>
          <w:u w:val="single"/>
          <w:lang w:bidi="ar"/>
        </w:rPr>
        <w:t>（项目名称）</w:t>
      </w:r>
      <w:r>
        <w:rPr>
          <w:spacing w:val="-5"/>
          <w:kern w:val="2"/>
          <w:lang w:bidi="ar"/>
        </w:rPr>
        <w:t>采购活动，提供的货物全部由符合政策要求的中小企业制造。相关企业（含联合体中的中小企业、签订分包意向协议的中小企业）的具体情况如下：</w:t>
      </w:r>
    </w:p>
    <w:p w14:paraId="17D475D0">
      <w:pPr>
        <w:pStyle w:val="24"/>
        <w:widowControl w:val="0"/>
        <w:tabs>
          <w:tab w:val="left" w:pos="2429"/>
          <w:tab w:val="left" w:pos="3656"/>
        </w:tabs>
        <w:kinsoku w:val="0"/>
        <w:overflowPunct w:val="0"/>
        <w:spacing w:before="0" w:beforeAutospacing="0" w:after="120" w:afterAutospacing="0" w:line="360" w:lineRule="auto"/>
        <w:ind w:right="208" w:firstLine="396"/>
        <w:jc w:val="both"/>
        <w:rPr>
          <w:rFonts w:hint="eastAsia"/>
          <w:spacing w:val="-5"/>
        </w:rPr>
      </w:pPr>
      <w:r>
        <w:rPr>
          <w:spacing w:val="-5"/>
          <w:kern w:val="2"/>
          <w:lang w:bidi="ar"/>
        </w:rPr>
        <w:t>1.</w:t>
      </w:r>
      <w:r>
        <w:rPr>
          <w:spacing w:val="-5"/>
          <w:kern w:val="2"/>
          <w:u w:val="single"/>
          <w:lang w:bidi="ar"/>
        </w:rPr>
        <w:t xml:space="preserve"> （标的名称） </w:t>
      </w:r>
      <w:r>
        <w:rPr>
          <w:spacing w:val="-5"/>
          <w:kern w:val="2"/>
          <w:lang w:bidi="ar"/>
        </w:rPr>
        <w:t>，属于</w:t>
      </w:r>
      <w:r>
        <w:rPr>
          <w:spacing w:val="-5"/>
          <w:kern w:val="2"/>
          <w:u w:val="single"/>
          <w:lang w:bidi="ar"/>
        </w:rPr>
        <w:t>（采购文件中明确的所属行业）行业</w:t>
      </w:r>
      <w:r>
        <w:rPr>
          <w:spacing w:val="-5"/>
          <w:kern w:val="2"/>
          <w:lang w:bidi="ar"/>
        </w:rPr>
        <w:t>；制造商为</w:t>
      </w:r>
      <w:r>
        <w:rPr>
          <w:spacing w:val="-5"/>
          <w:kern w:val="2"/>
          <w:u w:val="single"/>
          <w:lang w:bidi="ar"/>
        </w:rPr>
        <w:t>（企业名称）</w:t>
      </w:r>
      <w:r>
        <w:rPr>
          <w:spacing w:val="-5"/>
          <w:kern w:val="2"/>
          <w:lang w:bidi="ar"/>
        </w:rPr>
        <w:t>，从业人员人，营业收入为万元，资产总额为万元，属于</w:t>
      </w:r>
      <w:r>
        <w:rPr>
          <w:spacing w:val="-5"/>
          <w:kern w:val="2"/>
          <w:u w:val="single"/>
          <w:lang w:bidi="ar"/>
        </w:rPr>
        <w:t>（中型企业、小型企业、微型企业）</w:t>
      </w:r>
      <w:r>
        <w:rPr>
          <w:spacing w:val="-5"/>
          <w:kern w:val="2"/>
          <w:lang w:bidi="ar"/>
        </w:rPr>
        <w:t>；</w:t>
      </w:r>
    </w:p>
    <w:p w14:paraId="4CB86F9F">
      <w:pPr>
        <w:pStyle w:val="24"/>
        <w:widowControl w:val="0"/>
        <w:tabs>
          <w:tab w:val="left" w:pos="2429"/>
          <w:tab w:val="left" w:pos="3656"/>
        </w:tabs>
        <w:kinsoku w:val="0"/>
        <w:overflowPunct w:val="0"/>
        <w:spacing w:before="0" w:beforeAutospacing="0" w:after="120" w:afterAutospacing="0" w:line="360" w:lineRule="auto"/>
        <w:ind w:right="208" w:firstLine="396"/>
        <w:jc w:val="both"/>
        <w:rPr>
          <w:rFonts w:hint="eastAsia"/>
          <w:spacing w:val="-5"/>
        </w:rPr>
      </w:pPr>
      <w:r>
        <w:rPr>
          <w:spacing w:val="-5"/>
          <w:kern w:val="2"/>
          <w:lang w:bidi="ar"/>
        </w:rPr>
        <w:t>2.</w:t>
      </w:r>
      <w:r>
        <w:rPr>
          <w:spacing w:val="-5"/>
          <w:kern w:val="2"/>
          <w:u w:val="single"/>
          <w:lang w:bidi="ar"/>
        </w:rPr>
        <w:t xml:space="preserve"> （标的名称） </w:t>
      </w:r>
      <w:r>
        <w:rPr>
          <w:spacing w:val="-5"/>
          <w:kern w:val="2"/>
          <w:lang w:bidi="ar"/>
        </w:rPr>
        <w:t>，属于</w:t>
      </w:r>
      <w:r>
        <w:rPr>
          <w:spacing w:val="-5"/>
          <w:kern w:val="2"/>
          <w:u w:val="single"/>
          <w:lang w:bidi="ar"/>
        </w:rPr>
        <w:t>（采购文件中明确的所属行业）行业</w:t>
      </w:r>
      <w:r>
        <w:rPr>
          <w:spacing w:val="-5"/>
          <w:kern w:val="2"/>
          <w:lang w:bidi="ar"/>
        </w:rPr>
        <w:t>；制造商为</w:t>
      </w:r>
      <w:r>
        <w:rPr>
          <w:spacing w:val="-5"/>
          <w:kern w:val="2"/>
          <w:u w:val="single"/>
          <w:lang w:bidi="ar"/>
        </w:rPr>
        <w:t>（企业名称）</w:t>
      </w:r>
      <w:r>
        <w:rPr>
          <w:spacing w:val="-5"/>
          <w:kern w:val="2"/>
          <w:lang w:bidi="ar"/>
        </w:rPr>
        <w:t>，从业人员人，营业收入为万元，资产总额为万元，属于</w:t>
      </w:r>
      <w:r>
        <w:rPr>
          <w:spacing w:val="-5"/>
          <w:kern w:val="2"/>
          <w:u w:val="single"/>
          <w:lang w:bidi="ar"/>
        </w:rPr>
        <w:t>（中型企业、小型企业、微型企业）</w:t>
      </w:r>
      <w:r>
        <w:rPr>
          <w:spacing w:val="-5"/>
          <w:kern w:val="2"/>
          <w:lang w:bidi="ar"/>
        </w:rPr>
        <w:t>；</w:t>
      </w:r>
    </w:p>
    <w:p w14:paraId="5A9F1667">
      <w:pPr>
        <w:pStyle w:val="24"/>
        <w:widowControl w:val="0"/>
        <w:tabs>
          <w:tab w:val="left" w:pos="2429"/>
          <w:tab w:val="left" w:pos="3656"/>
        </w:tabs>
        <w:kinsoku w:val="0"/>
        <w:overflowPunct w:val="0"/>
        <w:spacing w:before="0" w:beforeAutospacing="0" w:after="120" w:afterAutospacing="0" w:line="360" w:lineRule="auto"/>
        <w:ind w:right="208" w:firstLine="396"/>
        <w:jc w:val="both"/>
        <w:rPr>
          <w:rFonts w:hint="eastAsia"/>
          <w:spacing w:val="-5"/>
        </w:rPr>
      </w:pPr>
      <w:r>
        <w:rPr>
          <w:spacing w:val="-5"/>
          <w:kern w:val="2"/>
          <w:lang w:bidi="ar"/>
        </w:rPr>
        <w:t>……</w:t>
      </w:r>
    </w:p>
    <w:p w14:paraId="242B5FFC">
      <w:pPr>
        <w:pStyle w:val="24"/>
        <w:widowControl w:val="0"/>
        <w:tabs>
          <w:tab w:val="left" w:pos="2429"/>
          <w:tab w:val="left" w:pos="3656"/>
        </w:tabs>
        <w:kinsoku w:val="0"/>
        <w:overflowPunct w:val="0"/>
        <w:spacing w:before="0" w:beforeAutospacing="0" w:after="120" w:afterAutospacing="0" w:line="360" w:lineRule="auto"/>
        <w:ind w:right="208" w:firstLine="396"/>
        <w:jc w:val="both"/>
        <w:rPr>
          <w:rFonts w:hint="eastAsia"/>
          <w:spacing w:val="-5"/>
        </w:rPr>
      </w:pPr>
      <w:r>
        <w:rPr>
          <w:spacing w:val="-5"/>
          <w:kern w:val="2"/>
          <w:lang w:bidi="ar"/>
        </w:rPr>
        <w:t>以上企业，不属于大企业的分支机构，不存在控股股东为大企业的情形，也不存在与大企业的负责人为同一人的情形。</w:t>
      </w:r>
    </w:p>
    <w:p w14:paraId="2F0E15F9">
      <w:pPr>
        <w:pStyle w:val="24"/>
        <w:widowControl w:val="0"/>
        <w:tabs>
          <w:tab w:val="left" w:pos="2429"/>
          <w:tab w:val="left" w:pos="3656"/>
        </w:tabs>
        <w:kinsoku w:val="0"/>
        <w:overflowPunct w:val="0"/>
        <w:spacing w:before="0" w:beforeAutospacing="0" w:after="120" w:afterAutospacing="0" w:line="360" w:lineRule="auto"/>
        <w:ind w:right="208" w:firstLine="396"/>
        <w:jc w:val="both"/>
        <w:rPr>
          <w:rFonts w:hint="eastAsia"/>
          <w:spacing w:val="-5"/>
        </w:rPr>
      </w:pPr>
      <w:r>
        <w:rPr>
          <w:spacing w:val="-5"/>
          <w:kern w:val="2"/>
          <w:lang w:bidi="ar"/>
        </w:rPr>
        <w:t>本企业对上述声明内容的真实性负责。如有虚假，将依法承担相应责任。</w:t>
      </w:r>
    </w:p>
    <w:p w14:paraId="4A6DB99D">
      <w:pPr>
        <w:pStyle w:val="24"/>
        <w:widowControl w:val="0"/>
        <w:tabs>
          <w:tab w:val="left" w:pos="2429"/>
          <w:tab w:val="left" w:pos="3656"/>
        </w:tabs>
        <w:kinsoku w:val="0"/>
        <w:overflowPunct w:val="0"/>
        <w:spacing w:before="0" w:beforeAutospacing="0" w:after="120" w:afterAutospacing="0" w:line="360" w:lineRule="auto"/>
        <w:ind w:right="208" w:firstLine="396"/>
        <w:jc w:val="both"/>
        <w:rPr>
          <w:rFonts w:hint="eastAsia"/>
          <w:spacing w:val="-5"/>
        </w:rPr>
      </w:pPr>
    </w:p>
    <w:p w14:paraId="6E7692CD">
      <w:pPr>
        <w:pStyle w:val="24"/>
        <w:widowControl w:val="0"/>
        <w:tabs>
          <w:tab w:val="left" w:pos="2429"/>
          <w:tab w:val="left" w:pos="3656"/>
        </w:tabs>
        <w:kinsoku w:val="0"/>
        <w:overflowPunct w:val="0"/>
        <w:spacing w:before="0" w:beforeAutospacing="0" w:after="120" w:afterAutospacing="0" w:line="360" w:lineRule="auto"/>
        <w:ind w:right="208" w:firstLine="5520" w:firstLineChars="2400"/>
        <w:jc w:val="both"/>
        <w:rPr>
          <w:rFonts w:hint="eastAsia"/>
          <w:spacing w:val="-5"/>
        </w:rPr>
      </w:pPr>
      <w:r>
        <w:rPr>
          <w:spacing w:val="-5"/>
          <w:kern w:val="2"/>
          <w:lang w:bidi="ar"/>
        </w:rPr>
        <w:t>企业名称（盖章）：</w:t>
      </w:r>
    </w:p>
    <w:p w14:paraId="55EAA959">
      <w:pPr>
        <w:widowControl/>
        <w:ind w:firstLine="5750" w:firstLineChars="2500"/>
        <w:jc w:val="left"/>
      </w:pPr>
      <w:r>
        <w:rPr>
          <w:rFonts w:hint="eastAsia" w:ascii="宋体" w:hAnsi="宋体" w:eastAsia="宋体" w:cs="Times New Roman"/>
          <w:spacing w:val="-5"/>
          <w:sz w:val="24"/>
          <w:szCs w:val="24"/>
          <w:lang w:bidi="ar"/>
        </w:rPr>
        <w:t>日期：</w:t>
      </w:r>
    </w:p>
    <w:bookmarkEnd w:id="83"/>
    <w:p w14:paraId="266FA44F">
      <w:pPr>
        <w:pStyle w:val="12"/>
        <w:kinsoku w:val="0"/>
        <w:overflowPunct w:val="0"/>
        <w:spacing w:after="0" w:line="360" w:lineRule="auto"/>
        <w:ind w:left="4111" w:right="437" w:firstLine="403"/>
        <w:rPr>
          <w:color w:val="000000" w:themeColor="text1"/>
          <w14:textFill>
            <w14:solidFill>
              <w14:schemeClr w14:val="tx1"/>
            </w14:solidFill>
          </w14:textFill>
        </w:rPr>
      </w:pPr>
    </w:p>
    <w:p w14:paraId="23FF3089">
      <w:pPr>
        <w:pStyle w:val="12"/>
        <w:kinsoku w:val="0"/>
        <w:overflowPunct w:val="0"/>
        <w:spacing w:after="0" w:line="360" w:lineRule="auto"/>
        <w:ind w:left="4111" w:right="437" w:firstLine="403"/>
        <w:rPr>
          <w:color w:val="000000" w:themeColor="text1"/>
          <w14:textFill>
            <w14:solidFill>
              <w14:schemeClr w14:val="tx1"/>
            </w14:solidFill>
          </w14:textFill>
        </w:rPr>
      </w:pPr>
    </w:p>
    <w:p w14:paraId="0FF5B657">
      <w:pPr>
        <w:pStyle w:val="12"/>
        <w:kinsoku w:val="0"/>
        <w:overflowPunct w:val="0"/>
        <w:spacing w:after="0" w:line="360" w:lineRule="auto"/>
        <w:ind w:left="4111" w:right="437" w:firstLine="403"/>
        <w:rPr>
          <w:color w:val="000000" w:themeColor="text1"/>
          <w14:textFill>
            <w14:solidFill>
              <w14:schemeClr w14:val="tx1"/>
            </w14:solidFill>
          </w14:textFill>
        </w:rPr>
      </w:pPr>
    </w:p>
    <w:p w14:paraId="6060CE6B">
      <w:pPr>
        <w:pStyle w:val="12"/>
        <w:kinsoku w:val="0"/>
        <w:overflowPunct w:val="0"/>
        <w:spacing w:after="0" w:line="360" w:lineRule="auto"/>
        <w:ind w:left="4111" w:right="437" w:firstLine="403"/>
        <w:rPr>
          <w:color w:val="000000" w:themeColor="text1"/>
          <w14:textFill>
            <w14:solidFill>
              <w14:schemeClr w14:val="tx1"/>
            </w14:solidFill>
          </w14:textFill>
        </w:rPr>
      </w:pPr>
    </w:p>
    <w:p w14:paraId="7CDBBC27">
      <w:pPr>
        <w:pStyle w:val="12"/>
        <w:kinsoku w:val="0"/>
        <w:overflowPunct w:val="0"/>
        <w:spacing w:after="0" w:line="360" w:lineRule="auto"/>
        <w:ind w:left="4111" w:right="437" w:firstLine="403"/>
        <w:rPr>
          <w:color w:val="000000" w:themeColor="text1"/>
          <w14:textFill>
            <w14:solidFill>
              <w14:schemeClr w14:val="tx1"/>
            </w14:solidFill>
          </w14:textFill>
        </w:rPr>
      </w:pPr>
    </w:p>
    <w:p w14:paraId="14CE29D8">
      <w:pPr>
        <w:rPr>
          <w:rFonts w:hint="eastAsia" w:ascii="黑体" w:hAnsi="黑体" w:eastAsia="黑体"/>
          <w:bCs/>
          <w:color w:val="000000" w:themeColor="text1"/>
          <w:sz w:val="28"/>
          <w:szCs w:val="28"/>
          <w14:textFill>
            <w14:solidFill>
              <w14:schemeClr w14:val="tx1"/>
            </w14:solidFill>
          </w14:textFill>
        </w:rPr>
      </w:pPr>
      <w:r>
        <w:rPr>
          <w:rFonts w:hint="eastAsia" w:ascii="黑体" w:hAnsi="黑体" w:eastAsia="黑体"/>
          <w:bCs/>
          <w:color w:val="000000" w:themeColor="text1"/>
          <w:sz w:val="28"/>
          <w:szCs w:val="28"/>
          <w14:textFill>
            <w14:solidFill>
              <w14:schemeClr w14:val="tx1"/>
            </w14:solidFill>
          </w14:textFill>
        </w:rPr>
        <w:br w:type="page"/>
      </w:r>
    </w:p>
    <w:p w14:paraId="4427F8BE">
      <w:pPr>
        <w:pStyle w:val="12"/>
        <w:kinsoku w:val="0"/>
        <w:overflowPunct w:val="0"/>
        <w:spacing w:line="460" w:lineRule="exact"/>
        <w:ind w:right="14"/>
        <w:jc w:val="center"/>
        <w:rPr>
          <w:rFonts w:hint="eastAsia" w:ascii="黑体" w:hAnsi="黑体" w:eastAsia="黑体"/>
          <w:bCs/>
          <w:color w:val="000000" w:themeColor="text1"/>
          <w:sz w:val="28"/>
          <w:szCs w:val="28"/>
          <w14:textFill>
            <w14:solidFill>
              <w14:schemeClr w14:val="tx1"/>
            </w14:solidFill>
          </w14:textFill>
        </w:rPr>
      </w:pPr>
      <w:r>
        <w:rPr>
          <w:rFonts w:hint="eastAsia" w:ascii="黑体" w:hAnsi="黑体" w:eastAsia="黑体"/>
          <w:bCs/>
          <w:color w:val="000000" w:themeColor="text1"/>
          <w:sz w:val="28"/>
          <w:szCs w:val="28"/>
          <w14:textFill>
            <w14:solidFill>
              <w14:schemeClr w14:val="tx1"/>
            </w14:solidFill>
          </w14:textFill>
        </w:rPr>
        <w:t>残疾人福利性单位声明函</w:t>
      </w:r>
    </w:p>
    <w:p w14:paraId="4C7E707B">
      <w:pPr>
        <w:pStyle w:val="12"/>
        <w:tabs>
          <w:tab w:val="left" w:pos="2009"/>
          <w:tab w:val="left" w:pos="3547"/>
        </w:tabs>
        <w:kinsoku w:val="0"/>
        <w:overflowPunct w:val="0"/>
        <w:spacing w:after="0" w:line="360" w:lineRule="auto"/>
        <w:ind w:firstLine="388" w:firstLineChars="200"/>
        <w:rPr>
          <w:rFonts w:ascii="Times New Roman" w:hAnsi="Times New Roman" w:cs="Times New Roman"/>
          <w:color w:val="000000" w:themeColor="text1"/>
          <w:spacing w:val="-5"/>
          <w14:textFill>
            <w14:solidFill>
              <w14:schemeClr w14:val="tx1"/>
            </w14:solidFill>
          </w14:textFill>
        </w:rPr>
      </w:pPr>
      <w:r>
        <w:rPr>
          <w:rFonts w:ascii="Times New Roman" w:hAnsi="Times New Roman" w:cs="Times New Roman"/>
          <w:color w:val="000000" w:themeColor="text1"/>
          <w:spacing w:val="-8"/>
          <w14:textFill>
            <w14:solidFill>
              <w14:schemeClr w14:val="tx1"/>
            </w14:solidFill>
          </w14:textFill>
        </w:rPr>
        <w:t xml:space="preserve">本单位郑重声明，根据《财政部 </w:t>
      </w:r>
      <w:r>
        <w:rPr>
          <w:rFonts w:ascii="Times New Roman" w:hAnsi="Times New Roman" w:cs="Times New Roman"/>
          <w:color w:val="000000" w:themeColor="text1"/>
          <w14:textFill>
            <w14:solidFill>
              <w14:schemeClr w14:val="tx1"/>
            </w14:solidFill>
          </w14:textFill>
        </w:rPr>
        <w:t>民政部</w:t>
      </w:r>
      <w:r>
        <w:rPr>
          <w:rFonts w:ascii="Times New Roman" w:hAnsi="Times New Roman" w:cs="Times New Roman"/>
          <w:color w:val="000000" w:themeColor="text1"/>
          <w:spacing w:val="17"/>
          <w14:textFill>
            <w14:solidFill>
              <w14:schemeClr w14:val="tx1"/>
            </w14:solidFill>
          </w14:textFill>
        </w:rPr>
        <w:t xml:space="preserve"> </w:t>
      </w:r>
      <w:r>
        <w:rPr>
          <w:rFonts w:ascii="Times New Roman" w:hAnsi="Times New Roman" w:cs="Times New Roman"/>
          <w:color w:val="000000" w:themeColor="text1"/>
          <w14:textFill>
            <w14:solidFill>
              <w14:schemeClr w14:val="tx1"/>
            </w14:solidFill>
          </w14:textFill>
        </w:rPr>
        <w:t>中国残疾人联合会关于促进残疾人就业政府采</w:t>
      </w:r>
      <w:r>
        <w:rPr>
          <w:rFonts w:ascii="Times New Roman" w:hAnsi="Times New Roman" w:cs="Times New Roman"/>
          <w:color w:val="000000" w:themeColor="text1"/>
          <w:spacing w:val="-3"/>
          <w14:textFill>
            <w14:solidFill>
              <w14:schemeClr w14:val="tx1"/>
            </w14:solidFill>
          </w14:textFill>
        </w:rPr>
        <w:t>购政策的通知》（财库〔2017〕</w:t>
      </w:r>
      <w:r>
        <w:rPr>
          <w:rFonts w:ascii="Times New Roman" w:hAnsi="Times New Roman" w:cs="Times New Roman"/>
          <w:color w:val="000000" w:themeColor="text1"/>
          <w14:textFill>
            <w14:solidFill>
              <w14:schemeClr w14:val="tx1"/>
            </w14:solidFill>
          </w14:textFill>
        </w:rPr>
        <w:t>141</w:t>
      </w:r>
      <w:r>
        <w:rPr>
          <w:rFonts w:ascii="Times New Roman" w:hAnsi="Times New Roman" w:cs="Times New Roman"/>
          <w:color w:val="000000" w:themeColor="text1"/>
          <w:spacing w:val="-48"/>
          <w14:textFill>
            <w14:solidFill>
              <w14:schemeClr w14:val="tx1"/>
            </w14:solidFill>
          </w14:textFill>
        </w:rPr>
        <w:t xml:space="preserve"> </w:t>
      </w:r>
      <w:r>
        <w:rPr>
          <w:rFonts w:ascii="Times New Roman" w:hAnsi="Times New Roman" w:cs="Times New Roman"/>
          <w:color w:val="000000" w:themeColor="text1"/>
          <w14:textFill>
            <w14:solidFill>
              <w14:schemeClr w14:val="tx1"/>
            </w14:solidFill>
          </w14:textFill>
        </w:rPr>
        <w:t>号）的规定，本单位为符合条件的残疾人福利性单位，</w:t>
      </w:r>
      <w:r>
        <w:rPr>
          <w:rFonts w:ascii="Times New Roman" w:hAnsi="Times New Roman" w:cs="Times New Roman"/>
          <w:color w:val="000000" w:themeColor="text1"/>
          <w:spacing w:val="-2"/>
          <w14:textFill>
            <w14:solidFill>
              <w14:schemeClr w14:val="tx1"/>
            </w14:solidFill>
          </w14:textFill>
        </w:rPr>
        <w:t>且本单位参加</w:t>
      </w:r>
      <w:r>
        <w:rPr>
          <w:rFonts w:ascii="Times New Roman" w:hAnsi="Times New Roman" w:cs="Times New Roman"/>
          <w:color w:val="000000" w:themeColor="text1"/>
          <w:spacing w:val="-2"/>
          <w:u w:val="single"/>
          <w14:textFill>
            <w14:solidFill>
              <w14:schemeClr w14:val="tx1"/>
            </w14:solidFill>
          </w14:textFill>
        </w:rPr>
        <w:tab/>
      </w:r>
      <w:r>
        <w:rPr>
          <w:rFonts w:ascii="Times New Roman" w:hAnsi="Times New Roman" w:cs="Times New Roman"/>
          <w:color w:val="000000" w:themeColor="text1"/>
          <w:spacing w:val="-1"/>
          <w14:textFill>
            <w14:solidFill>
              <w14:schemeClr w14:val="tx1"/>
            </w14:solidFill>
          </w14:textFill>
        </w:rPr>
        <w:t>单位的</w:t>
      </w:r>
      <w:r>
        <w:rPr>
          <w:rFonts w:ascii="Times New Roman" w:hAnsi="Times New Roman" w:cs="Times New Roman"/>
          <w:color w:val="000000" w:themeColor="text1"/>
          <w:spacing w:val="-1"/>
          <w:u w:val="single"/>
          <w14:textFill>
            <w14:solidFill>
              <w14:schemeClr w14:val="tx1"/>
            </w14:solidFill>
          </w14:textFill>
        </w:rPr>
        <w:tab/>
      </w:r>
      <w:r>
        <w:rPr>
          <w:rFonts w:ascii="Times New Roman" w:hAnsi="Times New Roman" w:cs="Times New Roman"/>
          <w:color w:val="000000" w:themeColor="text1"/>
          <w:spacing w:val="-5"/>
          <w14:textFill>
            <w14:solidFill>
              <w14:schemeClr w14:val="tx1"/>
            </w14:solidFill>
          </w14:textFill>
        </w:rPr>
        <w:t>项目采购活动提供本单位制造的货物（由本单位承担工程</w:t>
      </w:r>
    </w:p>
    <w:p w14:paraId="29AE0842">
      <w:pPr>
        <w:pStyle w:val="12"/>
        <w:kinsoku w:val="0"/>
        <w:overflowPunct w:val="0"/>
        <w:spacing w:after="0" w:line="360" w:lineRule="auto"/>
        <w:ind w:firstLine="412" w:firstLineChars="20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spacing w:val="-2"/>
          <w14:textFill>
            <w14:solidFill>
              <w14:schemeClr w14:val="tx1"/>
            </w14:solidFill>
          </w14:textFill>
        </w:rPr>
        <w:t>/提供服务），或者提供其他残疾人福利性单位制造的货物（不包括使用非残疾人福利性单</w:t>
      </w:r>
      <w:r>
        <w:rPr>
          <w:rFonts w:ascii="Times New Roman" w:hAnsi="Times New Roman" w:cs="Times New Roman"/>
          <w:color w:val="000000" w:themeColor="text1"/>
          <w:spacing w:val="-32"/>
          <w14:textFill>
            <w14:solidFill>
              <w14:schemeClr w14:val="tx1"/>
            </w14:solidFill>
          </w14:textFill>
        </w:rPr>
        <w:t xml:space="preserve"> </w:t>
      </w:r>
      <w:r>
        <w:rPr>
          <w:rFonts w:ascii="Times New Roman" w:hAnsi="Times New Roman" w:cs="Times New Roman"/>
          <w:color w:val="000000" w:themeColor="text1"/>
          <w14:textFill>
            <w14:solidFill>
              <w14:schemeClr w14:val="tx1"/>
            </w14:solidFill>
          </w14:textFill>
        </w:rPr>
        <w:t>位注册商标的货物）。</w:t>
      </w:r>
    </w:p>
    <w:p w14:paraId="147FA332">
      <w:pPr>
        <w:pStyle w:val="12"/>
        <w:kinsoku w:val="0"/>
        <w:overflowPunct w:val="0"/>
        <w:spacing w:after="0" w:line="360" w:lineRule="auto"/>
        <w:ind w:firstLine="420" w:firstLineChars="20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本单位对上述声明的真实性负责。如有虚假，将依法承担相应责任。</w:t>
      </w:r>
    </w:p>
    <w:p w14:paraId="7FA4791F">
      <w:pPr>
        <w:pStyle w:val="12"/>
        <w:kinsoku w:val="0"/>
        <w:overflowPunct w:val="0"/>
        <w:ind w:firstLine="400"/>
        <w:rPr>
          <w:color w:val="000000" w:themeColor="text1"/>
          <w:sz w:val="20"/>
          <w:szCs w:val="20"/>
          <w14:textFill>
            <w14:solidFill>
              <w14:schemeClr w14:val="tx1"/>
            </w14:solidFill>
          </w14:textFill>
        </w:rPr>
      </w:pPr>
    </w:p>
    <w:p w14:paraId="63C790CC">
      <w:pPr>
        <w:pStyle w:val="12"/>
        <w:kinsoku w:val="0"/>
        <w:overflowPunct w:val="0"/>
        <w:spacing w:after="0" w:line="360" w:lineRule="auto"/>
        <w:ind w:left="4111" w:right="437" w:firstLine="403"/>
        <w:rPr>
          <w:color w:val="000000" w:themeColor="text1"/>
          <w14:textFill>
            <w14:solidFill>
              <w14:schemeClr w14:val="tx1"/>
            </w14:solidFill>
          </w14:textFill>
        </w:rPr>
      </w:pPr>
      <w:r>
        <w:rPr>
          <w:rFonts w:hint="eastAsia"/>
          <w:color w:val="000000" w:themeColor="text1"/>
          <w14:textFill>
            <w14:solidFill>
              <w14:schemeClr w14:val="tx1"/>
            </w14:solidFill>
          </w14:textFill>
        </w:rPr>
        <w:t>投标人（盖章）：</w:t>
      </w:r>
      <w:r>
        <w:rPr>
          <w:color w:val="000000" w:themeColor="text1"/>
          <w:u w:val="single"/>
          <w14:textFill>
            <w14:solidFill>
              <w14:schemeClr w14:val="tx1"/>
            </w14:solidFill>
          </w14:textFill>
        </w:rPr>
        <w:t xml:space="preserve">                </w:t>
      </w:r>
    </w:p>
    <w:p w14:paraId="7A0AC9BB">
      <w:pPr>
        <w:pStyle w:val="12"/>
        <w:kinsoku w:val="0"/>
        <w:overflowPunct w:val="0"/>
        <w:spacing w:after="0" w:line="360" w:lineRule="auto"/>
        <w:ind w:left="4111" w:right="437" w:firstLine="403"/>
        <w:rPr>
          <w:color w:val="000000" w:themeColor="text1"/>
          <w14:textFill>
            <w14:solidFill>
              <w14:schemeClr w14:val="tx1"/>
            </w14:solidFill>
          </w14:textFill>
        </w:rPr>
      </w:pPr>
      <w:r>
        <w:rPr>
          <w:rFonts w:hint="eastAsia"/>
          <w:color w:val="000000" w:themeColor="text1"/>
          <w14:textFill>
            <w14:solidFill>
              <w14:schemeClr w14:val="tx1"/>
            </w14:solidFill>
          </w14:textFill>
        </w:rPr>
        <w:t>日期：</w:t>
      </w:r>
      <w:r>
        <w:rPr>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年</w:t>
      </w:r>
      <w:r>
        <w:rPr>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月</w:t>
      </w:r>
      <w:r>
        <w:rPr>
          <w:color w:val="000000" w:themeColor="text1"/>
          <w:u w:val="single"/>
          <w14:textFill>
            <w14:solidFill>
              <w14:schemeClr w14:val="tx1"/>
            </w14:solidFill>
          </w14:textFill>
        </w:rPr>
        <w:t xml:space="preserve">    </w:t>
      </w:r>
      <w:r>
        <w:rPr>
          <w:rFonts w:hint="eastAsia"/>
          <w:color w:val="000000" w:themeColor="text1"/>
          <w:spacing w:val="-3"/>
          <w14:textFill>
            <w14:solidFill>
              <w14:schemeClr w14:val="tx1"/>
            </w14:solidFill>
          </w14:textFill>
        </w:rPr>
        <w:t>日</w:t>
      </w:r>
    </w:p>
    <w:p w14:paraId="0AEA1328">
      <w:pPr>
        <w:pStyle w:val="12"/>
        <w:kinsoku w:val="0"/>
        <w:overflowPunct w:val="0"/>
        <w:spacing w:after="0" w:line="360" w:lineRule="auto"/>
        <w:ind w:firstLine="420" w:firstLineChars="200"/>
        <w:rPr>
          <w:rFonts w:ascii="Times New Roman" w:hAnsi="Times New Roman" w:cs="Times New Roman"/>
          <w:color w:val="000000" w:themeColor="text1"/>
          <w14:textFill>
            <w14:solidFill>
              <w14:schemeClr w14:val="tx1"/>
            </w14:solidFill>
          </w14:textFill>
        </w:rPr>
      </w:pPr>
    </w:p>
    <w:p w14:paraId="50EDA1B3">
      <w:pPr>
        <w:jc w:val="lef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br w:type="page"/>
      </w:r>
    </w:p>
    <w:p w14:paraId="47612465">
      <w:pPr>
        <w:pStyle w:val="12"/>
        <w:kinsoku w:val="0"/>
        <w:overflowPunct w:val="0"/>
        <w:spacing w:line="460" w:lineRule="exact"/>
        <w:ind w:right="14"/>
        <w:jc w:val="center"/>
        <w:rPr>
          <w:rFonts w:hint="eastAsia" w:ascii="黑体" w:hAnsi="黑体" w:eastAsia="黑体"/>
          <w:bCs/>
          <w:color w:val="000000" w:themeColor="text1"/>
          <w:sz w:val="28"/>
          <w:szCs w:val="28"/>
          <w14:textFill>
            <w14:solidFill>
              <w14:schemeClr w14:val="tx1"/>
            </w14:solidFill>
          </w14:textFill>
        </w:rPr>
      </w:pPr>
      <w:r>
        <w:rPr>
          <w:rFonts w:hint="eastAsia" w:ascii="黑体" w:hAnsi="黑体" w:eastAsia="黑体"/>
          <w:bCs/>
          <w:color w:val="000000" w:themeColor="text1"/>
          <w:sz w:val="28"/>
          <w:szCs w:val="28"/>
          <w14:textFill>
            <w14:solidFill>
              <w14:schemeClr w14:val="tx1"/>
            </w14:solidFill>
          </w14:textFill>
        </w:rPr>
        <w:t>属于监狱企业的证明文件</w:t>
      </w:r>
    </w:p>
    <w:p w14:paraId="74BE24C2">
      <w:pPr>
        <w:pStyle w:val="12"/>
        <w:kinsoku w:val="0"/>
        <w:overflowPunct w:val="0"/>
        <w:spacing w:after="0" w:line="360" w:lineRule="auto"/>
        <w:ind w:firstLine="420" w:firstLineChars="200"/>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（提供由省级以上监狱管理局、戒毒管理局</w:t>
      </w:r>
      <w:r>
        <w:rPr>
          <w:rFonts w:ascii="Times New Roman" w:hAnsi="Times New Roman" w:cs="Times New Roman"/>
          <w:color w:val="000000" w:themeColor="text1"/>
          <w14:textFill>
            <w14:solidFill>
              <w14:schemeClr w14:val="tx1"/>
            </w14:solidFill>
          </w14:textFill>
        </w:rPr>
        <w:t>(</w:t>
      </w:r>
      <w:r>
        <w:rPr>
          <w:rFonts w:hint="eastAsia" w:ascii="Times New Roman" w:hAnsi="Times New Roman" w:cs="Times New Roman"/>
          <w:color w:val="000000" w:themeColor="text1"/>
          <w14:textFill>
            <w14:solidFill>
              <w14:schemeClr w14:val="tx1"/>
            </w14:solidFill>
          </w14:textFill>
        </w:rPr>
        <w:t>含新疆生产建设兵团</w:t>
      </w:r>
      <w:r>
        <w:rPr>
          <w:rFonts w:ascii="Times New Roman" w:hAnsi="Times New Roman" w:cs="Times New Roman"/>
          <w:color w:val="000000" w:themeColor="text1"/>
          <w14:textFill>
            <w14:solidFill>
              <w14:schemeClr w14:val="tx1"/>
            </w14:solidFill>
          </w14:textFill>
        </w:rPr>
        <w:t>)</w:t>
      </w:r>
      <w:r>
        <w:rPr>
          <w:rFonts w:hint="eastAsia" w:ascii="Times New Roman" w:hAnsi="Times New Roman" w:cs="Times New Roman"/>
          <w:color w:val="000000" w:themeColor="text1"/>
          <w14:textFill>
            <w14:solidFill>
              <w14:schemeClr w14:val="tx1"/>
            </w14:solidFill>
          </w14:textFill>
        </w:rPr>
        <w:t>出具的属于监狱企业的证</w:t>
      </w:r>
      <w:r>
        <w:rPr>
          <w:rFonts w:ascii="Times New Roman" w:hAnsi="Times New Roman" w:cs="Times New Roman"/>
          <w:color w:val="000000" w:themeColor="text1"/>
          <w14:textFill>
            <w14:solidFill>
              <w14:schemeClr w14:val="tx1"/>
            </w14:solidFill>
          </w14:textFill>
        </w:rPr>
        <w:t xml:space="preserve"> </w:t>
      </w:r>
      <w:r>
        <w:rPr>
          <w:rFonts w:hint="eastAsia" w:ascii="Times New Roman" w:hAnsi="Times New Roman" w:cs="Times New Roman"/>
          <w:color w:val="000000" w:themeColor="text1"/>
          <w14:textFill>
            <w14:solidFill>
              <w14:schemeClr w14:val="tx1"/>
            </w14:solidFill>
          </w14:textFill>
        </w:rPr>
        <w:t>明文件）</w:t>
      </w:r>
    </w:p>
    <w:p w14:paraId="3D952029">
      <w:pPr>
        <w:pStyle w:val="12"/>
        <w:kinsoku w:val="0"/>
        <w:overflowPunct w:val="0"/>
        <w:spacing w:after="0" w:line="360" w:lineRule="auto"/>
        <w:ind w:firstLine="420" w:firstLineChars="200"/>
        <w:rPr>
          <w:rFonts w:ascii="Times New Roman" w:hAnsi="Times New Roman" w:cs="Times New Roman"/>
          <w:color w:val="000000" w:themeColor="text1"/>
          <w14:textFill>
            <w14:solidFill>
              <w14:schemeClr w14:val="tx1"/>
            </w14:solidFill>
          </w14:textFill>
        </w:rPr>
      </w:pPr>
    </w:p>
    <w:p w14:paraId="1CFF9E23">
      <w:pPr>
        <w:pStyle w:val="12"/>
        <w:kinsoku w:val="0"/>
        <w:overflowPunct w:val="0"/>
        <w:spacing w:after="0" w:line="360" w:lineRule="auto"/>
        <w:ind w:firstLine="420" w:firstLineChars="200"/>
        <w:rPr>
          <w:rFonts w:ascii="Times New Roman" w:hAnsi="Times New Roman" w:cs="Times New Roman"/>
          <w:color w:val="000000" w:themeColor="text1"/>
          <w14:textFill>
            <w14:solidFill>
              <w14:schemeClr w14:val="tx1"/>
            </w14:solidFill>
          </w14:textFill>
        </w:rPr>
      </w:pPr>
    </w:p>
    <w:p w14:paraId="15626502">
      <w:pPr>
        <w:pStyle w:val="12"/>
        <w:kinsoku w:val="0"/>
        <w:overflowPunct w:val="0"/>
        <w:spacing w:line="460" w:lineRule="exact"/>
        <w:ind w:right="14"/>
        <w:jc w:val="center"/>
        <w:rPr>
          <w:rFonts w:hint="eastAsia" w:ascii="黑体" w:hAnsi="黑体" w:eastAsia="黑体"/>
          <w:bCs/>
          <w:color w:val="000000" w:themeColor="text1"/>
          <w:sz w:val="28"/>
          <w:szCs w:val="28"/>
          <w14:textFill>
            <w14:solidFill>
              <w14:schemeClr w14:val="tx1"/>
            </w14:solidFill>
          </w14:textFill>
        </w:rPr>
      </w:pPr>
      <w:r>
        <w:rPr>
          <w:rFonts w:hint="eastAsia" w:ascii="黑体" w:hAnsi="黑体" w:eastAsia="黑体"/>
          <w:bCs/>
          <w:color w:val="000000" w:themeColor="text1"/>
          <w:sz w:val="28"/>
          <w:szCs w:val="28"/>
          <w14:textFill>
            <w14:solidFill>
              <w14:schemeClr w14:val="tx1"/>
            </w14:solidFill>
          </w14:textFill>
        </w:rPr>
        <w:t>节能产品认证文件</w:t>
      </w:r>
    </w:p>
    <w:p w14:paraId="7AC9AB5B">
      <w:pPr>
        <w:pStyle w:val="12"/>
        <w:kinsoku w:val="0"/>
        <w:overflowPunct w:val="0"/>
        <w:spacing w:after="0" w:line="360" w:lineRule="auto"/>
        <w:ind w:firstLine="420" w:firstLineChars="200"/>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（提供产品在《节能产品政府采购清单》中相应的页面）</w:t>
      </w:r>
    </w:p>
    <w:p w14:paraId="25BFB3A7">
      <w:pPr>
        <w:pStyle w:val="12"/>
        <w:kinsoku w:val="0"/>
        <w:overflowPunct w:val="0"/>
        <w:spacing w:after="0" w:line="360" w:lineRule="auto"/>
        <w:ind w:firstLine="420" w:firstLineChars="200"/>
        <w:rPr>
          <w:rFonts w:ascii="Times New Roman" w:hAnsi="Times New Roman" w:cs="Times New Roman"/>
          <w:color w:val="000000" w:themeColor="text1"/>
          <w14:textFill>
            <w14:solidFill>
              <w14:schemeClr w14:val="tx1"/>
            </w14:solidFill>
          </w14:textFill>
        </w:rPr>
      </w:pPr>
    </w:p>
    <w:p w14:paraId="465BCF3B">
      <w:pPr>
        <w:pStyle w:val="12"/>
        <w:kinsoku w:val="0"/>
        <w:overflowPunct w:val="0"/>
        <w:spacing w:after="0" w:line="360" w:lineRule="auto"/>
        <w:ind w:firstLine="420" w:firstLineChars="200"/>
        <w:rPr>
          <w:rFonts w:ascii="Times New Roman" w:hAnsi="Times New Roman" w:cs="Times New Roman"/>
          <w:color w:val="000000" w:themeColor="text1"/>
          <w14:textFill>
            <w14:solidFill>
              <w14:schemeClr w14:val="tx1"/>
            </w14:solidFill>
          </w14:textFill>
        </w:rPr>
      </w:pPr>
    </w:p>
    <w:p w14:paraId="4B29E1CD">
      <w:pPr>
        <w:pStyle w:val="12"/>
        <w:kinsoku w:val="0"/>
        <w:overflowPunct w:val="0"/>
        <w:spacing w:line="460" w:lineRule="exact"/>
        <w:ind w:right="14"/>
        <w:jc w:val="center"/>
        <w:rPr>
          <w:rFonts w:hint="eastAsia" w:ascii="黑体" w:hAnsi="黑体" w:eastAsia="黑体"/>
          <w:bCs/>
          <w:color w:val="000000" w:themeColor="text1"/>
          <w:sz w:val="28"/>
          <w:szCs w:val="28"/>
          <w14:textFill>
            <w14:solidFill>
              <w14:schemeClr w14:val="tx1"/>
            </w14:solidFill>
          </w14:textFill>
        </w:rPr>
      </w:pPr>
      <w:r>
        <w:rPr>
          <w:rFonts w:hint="eastAsia" w:ascii="黑体" w:hAnsi="黑体" w:eastAsia="黑体"/>
          <w:bCs/>
          <w:color w:val="000000" w:themeColor="text1"/>
          <w:sz w:val="28"/>
          <w:szCs w:val="28"/>
          <w14:textFill>
            <w14:solidFill>
              <w14:schemeClr w14:val="tx1"/>
            </w14:solidFill>
          </w14:textFill>
        </w:rPr>
        <w:t>环境标志产品认证文件</w:t>
      </w:r>
    </w:p>
    <w:p w14:paraId="20C8475F">
      <w:pPr>
        <w:pStyle w:val="12"/>
        <w:kinsoku w:val="0"/>
        <w:overflowPunct w:val="0"/>
        <w:spacing w:after="0" w:line="360" w:lineRule="auto"/>
        <w:ind w:firstLine="420" w:firstLineChars="200"/>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（提供产品在《环境标志产品政府采购清单》中相应的页面）</w:t>
      </w:r>
      <w:bookmarkEnd w:id="0"/>
    </w:p>
    <w:p w14:paraId="3E66CF71">
      <w:pPr>
        <w:pStyle w:val="12"/>
        <w:kinsoku w:val="0"/>
        <w:overflowPunct w:val="0"/>
        <w:spacing w:after="0" w:line="360" w:lineRule="auto"/>
        <w:ind w:firstLine="420" w:firstLineChars="200"/>
        <w:rPr>
          <w:rFonts w:ascii="Times New Roman" w:hAnsi="Times New Roman" w:cs="Times New Roman"/>
          <w:color w:val="000000" w:themeColor="text1"/>
          <w14:textFill>
            <w14:solidFill>
              <w14:schemeClr w14:val="tx1"/>
            </w14:solidFill>
          </w14:textFill>
        </w:rPr>
      </w:pPr>
    </w:p>
    <w:p w14:paraId="09310A48">
      <w:pPr>
        <w:spacing w:line="360" w:lineRule="auto"/>
        <w:ind w:firstLine="420" w:firstLineChars="200"/>
        <w:rPr>
          <w:rFonts w:ascii="Times New Roman" w:hAnsi="Times New Roman" w:eastAsia="宋体" w:cs="Times New Roman"/>
          <w:color w:val="000000" w:themeColor="text1"/>
          <w:szCs w:val="21"/>
          <w:u w:color="FF0000"/>
          <w14:textFill>
            <w14:solidFill>
              <w14:schemeClr w14:val="tx1"/>
            </w14:solidFill>
          </w14:textFill>
        </w:rPr>
      </w:pPr>
    </w:p>
    <w:p w14:paraId="396412AC">
      <w:pPr>
        <w:spacing w:line="360" w:lineRule="auto"/>
        <w:ind w:firstLine="480" w:firstLineChars="200"/>
        <w:rPr>
          <w:rFonts w:ascii="Times New Roman" w:hAnsi="Times New Roman" w:eastAsia="宋体" w:cs="Times New Roman"/>
          <w:color w:val="000000" w:themeColor="text1"/>
          <w:sz w:val="24"/>
          <w:szCs w:val="24"/>
          <w:u w:color="FF0000"/>
          <w14:textFill>
            <w14:solidFill>
              <w14:schemeClr w14:val="tx1"/>
            </w14:solidFill>
          </w14:textFill>
        </w:rPr>
      </w:pPr>
    </w:p>
    <w:p w14:paraId="4F2D11E5">
      <w:pPr>
        <w:spacing w:line="360" w:lineRule="auto"/>
        <w:ind w:firstLine="480" w:firstLineChars="200"/>
        <w:rPr>
          <w:rFonts w:ascii="Times New Roman" w:hAnsi="Times New Roman" w:eastAsia="宋体" w:cs="Times New Roman"/>
          <w:color w:val="000000" w:themeColor="text1"/>
          <w:sz w:val="24"/>
          <w:szCs w:val="24"/>
          <w:u w:color="FF0000"/>
          <w14:textFill>
            <w14:solidFill>
              <w14:schemeClr w14:val="tx1"/>
            </w14:solidFill>
          </w14:textFill>
        </w:rPr>
      </w:pPr>
    </w:p>
    <w:bookmarkEnd w:id="66"/>
    <w:bookmarkEnd w:id="67"/>
    <w:bookmarkEnd w:id="68"/>
    <w:bookmarkEnd w:id="69"/>
    <w:p w14:paraId="0F146DFD">
      <w:pPr>
        <w:spacing w:line="360" w:lineRule="auto"/>
        <w:ind w:firstLine="480" w:firstLineChars="200"/>
        <w:rPr>
          <w:rFonts w:ascii="Times New Roman" w:hAnsi="Times New Roman" w:eastAsia="宋体" w:cs="Times New Roman"/>
          <w:color w:val="000000" w:themeColor="text1"/>
          <w:sz w:val="24"/>
          <w:szCs w:val="24"/>
          <w:u w:color="FF0000"/>
          <w14:textFill>
            <w14:solidFill>
              <w14:schemeClr w14:val="tx1"/>
            </w14:solidFill>
          </w14:textFill>
        </w:rPr>
      </w:pPr>
    </w:p>
    <w:p w14:paraId="1DCC36B0">
      <w:pPr>
        <w:jc w:val="left"/>
        <w:rPr>
          <w:rFonts w:ascii="Times New Roman" w:hAnsi="Times New Roman" w:eastAsia="黑体" w:cs="Times New Roman"/>
          <w:color w:val="000000" w:themeColor="text1"/>
          <w:sz w:val="24"/>
          <w:szCs w:val="24"/>
          <w:u w:color="000000"/>
          <w14:textFill>
            <w14:solidFill>
              <w14:schemeClr w14:val="tx1"/>
            </w14:solidFill>
          </w14:textFill>
        </w:rPr>
      </w:pPr>
    </w:p>
    <w:sectPr>
      <w:headerReference r:id="rId7" w:type="default"/>
      <w:footerReference r:id="rId8" w:type="default"/>
      <w:pgSz w:w="11906" w:h="16838"/>
      <w:pgMar w:top="1418" w:right="1418" w:bottom="1474" w:left="1701"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方正兰亭黑简体">
    <w:altName w:val="黑体"/>
    <w:panose1 w:val="00000000000000000000"/>
    <w:charset w:val="86"/>
    <w:family w:val="auto"/>
    <w:pitch w:val="default"/>
    <w:sig w:usb0="00000000" w:usb1="00000000" w:usb2="00000010" w:usb3="00000000" w:csb0="00040001"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Segoe UI">
    <w:panose1 w:val="020B0502040204020203"/>
    <w:charset w:val="00"/>
    <w:family w:val="swiss"/>
    <w:pitch w:val="default"/>
    <w:sig w:usb0="E4002EFF" w:usb1="C000E47F" w:usb2="00000009" w:usb3="00000000" w:csb0="200001FF"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Times New Roman Bold">
    <w:altName w:val="Times New Roman"/>
    <w:panose1 w:val="02020803070505020304"/>
    <w:charset w:val="00"/>
    <w:family w:val="auto"/>
    <w:pitch w:val="default"/>
    <w:sig w:usb0="00000000" w:usb1="00000000"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03EBC4">
    <w:pPr>
      <w:pStyle w:val="19"/>
      <w:jc w:val="center"/>
      <w:rPr>
        <w:rFonts w:ascii="Times New Roman" w:hAnsi="Times New Roman" w:cs="Times New Roman"/>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1E3D4A">
    <w:pPr>
      <w:pStyle w:val="19"/>
      <w:jc w:val="center"/>
      <w:rPr>
        <w:rFonts w:ascii="Times New Roman" w:hAnsi="Times New Roman" w:cs="Times New Roman"/>
        <w:sz w:val="21"/>
        <w:szCs w:val="21"/>
      </w:rPr>
    </w:pPr>
    <w:r>
      <w:rPr>
        <w:rFonts w:ascii="Times New Roman" w:hAnsi="Times New Roman" w:cs="Times New Roman"/>
        <w:sz w:val="21"/>
        <w:szCs w:val="21"/>
      </w:rPr>
      <w:t>第</w:t>
    </w: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  \* Arabic  \* MERGEFORMAT </w:instrText>
    </w:r>
    <w:r>
      <w:rPr>
        <w:rFonts w:ascii="Times New Roman" w:hAnsi="Times New Roman" w:cs="Times New Roman"/>
        <w:sz w:val="21"/>
        <w:szCs w:val="21"/>
      </w:rPr>
      <w:fldChar w:fldCharType="separate"/>
    </w:r>
    <w:r>
      <w:rPr>
        <w:rFonts w:ascii="Times New Roman" w:hAnsi="Times New Roman" w:cs="Times New Roman"/>
        <w:sz w:val="21"/>
        <w:szCs w:val="21"/>
      </w:rPr>
      <w:t>20</w:t>
    </w:r>
    <w:r>
      <w:rPr>
        <w:rFonts w:ascii="Times New Roman" w:hAnsi="Times New Roman" w:cs="Times New Roman"/>
        <w:sz w:val="21"/>
        <w:szCs w:val="21"/>
      </w:rPr>
      <w:fldChar w:fldCharType="end"/>
    </w:r>
    <w:r>
      <w:rPr>
        <w:rFonts w:ascii="Times New Roman" w:hAnsi="Times New Roman" w:cs="Times New Roman"/>
        <w:sz w:val="21"/>
        <w:szCs w:val="21"/>
      </w:rPr>
      <w:t>页</w:t>
    </w:r>
  </w:p>
  <w:p w14:paraId="492222B7"/>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9221C4">
    <w:pPr>
      <w:pStyle w:val="20"/>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8A1179">
    <w:pPr>
      <w:pStyle w:val="20"/>
      <w:jc w:val="right"/>
    </w:pPr>
    <w:r>
      <w:rPr>
        <w:rFonts w:hint="eastAsia"/>
        <w:sz w:val="21"/>
        <w:szCs w:val="21"/>
      </w:rPr>
      <w:t>紫金山实验室API安全网关系统采购项目</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1E8638">
    <w:pPr>
      <w:pStyle w:val="20"/>
      <w:pBdr>
        <w:bottom w:val="none" w:color="auto" w:sz="0" w:space="1"/>
      </w:pBdr>
      <w:jc w:val="right"/>
      <w:rPr>
        <w:rFonts w:ascii="Times New Roman" w:hAnsi="Times New Roman" w:cs="Times New Roman"/>
        <w:sz w:val="21"/>
        <w:szCs w:val="21"/>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2B101C">
    <w:pPr>
      <w:pStyle w:val="27"/>
      <w:pBdr>
        <w:bottom w:val="single" w:color="auto" w:sz="4" w:space="0"/>
      </w:pBdr>
      <w:ind w:firstLine="0" w:firstLineChars="0"/>
      <w:jc w:val="right"/>
    </w:pPr>
    <w:r>
      <w:rPr>
        <w:rFonts w:hint="eastAsia"/>
        <w:szCs w:val="21"/>
      </w:rPr>
      <w:t>紫金山实验室API安全网关系统采购项目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CDDBF6"/>
    <w:multiLevelType w:val="singleLevel"/>
    <w:tmpl w:val="89CDDBF6"/>
    <w:lvl w:ilvl="0" w:tentative="0">
      <w:start w:val="2"/>
      <w:numFmt w:val="chineseCounting"/>
      <w:suff w:val="nothing"/>
      <w:lvlText w:val="%1、"/>
      <w:lvlJc w:val="left"/>
      <w:rPr>
        <w:rFonts w:hint="eastAsia"/>
      </w:rPr>
    </w:lvl>
  </w:abstractNum>
  <w:abstractNum w:abstractNumId="1">
    <w:nsid w:val="AA5FD00A"/>
    <w:multiLevelType w:val="multilevel"/>
    <w:tmpl w:val="AA5FD00A"/>
    <w:lvl w:ilvl="0" w:tentative="0">
      <w:start w:val="1"/>
      <w:numFmt w:val="decimal"/>
      <w:lvlText w:val="%1."/>
      <w:lvlJc w:val="left"/>
      <w:pPr>
        <w:ind w:left="0" w:firstLine="0"/>
      </w:pPr>
    </w:lvl>
    <w:lvl w:ilvl="1" w:tentative="0">
      <w:start w:val="1"/>
      <w:numFmt w:val="decimal"/>
      <w:lvlText w:val="4.%2."/>
      <w:lvlJc w:val="left"/>
      <w:pPr>
        <w:ind w:left="0" w:firstLine="0"/>
      </w:pPr>
    </w:lvl>
    <w:lvl w:ilvl="2" w:tentative="0">
      <w:start w:val="1"/>
      <w:numFmt w:val="none"/>
      <w:pStyle w:val="5"/>
      <w:suff w:val="nothing"/>
      <w:lvlText w:val=""/>
      <w:lvlJc w:val="left"/>
      <w:pPr>
        <w:ind w:left="0" w:firstLine="0"/>
      </w:pPr>
    </w:lvl>
    <w:lvl w:ilvl="3" w:tentative="0">
      <w:start w:val="1"/>
      <w:numFmt w:val="none"/>
      <w:suff w:val="nothing"/>
      <w:lvlText w:val=""/>
      <w:lvlJc w:val="left"/>
      <w:pPr>
        <w:ind w:left="0" w:firstLine="0"/>
      </w:pPr>
    </w:lvl>
    <w:lvl w:ilvl="4" w:tentative="0">
      <w:start w:val="1"/>
      <w:numFmt w:val="none"/>
      <w:suff w:val="nothing"/>
      <w:lvlText w:val=""/>
      <w:lvlJc w:val="left"/>
      <w:pPr>
        <w:ind w:left="0" w:firstLine="0"/>
      </w:pPr>
    </w:lvl>
    <w:lvl w:ilvl="5" w:tentative="0">
      <w:start w:val="1"/>
      <w:numFmt w:val="none"/>
      <w:suff w:val="nothing"/>
      <w:lvlText w:val=""/>
      <w:lvlJc w:val="left"/>
      <w:pPr>
        <w:ind w:left="0" w:firstLine="0"/>
      </w:pPr>
    </w:lvl>
    <w:lvl w:ilvl="6" w:tentative="0">
      <w:start w:val="1"/>
      <w:numFmt w:val="none"/>
      <w:suff w:val="nothing"/>
      <w:lvlText w:val=""/>
      <w:lvlJc w:val="left"/>
      <w:pPr>
        <w:ind w:left="0" w:firstLine="0"/>
      </w:pPr>
    </w:lvl>
    <w:lvl w:ilvl="7" w:tentative="0">
      <w:start w:val="1"/>
      <w:numFmt w:val="none"/>
      <w:suff w:val="nothing"/>
      <w:lvlText w:val=""/>
      <w:lvlJc w:val="left"/>
      <w:pPr>
        <w:ind w:left="0" w:firstLine="0"/>
      </w:pPr>
    </w:lvl>
    <w:lvl w:ilvl="8" w:tentative="0">
      <w:start w:val="1"/>
      <w:numFmt w:val="none"/>
      <w:suff w:val="nothing"/>
      <w:lvlText w:val=""/>
      <w:lvlJc w:val="left"/>
      <w:pPr>
        <w:ind w:left="0" w:firstLine="0"/>
      </w:pPr>
    </w:lvl>
  </w:abstractNum>
  <w:abstractNum w:abstractNumId="2">
    <w:nsid w:val="F32F7121"/>
    <w:multiLevelType w:val="singleLevel"/>
    <w:tmpl w:val="F32F7121"/>
    <w:lvl w:ilvl="0" w:tentative="0">
      <w:start w:val="4"/>
      <w:numFmt w:val="chineseCounting"/>
      <w:suff w:val="space"/>
      <w:lvlText w:val="第%1章"/>
      <w:lvlJc w:val="left"/>
      <w:rPr>
        <w:rFonts w:hint="eastAsia"/>
      </w:rPr>
    </w:lvl>
  </w:abstractNum>
  <w:abstractNum w:abstractNumId="3">
    <w:nsid w:val="13246E8B"/>
    <w:multiLevelType w:val="singleLevel"/>
    <w:tmpl w:val="13246E8B"/>
    <w:lvl w:ilvl="0" w:tentative="0">
      <w:start w:val="1"/>
      <w:numFmt w:val="decimal"/>
      <w:suff w:val="nothing"/>
      <w:lvlText w:val="%1、"/>
      <w:lvlJc w:val="left"/>
      <w:rPr>
        <w:rFonts w:hint="default" w:ascii="宋体" w:hAnsi="宋体" w:eastAsia="宋体" w:cs="宋体"/>
        <w:sz w:val="24"/>
        <w:szCs w:val="24"/>
      </w:rPr>
    </w:lvl>
  </w:abstractNum>
  <w:abstractNum w:abstractNumId="4">
    <w:nsid w:val="5152E541"/>
    <w:multiLevelType w:val="singleLevel"/>
    <w:tmpl w:val="5152E541"/>
    <w:lvl w:ilvl="0" w:tentative="0">
      <w:start w:val="1"/>
      <w:numFmt w:val="chineseCounting"/>
      <w:suff w:val="space"/>
      <w:lvlText w:val="第%1条"/>
      <w:lvlJc w:val="left"/>
      <w:rPr>
        <w:rFonts w:hint="eastAsia"/>
        <w:b/>
        <w:bCs/>
      </w:r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hideSpellingError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E3ODBhODAwYWZlYmM2Zjk2MjA5ZjdiYTk1Y2U0OTQifQ=="/>
  </w:docVars>
  <w:rsids>
    <w:rsidRoot w:val="00172A27"/>
    <w:rsid w:val="000022EF"/>
    <w:rsid w:val="000045C9"/>
    <w:rsid w:val="000056D9"/>
    <w:rsid w:val="000056E1"/>
    <w:rsid w:val="00006D84"/>
    <w:rsid w:val="00011A73"/>
    <w:rsid w:val="00011C0C"/>
    <w:rsid w:val="00012CB3"/>
    <w:rsid w:val="000132CA"/>
    <w:rsid w:val="000136D5"/>
    <w:rsid w:val="00014AA2"/>
    <w:rsid w:val="00015205"/>
    <w:rsid w:val="00015269"/>
    <w:rsid w:val="000156E6"/>
    <w:rsid w:val="0001645A"/>
    <w:rsid w:val="000177AE"/>
    <w:rsid w:val="00020746"/>
    <w:rsid w:val="00021785"/>
    <w:rsid w:val="00022DF9"/>
    <w:rsid w:val="00022EE9"/>
    <w:rsid w:val="000237D1"/>
    <w:rsid w:val="000243B6"/>
    <w:rsid w:val="0002477E"/>
    <w:rsid w:val="00025649"/>
    <w:rsid w:val="000264A7"/>
    <w:rsid w:val="00031DD4"/>
    <w:rsid w:val="0003270F"/>
    <w:rsid w:val="00032BAB"/>
    <w:rsid w:val="00033710"/>
    <w:rsid w:val="00034684"/>
    <w:rsid w:val="00035C7F"/>
    <w:rsid w:val="00040DD0"/>
    <w:rsid w:val="00041331"/>
    <w:rsid w:val="00041F44"/>
    <w:rsid w:val="000430A7"/>
    <w:rsid w:val="0004378F"/>
    <w:rsid w:val="00046859"/>
    <w:rsid w:val="00047409"/>
    <w:rsid w:val="00051255"/>
    <w:rsid w:val="00052F06"/>
    <w:rsid w:val="0005457F"/>
    <w:rsid w:val="00055251"/>
    <w:rsid w:val="000553E1"/>
    <w:rsid w:val="00056359"/>
    <w:rsid w:val="00057F21"/>
    <w:rsid w:val="000609E8"/>
    <w:rsid w:val="00060CBE"/>
    <w:rsid w:val="00061742"/>
    <w:rsid w:val="00063002"/>
    <w:rsid w:val="00063293"/>
    <w:rsid w:val="00064072"/>
    <w:rsid w:val="00067E2D"/>
    <w:rsid w:val="00070161"/>
    <w:rsid w:val="000701A2"/>
    <w:rsid w:val="0007027D"/>
    <w:rsid w:val="0007118E"/>
    <w:rsid w:val="00071F66"/>
    <w:rsid w:val="000747D8"/>
    <w:rsid w:val="000750E1"/>
    <w:rsid w:val="00075C4E"/>
    <w:rsid w:val="000823B6"/>
    <w:rsid w:val="00082F42"/>
    <w:rsid w:val="0008394A"/>
    <w:rsid w:val="0008439B"/>
    <w:rsid w:val="000847FF"/>
    <w:rsid w:val="00086855"/>
    <w:rsid w:val="00086A8C"/>
    <w:rsid w:val="00087768"/>
    <w:rsid w:val="00090E2D"/>
    <w:rsid w:val="00090E45"/>
    <w:rsid w:val="00090EC0"/>
    <w:rsid w:val="00091794"/>
    <w:rsid w:val="00091A4B"/>
    <w:rsid w:val="00093C43"/>
    <w:rsid w:val="0009742B"/>
    <w:rsid w:val="000977F6"/>
    <w:rsid w:val="000A0BDB"/>
    <w:rsid w:val="000A1531"/>
    <w:rsid w:val="000A24F8"/>
    <w:rsid w:val="000A3A52"/>
    <w:rsid w:val="000A4E80"/>
    <w:rsid w:val="000A5D7F"/>
    <w:rsid w:val="000A731E"/>
    <w:rsid w:val="000B04E1"/>
    <w:rsid w:val="000B15BC"/>
    <w:rsid w:val="000B1A64"/>
    <w:rsid w:val="000B24CB"/>
    <w:rsid w:val="000B2DD9"/>
    <w:rsid w:val="000B5431"/>
    <w:rsid w:val="000B5491"/>
    <w:rsid w:val="000B5784"/>
    <w:rsid w:val="000C0FE1"/>
    <w:rsid w:val="000C4D61"/>
    <w:rsid w:val="000C5960"/>
    <w:rsid w:val="000C62FD"/>
    <w:rsid w:val="000D38EA"/>
    <w:rsid w:val="000D394A"/>
    <w:rsid w:val="000D5167"/>
    <w:rsid w:val="000D51AC"/>
    <w:rsid w:val="000D660A"/>
    <w:rsid w:val="000D667C"/>
    <w:rsid w:val="000E0014"/>
    <w:rsid w:val="000E1C61"/>
    <w:rsid w:val="000E2443"/>
    <w:rsid w:val="000E405B"/>
    <w:rsid w:val="000E40F0"/>
    <w:rsid w:val="000E4403"/>
    <w:rsid w:val="000E5CA9"/>
    <w:rsid w:val="000E7B59"/>
    <w:rsid w:val="000F0A11"/>
    <w:rsid w:val="000F1704"/>
    <w:rsid w:val="000F4052"/>
    <w:rsid w:val="000F5248"/>
    <w:rsid w:val="000F6EF7"/>
    <w:rsid w:val="000F7662"/>
    <w:rsid w:val="000F7EFA"/>
    <w:rsid w:val="00101ED5"/>
    <w:rsid w:val="001036C1"/>
    <w:rsid w:val="001041C8"/>
    <w:rsid w:val="00104312"/>
    <w:rsid w:val="0010541F"/>
    <w:rsid w:val="00105CBC"/>
    <w:rsid w:val="001061CB"/>
    <w:rsid w:val="001069A1"/>
    <w:rsid w:val="00106D16"/>
    <w:rsid w:val="00106F06"/>
    <w:rsid w:val="00106F9D"/>
    <w:rsid w:val="00110CFB"/>
    <w:rsid w:val="00113BE2"/>
    <w:rsid w:val="00114C94"/>
    <w:rsid w:val="001211A1"/>
    <w:rsid w:val="00122553"/>
    <w:rsid w:val="00122B60"/>
    <w:rsid w:val="0012333F"/>
    <w:rsid w:val="00123621"/>
    <w:rsid w:val="00124AEC"/>
    <w:rsid w:val="00125E7A"/>
    <w:rsid w:val="00126333"/>
    <w:rsid w:val="00126F74"/>
    <w:rsid w:val="001273C6"/>
    <w:rsid w:val="00134ACB"/>
    <w:rsid w:val="00136831"/>
    <w:rsid w:val="00137345"/>
    <w:rsid w:val="001377E4"/>
    <w:rsid w:val="0014080E"/>
    <w:rsid w:val="0014146B"/>
    <w:rsid w:val="0014307B"/>
    <w:rsid w:val="001435C0"/>
    <w:rsid w:val="0014418D"/>
    <w:rsid w:val="0014448A"/>
    <w:rsid w:val="00147B5F"/>
    <w:rsid w:val="00147F35"/>
    <w:rsid w:val="001512A0"/>
    <w:rsid w:val="00152247"/>
    <w:rsid w:val="001569ED"/>
    <w:rsid w:val="00157634"/>
    <w:rsid w:val="001624C7"/>
    <w:rsid w:val="00163569"/>
    <w:rsid w:val="00164B11"/>
    <w:rsid w:val="00164C1F"/>
    <w:rsid w:val="00165019"/>
    <w:rsid w:val="0016621E"/>
    <w:rsid w:val="00167CBF"/>
    <w:rsid w:val="001707E4"/>
    <w:rsid w:val="0017171C"/>
    <w:rsid w:val="001717C1"/>
    <w:rsid w:val="00171CA7"/>
    <w:rsid w:val="001724E1"/>
    <w:rsid w:val="001727F4"/>
    <w:rsid w:val="00172A27"/>
    <w:rsid w:val="00173B46"/>
    <w:rsid w:val="00174139"/>
    <w:rsid w:val="00175B0A"/>
    <w:rsid w:val="001760AB"/>
    <w:rsid w:val="001769F4"/>
    <w:rsid w:val="001810D4"/>
    <w:rsid w:val="001829DA"/>
    <w:rsid w:val="0018504D"/>
    <w:rsid w:val="001857CA"/>
    <w:rsid w:val="001869BD"/>
    <w:rsid w:val="00190DBD"/>
    <w:rsid w:val="00195465"/>
    <w:rsid w:val="00195931"/>
    <w:rsid w:val="00195A65"/>
    <w:rsid w:val="001A049E"/>
    <w:rsid w:val="001A054F"/>
    <w:rsid w:val="001A0F02"/>
    <w:rsid w:val="001A2711"/>
    <w:rsid w:val="001A30E4"/>
    <w:rsid w:val="001A3A05"/>
    <w:rsid w:val="001A5DAF"/>
    <w:rsid w:val="001A5F59"/>
    <w:rsid w:val="001A6AA4"/>
    <w:rsid w:val="001A6D7D"/>
    <w:rsid w:val="001B14D5"/>
    <w:rsid w:val="001B191A"/>
    <w:rsid w:val="001B62C8"/>
    <w:rsid w:val="001B64EA"/>
    <w:rsid w:val="001B6844"/>
    <w:rsid w:val="001C080E"/>
    <w:rsid w:val="001C19FF"/>
    <w:rsid w:val="001C2329"/>
    <w:rsid w:val="001C3002"/>
    <w:rsid w:val="001C403C"/>
    <w:rsid w:val="001C6630"/>
    <w:rsid w:val="001C68A2"/>
    <w:rsid w:val="001C6A24"/>
    <w:rsid w:val="001C724D"/>
    <w:rsid w:val="001D26C9"/>
    <w:rsid w:val="001D2C02"/>
    <w:rsid w:val="001D3655"/>
    <w:rsid w:val="001D40E3"/>
    <w:rsid w:val="001D4F9C"/>
    <w:rsid w:val="001D6E90"/>
    <w:rsid w:val="001E096F"/>
    <w:rsid w:val="001E2BFC"/>
    <w:rsid w:val="001E5FB5"/>
    <w:rsid w:val="001E6268"/>
    <w:rsid w:val="001E6DF5"/>
    <w:rsid w:val="001E711D"/>
    <w:rsid w:val="001F06C5"/>
    <w:rsid w:val="001F1A04"/>
    <w:rsid w:val="001F33A0"/>
    <w:rsid w:val="001F3E71"/>
    <w:rsid w:val="001F5348"/>
    <w:rsid w:val="001F553F"/>
    <w:rsid w:val="002022F4"/>
    <w:rsid w:val="00203626"/>
    <w:rsid w:val="00204F29"/>
    <w:rsid w:val="00205156"/>
    <w:rsid w:val="002060D9"/>
    <w:rsid w:val="00210D10"/>
    <w:rsid w:val="00211FBE"/>
    <w:rsid w:val="00213E33"/>
    <w:rsid w:val="002162D0"/>
    <w:rsid w:val="00220843"/>
    <w:rsid w:val="00220B2D"/>
    <w:rsid w:val="002218F0"/>
    <w:rsid w:val="00222206"/>
    <w:rsid w:val="00223DC9"/>
    <w:rsid w:val="0022435E"/>
    <w:rsid w:val="00226B8F"/>
    <w:rsid w:val="0023233F"/>
    <w:rsid w:val="00234BBA"/>
    <w:rsid w:val="002356AB"/>
    <w:rsid w:val="002371AE"/>
    <w:rsid w:val="00237254"/>
    <w:rsid w:val="00237700"/>
    <w:rsid w:val="00241588"/>
    <w:rsid w:val="0024346F"/>
    <w:rsid w:val="002434F2"/>
    <w:rsid w:val="00255C42"/>
    <w:rsid w:val="00255DCD"/>
    <w:rsid w:val="00257273"/>
    <w:rsid w:val="002603C3"/>
    <w:rsid w:val="00260697"/>
    <w:rsid w:val="00260EE0"/>
    <w:rsid w:val="00262308"/>
    <w:rsid w:val="0026285D"/>
    <w:rsid w:val="00265A3E"/>
    <w:rsid w:val="0026709E"/>
    <w:rsid w:val="00267CF4"/>
    <w:rsid w:val="00270DBF"/>
    <w:rsid w:val="0027152D"/>
    <w:rsid w:val="00271948"/>
    <w:rsid w:val="0027445A"/>
    <w:rsid w:val="00274843"/>
    <w:rsid w:val="00274DB5"/>
    <w:rsid w:val="00276455"/>
    <w:rsid w:val="0028044B"/>
    <w:rsid w:val="00280FBB"/>
    <w:rsid w:val="00282654"/>
    <w:rsid w:val="00282712"/>
    <w:rsid w:val="0028294F"/>
    <w:rsid w:val="00282DB2"/>
    <w:rsid w:val="00282E2B"/>
    <w:rsid w:val="00284433"/>
    <w:rsid w:val="0028532A"/>
    <w:rsid w:val="002855FB"/>
    <w:rsid w:val="0028597D"/>
    <w:rsid w:val="00285E94"/>
    <w:rsid w:val="00286269"/>
    <w:rsid w:val="002907A1"/>
    <w:rsid w:val="002934A2"/>
    <w:rsid w:val="00293F58"/>
    <w:rsid w:val="00295012"/>
    <w:rsid w:val="00297A13"/>
    <w:rsid w:val="00297CF8"/>
    <w:rsid w:val="002A001A"/>
    <w:rsid w:val="002A0160"/>
    <w:rsid w:val="002A130D"/>
    <w:rsid w:val="002A19D0"/>
    <w:rsid w:val="002A23C9"/>
    <w:rsid w:val="002A2B68"/>
    <w:rsid w:val="002A3186"/>
    <w:rsid w:val="002A38E1"/>
    <w:rsid w:val="002A5E26"/>
    <w:rsid w:val="002A5FF9"/>
    <w:rsid w:val="002A7B58"/>
    <w:rsid w:val="002A7B5E"/>
    <w:rsid w:val="002B141F"/>
    <w:rsid w:val="002B3AA7"/>
    <w:rsid w:val="002B3C23"/>
    <w:rsid w:val="002B3E9D"/>
    <w:rsid w:val="002B4B51"/>
    <w:rsid w:val="002B5A10"/>
    <w:rsid w:val="002B5FA2"/>
    <w:rsid w:val="002B79EF"/>
    <w:rsid w:val="002C04A6"/>
    <w:rsid w:val="002C0B34"/>
    <w:rsid w:val="002C0F09"/>
    <w:rsid w:val="002C14C5"/>
    <w:rsid w:val="002C17D9"/>
    <w:rsid w:val="002C568F"/>
    <w:rsid w:val="002D059F"/>
    <w:rsid w:val="002D1D9D"/>
    <w:rsid w:val="002D266B"/>
    <w:rsid w:val="002D3BFF"/>
    <w:rsid w:val="002E16CD"/>
    <w:rsid w:val="002E4441"/>
    <w:rsid w:val="002E46B5"/>
    <w:rsid w:val="002E654A"/>
    <w:rsid w:val="002E676D"/>
    <w:rsid w:val="002E6A01"/>
    <w:rsid w:val="002F2FCA"/>
    <w:rsid w:val="002F36BD"/>
    <w:rsid w:val="002F37C1"/>
    <w:rsid w:val="002F384C"/>
    <w:rsid w:val="002F388B"/>
    <w:rsid w:val="002F3ABE"/>
    <w:rsid w:val="002F3E8E"/>
    <w:rsid w:val="002F5AEB"/>
    <w:rsid w:val="0030093C"/>
    <w:rsid w:val="00302E57"/>
    <w:rsid w:val="00305651"/>
    <w:rsid w:val="00306CF1"/>
    <w:rsid w:val="003077DE"/>
    <w:rsid w:val="00307A90"/>
    <w:rsid w:val="00310879"/>
    <w:rsid w:val="00310A7F"/>
    <w:rsid w:val="00312F7A"/>
    <w:rsid w:val="00313C03"/>
    <w:rsid w:val="00315009"/>
    <w:rsid w:val="00315BEA"/>
    <w:rsid w:val="00317D33"/>
    <w:rsid w:val="00321C8E"/>
    <w:rsid w:val="00322E79"/>
    <w:rsid w:val="003242C1"/>
    <w:rsid w:val="00324F65"/>
    <w:rsid w:val="003274B9"/>
    <w:rsid w:val="003304D5"/>
    <w:rsid w:val="0033460E"/>
    <w:rsid w:val="00340075"/>
    <w:rsid w:val="003405A1"/>
    <w:rsid w:val="00343DDF"/>
    <w:rsid w:val="00344D33"/>
    <w:rsid w:val="0034502A"/>
    <w:rsid w:val="003453DF"/>
    <w:rsid w:val="00345EE9"/>
    <w:rsid w:val="00350504"/>
    <w:rsid w:val="003519A4"/>
    <w:rsid w:val="003526F5"/>
    <w:rsid w:val="00353B35"/>
    <w:rsid w:val="0035596A"/>
    <w:rsid w:val="00355C02"/>
    <w:rsid w:val="00355CBD"/>
    <w:rsid w:val="00356F3F"/>
    <w:rsid w:val="00357288"/>
    <w:rsid w:val="003575A3"/>
    <w:rsid w:val="00360B89"/>
    <w:rsid w:val="00362BCD"/>
    <w:rsid w:val="00363268"/>
    <w:rsid w:val="00363A4F"/>
    <w:rsid w:val="00364878"/>
    <w:rsid w:val="003659EF"/>
    <w:rsid w:val="003668F7"/>
    <w:rsid w:val="003719FB"/>
    <w:rsid w:val="00371FF0"/>
    <w:rsid w:val="00372973"/>
    <w:rsid w:val="00373706"/>
    <w:rsid w:val="00375E74"/>
    <w:rsid w:val="0037659C"/>
    <w:rsid w:val="00376ED6"/>
    <w:rsid w:val="00377CBF"/>
    <w:rsid w:val="0038057E"/>
    <w:rsid w:val="0038085B"/>
    <w:rsid w:val="003811AF"/>
    <w:rsid w:val="0038214E"/>
    <w:rsid w:val="00383D4F"/>
    <w:rsid w:val="0038523E"/>
    <w:rsid w:val="003853CA"/>
    <w:rsid w:val="003855EC"/>
    <w:rsid w:val="0038691A"/>
    <w:rsid w:val="00386FF7"/>
    <w:rsid w:val="00391B1F"/>
    <w:rsid w:val="0039228E"/>
    <w:rsid w:val="003923E9"/>
    <w:rsid w:val="00393252"/>
    <w:rsid w:val="00394D71"/>
    <w:rsid w:val="003955DD"/>
    <w:rsid w:val="003958B6"/>
    <w:rsid w:val="003970B3"/>
    <w:rsid w:val="003A0439"/>
    <w:rsid w:val="003A34B7"/>
    <w:rsid w:val="003B13B9"/>
    <w:rsid w:val="003B26AD"/>
    <w:rsid w:val="003B2BFB"/>
    <w:rsid w:val="003B3A5F"/>
    <w:rsid w:val="003B3EB7"/>
    <w:rsid w:val="003B44F7"/>
    <w:rsid w:val="003B5C1C"/>
    <w:rsid w:val="003B5E39"/>
    <w:rsid w:val="003B6105"/>
    <w:rsid w:val="003B63A1"/>
    <w:rsid w:val="003C0334"/>
    <w:rsid w:val="003C0759"/>
    <w:rsid w:val="003C0F69"/>
    <w:rsid w:val="003C39B1"/>
    <w:rsid w:val="003C3AAB"/>
    <w:rsid w:val="003C3DD2"/>
    <w:rsid w:val="003C46D0"/>
    <w:rsid w:val="003C47E7"/>
    <w:rsid w:val="003C4CCF"/>
    <w:rsid w:val="003D05A4"/>
    <w:rsid w:val="003D1A16"/>
    <w:rsid w:val="003D23C8"/>
    <w:rsid w:val="003D45D0"/>
    <w:rsid w:val="003E137B"/>
    <w:rsid w:val="003E50A1"/>
    <w:rsid w:val="003E52AB"/>
    <w:rsid w:val="003E6589"/>
    <w:rsid w:val="003E7142"/>
    <w:rsid w:val="003E722A"/>
    <w:rsid w:val="003E7603"/>
    <w:rsid w:val="003E7649"/>
    <w:rsid w:val="003E7F0B"/>
    <w:rsid w:val="003F16D6"/>
    <w:rsid w:val="003F30FE"/>
    <w:rsid w:val="003F3170"/>
    <w:rsid w:val="003F357F"/>
    <w:rsid w:val="003F3817"/>
    <w:rsid w:val="003F3C1E"/>
    <w:rsid w:val="003F3EAD"/>
    <w:rsid w:val="003F560A"/>
    <w:rsid w:val="003F6A73"/>
    <w:rsid w:val="004004FC"/>
    <w:rsid w:val="004024FC"/>
    <w:rsid w:val="00403CDA"/>
    <w:rsid w:val="00404835"/>
    <w:rsid w:val="00405454"/>
    <w:rsid w:val="00406010"/>
    <w:rsid w:val="004068F7"/>
    <w:rsid w:val="00411354"/>
    <w:rsid w:val="00413316"/>
    <w:rsid w:val="00413FB9"/>
    <w:rsid w:val="00414513"/>
    <w:rsid w:val="00414976"/>
    <w:rsid w:val="004150B4"/>
    <w:rsid w:val="004152B9"/>
    <w:rsid w:val="0041583A"/>
    <w:rsid w:val="00420274"/>
    <w:rsid w:val="00420EEF"/>
    <w:rsid w:val="004212E4"/>
    <w:rsid w:val="00422278"/>
    <w:rsid w:val="0042255F"/>
    <w:rsid w:val="00423E5E"/>
    <w:rsid w:val="004243AD"/>
    <w:rsid w:val="004243F8"/>
    <w:rsid w:val="004244CC"/>
    <w:rsid w:val="00424AFF"/>
    <w:rsid w:val="00425681"/>
    <w:rsid w:val="00425D6C"/>
    <w:rsid w:val="00426877"/>
    <w:rsid w:val="0042783D"/>
    <w:rsid w:val="00427855"/>
    <w:rsid w:val="00430650"/>
    <w:rsid w:val="00431A2D"/>
    <w:rsid w:val="004335B4"/>
    <w:rsid w:val="00434E02"/>
    <w:rsid w:val="00434E09"/>
    <w:rsid w:val="004369F5"/>
    <w:rsid w:val="0044069E"/>
    <w:rsid w:val="0044129B"/>
    <w:rsid w:val="004424EF"/>
    <w:rsid w:val="0044282B"/>
    <w:rsid w:val="004433C7"/>
    <w:rsid w:val="00446D5F"/>
    <w:rsid w:val="00447129"/>
    <w:rsid w:val="004502AE"/>
    <w:rsid w:val="004511B8"/>
    <w:rsid w:val="00451DBD"/>
    <w:rsid w:val="004521DA"/>
    <w:rsid w:val="004527E1"/>
    <w:rsid w:val="00452BCD"/>
    <w:rsid w:val="00456760"/>
    <w:rsid w:val="00457A4F"/>
    <w:rsid w:val="0046105B"/>
    <w:rsid w:val="00461AE8"/>
    <w:rsid w:val="004625C1"/>
    <w:rsid w:val="0046575D"/>
    <w:rsid w:val="00466670"/>
    <w:rsid w:val="004678BE"/>
    <w:rsid w:val="00470959"/>
    <w:rsid w:val="004724A1"/>
    <w:rsid w:val="00473BA3"/>
    <w:rsid w:val="0047477C"/>
    <w:rsid w:val="004747D3"/>
    <w:rsid w:val="00481E9F"/>
    <w:rsid w:val="00486130"/>
    <w:rsid w:val="00487EF5"/>
    <w:rsid w:val="00492B22"/>
    <w:rsid w:val="00493B90"/>
    <w:rsid w:val="00493D4E"/>
    <w:rsid w:val="00494647"/>
    <w:rsid w:val="00495A0D"/>
    <w:rsid w:val="00496DA7"/>
    <w:rsid w:val="00497627"/>
    <w:rsid w:val="004A1929"/>
    <w:rsid w:val="004A3062"/>
    <w:rsid w:val="004A49F0"/>
    <w:rsid w:val="004B13D2"/>
    <w:rsid w:val="004B36B9"/>
    <w:rsid w:val="004B3C67"/>
    <w:rsid w:val="004B4137"/>
    <w:rsid w:val="004B4C2E"/>
    <w:rsid w:val="004B61C8"/>
    <w:rsid w:val="004B637A"/>
    <w:rsid w:val="004B7673"/>
    <w:rsid w:val="004C1870"/>
    <w:rsid w:val="004C21C7"/>
    <w:rsid w:val="004C4581"/>
    <w:rsid w:val="004C4DEB"/>
    <w:rsid w:val="004C5B9C"/>
    <w:rsid w:val="004C5C3B"/>
    <w:rsid w:val="004C762C"/>
    <w:rsid w:val="004C7AEE"/>
    <w:rsid w:val="004D07A8"/>
    <w:rsid w:val="004D2159"/>
    <w:rsid w:val="004D3138"/>
    <w:rsid w:val="004D3765"/>
    <w:rsid w:val="004D4BE2"/>
    <w:rsid w:val="004D563E"/>
    <w:rsid w:val="004D58C1"/>
    <w:rsid w:val="004D5AC3"/>
    <w:rsid w:val="004E1975"/>
    <w:rsid w:val="004E37B7"/>
    <w:rsid w:val="004E48DA"/>
    <w:rsid w:val="004E5B27"/>
    <w:rsid w:val="004E6654"/>
    <w:rsid w:val="004E6F3B"/>
    <w:rsid w:val="004F02D2"/>
    <w:rsid w:val="004F1FC7"/>
    <w:rsid w:val="004F4326"/>
    <w:rsid w:val="004F576F"/>
    <w:rsid w:val="004F75A0"/>
    <w:rsid w:val="00500076"/>
    <w:rsid w:val="005004B1"/>
    <w:rsid w:val="00501877"/>
    <w:rsid w:val="0050373C"/>
    <w:rsid w:val="00503971"/>
    <w:rsid w:val="00504190"/>
    <w:rsid w:val="00505E92"/>
    <w:rsid w:val="00511E75"/>
    <w:rsid w:val="0051287F"/>
    <w:rsid w:val="00512AED"/>
    <w:rsid w:val="00514DB6"/>
    <w:rsid w:val="0052238F"/>
    <w:rsid w:val="00522AA3"/>
    <w:rsid w:val="0052308D"/>
    <w:rsid w:val="00524292"/>
    <w:rsid w:val="00524BDF"/>
    <w:rsid w:val="005325CC"/>
    <w:rsid w:val="005342A4"/>
    <w:rsid w:val="00534C63"/>
    <w:rsid w:val="00536846"/>
    <w:rsid w:val="005438D1"/>
    <w:rsid w:val="00543CD1"/>
    <w:rsid w:val="00544C00"/>
    <w:rsid w:val="0055016C"/>
    <w:rsid w:val="005522F2"/>
    <w:rsid w:val="005540D8"/>
    <w:rsid w:val="0055440A"/>
    <w:rsid w:val="00555309"/>
    <w:rsid w:val="00556FEF"/>
    <w:rsid w:val="00557DC9"/>
    <w:rsid w:val="00561D94"/>
    <w:rsid w:val="005635C9"/>
    <w:rsid w:val="005675A5"/>
    <w:rsid w:val="00572357"/>
    <w:rsid w:val="0057292D"/>
    <w:rsid w:val="0057298A"/>
    <w:rsid w:val="00575E87"/>
    <w:rsid w:val="00577000"/>
    <w:rsid w:val="005773A9"/>
    <w:rsid w:val="00577F4D"/>
    <w:rsid w:val="0058395A"/>
    <w:rsid w:val="0058423D"/>
    <w:rsid w:val="005860E9"/>
    <w:rsid w:val="00590311"/>
    <w:rsid w:val="00590713"/>
    <w:rsid w:val="00590E0F"/>
    <w:rsid w:val="00592F21"/>
    <w:rsid w:val="005943FD"/>
    <w:rsid w:val="00594942"/>
    <w:rsid w:val="005A04F3"/>
    <w:rsid w:val="005A10EC"/>
    <w:rsid w:val="005A12A8"/>
    <w:rsid w:val="005A2D1A"/>
    <w:rsid w:val="005A41C0"/>
    <w:rsid w:val="005A44DC"/>
    <w:rsid w:val="005A45BD"/>
    <w:rsid w:val="005A47CE"/>
    <w:rsid w:val="005A4F13"/>
    <w:rsid w:val="005A52A9"/>
    <w:rsid w:val="005A6481"/>
    <w:rsid w:val="005B0FEC"/>
    <w:rsid w:val="005B11EB"/>
    <w:rsid w:val="005B29CE"/>
    <w:rsid w:val="005B30ED"/>
    <w:rsid w:val="005B3470"/>
    <w:rsid w:val="005B37A1"/>
    <w:rsid w:val="005B5190"/>
    <w:rsid w:val="005C0544"/>
    <w:rsid w:val="005C058A"/>
    <w:rsid w:val="005C0958"/>
    <w:rsid w:val="005C0C8E"/>
    <w:rsid w:val="005C0D50"/>
    <w:rsid w:val="005C1C9D"/>
    <w:rsid w:val="005C1EF4"/>
    <w:rsid w:val="005C2888"/>
    <w:rsid w:val="005C41A2"/>
    <w:rsid w:val="005C5156"/>
    <w:rsid w:val="005C60F3"/>
    <w:rsid w:val="005C67A2"/>
    <w:rsid w:val="005C6A82"/>
    <w:rsid w:val="005C788A"/>
    <w:rsid w:val="005D3BFD"/>
    <w:rsid w:val="005D43C7"/>
    <w:rsid w:val="005D4F34"/>
    <w:rsid w:val="005D533D"/>
    <w:rsid w:val="005D551E"/>
    <w:rsid w:val="005D5862"/>
    <w:rsid w:val="005D6AEC"/>
    <w:rsid w:val="005E36C9"/>
    <w:rsid w:val="005E3D9E"/>
    <w:rsid w:val="005F14DA"/>
    <w:rsid w:val="005F257A"/>
    <w:rsid w:val="005F2E87"/>
    <w:rsid w:val="005F3049"/>
    <w:rsid w:val="005F3189"/>
    <w:rsid w:val="005F31AC"/>
    <w:rsid w:val="005F3EBF"/>
    <w:rsid w:val="005F63E4"/>
    <w:rsid w:val="005F6A89"/>
    <w:rsid w:val="00601664"/>
    <w:rsid w:val="0060284D"/>
    <w:rsid w:val="006031C1"/>
    <w:rsid w:val="00603C1D"/>
    <w:rsid w:val="006045EB"/>
    <w:rsid w:val="0060641A"/>
    <w:rsid w:val="00606727"/>
    <w:rsid w:val="00612C15"/>
    <w:rsid w:val="006136E6"/>
    <w:rsid w:val="00614A35"/>
    <w:rsid w:val="0061553E"/>
    <w:rsid w:val="00616107"/>
    <w:rsid w:val="006172ED"/>
    <w:rsid w:val="006235EE"/>
    <w:rsid w:val="00623BB5"/>
    <w:rsid w:val="00623C5C"/>
    <w:rsid w:val="006240C6"/>
    <w:rsid w:val="0062468F"/>
    <w:rsid w:val="00625576"/>
    <w:rsid w:val="00626256"/>
    <w:rsid w:val="006302E2"/>
    <w:rsid w:val="00630AD6"/>
    <w:rsid w:val="00631C4B"/>
    <w:rsid w:val="006333FF"/>
    <w:rsid w:val="00634842"/>
    <w:rsid w:val="00634CFB"/>
    <w:rsid w:val="00635874"/>
    <w:rsid w:val="00637D39"/>
    <w:rsid w:val="006405C0"/>
    <w:rsid w:val="006424DB"/>
    <w:rsid w:val="00642C77"/>
    <w:rsid w:val="00643900"/>
    <w:rsid w:val="00643A07"/>
    <w:rsid w:val="00644455"/>
    <w:rsid w:val="00646AE3"/>
    <w:rsid w:val="006470AE"/>
    <w:rsid w:val="006474FB"/>
    <w:rsid w:val="0064760C"/>
    <w:rsid w:val="00651029"/>
    <w:rsid w:val="006517ED"/>
    <w:rsid w:val="00654F3C"/>
    <w:rsid w:val="00655D33"/>
    <w:rsid w:val="00655E0B"/>
    <w:rsid w:val="0066084D"/>
    <w:rsid w:val="006624BA"/>
    <w:rsid w:val="006625E8"/>
    <w:rsid w:val="00662D14"/>
    <w:rsid w:val="00663F39"/>
    <w:rsid w:val="00671CC2"/>
    <w:rsid w:val="00671D80"/>
    <w:rsid w:val="006741A0"/>
    <w:rsid w:val="00675D5F"/>
    <w:rsid w:val="006767C0"/>
    <w:rsid w:val="00680E38"/>
    <w:rsid w:val="00681E86"/>
    <w:rsid w:val="006841D8"/>
    <w:rsid w:val="00685167"/>
    <w:rsid w:val="006858F2"/>
    <w:rsid w:val="00686D01"/>
    <w:rsid w:val="0069072E"/>
    <w:rsid w:val="00692A24"/>
    <w:rsid w:val="0069480A"/>
    <w:rsid w:val="006952F7"/>
    <w:rsid w:val="00696814"/>
    <w:rsid w:val="006976B6"/>
    <w:rsid w:val="00697B96"/>
    <w:rsid w:val="006A00C5"/>
    <w:rsid w:val="006A099E"/>
    <w:rsid w:val="006A12EA"/>
    <w:rsid w:val="006A14D5"/>
    <w:rsid w:val="006A2AA2"/>
    <w:rsid w:val="006A30A3"/>
    <w:rsid w:val="006A33F0"/>
    <w:rsid w:val="006A361C"/>
    <w:rsid w:val="006A5787"/>
    <w:rsid w:val="006A5F5B"/>
    <w:rsid w:val="006B1F3D"/>
    <w:rsid w:val="006B30AE"/>
    <w:rsid w:val="006B3516"/>
    <w:rsid w:val="006B3CAF"/>
    <w:rsid w:val="006B3F6C"/>
    <w:rsid w:val="006B620E"/>
    <w:rsid w:val="006B687C"/>
    <w:rsid w:val="006B6B31"/>
    <w:rsid w:val="006B747D"/>
    <w:rsid w:val="006B7C8B"/>
    <w:rsid w:val="006C0A33"/>
    <w:rsid w:val="006C0A4A"/>
    <w:rsid w:val="006C1F89"/>
    <w:rsid w:val="006C36D7"/>
    <w:rsid w:val="006C405E"/>
    <w:rsid w:val="006C4CDB"/>
    <w:rsid w:val="006C57D8"/>
    <w:rsid w:val="006C6BD2"/>
    <w:rsid w:val="006C7234"/>
    <w:rsid w:val="006C7BC5"/>
    <w:rsid w:val="006D0F1D"/>
    <w:rsid w:val="006D3687"/>
    <w:rsid w:val="006D482E"/>
    <w:rsid w:val="006D4DB9"/>
    <w:rsid w:val="006D537E"/>
    <w:rsid w:val="006D72B8"/>
    <w:rsid w:val="006E18FD"/>
    <w:rsid w:val="006E190B"/>
    <w:rsid w:val="006E289E"/>
    <w:rsid w:val="006E3140"/>
    <w:rsid w:val="006E4DF8"/>
    <w:rsid w:val="006E5496"/>
    <w:rsid w:val="006E5558"/>
    <w:rsid w:val="006E7C64"/>
    <w:rsid w:val="006F02ED"/>
    <w:rsid w:val="006F131B"/>
    <w:rsid w:val="006F315C"/>
    <w:rsid w:val="006F77CA"/>
    <w:rsid w:val="006F789D"/>
    <w:rsid w:val="007004C2"/>
    <w:rsid w:val="00702455"/>
    <w:rsid w:val="007028F5"/>
    <w:rsid w:val="00702A56"/>
    <w:rsid w:val="00702AE0"/>
    <w:rsid w:val="0070589D"/>
    <w:rsid w:val="0070664A"/>
    <w:rsid w:val="0071296E"/>
    <w:rsid w:val="00714E98"/>
    <w:rsid w:val="0071769D"/>
    <w:rsid w:val="00717AFE"/>
    <w:rsid w:val="00721039"/>
    <w:rsid w:val="00722D96"/>
    <w:rsid w:val="0072423B"/>
    <w:rsid w:val="007303AC"/>
    <w:rsid w:val="00731920"/>
    <w:rsid w:val="0073276B"/>
    <w:rsid w:val="00733882"/>
    <w:rsid w:val="007350E3"/>
    <w:rsid w:val="007353C8"/>
    <w:rsid w:val="007421E4"/>
    <w:rsid w:val="007424D1"/>
    <w:rsid w:val="0074350D"/>
    <w:rsid w:val="00743BAA"/>
    <w:rsid w:val="00745539"/>
    <w:rsid w:val="007462D9"/>
    <w:rsid w:val="0074728D"/>
    <w:rsid w:val="00751E11"/>
    <w:rsid w:val="00752D07"/>
    <w:rsid w:val="0075306C"/>
    <w:rsid w:val="00754099"/>
    <w:rsid w:val="007543F9"/>
    <w:rsid w:val="00755E6F"/>
    <w:rsid w:val="00756F8E"/>
    <w:rsid w:val="00760A00"/>
    <w:rsid w:val="00764D9C"/>
    <w:rsid w:val="00765FE0"/>
    <w:rsid w:val="007677EE"/>
    <w:rsid w:val="007702B1"/>
    <w:rsid w:val="00770349"/>
    <w:rsid w:val="00770FEE"/>
    <w:rsid w:val="00772202"/>
    <w:rsid w:val="007724C2"/>
    <w:rsid w:val="00772EFC"/>
    <w:rsid w:val="00772F76"/>
    <w:rsid w:val="0077475B"/>
    <w:rsid w:val="00775FA0"/>
    <w:rsid w:val="0077657B"/>
    <w:rsid w:val="00777137"/>
    <w:rsid w:val="0077728A"/>
    <w:rsid w:val="00781363"/>
    <w:rsid w:val="00782E36"/>
    <w:rsid w:val="007839CF"/>
    <w:rsid w:val="00783EEC"/>
    <w:rsid w:val="00784A9B"/>
    <w:rsid w:val="00787851"/>
    <w:rsid w:val="00790081"/>
    <w:rsid w:val="00791FD2"/>
    <w:rsid w:val="00792171"/>
    <w:rsid w:val="007943A5"/>
    <w:rsid w:val="0079648F"/>
    <w:rsid w:val="007A0244"/>
    <w:rsid w:val="007A045F"/>
    <w:rsid w:val="007A0763"/>
    <w:rsid w:val="007A12E1"/>
    <w:rsid w:val="007A1B29"/>
    <w:rsid w:val="007A328F"/>
    <w:rsid w:val="007A3588"/>
    <w:rsid w:val="007A4164"/>
    <w:rsid w:val="007A57F5"/>
    <w:rsid w:val="007A58D6"/>
    <w:rsid w:val="007A6874"/>
    <w:rsid w:val="007A6ECA"/>
    <w:rsid w:val="007A7064"/>
    <w:rsid w:val="007B4254"/>
    <w:rsid w:val="007B6BB3"/>
    <w:rsid w:val="007C03E3"/>
    <w:rsid w:val="007C135E"/>
    <w:rsid w:val="007C21B1"/>
    <w:rsid w:val="007C31E2"/>
    <w:rsid w:val="007C36AC"/>
    <w:rsid w:val="007C466B"/>
    <w:rsid w:val="007C4A00"/>
    <w:rsid w:val="007C5553"/>
    <w:rsid w:val="007C5996"/>
    <w:rsid w:val="007C7E4F"/>
    <w:rsid w:val="007D2565"/>
    <w:rsid w:val="007D2570"/>
    <w:rsid w:val="007D287D"/>
    <w:rsid w:val="007D2DB4"/>
    <w:rsid w:val="007D6CA3"/>
    <w:rsid w:val="007D737D"/>
    <w:rsid w:val="007D74FB"/>
    <w:rsid w:val="007D7F28"/>
    <w:rsid w:val="007E3352"/>
    <w:rsid w:val="007E412E"/>
    <w:rsid w:val="007E450B"/>
    <w:rsid w:val="007E52C3"/>
    <w:rsid w:val="007E5FB8"/>
    <w:rsid w:val="007E668C"/>
    <w:rsid w:val="007F13F0"/>
    <w:rsid w:val="007F1727"/>
    <w:rsid w:val="007F1C4D"/>
    <w:rsid w:val="007F219B"/>
    <w:rsid w:val="007F4D88"/>
    <w:rsid w:val="007F539A"/>
    <w:rsid w:val="007F6CCC"/>
    <w:rsid w:val="007F6CCE"/>
    <w:rsid w:val="007F7CCF"/>
    <w:rsid w:val="007F7F8A"/>
    <w:rsid w:val="008006A4"/>
    <w:rsid w:val="0080290D"/>
    <w:rsid w:val="00802B9E"/>
    <w:rsid w:val="00803DD6"/>
    <w:rsid w:val="00805809"/>
    <w:rsid w:val="00805E73"/>
    <w:rsid w:val="0080620E"/>
    <w:rsid w:val="00807C51"/>
    <w:rsid w:val="00807FB8"/>
    <w:rsid w:val="0081084A"/>
    <w:rsid w:val="00810CDB"/>
    <w:rsid w:val="0081121A"/>
    <w:rsid w:val="00811A33"/>
    <w:rsid w:val="008128B7"/>
    <w:rsid w:val="00813D9E"/>
    <w:rsid w:val="008144F3"/>
    <w:rsid w:val="00814829"/>
    <w:rsid w:val="00814D0E"/>
    <w:rsid w:val="00815E77"/>
    <w:rsid w:val="00815F3D"/>
    <w:rsid w:val="0081699D"/>
    <w:rsid w:val="00820680"/>
    <w:rsid w:val="00821163"/>
    <w:rsid w:val="0082175A"/>
    <w:rsid w:val="00822711"/>
    <w:rsid w:val="008257D5"/>
    <w:rsid w:val="00825D92"/>
    <w:rsid w:val="00827D80"/>
    <w:rsid w:val="00831C1B"/>
    <w:rsid w:val="00833A7C"/>
    <w:rsid w:val="0083420A"/>
    <w:rsid w:val="00834AB5"/>
    <w:rsid w:val="00835FB3"/>
    <w:rsid w:val="0083724E"/>
    <w:rsid w:val="008404F4"/>
    <w:rsid w:val="00843251"/>
    <w:rsid w:val="0084374A"/>
    <w:rsid w:val="00844E3D"/>
    <w:rsid w:val="0084509A"/>
    <w:rsid w:val="00845A41"/>
    <w:rsid w:val="008468D2"/>
    <w:rsid w:val="00846CAC"/>
    <w:rsid w:val="00847BED"/>
    <w:rsid w:val="00850264"/>
    <w:rsid w:val="0085621B"/>
    <w:rsid w:val="00856605"/>
    <w:rsid w:val="00856DF5"/>
    <w:rsid w:val="00857886"/>
    <w:rsid w:val="008579B1"/>
    <w:rsid w:val="008615C9"/>
    <w:rsid w:val="00861B30"/>
    <w:rsid w:val="00863625"/>
    <w:rsid w:val="008663D0"/>
    <w:rsid w:val="00866D26"/>
    <w:rsid w:val="00870AE9"/>
    <w:rsid w:val="00874FBF"/>
    <w:rsid w:val="00875B81"/>
    <w:rsid w:val="00875BFC"/>
    <w:rsid w:val="00875C11"/>
    <w:rsid w:val="00877A41"/>
    <w:rsid w:val="00881C06"/>
    <w:rsid w:val="00882706"/>
    <w:rsid w:val="0088295B"/>
    <w:rsid w:val="0088447D"/>
    <w:rsid w:val="00884A61"/>
    <w:rsid w:val="00887FB8"/>
    <w:rsid w:val="008915B5"/>
    <w:rsid w:val="0089397A"/>
    <w:rsid w:val="00894064"/>
    <w:rsid w:val="008941B7"/>
    <w:rsid w:val="00894D93"/>
    <w:rsid w:val="00895870"/>
    <w:rsid w:val="0089602B"/>
    <w:rsid w:val="00897302"/>
    <w:rsid w:val="008A0199"/>
    <w:rsid w:val="008A4F7E"/>
    <w:rsid w:val="008A7288"/>
    <w:rsid w:val="008B0FFE"/>
    <w:rsid w:val="008B36A0"/>
    <w:rsid w:val="008B39D1"/>
    <w:rsid w:val="008B6971"/>
    <w:rsid w:val="008B6FA5"/>
    <w:rsid w:val="008B7F5E"/>
    <w:rsid w:val="008C084F"/>
    <w:rsid w:val="008C087A"/>
    <w:rsid w:val="008C0C2E"/>
    <w:rsid w:val="008C1940"/>
    <w:rsid w:val="008C1DE8"/>
    <w:rsid w:val="008C3C07"/>
    <w:rsid w:val="008C3FAD"/>
    <w:rsid w:val="008C68BE"/>
    <w:rsid w:val="008C7C78"/>
    <w:rsid w:val="008D03BF"/>
    <w:rsid w:val="008D0C99"/>
    <w:rsid w:val="008D1032"/>
    <w:rsid w:val="008D13BA"/>
    <w:rsid w:val="008D5AB5"/>
    <w:rsid w:val="008E0FDC"/>
    <w:rsid w:val="008E1373"/>
    <w:rsid w:val="008E640E"/>
    <w:rsid w:val="008E6F9E"/>
    <w:rsid w:val="008F083E"/>
    <w:rsid w:val="008F2D28"/>
    <w:rsid w:val="008F2FCC"/>
    <w:rsid w:val="008F308F"/>
    <w:rsid w:val="008F3D63"/>
    <w:rsid w:val="008F5D97"/>
    <w:rsid w:val="008F5FFE"/>
    <w:rsid w:val="008F7795"/>
    <w:rsid w:val="009002F8"/>
    <w:rsid w:val="009029A6"/>
    <w:rsid w:val="00904962"/>
    <w:rsid w:val="00904D01"/>
    <w:rsid w:val="00905914"/>
    <w:rsid w:val="00905DA6"/>
    <w:rsid w:val="0090695F"/>
    <w:rsid w:val="00906DEF"/>
    <w:rsid w:val="00910CB3"/>
    <w:rsid w:val="00911168"/>
    <w:rsid w:val="00913E1A"/>
    <w:rsid w:val="00915BB4"/>
    <w:rsid w:val="00917C0B"/>
    <w:rsid w:val="009220E3"/>
    <w:rsid w:val="009225B9"/>
    <w:rsid w:val="00922F59"/>
    <w:rsid w:val="00924A78"/>
    <w:rsid w:val="00924C45"/>
    <w:rsid w:val="00925C13"/>
    <w:rsid w:val="009268BD"/>
    <w:rsid w:val="00927049"/>
    <w:rsid w:val="00930462"/>
    <w:rsid w:val="009341D6"/>
    <w:rsid w:val="00935304"/>
    <w:rsid w:val="009363BF"/>
    <w:rsid w:val="00936D9C"/>
    <w:rsid w:val="00942AC5"/>
    <w:rsid w:val="00943D4D"/>
    <w:rsid w:val="00950E03"/>
    <w:rsid w:val="00951370"/>
    <w:rsid w:val="00953B0B"/>
    <w:rsid w:val="00955250"/>
    <w:rsid w:val="00956F08"/>
    <w:rsid w:val="00957C5A"/>
    <w:rsid w:val="0096087C"/>
    <w:rsid w:val="0096108B"/>
    <w:rsid w:val="009611F6"/>
    <w:rsid w:val="00961629"/>
    <w:rsid w:val="00961A91"/>
    <w:rsid w:val="00964181"/>
    <w:rsid w:val="0097002B"/>
    <w:rsid w:val="009706C6"/>
    <w:rsid w:val="00971100"/>
    <w:rsid w:val="00971E2B"/>
    <w:rsid w:val="00972DAD"/>
    <w:rsid w:val="0097322E"/>
    <w:rsid w:val="009775A6"/>
    <w:rsid w:val="00977A00"/>
    <w:rsid w:val="00977CA6"/>
    <w:rsid w:val="0098157C"/>
    <w:rsid w:val="009857EC"/>
    <w:rsid w:val="009859E3"/>
    <w:rsid w:val="009860B0"/>
    <w:rsid w:val="00986BE8"/>
    <w:rsid w:val="00987498"/>
    <w:rsid w:val="009878B7"/>
    <w:rsid w:val="00990B43"/>
    <w:rsid w:val="00990CFE"/>
    <w:rsid w:val="00992381"/>
    <w:rsid w:val="0099238A"/>
    <w:rsid w:val="0099255F"/>
    <w:rsid w:val="00994C1C"/>
    <w:rsid w:val="00994E47"/>
    <w:rsid w:val="00995D56"/>
    <w:rsid w:val="0099639C"/>
    <w:rsid w:val="0099688C"/>
    <w:rsid w:val="00997910"/>
    <w:rsid w:val="009A051D"/>
    <w:rsid w:val="009A216C"/>
    <w:rsid w:val="009A3265"/>
    <w:rsid w:val="009A53DE"/>
    <w:rsid w:val="009A7760"/>
    <w:rsid w:val="009B0ACA"/>
    <w:rsid w:val="009B19A7"/>
    <w:rsid w:val="009B2098"/>
    <w:rsid w:val="009B28A8"/>
    <w:rsid w:val="009B4909"/>
    <w:rsid w:val="009B4F59"/>
    <w:rsid w:val="009B6788"/>
    <w:rsid w:val="009B712F"/>
    <w:rsid w:val="009B7A2B"/>
    <w:rsid w:val="009B7BED"/>
    <w:rsid w:val="009C18C7"/>
    <w:rsid w:val="009C2E81"/>
    <w:rsid w:val="009C42DE"/>
    <w:rsid w:val="009C43DF"/>
    <w:rsid w:val="009C47AD"/>
    <w:rsid w:val="009C6B09"/>
    <w:rsid w:val="009C6DAC"/>
    <w:rsid w:val="009C7AC3"/>
    <w:rsid w:val="009C7DC7"/>
    <w:rsid w:val="009C7F7E"/>
    <w:rsid w:val="009D07FD"/>
    <w:rsid w:val="009D08F0"/>
    <w:rsid w:val="009D0D3A"/>
    <w:rsid w:val="009D414F"/>
    <w:rsid w:val="009D58D8"/>
    <w:rsid w:val="009D69FE"/>
    <w:rsid w:val="009E06B0"/>
    <w:rsid w:val="009E3B3B"/>
    <w:rsid w:val="009E3C63"/>
    <w:rsid w:val="009E4718"/>
    <w:rsid w:val="009E4AB1"/>
    <w:rsid w:val="009E6CF5"/>
    <w:rsid w:val="009F107B"/>
    <w:rsid w:val="009F3EAF"/>
    <w:rsid w:val="009F5950"/>
    <w:rsid w:val="009F61E3"/>
    <w:rsid w:val="00A018A2"/>
    <w:rsid w:val="00A03E70"/>
    <w:rsid w:val="00A050EB"/>
    <w:rsid w:val="00A07213"/>
    <w:rsid w:val="00A07F87"/>
    <w:rsid w:val="00A111DA"/>
    <w:rsid w:val="00A11CFC"/>
    <w:rsid w:val="00A2029F"/>
    <w:rsid w:val="00A2208E"/>
    <w:rsid w:val="00A235CD"/>
    <w:rsid w:val="00A240EC"/>
    <w:rsid w:val="00A24933"/>
    <w:rsid w:val="00A24DA3"/>
    <w:rsid w:val="00A258FA"/>
    <w:rsid w:val="00A27391"/>
    <w:rsid w:val="00A27433"/>
    <w:rsid w:val="00A30B64"/>
    <w:rsid w:val="00A31AB5"/>
    <w:rsid w:val="00A33A70"/>
    <w:rsid w:val="00A3556B"/>
    <w:rsid w:val="00A35CAF"/>
    <w:rsid w:val="00A35CCD"/>
    <w:rsid w:val="00A36A6E"/>
    <w:rsid w:val="00A41139"/>
    <w:rsid w:val="00A41E16"/>
    <w:rsid w:val="00A43A03"/>
    <w:rsid w:val="00A4402D"/>
    <w:rsid w:val="00A441E3"/>
    <w:rsid w:val="00A45B05"/>
    <w:rsid w:val="00A45DC9"/>
    <w:rsid w:val="00A47C88"/>
    <w:rsid w:val="00A513D8"/>
    <w:rsid w:val="00A52A70"/>
    <w:rsid w:val="00A5367C"/>
    <w:rsid w:val="00A53B98"/>
    <w:rsid w:val="00A55563"/>
    <w:rsid w:val="00A5794F"/>
    <w:rsid w:val="00A57DE1"/>
    <w:rsid w:val="00A57F70"/>
    <w:rsid w:val="00A57FED"/>
    <w:rsid w:val="00A617B5"/>
    <w:rsid w:val="00A61917"/>
    <w:rsid w:val="00A63285"/>
    <w:rsid w:val="00A63672"/>
    <w:rsid w:val="00A6388B"/>
    <w:rsid w:val="00A65FA7"/>
    <w:rsid w:val="00A6615D"/>
    <w:rsid w:val="00A66223"/>
    <w:rsid w:val="00A7000D"/>
    <w:rsid w:val="00A71B62"/>
    <w:rsid w:val="00A7411F"/>
    <w:rsid w:val="00A74E1C"/>
    <w:rsid w:val="00A75DF2"/>
    <w:rsid w:val="00A75E46"/>
    <w:rsid w:val="00A76746"/>
    <w:rsid w:val="00A7688E"/>
    <w:rsid w:val="00A818EE"/>
    <w:rsid w:val="00A8384A"/>
    <w:rsid w:val="00A8390A"/>
    <w:rsid w:val="00A83BC1"/>
    <w:rsid w:val="00A86A59"/>
    <w:rsid w:val="00A871B3"/>
    <w:rsid w:val="00A90630"/>
    <w:rsid w:val="00A9162E"/>
    <w:rsid w:val="00A916AD"/>
    <w:rsid w:val="00A93AA1"/>
    <w:rsid w:val="00A93F22"/>
    <w:rsid w:val="00A94011"/>
    <w:rsid w:val="00A943EC"/>
    <w:rsid w:val="00A94E72"/>
    <w:rsid w:val="00A96608"/>
    <w:rsid w:val="00A9664F"/>
    <w:rsid w:val="00A96A19"/>
    <w:rsid w:val="00A97C63"/>
    <w:rsid w:val="00AA0A0B"/>
    <w:rsid w:val="00AA0CF0"/>
    <w:rsid w:val="00AA0FA2"/>
    <w:rsid w:val="00AA12D8"/>
    <w:rsid w:val="00AA2D92"/>
    <w:rsid w:val="00AA38C3"/>
    <w:rsid w:val="00AA5B8D"/>
    <w:rsid w:val="00AA5E8F"/>
    <w:rsid w:val="00AA6ED8"/>
    <w:rsid w:val="00AB155C"/>
    <w:rsid w:val="00AB3127"/>
    <w:rsid w:val="00AB7613"/>
    <w:rsid w:val="00AB7DE2"/>
    <w:rsid w:val="00AC08B2"/>
    <w:rsid w:val="00AC1A25"/>
    <w:rsid w:val="00AC3012"/>
    <w:rsid w:val="00AC6EAF"/>
    <w:rsid w:val="00AD0D9D"/>
    <w:rsid w:val="00AD184D"/>
    <w:rsid w:val="00AD3863"/>
    <w:rsid w:val="00AD3E14"/>
    <w:rsid w:val="00AD7518"/>
    <w:rsid w:val="00AE07E3"/>
    <w:rsid w:val="00AE333F"/>
    <w:rsid w:val="00AE6D52"/>
    <w:rsid w:val="00AE766A"/>
    <w:rsid w:val="00AF3B1D"/>
    <w:rsid w:val="00AF4731"/>
    <w:rsid w:val="00AF4D47"/>
    <w:rsid w:val="00AF54FA"/>
    <w:rsid w:val="00AF5842"/>
    <w:rsid w:val="00AF6595"/>
    <w:rsid w:val="00AF6EE2"/>
    <w:rsid w:val="00AF7D8E"/>
    <w:rsid w:val="00B02293"/>
    <w:rsid w:val="00B02FC0"/>
    <w:rsid w:val="00B0564D"/>
    <w:rsid w:val="00B0571C"/>
    <w:rsid w:val="00B058D4"/>
    <w:rsid w:val="00B06E96"/>
    <w:rsid w:val="00B11BC2"/>
    <w:rsid w:val="00B1218C"/>
    <w:rsid w:val="00B12C48"/>
    <w:rsid w:val="00B14667"/>
    <w:rsid w:val="00B15120"/>
    <w:rsid w:val="00B15A5D"/>
    <w:rsid w:val="00B15D02"/>
    <w:rsid w:val="00B1687C"/>
    <w:rsid w:val="00B16D15"/>
    <w:rsid w:val="00B16DFF"/>
    <w:rsid w:val="00B246EC"/>
    <w:rsid w:val="00B25DA7"/>
    <w:rsid w:val="00B273A6"/>
    <w:rsid w:val="00B279D1"/>
    <w:rsid w:val="00B27F36"/>
    <w:rsid w:val="00B34F12"/>
    <w:rsid w:val="00B35CEF"/>
    <w:rsid w:val="00B362E5"/>
    <w:rsid w:val="00B36455"/>
    <w:rsid w:val="00B36DDD"/>
    <w:rsid w:val="00B41746"/>
    <w:rsid w:val="00B41E45"/>
    <w:rsid w:val="00B44AB0"/>
    <w:rsid w:val="00B44AB7"/>
    <w:rsid w:val="00B450BE"/>
    <w:rsid w:val="00B457FE"/>
    <w:rsid w:val="00B46D46"/>
    <w:rsid w:val="00B47580"/>
    <w:rsid w:val="00B47A52"/>
    <w:rsid w:val="00B50FAA"/>
    <w:rsid w:val="00B541CB"/>
    <w:rsid w:val="00B54AB1"/>
    <w:rsid w:val="00B55373"/>
    <w:rsid w:val="00B568F5"/>
    <w:rsid w:val="00B60A47"/>
    <w:rsid w:val="00B60D93"/>
    <w:rsid w:val="00B64350"/>
    <w:rsid w:val="00B64462"/>
    <w:rsid w:val="00B658AD"/>
    <w:rsid w:val="00B65938"/>
    <w:rsid w:val="00B6596F"/>
    <w:rsid w:val="00B71026"/>
    <w:rsid w:val="00B715EF"/>
    <w:rsid w:val="00B719FB"/>
    <w:rsid w:val="00B72153"/>
    <w:rsid w:val="00B739DB"/>
    <w:rsid w:val="00B76F17"/>
    <w:rsid w:val="00B777DF"/>
    <w:rsid w:val="00B802D9"/>
    <w:rsid w:val="00B82EAD"/>
    <w:rsid w:val="00B8318C"/>
    <w:rsid w:val="00B840FF"/>
    <w:rsid w:val="00B85B8B"/>
    <w:rsid w:val="00B86663"/>
    <w:rsid w:val="00B87FF9"/>
    <w:rsid w:val="00B90502"/>
    <w:rsid w:val="00B93316"/>
    <w:rsid w:val="00B94214"/>
    <w:rsid w:val="00B9496F"/>
    <w:rsid w:val="00B950BE"/>
    <w:rsid w:val="00B9723F"/>
    <w:rsid w:val="00BA1DDE"/>
    <w:rsid w:val="00BA2AD0"/>
    <w:rsid w:val="00BA3A6A"/>
    <w:rsid w:val="00BA3DF5"/>
    <w:rsid w:val="00BA672F"/>
    <w:rsid w:val="00BA6769"/>
    <w:rsid w:val="00BA7B7F"/>
    <w:rsid w:val="00BB04A9"/>
    <w:rsid w:val="00BB1FDE"/>
    <w:rsid w:val="00BB23BF"/>
    <w:rsid w:val="00BB292A"/>
    <w:rsid w:val="00BB2DDF"/>
    <w:rsid w:val="00BB2F9D"/>
    <w:rsid w:val="00BB33B7"/>
    <w:rsid w:val="00BB41D8"/>
    <w:rsid w:val="00BB5D54"/>
    <w:rsid w:val="00BB6DDE"/>
    <w:rsid w:val="00BC1223"/>
    <w:rsid w:val="00BC3241"/>
    <w:rsid w:val="00BC42EB"/>
    <w:rsid w:val="00BC5888"/>
    <w:rsid w:val="00BC63A7"/>
    <w:rsid w:val="00BC6475"/>
    <w:rsid w:val="00BC6A3D"/>
    <w:rsid w:val="00BC6D9C"/>
    <w:rsid w:val="00BC7801"/>
    <w:rsid w:val="00BC7AD3"/>
    <w:rsid w:val="00BD0E91"/>
    <w:rsid w:val="00BD2CDA"/>
    <w:rsid w:val="00BD37DD"/>
    <w:rsid w:val="00BD3A50"/>
    <w:rsid w:val="00BD4293"/>
    <w:rsid w:val="00BD5C07"/>
    <w:rsid w:val="00BD5F58"/>
    <w:rsid w:val="00BE22B4"/>
    <w:rsid w:val="00BE4E65"/>
    <w:rsid w:val="00BF16E0"/>
    <w:rsid w:val="00BF4910"/>
    <w:rsid w:val="00BF620C"/>
    <w:rsid w:val="00BF69B3"/>
    <w:rsid w:val="00BF6E95"/>
    <w:rsid w:val="00BF797B"/>
    <w:rsid w:val="00C00A72"/>
    <w:rsid w:val="00C00C53"/>
    <w:rsid w:val="00C03715"/>
    <w:rsid w:val="00C03B00"/>
    <w:rsid w:val="00C043BB"/>
    <w:rsid w:val="00C05202"/>
    <w:rsid w:val="00C105C2"/>
    <w:rsid w:val="00C11180"/>
    <w:rsid w:val="00C12362"/>
    <w:rsid w:val="00C13CDF"/>
    <w:rsid w:val="00C14217"/>
    <w:rsid w:val="00C1439D"/>
    <w:rsid w:val="00C149F4"/>
    <w:rsid w:val="00C16181"/>
    <w:rsid w:val="00C1638E"/>
    <w:rsid w:val="00C22300"/>
    <w:rsid w:val="00C22A87"/>
    <w:rsid w:val="00C23729"/>
    <w:rsid w:val="00C23CCD"/>
    <w:rsid w:val="00C2526F"/>
    <w:rsid w:val="00C25A97"/>
    <w:rsid w:val="00C30FC9"/>
    <w:rsid w:val="00C332B5"/>
    <w:rsid w:val="00C35BD5"/>
    <w:rsid w:val="00C37D06"/>
    <w:rsid w:val="00C410D5"/>
    <w:rsid w:val="00C42AFD"/>
    <w:rsid w:val="00C43681"/>
    <w:rsid w:val="00C43AD0"/>
    <w:rsid w:val="00C440F9"/>
    <w:rsid w:val="00C4418A"/>
    <w:rsid w:val="00C44D32"/>
    <w:rsid w:val="00C45491"/>
    <w:rsid w:val="00C45C8D"/>
    <w:rsid w:val="00C51B4F"/>
    <w:rsid w:val="00C527F3"/>
    <w:rsid w:val="00C5281E"/>
    <w:rsid w:val="00C567EA"/>
    <w:rsid w:val="00C60DDC"/>
    <w:rsid w:val="00C62B40"/>
    <w:rsid w:val="00C62E0A"/>
    <w:rsid w:val="00C6491B"/>
    <w:rsid w:val="00C6696D"/>
    <w:rsid w:val="00C706A9"/>
    <w:rsid w:val="00C71549"/>
    <w:rsid w:val="00C73123"/>
    <w:rsid w:val="00C741C2"/>
    <w:rsid w:val="00C75BC7"/>
    <w:rsid w:val="00C75CE0"/>
    <w:rsid w:val="00C7627F"/>
    <w:rsid w:val="00C762D7"/>
    <w:rsid w:val="00C77010"/>
    <w:rsid w:val="00C80A4C"/>
    <w:rsid w:val="00C8227E"/>
    <w:rsid w:val="00C83FDF"/>
    <w:rsid w:val="00C84E97"/>
    <w:rsid w:val="00C8500A"/>
    <w:rsid w:val="00C854FA"/>
    <w:rsid w:val="00C8588E"/>
    <w:rsid w:val="00C916AA"/>
    <w:rsid w:val="00C92821"/>
    <w:rsid w:val="00C9451E"/>
    <w:rsid w:val="00C975F4"/>
    <w:rsid w:val="00CA1B4F"/>
    <w:rsid w:val="00CA3203"/>
    <w:rsid w:val="00CA3242"/>
    <w:rsid w:val="00CA6663"/>
    <w:rsid w:val="00CA6B1A"/>
    <w:rsid w:val="00CA70D7"/>
    <w:rsid w:val="00CA74BD"/>
    <w:rsid w:val="00CB0927"/>
    <w:rsid w:val="00CB4363"/>
    <w:rsid w:val="00CB5259"/>
    <w:rsid w:val="00CB64E3"/>
    <w:rsid w:val="00CC05AF"/>
    <w:rsid w:val="00CC06F0"/>
    <w:rsid w:val="00CC10A9"/>
    <w:rsid w:val="00CC12EE"/>
    <w:rsid w:val="00CC2296"/>
    <w:rsid w:val="00CC2EBF"/>
    <w:rsid w:val="00CC3027"/>
    <w:rsid w:val="00CC3219"/>
    <w:rsid w:val="00CC41C9"/>
    <w:rsid w:val="00CC4280"/>
    <w:rsid w:val="00CC4CA9"/>
    <w:rsid w:val="00CD3705"/>
    <w:rsid w:val="00CD4B4D"/>
    <w:rsid w:val="00CD7C4E"/>
    <w:rsid w:val="00CE041D"/>
    <w:rsid w:val="00CE2FB0"/>
    <w:rsid w:val="00CE3CC5"/>
    <w:rsid w:val="00CE5F92"/>
    <w:rsid w:val="00CE6725"/>
    <w:rsid w:val="00CE67CD"/>
    <w:rsid w:val="00CE705F"/>
    <w:rsid w:val="00CE7D14"/>
    <w:rsid w:val="00CE7E89"/>
    <w:rsid w:val="00CF0C8F"/>
    <w:rsid w:val="00CF0EFE"/>
    <w:rsid w:val="00CF1470"/>
    <w:rsid w:val="00CF1CF9"/>
    <w:rsid w:val="00CF1ED1"/>
    <w:rsid w:val="00CF222F"/>
    <w:rsid w:val="00CF367B"/>
    <w:rsid w:val="00CF3988"/>
    <w:rsid w:val="00CF3DFA"/>
    <w:rsid w:val="00CF40B2"/>
    <w:rsid w:val="00CF5A5E"/>
    <w:rsid w:val="00CF6F66"/>
    <w:rsid w:val="00CF734E"/>
    <w:rsid w:val="00CF7BAA"/>
    <w:rsid w:val="00CF7BAF"/>
    <w:rsid w:val="00CF7E5E"/>
    <w:rsid w:val="00D00FAC"/>
    <w:rsid w:val="00D04813"/>
    <w:rsid w:val="00D04C6F"/>
    <w:rsid w:val="00D0516B"/>
    <w:rsid w:val="00D05316"/>
    <w:rsid w:val="00D05D6C"/>
    <w:rsid w:val="00D06DB6"/>
    <w:rsid w:val="00D1120E"/>
    <w:rsid w:val="00D1137D"/>
    <w:rsid w:val="00D11A3E"/>
    <w:rsid w:val="00D11B87"/>
    <w:rsid w:val="00D1242C"/>
    <w:rsid w:val="00D1287D"/>
    <w:rsid w:val="00D129E5"/>
    <w:rsid w:val="00D12A64"/>
    <w:rsid w:val="00D14EEA"/>
    <w:rsid w:val="00D15699"/>
    <w:rsid w:val="00D17229"/>
    <w:rsid w:val="00D17CD0"/>
    <w:rsid w:val="00D23BFD"/>
    <w:rsid w:val="00D23CBA"/>
    <w:rsid w:val="00D24022"/>
    <w:rsid w:val="00D245B9"/>
    <w:rsid w:val="00D24C47"/>
    <w:rsid w:val="00D30149"/>
    <w:rsid w:val="00D31A47"/>
    <w:rsid w:val="00D31B36"/>
    <w:rsid w:val="00D31F2F"/>
    <w:rsid w:val="00D345FB"/>
    <w:rsid w:val="00D35FF3"/>
    <w:rsid w:val="00D36933"/>
    <w:rsid w:val="00D3784E"/>
    <w:rsid w:val="00D425EA"/>
    <w:rsid w:val="00D437FB"/>
    <w:rsid w:val="00D44CF6"/>
    <w:rsid w:val="00D44DA4"/>
    <w:rsid w:val="00D45898"/>
    <w:rsid w:val="00D46ABD"/>
    <w:rsid w:val="00D47979"/>
    <w:rsid w:val="00D501EB"/>
    <w:rsid w:val="00D511F2"/>
    <w:rsid w:val="00D516F8"/>
    <w:rsid w:val="00D51A51"/>
    <w:rsid w:val="00D51A6E"/>
    <w:rsid w:val="00D539AA"/>
    <w:rsid w:val="00D544AB"/>
    <w:rsid w:val="00D569C8"/>
    <w:rsid w:val="00D57C2F"/>
    <w:rsid w:val="00D57F61"/>
    <w:rsid w:val="00D601DE"/>
    <w:rsid w:val="00D61177"/>
    <w:rsid w:val="00D62E8D"/>
    <w:rsid w:val="00D63321"/>
    <w:rsid w:val="00D63C0E"/>
    <w:rsid w:val="00D654CB"/>
    <w:rsid w:val="00D65F79"/>
    <w:rsid w:val="00D71342"/>
    <w:rsid w:val="00D72411"/>
    <w:rsid w:val="00D72801"/>
    <w:rsid w:val="00D73D63"/>
    <w:rsid w:val="00D74731"/>
    <w:rsid w:val="00D74797"/>
    <w:rsid w:val="00D75BC3"/>
    <w:rsid w:val="00D767AE"/>
    <w:rsid w:val="00D775BE"/>
    <w:rsid w:val="00D777F0"/>
    <w:rsid w:val="00D77DF8"/>
    <w:rsid w:val="00D822EA"/>
    <w:rsid w:val="00D8273F"/>
    <w:rsid w:val="00D8308B"/>
    <w:rsid w:val="00D842E9"/>
    <w:rsid w:val="00D84526"/>
    <w:rsid w:val="00D8702A"/>
    <w:rsid w:val="00D87546"/>
    <w:rsid w:val="00D90154"/>
    <w:rsid w:val="00D90FCA"/>
    <w:rsid w:val="00D9153A"/>
    <w:rsid w:val="00D91765"/>
    <w:rsid w:val="00D92CB5"/>
    <w:rsid w:val="00D9376C"/>
    <w:rsid w:val="00D94589"/>
    <w:rsid w:val="00D94F76"/>
    <w:rsid w:val="00D96849"/>
    <w:rsid w:val="00DA34BC"/>
    <w:rsid w:val="00DA48F4"/>
    <w:rsid w:val="00DA6CB3"/>
    <w:rsid w:val="00DA7A6C"/>
    <w:rsid w:val="00DA7DEB"/>
    <w:rsid w:val="00DB17DB"/>
    <w:rsid w:val="00DB321F"/>
    <w:rsid w:val="00DB32B2"/>
    <w:rsid w:val="00DB4805"/>
    <w:rsid w:val="00DB524C"/>
    <w:rsid w:val="00DB732B"/>
    <w:rsid w:val="00DC126F"/>
    <w:rsid w:val="00DC2884"/>
    <w:rsid w:val="00DC381D"/>
    <w:rsid w:val="00DC4C5C"/>
    <w:rsid w:val="00DD081F"/>
    <w:rsid w:val="00DD3002"/>
    <w:rsid w:val="00DD4490"/>
    <w:rsid w:val="00DD4E6C"/>
    <w:rsid w:val="00DD5B66"/>
    <w:rsid w:val="00DD6944"/>
    <w:rsid w:val="00DD6F08"/>
    <w:rsid w:val="00DD78D0"/>
    <w:rsid w:val="00DD7F4E"/>
    <w:rsid w:val="00DE12CC"/>
    <w:rsid w:val="00DE12D4"/>
    <w:rsid w:val="00DE42BA"/>
    <w:rsid w:val="00DE6316"/>
    <w:rsid w:val="00DE762E"/>
    <w:rsid w:val="00DF0594"/>
    <w:rsid w:val="00DF073A"/>
    <w:rsid w:val="00DF1CF9"/>
    <w:rsid w:val="00DF343A"/>
    <w:rsid w:val="00DF4374"/>
    <w:rsid w:val="00DF5F6D"/>
    <w:rsid w:val="00DF7346"/>
    <w:rsid w:val="00DF7387"/>
    <w:rsid w:val="00E00CE9"/>
    <w:rsid w:val="00E02254"/>
    <w:rsid w:val="00E05198"/>
    <w:rsid w:val="00E057AC"/>
    <w:rsid w:val="00E07CDB"/>
    <w:rsid w:val="00E11AF4"/>
    <w:rsid w:val="00E11BC8"/>
    <w:rsid w:val="00E140AE"/>
    <w:rsid w:val="00E1433F"/>
    <w:rsid w:val="00E1714F"/>
    <w:rsid w:val="00E1765C"/>
    <w:rsid w:val="00E21274"/>
    <w:rsid w:val="00E212F5"/>
    <w:rsid w:val="00E2137C"/>
    <w:rsid w:val="00E2242B"/>
    <w:rsid w:val="00E22E45"/>
    <w:rsid w:val="00E23FEE"/>
    <w:rsid w:val="00E26269"/>
    <w:rsid w:val="00E27954"/>
    <w:rsid w:val="00E27A9D"/>
    <w:rsid w:val="00E321A8"/>
    <w:rsid w:val="00E3281C"/>
    <w:rsid w:val="00E333A0"/>
    <w:rsid w:val="00E340B9"/>
    <w:rsid w:val="00E352BD"/>
    <w:rsid w:val="00E35305"/>
    <w:rsid w:val="00E409A2"/>
    <w:rsid w:val="00E43AF3"/>
    <w:rsid w:val="00E43B2F"/>
    <w:rsid w:val="00E43E7E"/>
    <w:rsid w:val="00E44B77"/>
    <w:rsid w:val="00E44FCC"/>
    <w:rsid w:val="00E455BC"/>
    <w:rsid w:val="00E45645"/>
    <w:rsid w:val="00E45AC0"/>
    <w:rsid w:val="00E467BE"/>
    <w:rsid w:val="00E47C9A"/>
    <w:rsid w:val="00E5018F"/>
    <w:rsid w:val="00E50FC7"/>
    <w:rsid w:val="00E51DF8"/>
    <w:rsid w:val="00E536FF"/>
    <w:rsid w:val="00E54C65"/>
    <w:rsid w:val="00E5563F"/>
    <w:rsid w:val="00E55852"/>
    <w:rsid w:val="00E578AC"/>
    <w:rsid w:val="00E60909"/>
    <w:rsid w:val="00E614C6"/>
    <w:rsid w:val="00E66582"/>
    <w:rsid w:val="00E66596"/>
    <w:rsid w:val="00E6659A"/>
    <w:rsid w:val="00E677E3"/>
    <w:rsid w:val="00E70DBC"/>
    <w:rsid w:val="00E71356"/>
    <w:rsid w:val="00E72804"/>
    <w:rsid w:val="00E73689"/>
    <w:rsid w:val="00E746CC"/>
    <w:rsid w:val="00E7527E"/>
    <w:rsid w:val="00E768C6"/>
    <w:rsid w:val="00E77868"/>
    <w:rsid w:val="00E77F02"/>
    <w:rsid w:val="00E84EC8"/>
    <w:rsid w:val="00E85027"/>
    <w:rsid w:val="00E87DDD"/>
    <w:rsid w:val="00E92242"/>
    <w:rsid w:val="00E936B9"/>
    <w:rsid w:val="00E95F28"/>
    <w:rsid w:val="00E970FE"/>
    <w:rsid w:val="00EA11A0"/>
    <w:rsid w:val="00EA2D42"/>
    <w:rsid w:val="00EA35E3"/>
    <w:rsid w:val="00EA52B8"/>
    <w:rsid w:val="00EA5A0A"/>
    <w:rsid w:val="00EA63D4"/>
    <w:rsid w:val="00EA66ED"/>
    <w:rsid w:val="00EA6730"/>
    <w:rsid w:val="00EA7211"/>
    <w:rsid w:val="00EA7A74"/>
    <w:rsid w:val="00EB02D3"/>
    <w:rsid w:val="00EB0B63"/>
    <w:rsid w:val="00EB30D7"/>
    <w:rsid w:val="00EB3666"/>
    <w:rsid w:val="00EB3724"/>
    <w:rsid w:val="00EB3738"/>
    <w:rsid w:val="00EB74B2"/>
    <w:rsid w:val="00EC2AD6"/>
    <w:rsid w:val="00EC2E01"/>
    <w:rsid w:val="00EC34DA"/>
    <w:rsid w:val="00EC59C9"/>
    <w:rsid w:val="00EC6166"/>
    <w:rsid w:val="00EC6F4D"/>
    <w:rsid w:val="00ED230A"/>
    <w:rsid w:val="00ED2359"/>
    <w:rsid w:val="00ED26AA"/>
    <w:rsid w:val="00ED52C0"/>
    <w:rsid w:val="00ED560F"/>
    <w:rsid w:val="00ED5A86"/>
    <w:rsid w:val="00ED6D83"/>
    <w:rsid w:val="00EE0BEA"/>
    <w:rsid w:val="00EE1EE3"/>
    <w:rsid w:val="00EE47A5"/>
    <w:rsid w:val="00EF161E"/>
    <w:rsid w:val="00EF55AF"/>
    <w:rsid w:val="00EF6624"/>
    <w:rsid w:val="00EF7AE8"/>
    <w:rsid w:val="00F000BF"/>
    <w:rsid w:val="00F073E2"/>
    <w:rsid w:val="00F0741B"/>
    <w:rsid w:val="00F07D21"/>
    <w:rsid w:val="00F07DC9"/>
    <w:rsid w:val="00F1062F"/>
    <w:rsid w:val="00F110B6"/>
    <w:rsid w:val="00F12331"/>
    <w:rsid w:val="00F12641"/>
    <w:rsid w:val="00F15181"/>
    <w:rsid w:val="00F152E7"/>
    <w:rsid w:val="00F15427"/>
    <w:rsid w:val="00F15DCE"/>
    <w:rsid w:val="00F1616D"/>
    <w:rsid w:val="00F17BF8"/>
    <w:rsid w:val="00F22FA8"/>
    <w:rsid w:val="00F240D2"/>
    <w:rsid w:val="00F264A5"/>
    <w:rsid w:val="00F271FF"/>
    <w:rsid w:val="00F27BC8"/>
    <w:rsid w:val="00F30994"/>
    <w:rsid w:val="00F3110E"/>
    <w:rsid w:val="00F31629"/>
    <w:rsid w:val="00F32529"/>
    <w:rsid w:val="00F32D1E"/>
    <w:rsid w:val="00F33564"/>
    <w:rsid w:val="00F3554A"/>
    <w:rsid w:val="00F36891"/>
    <w:rsid w:val="00F377C9"/>
    <w:rsid w:val="00F407FD"/>
    <w:rsid w:val="00F415E6"/>
    <w:rsid w:val="00F4171B"/>
    <w:rsid w:val="00F4237F"/>
    <w:rsid w:val="00F43461"/>
    <w:rsid w:val="00F439C5"/>
    <w:rsid w:val="00F44D67"/>
    <w:rsid w:val="00F455F6"/>
    <w:rsid w:val="00F46BB5"/>
    <w:rsid w:val="00F50378"/>
    <w:rsid w:val="00F510F0"/>
    <w:rsid w:val="00F52906"/>
    <w:rsid w:val="00F54697"/>
    <w:rsid w:val="00F56A83"/>
    <w:rsid w:val="00F56F9F"/>
    <w:rsid w:val="00F63179"/>
    <w:rsid w:val="00F638A2"/>
    <w:rsid w:val="00F64177"/>
    <w:rsid w:val="00F65B1E"/>
    <w:rsid w:val="00F67378"/>
    <w:rsid w:val="00F738C3"/>
    <w:rsid w:val="00F74F55"/>
    <w:rsid w:val="00F777E7"/>
    <w:rsid w:val="00F81944"/>
    <w:rsid w:val="00F8200E"/>
    <w:rsid w:val="00F83245"/>
    <w:rsid w:val="00F85E3E"/>
    <w:rsid w:val="00F85F37"/>
    <w:rsid w:val="00F91609"/>
    <w:rsid w:val="00F91C68"/>
    <w:rsid w:val="00F92DB4"/>
    <w:rsid w:val="00F93684"/>
    <w:rsid w:val="00F939F6"/>
    <w:rsid w:val="00F94303"/>
    <w:rsid w:val="00F96B10"/>
    <w:rsid w:val="00F97530"/>
    <w:rsid w:val="00FA2088"/>
    <w:rsid w:val="00FA4194"/>
    <w:rsid w:val="00FA4B13"/>
    <w:rsid w:val="00FA52C1"/>
    <w:rsid w:val="00FA7D6B"/>
    <w:rsid w:val="00FB09D1"/>
    <w:rsid w:val="00FB23CD"/>
    <w:rsid w:val="00FB3E3E"/>
    <w:rsid w:val="00FB49AD"/>
    <w:rsid w:val="00FB6314"/>
    <w:rsid w:val="00FB65CB"/>
    <w:rsid w:val="00FB683F"/>
    <w:rsid w:val="00FC39E7"/>
    <w:rsid w:val="00FC5A30"/>
    <w:rsid w:val="00FC6F0B"/>
    <w:rsid w:val="00FD595D"/>
    <w:rsid w:val="00FD59B1"/>
    <w:rsid w:val="00FD5DA5"/>
    <w:rsid w:val="00FD5F2F"/>
    <w:rsid w:val="00FD6BB0"/>
    <w:rsid w:val="00FD72C2"/>
    <w:rsid w:val="00FE06AD"/>
    <w:rsid w:val="00FE0823"/>
    <w:rsid w:val="00FE2184"/>
    <w:rsid w:val="00FE28B0"/>
    <w:rsid w:val="00FE3001"/>
    <w:rsid w:val="00FE3AE1"/>
    <w:rsid w:val="00FE429C"/>
    <w:rsid w:val="00FE549F"/>
    <w:rsid w:val="00FE59A9"/>
    <w:rsid w:val="00FE5C63"/>
    <w:rsid w:val="00FE5F90"/>
    <w:rsid w:val="00FF18EA"/>
    <w:rsid w:val="00FF2D99"/>
    <w:rsid w:val="00FF600B"/>
    <w:rsid w:val="01026EE2"/>
    <w:rsid w:val="0103284B"/>
    <w:rsid w:val="01055685"/>
    <w:rsid w:val="010610D7"/>
    <w:rsid w:val="01125F33"/>
    <w:rsid w:val="011A46A9"/>
    <w:rsid w:val="011D1914"/>
    <w:rsid w:val="012D361C"/>
    <w:rsid w:val="01324301"/>
    <w:rsid w:val="013479B4"/>
    <w:rsid w:val="013A3F38"/>
    <w:rsid w:val="01484D9A"/>
    <w:rsid w:val="014A22FF"/>
    <w:rsid w:val="0150649C"/>
    <w:rsid w:val="015518FA"/>
    <w:rsid w:val="015866F2"/>
    <w:rsid w:val="015D41B0"/>
    <w:rsid w:val="015E12A6"/>
    <w:rsid w:val="01647DDD"/>
    <w:rsid w:val="016A7987"/>
    <w:rsid w:val="017718CB"/>
    <w:rsid w:val="01775825"/>
    <w:rsid w:val="01792C1E"/>
    <w:rsid w:val="01807C54"/>
    <w:rsid w:val="01837A3E"/>
    <w:rsid w:val="01850B7D"/>
    <w:rsid w:val="0187007A"/>
    <w:rsid w:val="018C62A0"/>
    <w:rsid w:val="0191143C"/>
    <w:rsid w:val="019316BB"/>
    <w:rsid w:val="0199383D"/>
    <w:rsid w:val="019B3D06"/>
    <w:rsid w:val="019F6073"/>
    <w:rsid w:val="01AD73C6"/>
    <w:rsid w:val="01B13812"/>
    <w:rsid w:val="01B47563"/>
    <w:rsid w:val="01B56E9C"/>
    <w:rsid w:val="01B81359"/>
    <w:rsid w:val="01C14107"/>
    <w:rsid w:val="01C33C7C"/>
    <w:rsid w:val="01C50DC8"/>
    <w:rsid w:val="01C54E2A"/>
    <w:rsid w:val="01C628DF"/>
    <w:rsid w:val="01D47FD9"/>
    <w:rsid w:val="01D51952"/>
    <w:rsid w:val="01D52CFB"/>
    <w:rsid w:val="01D84D4D"/>
    <w:rsid w:val="01DB1B5F"/>
    <w:rsid w:val="01E44310"/>
    <w:rsid w:val="01EB7F3C"/>
    <w:rsid w:val="01ED5476"/>
    <w:rsid w:val="01FA33B3"/>
    <w:rsid w:val="02032B53"/>
    <w:rsid w:val="021375C7"/>
    <w:rsid w:val="021F7695"/>
    <w:rsid w:val="023A4DE3"/>
    <w:rsid w:val="0240140B"/>
    <w:rsid w:val="0240472F"/>
    <w:rsid w:val="0244596E"/>
    <w:rsid w:val="0250037A"/>
    <w:rsid w:val="02597DF2"/>
    <w:rsid w:val="025C4648"/>
    <w:rsid w:val="025F45AA"/>
    <w:rsid w:val="02613027"/>
    <w:rsid w:val="027666A3"/>
    <w:rsid w:val="027C3E72"/>
    <w:rsid w:val="02871E7E"/>
    <w:rsid w:val="028B0F65"/>
    <w:rsid w:val="02945DA6"/>
    <w:rsid w:val="02997774"/>
    <w:rsid w:val="029B36D2"/>
    <w:rsid w:val="02A31537"/>
    <w:rsid w:val="02A363B6"/>
    <w:rsid w:val="02A53D50"/>
    <w:rsid w:val="02AA69FA"/>
    <w:rsid w:val="02AF1320"/>
    <w:rsid w:val="02C02D72"/>
    <w:rsid w:val="02CB1B48"/>
    <w:rsid w:val="02D92DD9"/>
    <w:rsid w:val="02DA206D"/>
    <w:rsid w:val="02DA573B"/>
    <w:rsid w:val="02DD7477"/>
    <w:rsid w:val="02E2182E"/>
    <w:rsid w:val="02E249AC"/>
    <w:rsid w:val="02E428B7"/>
    <w:rsid w:val="02EC1897"/>
    <w:rsid w:val="02EC78F1"/>
    <w:rsid w:val="02F452C6"/>
    <w:rsid w:val="02F85D78"/>
    <w:rsid w:val="02FA7D9D"/>
    <w:rsid w:val="02FA7F19"/>
    <w:rsid w:val="02FC58B2"/>
    <w:rsid w:val="030254F4"/>
    <w:rsid w:val="03061039"/>
    <w:rsid w:val="030A2D5D"/>
    <w:rsid w:val="030D0317"/>
    <w:rsid w:val="030E4068"/>
    <w:rsid w:val="031129D2"/>
    <w:rsid w:val="0311632B"/>
    <w:rsid w:val="031262F0"/>
    <w:rsid w:val="031336A2"/>
    <w:rsid w:val="031652A5"/>
    <w:rsid w:val="031E1390"/>
    <w:rsid w:val="031E4C11"/>
    <w:rsid w:val="032069AC"/>
    <w:rsid w:val="032206B0"/>
    <w:rsid w:val="032210AC"/>
    <w:rsid w:val="03233994"/>
    <w:rsid w:val="0324543C"/>
    <w:rsid w:val="03252B29"/>
    <w:rsid w:val="032C37CF"/>
    <w:rsid w:val="0331625A"/>
    <w:rsid w:val="033B1564"/>
    <w:rsid w:val="03433410"/>
    <w:rsid w:val="03485F0B"/>
    <w:rsid w:val="034A4810"/>
    <w:rsid w:val="034F7D3E"/>
    <w:rsid w:val="03507BE8"/>
    <w:rsid w:val="036722B1"/>
    <w:rsid w:val="03756F64"/>
    <w:rsid w:val="03760FDB"/>
    <w:rsid w:val="037B6EB5"/>
    <w:rsid w:val="037C2092"/>
    <w:rsid w:val="037E39EF"/>
    <w:rsid w:val="0380772F"/>
    <w:rsid w:val="039225F4"/>
    <w:rsid w:val="03925914"/>
    <w:rsid w:val="03944789"/>
    <w:rsid w:val="03962598"/>
    <w:rsid w:val="0396700E"/>
    <w:rsid w:val="039944FA"/>
    <w:rsid w:val="039A19EC"/>
    <w:rsid w:val="039F5D1B"/>
    <w:rsid w:val="03AA5810"/>
    <w:rsid w:val="03AC12EB"/>
    <w:rsid w:val="03AF10BE"/>
    <w:rsid w:val="03B57DD5"/>
    <w:rsid w:val="03B62C6B"/>
    <w:rsid w:val="03B920F6"/>
    <w:rsid w:val="03BC4599"/>
    <w:rsid w:val="03BC6280"/>
    <w:rsid w:val="03BD1F38"/>
    <w:rsid w:val="03CA4EF2"/>
    <w:rsid w:val="03CD3085"/>
    <w:rsid w:val="03CE5E52"/>
    <w:rsid w:val="03CF6B9C"/>
    <w:rsid w:val="03E028C7"/>
    <w:rsid w:val="03E07586"/>
    <w:rsid w:val="03E63CAD"/>
    <w:rsid w:val="03EB3567"/>
    <w:rsid w:val="03EC154D"/>
    <w:rsid w:val="03F04DC2"/>
    <w:rsid w:val="03F057E8"/>
    <w:rsid w:val="03F53EE2"/>
    <w:rsid w:val="03FC0CC5"/>
    <w:rsid w:val="040961F5"/>
    <w:rsid w:val="0411307C"/>
    <w:rsid w:val="04182EBF"/>
    <w:rsid w:val="041D6CC8"/>
    <w:rsid w:val="041D7A8F"/>
    <w:rsid w:val="041F1799"/>
    <w:rsid w:val="04274814"/>
    <w:rsid w:val="04342B7C"/>
    <w:rsid w:val="04357A7E"/>
    <w:rsid w:val="043B2EC0"/>
    <w:rsid w:val="043B7EE9"/>
    <w:rsid w:val="043C3380"/>
    <w:rsid w:val="04405363"/>
    <w:rsid w:val="04414DB5"/>
    <w:rsid w:val="044C0BDE"/>
    <w:rsid w:val="044E2A85"/>
    <w:rsid w:val="04602A36"/>
    <w:rsid w:val="04626C00"/>
    <w:rsid w:val="046A3384"/>
    <w:rsid w:val="047160AD"/>
    <w:rsid w:val="047D7D09"/>
    <w:rsid w:val="0482531C"/>
    <w:rsid w:val="04827831"/>
    <w:rsid w:val="04891D97"/>
    <w:rsid w:val="048A28F1"/>
    <w:rsid w:val="04954846"/>
    <w:rsid w:val="04965340"/>
    <w:rsid w:val="049803BF"/>
    <w:rsid w:val="04992B87"/>
    <w:rsid w:val="04A90589"/>
    <w:rsid w:val="04A9193C"/>
    <w:rsid w:val="04B51BBE"/>
    <w:rsid w:val="04BC3C7E"/>
    <w:rsid w:val="04C01A1D"/>
    <w:rsid w:val="04C82AE7"/>
    <w:rsid w:val="04E30660"/>
    <w:rsid w:val="04E575BF"/>
    <w:rsid w:val="04EB0057"/>
    <w:rsid w:val="04EC4AA2"/>
    <w:rsid w:val="04F96932"/>
    <w:rsid w:val="04F96DB2"/>
    <w:rsid w:val="0502242E"/>
    <w:rsid w:val="050244DF"/>
    <w:rsid w:val="05072737"/>
    <w:rsid w:val="05077163"/>
    <w:rsid w:val="050838F0"/>
    <w:rsid w:val="050F44E9"/>
    <w:rsid w:val="05144D27"/>
    <w:rsid w:val="051B2AB4"/>
    <w:rsid w:val="051F0F1C"/>
    <w:rsid w:val="05242E32"/>
    <w:rsid w:val="0525618F"/>
    <w:rsid w:val="05270A38"/>
    <w:rsid w:val="05287442"/>
    <w:rsid w:val="052C34C3"/>
    <w:rsid w:val="053400F9"/>
    <w:rsid w:val="05377814"/>
    <w:rsid w:val="053E3284"/>
    <w:rsid w:val="05446D03"/>
    <w:rsid w:val="054E4025"/>
    <w:rsid w:val="054F19A7"/>
    <w:rsid w:val="05562886"/>
    <w:rsid w:val="05567793"/>
    <w:rsid w:val="05572C83"/>
    <w:rsid w:val="055938FD"/>
    <w:rsid w:val="056105A0"/>
    <w:rsid w:val="05617094"/>
    <w:rsid w:val="05645C64"/>
    <w:rsid w:val="05701B1D"/>
    <w:rsid w:val="057F019B"/>
    <w:rsid w:val="05873B2D"/>
    <w:rsid w:val="058804C1"/>
    <w:rsid w:val="058A3557"/>
    <w:rsid w:val="058B65AF"/>
    <w:rsid w:val="0590004D"/>
    <w:rsid w:val="05910C84"/>
    <w:rsid w:val="0593217C"/>
    <w:rsid w:val="059A02E8"/>
    <w:rsid w:val="05A038C9"/>
    <w:rsid w:val="05A83409"/>
    <w:rsid w:val="05A91921"/>
    <w:rsid w:val="05C06ADD"/>
    <w:rsid w:val="05C1187B"/>
    <w:rsid w:val="05C36B0C"/>
    <w:rsid w:val="05C966E2"/>
    <w:rsid w:val="05C9692C"/>
    <w:rsid w:val="05CD0954"/>
    <w:rsid w:val="05CE1193"/>
    <w:rsid w:val="05D9677E"/>
    <w:rsid w:val="05E52BF3"/>
    <w:rsid w:val="05E9662A"/>
    <w:rsid w:val="05F1246F"/>
    <w:rsid w:val="05F538FA"/>
    <w:rsid w:val="05FD49C2"/>
    <w:rsid w:val="060319A9"/>
    <w:rsid w:val="0610795A"/>
    <w:rsid w:val="06175978"/>
    <w:rsid w:val="0619358C"/>
    <w:rsid w:val="06204069"/>
    <w:rsid w:val="062C7AF9"/>
    <w:rsid w:val="06312C1A"/>
    <w:rsid w:val="0631509D"/>
    <w:rsid w:val="06364336"/>
    <w:rsid w:val="06372DA7"/>
    <w:rsid w:val="063745D2"/>
    <w:rsid w:val="063A7F94"/>
    <w:rsid w:val="0640586D"/>
    <w:rsid w:val="064936D0"/>
    <w:rsid w:val="064F050A"/>
    <w:rsid w:val="066324B6"/>
    <w:rsid w:val="06746E8D"/>
    <w:rsid w:val="067A52DE"/>
    <w:rsid w:val="06881B50"/>
    <w:rsid w:val="068A42FF"/>
    <w:rsid w:val="068B051E"/>
    <w:rsid w:val="068F5522"/>
    <w:rsid w:val="06900CE3"/>
    <w:rsid w:val="06A564E2"/>
    <w:rsid w:val="06B37672"/>
    <w:rsid w:val="06BA4171"/>
    <w:rsid w:val="06BB663F"/>
    <w:rsid w:val="06C27125"/>
    <w:rsid w:val="06C56F8D"/>
    <w:rsid w:val="06C83CE3"/>
    <w:rsid w:val="06CD18AE"/>
    <w:rsid w:val="06D46D0F"/>
    <w:rsid w:val="06E5631A"/>
    <w:rsid w:val="06E61D0F"/>
    <w:rsid w:val="06F27036"/>
    <w:rsid w:val="06F55CE9"/>
    <w:rsid w:val="06FC532E"/>
    <w:rsid w:val="06FD64FE"/>
    <w:rsid w:val="07080A9D"/>
    <w:rsid w:val="0709502C"/>
    <w:rsid w:val="07185A49"/>
    <w:rsid w:val="0719299F"/>
    <w:rsid w:val="071A24DF"/>
    <w:rsid w:val="07205596"/>
    <w:rsid w:val="07206D34"/>
    <w:rsid w:val="07252EB6"/>
    <w:rsid w:val="07261969"/>
    <w:rsid w:val="07295C59"/>
    <w:rsid w:val="072A613A"/>
    <w:rsid w:val="07372FD8"/>
    <w:rsid w:val="0741312F"/>
    <w:rsid w:val="074622EA"/>
    <w:rsid w:val="074A0EE1"/>
    <w:rsid w:val="074C4DCF"/>
    <w:rsid w:val="074F2332"/>
    <w:rsid w:val="075D5BCA"/>
    <w:rsid w:val="075F3F92"/>
    <w:rsid w:val="07625280"/>
    <w:rsid w:val="07690155"/>
    <w:rsid w:val="076E0124"/>
    <w:rsid w:val="077069E2"/>
    <w:rsid w:val="07737B1B"/>
    <w:rsid w:val="077943AD"/>
    <w:rsid w:val="077F7479"/>
    <w:rsid w:val="078D4210"/>
    <w:rsid w:val="078E0193"/>
    <w:rsid w:val="07911D96"/>
    <w:rsid w:val="0791342B"/>
    <w:rsid w:val="079A48CD"/>
    <w:rsid w:val="079B191A"/>
    <w:rsid w:val="079C1777"/>
    <w:rsid w:val="07B03EED"/>
    <w:rsid w:val="07B379BF"/>
    <w:rsid w:val="07B65DB5"/>
    <w:rsid w:val="07B92542"/>
    <w:rsid w:val="07BD27E9"/>
    <w:rsid w:val="07CC584F"/>
    <w:rsid w:val="07CF5ED4"/>
    <w:rsid w:val="07CF62B9"/>
    <w:rsid w:val="07D17686"/>
    <w:rsid w:val="07D355CC"/>
    <w:rsid w:val="07D75660"/>
    <w:rsid w:val="07D844D4"/>
    <w:rsid w:val="07D90EA4"/>
    <w:rsid w:val="07DC1699"/>
    <w:rsid w:val="07E35AB1"/>
    <w:rsid w:val="07F24B5F"/>
    <w:rsid w:val="07F65BF1"/>
    <w:rsid w:val="07FB4E2D"/>
    <w:rsid w:val="07FC2D31"/>
    <w:rsid w:val="07FF0707"/>
    <w:rsid w:val="08051366"/>
    <w:rsid w:val="080751C4"/>
    <w:rsid w:val="080A35EF"/>
    <w:rsid w:val="080B3135"/>
    <w:rsid w:val="080B75DE"/>
    <w:rsid w:val="080C4E5F"/>
    <w:rsid w:val="08164FE3"/>
    <w:rsid w:val="081F2BB8"/>
    <w:rsid w:val="081F4413"/>
    <w:rsid w:val="08270B88"/>
    <w:rsid w:val="0831693D"/>
    <w:rsid w:val="08337AE5"/>
    <w:rsid w:val="083530AB"/>
    <w:rsid w:val="083A01DE"/>
    <w:rsid w:val="083A6166"/>
    <w:rsid w:val="084C619B"/>
    <w:rsid w:val="085300BF"/>
    <w:rsid w:val="08547035"/>
    <w:rsid w:val="085A63E5"/>
    <w:rsid w:val="085C0BF1"/>
    <w:rsid w:val="086E4801"/>
    <w:rsid w:val="086E4CCD"/>
    <w:rsid w:val="087320F8"/>
    <w:rsid w:val="087368AA"/>
    <w:rsid w:val="0877606F"/>
    <w:rsid w:val="08812F45"/>
    <w:rsid w:val="088435A2"/>
    <w:rsid w:val="088B5AC7"/>
    <w:rsid w:val="08924285"/>
    <w:rsid w:val="08932FA4"/>
    <w:rsid w:val="08971019"/>
    <w:rsid w:val="089773CA"/>
    <w:rsid w:val="08980BAE"/>
    <w:rsid w:val="089F4E02"/>
    <w:rsid w:val="08AF2A09"/>
    <w:rsid w:val="08B22737"/>
    <w:rsid w:val="08B60D54"/>
    <w:rsid w:val="08BE073C"/>
    <w:rsid w:val="08C87B07"/>
    <w:rsid w:val="08C95C7F"/>
    <w:rsid w:val="08CC0FF9"/>
    <w:rsid w:val="08CC36F3"/>
    <w:rsid w:val="08D104B1"/>
    <w:rsid w:val="08D25C7B"/>
    <w:rsid w:val="08D3676B"/>
    <w:rsid w:val="08D74E5D"/>
    <w:rsid w:val="08DB2576"/>
    <w:rsid w:val="08DE186A"/>
    <w:rsid w:val="08E60409"/>
    <w:rsid w:val="08EA40FC"/>
    <w:rsid w:val="08EC2848"/>
    <w:rsid w:val="08F179D4"/>
    <w:rsid w:val="08F61ADD"/>
    <w:rsid w:val="08F713D1"/>
    <w:rsid w:val="08FB485D"/>
    <w:rsid w:val="08FC546F"/>
    <w:rsid w:val="08FF072B"/>
    <w:rsid w:val="09033045"/>
    <w:rsid w:val="090E35C1"/>
    <w:rsid w:val="092473E0"/>
    <w:rsid w:val="09313112"/>
    <w:rsid w:val="0939150C"/>
    <w:rsid w:val="09443D39"/>
    <w:rsid w:val="094E3EB6"/>
    <w:rsid w:val="09522F2B"/>
    <w:rsid w:val="095D3A17"/>
    <w:rsid w:val="095F40BE"/>
    <w:rsid w:val="09646226"/>
    <w:rsid w:val="096A657A"/>
    <w:rsid w:val="096B01A1"/>
    <w:rsid w:val="09740937"/>
    <w:rsid w:val="097967C2"/>
    <w:rsid w:val="097B6AD1"/>
    <w:rsid w:val="097D1872"/>
    <w:rsid w:val="09884527"/>
    <w:rsid w:val="09920C2D"/>
    <w:rsid w:val="0993211C"/>
    <w:rsid w:val="09A26C72"/>
    <w:rsid w:val="09B03581"/>
    <w:rsid w:val="09B36D70"/>
    <w:rsid w:val="09BD050C"/>
    <w:rsid w:val="09C53590"/>
    <w:rsid w:val="09E764C8"/>
    <w:rsid w:val="09E8403E"/>
    <w:rsid w:val="09ED4D33"/>
    <w:rsid w:val="09EF741B"/>
    <w:rsid w:val="09F27FB1"/>
    <w:rsid w:val="09FD7001"/>
    <w:rsid w:val="09FF0D89"/>
    <w:rsid w:val="0A034F74"/>
    <w:rsid w:val="0A03602B"/>
    <w:rsid w:val="0A0450E7"/>
    <w:rsid w:val="0A0E3E75"/>
    <w:rsid w:val="0A0E72EE"/>
    <w:rsid w:val="0A220B77"/>
    <w:rsid w:val="0A2344F2"/>
    <w:rsid w:val="0A287849"/>
    <w:rsid w:val="0A2A02BD"/>
    <w:rsid w:val="0A3B31F6"/>
    <w:rsid w:val="0A427855"/>
    <w:rsid w:val="0A582722"/>
    <w:rsid w:val="0A61125B"/>
    <w:rsid w:val="0A6B6753"/>
    <w:rsid w:val="0A6E6EF6"/>
    <w:rsid w:val="0A7027A3"/>
    <w:rsid w:val="0A7306D9"/>
    <w:rsid w:val="0A73589B"/>
    <w:rsid w:val="0A9F6046"/>
    <w:rsid w:val="0AA8043B"/>
    <w:rsid w:val="0AAC48E1"/>
    <w:rsid w:val="0AAF3A75"/>
    <w:rsid w:val="0ABD5BBB"/>
    <w:rsid w:val="0AC4431B"/>
    <w:rsid w:val="0ACA3CB8"/>
    <w:rsid w:val="0AD2340E"/>
    <w:rsid w:val="0AD71399"/>
    <w:rsid w:val="0AE015D2"/>
    <w:rsid w:val="0AE32F58"/>
    <w:rsid w:val="0AE6265A"/>
    <w:rsid w:val="0AE87957"/>
    <w:rsid w:val="0AEA6439"/>
    <w:rsid w:val="0AEA6DFA"/>
    <w:rsid w:val="0AEE3D12"/>
    <w:rsid w:val="0AF26E95"/>
    <w:rsid w:val="0AF36B35"/>
    <w:rsid w:val="0AFD4029"/>
    <w:rsid w:val="0B0B7C71"/>
    <w:rsid w:val="0B153096"/>
    <w:rsid w:val="0B190361"/>
    <w:rsid w:val="0B1E54CC"/>
    <w:rsid w:val="0B247DD4"/>
    <w:rsid w:val="0B262617"/>
    <w:rsid w:val="0B280EBF"/>
    <w:rsid w:val="0B287DCD"/>
    <w:rsid w:val="0B291D6C"/>
    <w:rsid w:val="0B2B3619"/>
    <w:rsid w:val="0B2E2C1D"/>
    <w:rsid w:val="0B307611"/>
    <w:rsid w:val="0B314B2E"/>
    <w:rsid w:val="0B3447D4"/>
    <w:rsid w:val="0B34762B"/>
    <w:rsid w:val="0B384C00"/>
    <w:rsid w:val="0B390778"/>
    <w:rsid w:val="0B3A42E3"/>
    <w:rsid w:val="0B3D2999"/>
    <w:rsid w:val="0B3D47C4"/>
    <w:rsid w:val="0B480704"/>
    <w:rsid w:val="0B48568B"/>
    <w:rsid w:val="0B507560"/>
    <w:rsid w:val="0B5A70F7"/>
    <w:rsid w:val="0B617172"/>
    <w:rsid w:val="0B6A5CBF"/>
    <w:rsid w:val="0B6B7B25"/>
    <w:rsid w:val="0B6E45CD"/>
    <w:rsid w:val="0B7A78B5"/>
    <w:rsid w:val="0B7F6C71"/>
    <w:rsid w:val="0B802FA5"/>
    <w:rsid w:val="0B8059C4"/>
    <w:rsid w:val="0B83379C"/>
    <w:rsid w:val="0B840306"/>
    <w:rsid w:val="0B8D6019"/>
    <w:rsid w:val="0B903C6E"/>
    <w:rsid w:val="0B917515"/>
    <w:rsid w:val="0B921BF6"/>
    <w:rsid w:val="0B957558"/>
    <w:rsid w:val="0B99682F"/>
    <w:rsid w:val="0B9A18E1"/>
    <w:rsid w:val="0B9A7442"/>
    <w:rsid w:val="0B9B0266"/>
    <w:rsid w:val="0B9B43AC"/>
    <w:rsid w:val="0BA52BF8"/>
    <w:rsid w:val="0BAF32A3"/>
    <w:rsid w:val="0BB01AAE"/>
    <w:rsid w:val="0BB02264"/>
    <w:rsid w:val="0BB709E7"/>
    <w:rsid w:val="0BCA13B9"/>
    <w:rsid w:val="0BDB2D0D"/>
    <w:rsid w:val="0BDF1B22"/>
    <w:rsid w:val="0BE10CCA"/>
    <w:rsid w:val="0BE12676"/>
    <w:rsid w:val="0BE74346"/>
    <w:rsid w:val="0BEA0ACF"/>
    <w:rsid w:val="0BF677F6"/>
    <w:rsid w:val="0BFA45A9"/>
    <w:rsid w:val="0BFC7E79"/>
    <w:rsid w:val="0C0128FC"/>
    <w:rsid w:val="0C0D50B9"/>
    <w:rsid w:val="0C0E53F6"/>
    <w:rsid w:val="0C11636A"/>
    <w:rsid w:val="0C13714A"/>
    <w:rsid w:val="0C145415"/>
    <w:rsid w:val="0C154523"/>
    <w:rsid w:val="0C18109A"/>
    <w:rsid w:val="0C1A05D3"/>
    <w:rsid w:val="0C1B7E64"/>
    <w:rsid w:val="0C260E5F"/>
    <w:rsid w:val="0C2B5FA9"/>
    <w:rsid w:val="0C3112E2"/>
    <w:rsid w:val="0C3126E0"/>
    <w:rsid w:val="0C4048FF"/>
    <w:rsid w:val="0C406547"/>
    <w:rsid w:val="0C4242E9"/>
    <w:rsid w:val="0C454A45"/>
    <w:rsid w:val="0C52020E"/>
    <w:rsid w:val="0C5D667F"/>
    <w:rsid w:val="0C646F70"/>
    <w:rsid w:val="0C657BFD"/>
    <w:rsid w:val="0C66505A"/>
    <w:rsid w:val="0C837A10"/>
    <w:rsid w:val="0CA26CA4"/>
    <w:rsid w:val="0CAA58E1"/>
    <w:rsid w:val="0CAF2955"/>
    <w:rsid w:val="0CB36FBE"/>
    <w:rsid w:val="0CB37B2B"/>
    <w:rsid w:val="0CB57C89"/>
    <w:rsid w:val="0CBB5443"/>
    <w:rsid w:val="0CC944A0"/>
    <w:rsid w:val="0CCB517F"/>
    <w:rsid w:val="0CE34F5D"/>
    <w:rsid w:val="0CEA5336"/>
    <w:rsid w:val="0CED2B14"/>
    <w:rsid w:val="0CF42A8D"/>
    <w:rsid w:val="0CFA2B21"/>
    <w:rsid w:val="0D0A6F4D"/>
    <w:rsid w:val="0D15601A"/>
    <w:rsid w:val="0D17467A"/>
    <w:rsid w:val="0D1B1E88"/>
    <w:rsid w:val="0D1F06E7"/>
    <w:rsid w:val="0D253E33"/>
    <w:rsid w:val="0D2B37FD"/>
    <w:rsid w:val="0D2B3BF3"/>
    <w:rsid w:val="0D3D73A2"/>
    <w:rsid w:val="0D3E5982"/>
    <w:rsid w:val="0D4E58D9"/>
    <w:rsid w:val="0D54339D"/>
    <w:rsid w:val="0D6C1F23"/>
    <w:rsid w:val="0D6C24C5"/>
    <w:rsid w:val="0D7D60E4"/>
    <w:rsid w:val="0D806204"/>
    <w:rsid w:val="0D83182D"/>
    <w:rsid w:val="0D87514C"/>
    <w:rsid w:val="0D896F08"/>
    <w:rsid w:val="0D9E1824"/>
    <w:rsid w:val="0DA610B3"/>
    <w:rsid w:val="0DAA3049"/>
    <w:rsid w:val="0DAC405A"/>
    <w:rsid w:val="0DBD7878"/>
    <w:rsid w:val="0DBF1EA9"/>
    <w:rsid w:val="0DC37103"/>
    <w:rsid w:val="0DCE6807"/>
    <w:rsid w:val="0DD1575B"/>
    <w:rsid w:val="0DE2233E"/>
    <w:rsid w:val="0DE47099"/>
    <w:rsid w:val="0DF32B15"/>
    <w:rsid w:val="0DF7732E"/>
    <w:rsid w:val="0DFC5423"/>
    <w:rsid w:val="0E0364F5"/>
    <w:rsid w:val="0E045138"/>
    <w:rsid w:val="0E063275"/>
    <w:rsid w:val="0E0F5A46"/>
    <w:rsid w:val="0E10114F"/>
    <w:rsid w:val="0E2652FB"/>
    <w:rsid w:val="0E303EC5"/>
    <w:rsid w:val="0E3328E8"/>
    <w:rsid w:val="0E3B2556"/>
    <w:rsid w:val="0E3E0214"/>
    <w:rsid w:val="0E42376F"/>
    <w:rsid w:val="0E465F47"/>
    <w:rsid w:val="0E473D7D"/>
    <w:rsid w:val="0E49210B"/>
    <w:rsid w:val="0E5450ED"/>
    <w:rsid w:val="0E5826B2"/>
    <w:rsid w:val="0E662E50"/>
    <w:rsid w:val="0E666195"/>
    <w:rsid w:val="0E8910FE"/>
    <w:rsid w:val="0E8E0FBB"/>
    <w:rsid w:val="0E9370EB"/>
    <w:rsid w:val="0E990DD7"/>
    <w:rsid w:val="0EA11062"/>
    <w:rsid w:val="0EA26E06"/>
    <w:rsid w:val="0EAE6243"/>
    <w:rsid w:val="0EB1703A"/>
    <w:rsid w:val="0EB25465"/>
    <w:rsid w:val="0EB54A0B"/>
    <w:rsid w:val="0EB67B3D"/>
    <w:rsid w:val="0EBA083C"/>
    <w:rsid w:val="0EBC1DC8"/>
    <w:rsid w:val="0EC14D7D"/>
    <w:rsid w:val="0EC56824"/>
    <w:rsid w:val="0EC7197C"/>
    <w:rsid w:val="0EC810D3"/>
    <w:rsid w:val="0ECB4CF7"/>
    <w:rsid w:val="0ED62076"/>
    <w:rsid w:val="0EE01765"/>
    <w:rsid w:val="0EE02834"/>
    <w:rsid w:val="0EE43013"/>
    <w:rsid w:val="0EE47202"/>
    <w:rsid w:val="0EE5124A"/>
    <w:rsid w:val="0EE71A1A"/>
    <w:rsid w:val="0EE740CC"/>
    <w:rsid w:val="0EED1E0F"/>
    <w:rsid w:val="0EF12973"/>
    <w:rsid w:val="0EF3502C"/>
    <w:rsid w:val="0EFD6C05"/>
    <w:rsid w:val="0EFF04F7"/>
    <w:rsid w:val="0F091441"/>
    <w:rsid w:val="0F0B3568"/>
    <w:rsid w:val="0F0F7C05"/>
    <w:rsid w:val="0F0F7E09"/>
    <w:rsid w:val="0F1550D6"/>
    <w:rsid w:val="0F1D430C"/>
    <w:rsid w:val="0F24113D"/>
    <w:rsid w:val="0F246A15"/>
    <w:rsid w:val="0F2A1022"/>
    <w:rsid w:val="0F2B2568"/>
    <w:rsid w:val="0F2E4BAB"/>
    <w:rsid w:val="0F375312"/>
    <w:rsid w:val="0F39564D"/>
    <w:rsid w:val="0F48715C"/>
    <w:rsid w:val="0F49259E"/>
    <w:rsid w:val="0F493A5F"/>
    <w:rsid w:val="0F5E3CD5"/>
    <w:rsid w:val="0F6020C8"/>
    <w:rsid w:val="0F6D45D2"/>
    <w:rsid w:val="0F746988"/>
    <w:rsid w:val="0F752911"/>
    <w:rsid w:val="0F7D1C1D"/>
    <w:rsid w:val="0F7E00EE"/>
    <w:rsid w:val="0F8220F0"/>
    <w:rsid w:val="0F836AE5"/>
    <w:rsid w:val="0F8551F4"/>
    <w:rsid w:val="0F8E5D1F"/>
    <w:rsid w:val="0F996ADE"/>
    <w:rsid w:val="0F9C13AC"/>
    <w:rsid w:val="0FA04F71"/>
    <w:rsid w:val="0FB25657"/>
    <w:rsid w:val="0FB55F72"/>
    <w:rsid w:val="0FBB3904"/>
    <w:rsid w:val="0FBC0CAC"/>
    <w:rsid w:val="0FBF4363"/>
    <w:rsid w:val="0FC245F4"/>
    <w:rsid w:val="0FD4046E"/>
    <w:rsid w:val="0FD61556"/>
    <w:rsid w:val="0FE32116"/>
    <w:rsid w:val="0FE64FDB"/>
    <w:rsid w:val="100261D9"/>
    <w:rsid w:val="100D04C4"/>
    <w:rsid w:val="101C231D"/>
    <w:rsid w:val="102033F0"/>
    <w:rsid w:val="10211FD8"/>
    <w:rsid w:val="1023526B"/>
    <w:rsid w:val="10303E9C"/>
    <w:rsid w:val="10334139"/>
    <w:rsid w:val="103E673D"/>
    <w:rsid w:val="103F6CF3"/>
    <w:rsid w:val="104D42C0"/>
    <w:rsid w:val="104D66F3"/>
    <w:rsid w:val="10530F0F"/>
    <w:rsid w:val="10552222"/>
    <w:rsid w:val="1056319C"/>
    <w:rsid w:val="10564307"/>
    <w:rsid w:val="1066477A"/>
    <w:rsid w:val="106B7F55"/>
    <w:rsid w:val="106C202D"/>
    <w:rsid w:val="10792BE6"/>
    <w:rsid w:val="107C2D88"/>
    <w:rsid w:val="1080284F"/>
    <w:rsid w:val="10805B02"/>
    <w:rsid w:val="108C18CA"/>
    <w:rsid w:val="108F004B"/>
    <w:rsid w:val="10930964"/>
    <w:rsid w:val="10997A8C"/>
    <w:rsid w:val="109A78CB"/>
    <w:rsid w:val="10A446EB"/>
    <w:rsid w:val="10AE12EC"/>
    <w:rsid w:val="10CA5B9A"/>
    <w:rsid w:val="10CB37FC"/>
    <w:rsid w:val="10CC6343"/>
    <w:rsid w:val="10CE716F"/>
    <w:rsid w:val="10DA4E3D"/>
    <w:rsid w:val="10E010E9"/>
    <w:rsid w:val="10E47F31"/>
    <w:rsid w:val="10EA2DF0"/>
    <w:rsid w:val="10EA3DF4"/>
    <w:rsid w:val="110A58B6"/>
    <w:rsid w:val="110C1A05"/>
    <w:rsid w:val="110C4191"/>
    <w:rsid w:val="110C5D67"/>
    <w:rsid w:val="11114276"/>
    <w:rsid w:val="11126DC8"/>
    <w:rsid w:val="111908E2"/>
    <w:rsid w:val="11194E29"/>
    <w:rsid w:val="111A4A6B"/>
    <w:rsid w:val="112623BD"/>
    <w:rsid w:val="11291EF0"/>
    <w:rsid w:val="11313F1A"/>
    <w:rsid w:val="113238D6"/>
    <w:rsid w:val="11341225"/>
    <w:rsid w:val="11362D34"/>
    <w:rsid w:val="11364AFF"/>
    <w:rsid w:val="113B134B"/>
    <w:rsid w:val="113D1E77"/>
    <w:rsid w:val="113D3FCE"/>
    <w:rsid w:val="113E13F0"/>
    <w:rsid w:val="11481652"/>
    <w:rsid w:val="114C39F9"/>
    <w:rsid w:val="11573CE8"/>
    <w:rsid w:val="115E164C"/>
    <w:rsid w:val="116B0173"/>
    <w:rsid w:val="11751956"/>
    <w:rsid w:val="117F30CA"/>
    <w:rsid w:val="11807200"/>
    <w:rsid w:val="1187310E"/>
    <w:rsid w:val="118767D1"/>
    <w:rsid w:val="11877097"/>
    <w:rsid w:val="118F7955"/>
    <w:rsid w:val="11994909"/>
    <w:rsid w:val="119B112B"/>
    <w:rsid w:val="11A877D7"/>
    <w:rsid w:val="11B01B79"/>
    <w:rsid w:val="11B10114"/>
    <w:rsid w:val="11B31C09"/>
    <w:rsid w:val="11BD4181"/>
    <w:rsid w:val="11C62C41"/>
    <w:rsid w:val="11DB6168"/>
    <w:rsid w:val="11DF61B9"/>
    <w:rsid w:val="11E07A03"/>
    <w:rsid w:val="11EA09B0"/>
    <w:rsid w:val="11EF4392"/>
    <w:rsid w:val="11F50B3F"/>
    <w:rsid w:val="11F80600"/>
    <w:rsid w:val="11FC146C"/>
    <w:rsid w:val="120F12FF"/>
    <w:rsid w:val="121207E0"/>
    <w:rsid w:val="121C03AE"/>
    <w:rsid w:val="122231BF"/>
    <w:rsid w:val="12230514"/>
    <w:rsid w:val="12295BA3"/>
    <w:rsid w:val="122E1370"/>
    <w:rsid w:val="12342635"/>
    <w:rsid w:val="12361352"/>
    <w:rsid w:val="123C0EC6"/>
    <w:rsid w:val="12417F04"/>
    <w:rsid w:val="12454CD4"/>
    <w:rsid w:val="124A5E46"/>
    <w:rsid w:val="125B5F6E"/>
    <w:rsid w:val="12681E07"/>
    <w:rsid w:val="12740820"/>
    <w:rsid w:val="12770A4A"/>
    <w:rsid w:val="127E0076"/>
    <w:rsid w:val="127F2BE6"/>
    <w:rsid w:val="12826FCA"/>
    <w:rsid w:val="12876694"/>
    <w:rsid w:val="128B3635"/>
    <w:rsid w:val="128C02C3"/>
    <w:rsid w:val="129A3A20"/>
    <w:rsid w:val="129A525D"/>
    <w:rsid w:val="129D6E9A"/>
    <w:rsid w:val="129E387A"/>
    <w:rsid w:val="12A52C00"/>
    <w:rsid w:val="12B61171"/>
    <w:rsid w:val="12BB5156"/>
    <w:rsid w:val="12C34D5D"/>
    <w:rsid w:val="12CA6B0C"/>
    <w:rsid w:val="12D571CD"/>
    <w:rsid w:val="12DB7397"/>
    <w:rsid w:val="12DC72A7"/>
    <w:rsid w:val="12E64F72"/>
    <w:rsid w:val="12EB6368"/>
    <w:rsid w:val="12EF1006"/>
    <w:rsid w:val="12F6236A"/>
    <w:rsid w:val="12F66269"/>
    <w:rsid w:val="12FA41F1"/>
    <w:rsid w:val="13026B1F"/>
    <w:rsid w:val="130631CC"/>
    <w:rsid w:val="13070AB5"/>
    <w:rsid w:val="13084029"/>
    <w:rsid w:val="130844A6"/>
    <w:rsid w:val="13137B3C"/>
    <w:rsid w:val="13161932"/>
    <w:rsid w:val="1317374C"/>
    <w:rsid w:val="13190DD0"/>
    <w:rsid w:val="131B3BA4"/>
    <w:rsid w:val="13217EAD"/>
    <w:rsid w:val="132D7FEE"/>
    <w:rsid w:val="1334460C"/>
    <w:rsid w:val="13353B37"/>
    <w:rsid w:val="134569D0"/>
    <w:rsid w:val="13465F8D"/>
    <w:rsid w:val="134D6CD8"/>
    <w:rsid w:val="135D040B"/>
    <w:rsid w:val="13703F18"/>
    <w:rsid w:val="13714ABA"/>
    <w:rsid w:val="13716E2B"/>
    <w:rsid w:val="13731C80"/>
    <w:rsid w:val="13774347"/>
    <w:rsid w:val="13777586"/>
    <w:rsid w:val="137D7562"/>
    <w:rsid w:val="13897791"/>
    <w:rsid w:val="138D57E8"/>
    <w:rsid w:val="13925A68"/>
    <w:rsid w:val="13930B44"/>
    <w:rsid w:val="13AB1CD2"/>
    <w:rsid w:val="13AD0761"/>
    <w:rsid w:val="13AF2E86"/>
    <w:rsid w:val="13B82029"/>
    <w:rsid w:val="13BB2B00"/>
    <w:rsid w:val="13C538D1"/>
    <w:rsid w:val="13D5011C"/>
    <w:rsid w:val="13D94D55"/>
    <w:rsid w:val="13DE42A2"/>
    <w:rsid w:val="13E13F10"/>
    <w:rsid w:val="13ED4A3A"/>
    <w:rsid w:val="13F6759F"/>
    <w:rsid w:val="13FC6E49"/>
    <w:rsid w:val="13FE334B"/>
    <w:rsid w:val="140033B7"/>
    <w:rsid w:val="140204D4"/>
    <w:rsid w:val="140E6E87"/>
    <w:rsid w:val="140F0E94"/>
    <w:rsid w:val="14101C6E"/>
    <w:rsid w:val="142708D2"/>
    <w:rsid w:val="14270EB5"/>
    <w:rsid w:val="14274640"/>
    <w:rsid w:val="142A0835"/>
    <w:rsid w:val="142A7069"/>
    <w:rsid w:val="14345A12"/>
    <w:rsid w:val="143E1B07"/>
    <w:rsid w:val="144563AC"/>
    <w:rsid w:val="144675DF"/>
    <w:rsid w:val="14467A3D"/>
    <w:rsid w:val="145B4CA1"/>
    <w:rsid w:val="145C4F50"/>
    <w:rsid w:val="145E3BC1"/>
    <w:rsid w:val="145E6A8B"/>
    <w:rsid w:val="14647263"/>
    <w:rsid w:val="14657AA7"/>
    <w:rsid w:val="1469505E"/>
    <w:rsid w:val="14750BFC"/>
    <w:rsid w:val="147656C8"/>
    <w:rsid w:val="147D70AD"/>
    <w:rsid w:val="1481056A"/>
    <w:rsid w:val="1482022D"/>
    <w:rsid w:val="14857229"/>
    <w:rsid w:val="148A2845"/>
    <w:rsid w:val="14950D64"/>
    <w:rsid w:val="149D7D2E"/>
    <w:rsid w:val="149F0625"/>
    <w:rsid w:val="14A061EB"/>
    <w:rsid w:val="14A10B72"/>
    <w:rsid w:val="14B10D93"/>
    <w:rsid w:val="14B52403"/>
    <w:rsid w:val="14BB0166"/>
    <w:rsid w:val="14C02F57"/>
    <w:rsid w:val="14C366E7"/>
    <w:rsid w:val="14C87D84"/>
    <w:rsid w:val="14D507B4"/>
    <w:rsid w:val="14D5562B"/>
    <w:rsid w:val="14DF103D"/>
    <w:rsid w:val="14F249B5"/>
    <w:rsid w:val="14F71755"/>
    <w:rsid w:val="14F93645"/>
    <w:rsid w:val="15203F06"/>
    <w:rsid w:val="15236C70"/>
    <w:rsid w:val="152B7692"/>
    <w:rsid w:val="15323BA2"/>
    <w:rsid w:val="15345CC9"/>
    <w:rsid w:val="15347D38"/>
    <w:rsid w:val="154364CF"/>
    <w:rsid w:val="15496D3F"/>
    <w:rsid w:val="154C5FFA"/>
    <w:rsid w:val="15527ECB"/>
    <w:rsid w:val="155C6EFB"/>
    <w:rsid w:val="156003DE"/>
    <w:rsid w:val="1564402B"/>
    <w:rsid w:val="15692C96"/>
    <w:rsid w:val="156A050B"/>
    <w:rsid w:val="15712CF1"/>
    <w:rsid w:val="15725B0A"/>
    <w:rsid w:val="157D12CA"/>
    <w:rsid w:val="15852DD7"/>
    <w:rsid w:val="1588237B"/>
    <w:rsid w:val="158F38CE"/>
    <w:rsid w:val="158F5A7E"/>
    <w:rsid w:val="15924A37"/>
    <w:rsid w:val="15995230"/>
    <w:rsid w:val="159E217B"/>
    <w:rsid w:val="15A04E18"/>
    <w:rsid w:val="15A20756"/>
    <w:rsid w:val="15A61AD3"/>
    <w:rsid w:val="15AF10C4"/>
    <w:rsid w:val="15B4503A"/>
    <w:rsid w:val="15B53717"/>
    <w:rsid w:val="15BA0743"/>
    <w:rsid w:val="15BE5D60"/>
    <w:rsid w:val="15D64BDB"/>
    <w:rsid w:val="15DC0911"/>
    <w:rsid w:val="15EB15C4"/>
    <w:rsid w:val="15EB6C0C"/>
    <w:rsid w:val="15F71E4D"/>
    <w:rsid w:val="160441AA"/>
    <w:rsid w:val="160B157A"/>
    <w:rsid w:val="160E5B6E"/>
    <w:rsid w:val="16115928"/>
    <w:rsid w:val="16137150"/>
    <w:rsid w:val="161C7B86"/>
    <w:rsid w:val="161D1170"/>
    <w:rsid w:val="1623005F"/>
    <w:rsid w:val="16260D74"/>
    <w:rsid w:val="162A1DD7"/>
    <w:rsid w:val="162D7E64"/>
    <w:rsid w:val="162F4336"/>
    <w:rsid w:val="16332B0A"/>
    <w:rsid w:val="16362CDB"/>
    <w:rsid w:val="16383BD1"/>
    <w:rsid w:val="163E1475"/>
    <w:rsid w:val="163F76CD"/>
    <w:rsid w:val="16412F91"/>
    <w:rsid w:val="16413BB1"/>
    <w:rsid w:val="164D4A6E"/>
    <w:rsid w:val="164F71DB"/>
    <w:rsid w:val="16556364"/>
    <w:rsid w:val="165A3D1B"/>
    <w:rsid w:val="165E3D9B"/>
    <w:rsid w:val="165F374F"/>
    <w:rsid w:val="16632980"/>
    <w:rsid w:val="16651881"/>
    <w:rsid w:val="16653F5D"/>
    <w:rsid w:val="166A2283"/>
    <w:rsid w:val="166D59E0"/>
    <w:rsid w:val="16743630"/>
    <w:rsid w:val="1679582F"/>
    <w:rsid w:val="167B181E"/>
    <w:rsid w:val="167C6EEE"/>
    <w:rsid w:val="168427B5"/>
    <w:rsid w:val="168A4A09"/>
    <w:rsid w:val="16964238"/>
    <w:rsid w:val="169D78DD"/>
    <w:rsid w:val="16A55436"/>
    <w:rsid w:val="16B27D52"/>
    <w:rsid w:val="16BF4937"/>
    <w:rsid w:val="16BF7FA7"/>
    <w:rsid w:val="16C62729"/>
    <w:rsid w:val="16D177C1"/>
    <w:rsid w:val="16D46A02"/>
    <w:rsid w:val="16DC4B8E"/>
    <w:rsid w:val="16E34344"/>
    <w:rsid w:val="16EA7250"/>
    <w:rsid w:val="16F07197"/>
    <w:rsid w:val="16F4183E"/>
    <w:rsid w:val="16F830DA"/>
    <w:rsid w:val="171064FD"/>
    <w:rsid w:val="17107B11"/>
    <w:rsid w:val="171370A0"/>
    <w:rsid w:val="17276E9F"/>
    <w:rsid w:val="1731047E"/>
    <w:rsid w:val="1734705C"/>
    <w:rsid w:val="174046E4"/>
    <w:rsid w:val="17467E31"/>
    <w:rsid w:val="174E2781"/>
    <w:rsid w:val="17510EA8"/>
    <w:rsid w:val="175A04DF"/>
    <w:rsid w:val="175B2AC6"/>
    <w:rsid w:val="176F6024"/>
    <w:rsid w:val="177A170F"/>
    <w:rsid w:val="177D1D5E"/>
    <w:rsid w:val="177E2884"/>
    <w:rsid w:val="17844DD7"/>
    <w:rsid w:val="17865872"/>
    <w:rsid w:val="178B41D5"/>
    <w:rsid w:val="178E7CA7"/>
    <w:rsid w:val="178F4021"/>
    <w:rsid w:val="17947670"/>
    <w:rsid w:val="17982B69"/>
    <w:rsid w:val="179D46DC"/>
    <w:rsid w:val="17AD5804"/>
    <w:rsid w:val="17B217B1"/>
    <w:rsid w:val="17B26F59"/>
    <w:rsid w:val="17B7711F"/>
    <w:rsid w:val="17B913BE"/>
    <w:rsid w:val="17C21940"/>
    <w:rsid w:val="17C50712"/>
    <w:rsid w:val="17C75302"/>
    <w:rsid w:val="17C90378"/>
    <w:rsid w:val="17CE3A6D"/>
    <w:rsid w:val="17D476FB"/>
    <w:rsid w:val="17D55315"/>
    <w:rsid w:val="17D90981"/>
    <w:rsid w:val="17DE0EF7"/>
    <w:rsid w:val="17E64653"/>
    <w:rsid w:val="17E94C33"/>
    <w:rsid w:val="17ED2AC7"/>
    <w:rsid w:val="17EF0F1C"/>
    <w:rsid w:val="17FB0009"/>
    <w:rsid w:val="17FE1DCC"/>
    <w:rsid w:val="18043AE6"/>
    <w:rsid w:val="18083564"/>
    <w:rsid w:val="18086633"/>
    <w:rsid w:val="180A6ADC"/>
    <w:rsid w:val="18173956"/>
    <w:rsid w:val="1819256C"/>
    <w:rsid w:val="182441D9"/>
    <w:rsid w:val="182E2616"/>
    <w:rsid w:val="183044D7"/>
    <w:rsid w:val="18382113"/>
    <w:rsid w:val="18410168"/>
    <w:rsid w:val="18424526"/>
    <w:rsid w:val="18443AFC"/>
    <w:rsid w:val="18452AFC"/>
    <w:rsid w:val="18461EDF"/>
    <w:rsid w:val="18504367"/>
    <w:rsid w:val="18543D05"/>
    <w:rsid w:val="1855171C"/>
    <w:rsid w:val="18554240"/>
    <w:rsid w:val="18787C5C"/>
    <w:rsid w:val="1879677A"/>
    <w:rsid w:val="18825B89"/>
    <w:rsid w:val="18843C47"/>
    <w:rsid w:val="18884821"/>
    <w:rsid w:val="189B41B3"/>
    <w:rsid w:val="189E7D95"/>
    <w:rsid w:val="18A373EA"/>
    <w:rsid w:val="18A710A4"/>
    <w:rsid w:val="18A72D25"/>
    <w:rsid w:val="18A74B95"/>
    <w:rsid w:val="18B07CC9"/>
    <w:rsid w:val="18B57C28"/>
    <w:rsid w:val="18C8347E"/>
    <w:rsid w:val="18CB570D"/>
    <w:rsid w:val="18CC0010"/>
    <w:rsid w:val="18CD7E5A"/>
    <w:rsid w:val="18E85034"/>
    <w:rsid w:val="18E95560"/>
    <w:rsid w:val="18EC1186"/>
    <w:rsid w:val="18EE2C45"/>
    <w:rsid w:val="18EE40A6"/>
    <w:rsid w:val="18F03F1A"/>
    <w:rsid w:val="18F03F74"/>
    <w:rsid w:val="18F15AB1"/>
    <w:rsid w:val="18F5698F"/>
    <w:rsid w:val="19000E31"/>
    <w:rsid w:val="19045EF2"/>
    <w:rsid w:val="190B39E4"/>
    <w:rsid w:val="190B47F8"/>
    <w:rsid w:val="190B5FFA"/>
    <w:rsid w:val="19141DD6"/>
    <w:rsid w:val="192313A3"/>
    <w:rsid w:val="1923278E"/>
    <w:rsid w:val="192B5FA9"/>
    <w:rsid w:val="1933674B"/>
    <w:rsid w:val="193B2ECC"/>
    <w:rsid w:val="193F1A71"/>
    <w:rsid w:val="194445D4"/>
    <w:rsid w:val="19451CAB"/>
    <w:rsid w:val="196000E8"/>
    <w:rsid w:val="1960383F"/>
    <w:rsid w:val="19660D5F"/>
    <w:rsid w:val="196C5A8A"/>
    <w:rsid w:val="196E6A89"/>
    <w:rsid w:val="196F5672"/>
    <w:rsid w:val="19731142"/>
    <w:rsid w:val="197D7D85"/>
    <w:rsid w:val="19835AD9"/>
    <w:rsid w:val="19837292"/>
    <w:rsid w:val="1996357A"/>
    <w:rsid w:val="19967AB9"/>
    <w:rsid w:val="19974D97"/>
    <w:rsid w:val="19976B6E"/>
    <w:rsid w:val="199B04A2"/>
    <w:rsid w:val="19A9268D"/>
    <w:rsid w:val="19AB2BEA"/>
    <w:rsid w:val="19AE609D"/>
    <w:rsid w:val="19B3036F"/>
    <w:rsid w:val="19B53F23"/>
    <w:rsid w:val="19B90EA3"/>
    <w:rsid w:val="19BD2C13"/>
    <w:rsid w:val="19C61362"/>
    <w:rsid w:val="19C802CB"/>
    <w:rsid w:val="19D1069B"/>
    <w:rsid w:val="19D33B9F"/>
    <w:rsid w:val="19D97560"/>
    <w:rsid w:val="19DD135C"/>
    <w:rsid w:val="19E56C96"/>
    <w:rsid w:val="19E75D30"/>
    <w:rsid w:val="19EB56B3"/>
    <w:rsid w:val="19F336C4"/>
    <w:rsid w:val="19F96C37"/>
    <w:rsid w:val="19FA62F0"/>
    <w:rsid w:val="19FC0771"/>
    <w:rsid w:val="1A047D82"/>
    <w:rsid w:val="1A0775A7"/>
    <w:rsid w:val="1A0F01D0"/>
    <w:rsid w:val="1A102BE0"/>
    <w:rsid w:val="1A1140FF"/>
    <w:rsid w:val="1A1228B3"/>
    <w:rsid w:val="1A184DDD"/>
    <w:rsid w:val="1A1A6264"/>
    <w:rsid w:val="1A1C248F"/>
    <w:rsid w:val="1A1C4955"/>
    <w:rsid w:val="1A222227"/>
    <w:rsid w:val="1A285EFF"/>
    <w:rsid w:val="1A2B3AAC"/>
    <w:rsid w:val="1A2C312E"/>
    <w:rsid w:val="1A2E05E0"/>
    <w:rsid w:val="1A33254C"/>
    <w:rsid w:val="1A383932"/>
    <w:rsid w:val="1A384C6E"/>
    <w:rsid w:val="1A3942B8"/>
    <w:rsid w:val="1A53411F"/>
    <w:rsid w:val="1A5B2B91"/>
    <w:rsid w:val="1A5E3300"/>
    <w:rsid w:val="1A642FA7"/>
    <w:rsid w:val="1A6D3B64"/>
    <w:rsid w:val="1A734494"/>
    <w:rsid w:val="1A75692D"/>
    <w:rsid w:val="1A7913E8"/>
    <w:rsid w:val="1A793549"/>
    <w:rsid w:val="1A807F85"/>
    <w:rsid w:val="1A81694F"/>
    <w:rsid w:val="1A834FBA"/>
    <w:rsid w:val="1A84545B"/>
    <w:rsid w:val="1A8A3B73"/>
    <w:rsid w:val="1A8E2816"/>
    <w:rsid w:val="1A950234"/>
    <w:rsid w:val="1A9D2C69"/>
    <w:rsid w:val="1A9F068B"/>
    <w:rsid w:val="1AA47284"/>
    <w:rsid w:val="1AA65CFB"/>
    <w:rsid w:val="1AA762C6"/>
    <w:rsid w:val="1AA77C6B"/>
    <w:rsid w:val="1AAB6009"/>
    <w:rsid w:val="1AAD4B0F"/>
    <w:rsid w:val="1AB37682"/>
    <w:rsid w:val="1ABC2832"/>
    <w:rsid w:val="1AC419F9"/>
    <w:rsid w:val="1AC71319"/>
    <w:rsid w:val="1AC851EF"/>
    <w:rsid w:val="1AE512BC"/>
    <w:rsid w:val="1AE535C5"/>
    <w:rsid w:val="1AE9228C"/>
    <w:rsid w:val="1AEC347B"/>
    <w:rsid w:val="1AF141AF"/>
    <w:rsid w:val="1AF72982"/>
    <w:rsid w:val="1AF7734E"/>
    <w:rsid w:val="1AFB498F"/>
    <w:rsid w:val="1AFC26E8"/>
    <w:rsid w:val="1B0714BE"/>
    <w:rsid w:val="1B073726"/>
    <w:rsid w:val="1B073B1C"/>
    <w:rsid w:val="1B0877BB"/>
    <w:rsid w:val="1B0E3F2D"/>
    <w:rsid w:val="1B0F7AE9"/>
    <w:rsid w:val="1B1C256B"/>
    <w:rsid w:val="1B242B5A"/>
    <w:rsid w:val="1B3E1228"/>
    <w:rsid w:val="1B420930"/>
    <w:rsid w:val="1B464CDC"/>
    <w:rsid w:val="1B4A6DEB"/>
    <w:rsid w:val="1B4F3050"/>
    <w:rsid w:val="1B537FC3"/>
    <w:rsid w:val="1B543939"/>
    <w:rsid w:val="1B5546B1"/>
    <w:rsid w:val="1B5721E0"/>
    <w:rsid w:val="1B5C5AFB"/>
    <w:rsid w:val="1B673164"/>
    <w:rsid w:val="1B686EDF"/>
    <w:rsid w:val="1B6916DA"/>
    <w:rsid w:val="1B6C2ECD"/>
    <w:rsid w:val="1B6D6D03"/>
    <w:rsid w:val="1B724763"/>
    <w:rsid w:val="1B760629"/>
    <w:rsid w:val="1B893E45"/>
    <w:rsid w:val="1B907219"/>
    <w:rsid w:val="1B957446"/>
    <w:rsid w:val="1B9D103C"/>
    <w:rsid w:val="1B9F7239"/>
    <w:rsid w:val="1BA3395E"/>
    <w:rsid w:val="1BBA1485"/>
    <w:rsid w:val="1BBF4340"/>
    <w:rsid w:val="1BC40770"/>
    <w:rsid w:val="1BCC47D0"/>
    <w:rsid w:val="1BD06F3D"/>
    <w:rsid w:val="1BD2636D"/>
    <w:rsid w:val="1BDC17F0"/>
    <w:rsid w:val="1BE1664A"/>
    <w:rsid w:val="1BE30499"/>
    <w:rsid w:val="1BE85116"/>
    <w:rsid w:val="1BEE1EDC"/>
    <w:rsid w:val="1BF55D6D"/>
    <w:rsid w:val="1BF64533"/>
    <w:rsid w:val="1BF9193D"/>
    <w:rsid w:val="1C08196D"/>
    <w:rsid w:val="1C086803"/>
    <w:rsid w:val="1C110771"/>
    <w:rsid w:val="1C1F4396"/>
    <w:rsid w:val="1C2F52AF"/>
    <w:rsid w:val="1C340C73"/>
    <w:rsid w:val="1C3719D7"/>
    <w:rsid w:val="1C396A39"/>
    <w:rsid w:val="1C3D55BC"/>
    <w:rsid w:val="1C3F5D90"/>
    <w:rsid w:val="1C481B92"/>
    <w:rsid w:val="1C4A1383"/>
    <w:rsid w:val="1C653FE8"/>
    <w:rsid w:val="1C662423"/>
    <w:rsid w:val="1C694BE1"/>
    <w:rsid w:val="1C6A2D39"/>
    <w:rsid w:val="1C726801"/>
    <w:rsid w:val="1C772D2E"/>
    <w:rsid w:val="1C91524A"/>
    <w:rsid w:val="1C977146"/>
    <w:rsid w:val="1C9A16E4"/>
    <w:rsid w:val="1C9D79AA"/>
    <w:rsid w:val="1C9F722A"/>
    <w:rsid w:val="1CA71EE5"/>
    <w:rsid w:val="1CA9536F"/>
    <w:rsid w:val="1CAB4DFC"/>
    <w:rsid w:val="1CAF7EF2"/>
    <w:rsid w:val="1CB15D04"/>
    <w:rsid w:val="1CBA333B"/>
    <w:rsid w:val="1CBA5AA4"/>
    <w:rsid w:val="1CC11ADC"/>
    <w:rsid w:val="1CC25988"/>
    <w:rsid w:val="1CC54F51"/>
    <w:rsid w:val="1CDA7A5E"/>
    <w:rsid w:val="1CDE07DE"/>
    <w:rsid w:val="1CE03E3E"/>
    <w:rsid w:val="1CE6472B"/>
    <w:rsid w:val="1CE85F84"/>
    <w:rsid w:val="1CE95329"/>
    <w:rsid w:val="1CEE0B97"/>
    <w:rsid w:val="1CEE7DD7"/>
    <w:rsid w:val="1CF95CB6"/>
    <w:rsid w:val="1D054648"/>
    <w:rsid w:val="1D0C5084"/>
    <w:rsid w:val="1D0E388E"/>
    <w:rsid w:val="1D1644D2"/>
    <w:rsid w:val="1D1A1245"/>
    <w:rsid w:val="1D211C96"/>
    <w:rsid w:val="1D2242CF"/>
    <w:rsid w:val="1D2C1323"/>
    <w:rsid w:val="1D3221BF"/>
    <w:rsid w:val="1D323E71"/>
    <w:rsid w:val="1D364886"/>
    <w:rsid w:val="1D376C22"/>
    <w:rsid w:val="1D502524"/>
    <w:rsid w:val="1D5245FD"/>
    <w:rsid w:val="1D534D31"/>
    <w:rsid w:val="1D633CB9"/>
    <w:rsid w:val="1D7C42B4"/>
    <w:rsid w:val="1D82302D"/>
    <w:rsid w:val="1D880BEE"/>
    <w:rsid w:val="1D8A54AA"/>
    <w:rsid w:val="1D8E7CCA"/>
    <w:rsid w:val="1D8F143D"/>
    <w:rsid w:val="1D9759CC"/>
    <w:rsid w:val="1D9847F1"/>
    <w:rsid w:val="1D9A3B0C"/>
    <w:rsid w:val="1D9A44E2"/>
    <w:rsid w:val="1D9F7B14"/>
    <w:rsid w:val="1DA907E7"/>
    <w:rsid w:val="1DAB5AE2"/>
    <w:rsid w:val="1DAC1CE6"/>
    <w:rsid w:val="1DAD2D74"/>
    <w:rsid w:val="1DAF0837"/>
    <w:rsid w:val="1DB82FBA"/>
    <w:rsid w:val="1DB96571"/>
    <w:rsid w:val="1DBB1D66"/>
    <w:rsid w:val="1DBB6A4D"/>
    <w:rsid w:val="1DBC0CD2"/>
    <w:rsid w:val="1DC21749"/>
    <w:rsid w:val="1DC87C2E"/>
    <w:rsid w:val="1DC907B9"/>
    <w:rsid w:val="1DCE71DF"/>
    <w:rsid w:val="1DD27B2F"/>
    <w:rsid w:val="1DD346AB"/>
    <w:rsid w:val="1DD452C5"/>
    <w:rsid w:val="1DD47B9F"/>
    <w:rsid w:val="1DD922CD"/>
    <w:rsid w:val="1DD93046"/>
    <w:rsid w:val="1DDB10D3"/>
    <w:rsid w:val="1DDC27F8"/>
    <w:rsid w:val="1DDE411C"/>
    <w:rsid w:val="1DE558A6"/>
    <w:rsid w:val="1DEB779C"/>
    <w:rsid w:val="1DF1464F"/>
    <w:rsid w:val="1DF656F4"/>
    <w:rsid w:val="1E00595A"/>
    <w:rsid w:val="1E021919"/>
    <w:rsid w:val="1E0317E2"/>
    <w:rsid w:val="1E034E74"/>
    <w:rsid w:val="1E042C25"/>
    <w:rsid w:val="1E07477B"/>
    <w:rsid w:val="1E120D10"/>
    <w:rsid w:val="1E121006"/>
    <w:rsid w:val="1E2617AC"/>
    <w:rsid w:val="1E2A075E"/>
    <w:rsid w:val="1E3D1D39"/>
    <w:rsid w:val="1E3D2FCF"/>
    <w:rsid w:val="1E3D31AE"/>
    <w:rsid w:val="1E404DCF"/>
    <w:rsid w:val="1E427D5D"/>
    <w:rsid w:val="1E537172"/>
    <w:rsid w:val="1E5A042F"/>
    <w:rsid w:val="1E5D7EE7"/>
    <w:rsid w:val="1E60058C"/>
    <w:rsid w:val="1E60081C"/>
    <w:rsid w:val="1E635CC6"/>
    <w:rsid w:val="1E67097C"/>
    <w:rsid w:val="1E7B140A"/>
    <w:rsid w:val="1E8A2B89"/>
    <w:rsid w:val="1E9E4511"/>
    <w:rsid w:val="1EA26DE3"/>
    <w:rsid w:val="1EA54C06"/>
    <w:rsid w:val="1EAA70F6"/>
    <w:rsid w:val="1EAC2B49"/>
    <w:rsid w:val="1EB14247"/>
    <w:rsid w:val="1EB33020"/>
    <w:rsid w:val="1EB47D53"/>
    <w:rsid w:val="1EBC14B7"/>
    <w:rsid w:val="1EBE0A95"/>
    <w:rsid w:val="1EC063B8"/>
    <w:rsid w:val="1EC30389"/>
    <w:rsid w:val="1EC46A61"/>
    <w:rsid w:val="1ECE63AD"/>
    <w:rsid w:val="1EDB0C98"/>
    <w:rsid w:val="1EE75480"/>
    <w:rsid w:val="1EE757CA"/>
    <w:rsid w:val="1EE841FA"/>
    <w:rsid w:val="1EE96DC1"/>
    <w:rsid w:val="1EF060C8"/>
    <w:rsid w:val="1EF555C2"/>
    <w:rsid w:val="1EF64FCA"/>
    <w:rsid w:val="1EFD174C"/>
    <w:rsid w:val="1F007DEE"/>
    <w:rsid w:val="1F0B3524"/>
    <w:rsid w:val="1F194E1C"/>
    <w:rsid w:val="1F1C7577"/>
    <w:rsid w:val="1F1D217B"/>
    <w:rsid w:val="1F2140F4"/>
    <w:rsid w:val="1F27030E"/>
    <w:rsid w:val="1F300882"/>
    <w:rsid w:val="1F323F2E"/>
    <w:rsid w:val="1F33464A"/>
    <w:rsid w:val="1F372127"/>
    <w:rsid w:val="1F4527E2"/>
    <w:rsid w:val="1F4E3DBB"/>
    <w:rsid w:val="1F522E99"/>
    <w:rsid w:val="1F5E7B29"/>
    <w:rsid w:val="1F691E6B"/>
    <w:rsid w:val="1F692FF7"/>
    <w:rsid w:val="1F6976B0"/>
    <w:rsid w:val="1F704896"/>
    <w:rsid w:val="1F7A2D09"/>
    <w:rsid w:val="1F7B34A0"/>
    <w:rsid w:val="1F8311A0"/>
    <w:rsid w:val="1F8C2ABB"/>
    <w:rsid w:val="1F932CC9"/>
    <w:rsid w:val="1FAB2262"/>
    <w:rsid w:val="1FB07745"/>
    <w:rsid w:val="1FB85DFD"/>
    <w:rsid w:val="1FBA5EF5"/>
    <w:rsid w:val="1FBB249C"/>
    <w:rsid w:val="1FBE73CE"/>
    <w:rsid w:val="1FC15DDB"/>
    <w:rsid w:val="1FC42FA5"/>
    <w:rsid w:val="1FD81C99"/>
    <w:rsid w:val="1FDA2070"/>
    <w:rsid w:val="1FDA28DA"/>
    <w:rsid w:val="1FDD771A"/>
    <w:rsid w:val="1FDF7AD5"/>
    <w:rsid w:val="1FFB7660"/>
    <w:rsid w:val="20006E37"/>
    <w:rsid w:val="200975D2"/>
    <w:rsid w:val="200A3E0C"/>
    <w:rsid w:val="20135D4F"/>
    <w:rsid w:val="20146634"/>
    <w:rsid w:val="20183041"/>
    <w:rsid w:val="2019441F"/>
    <w:rsid w:val="20232EBD"/>
    <w:rsid w:val="202420C5"/>
    <w:rsid w:val="20252B0C"/>
    <w:rsid w:val="20253193"/>
    <w:rsid w:val="202621E7"/>
    <w:rsid w:val="20287482"/>
    <w:rsid w:val="20312077"/>
    <w:rsid w:val="203348C7"/>
    <w:rsid w:val="20335639"/>
    <w:rsid w:val="204A4C52"/>
    <w:rsid w:val="20506F3B"/>
    <w:rsid w:val="20520F41"/>
    <w:rsid w:val="20553187"/>
    <w:rsid w:val="205D2406"/>
    <w:rsid w:val="205D64D9"/>
    <w:rsid w:val="205E462E"/>
    <w:rsid w:val="206E22E5"/>
    <w:rsid w:val="20733BA7"/>
    <w:rsid w:val="20822F71"/>
    <w:rsid w:val="208C2AC5"/>
    <w:rsid w:val="20930A64"/>
    <w:rsid w:val="2097024D"/>
    <w:rsid w:val="2099775B"/>
    <w:rsid w:val="209B5B1E"/>
    <w:rsid w:val="20A05210"/>
    <w:rsid w:val="20A61CA7"/>
    <w:rsid w:val="20A8165F"/>
    <w:rsid w:val="20AB1C66"/>
    <w:rsid w:val="20C84CD2"/>
    <w:rsid w:val="20CD2560"/>
    <w:rsid w:val="20CF5AD1"/>
    <w:rsid w:val="20DE4AD0"/>
    <w:rsid w:val="20E4396A"/>
    <w:rsid w:val="20E62181"/>
    <w:rsid w:val="20E921D1"/>
    <w:rsid w:val="20EA234B"/>
    <w:rsid w:val="20EC4D92"/>
    <w:rsid w:val="20F04432"/>
    <w:rsid w:val="20FE42D7"/>
    <w:rsid w:val="21040384"/>
    <w:rsid w:val="21094211"/>
    <w:rsid w:val="21115AA6"/>
    <w:rsid w:val="211B6C9F"/>
    <w:rsid w:val="211F46AC"/>
    <w:rsid w:val="212476C1"/>
    <w:rsid w:val="21283CAB"/>
    <w:rsid w:val="21314DA1"/>
    <w:rsid w:val="213D316B"/>
    <w:rsid w:val="214116AB"/>
    <w:rsid w:val="21440394"/>
    <w:rsid w:val="2145379A"/>
    <w:rsid w:val="214A2CCB"/>
    <w:rsid w:val="21572548"/>
    <w:rsid w:val="215B0429"/>
    <w:rsid w:val="215C1DD9"/>
    <w:rsid w:val="215D3921"/>
    <w:rsid w:val="21604FE5"/>
    <w:rsid w:val="216131F6"/>
    <w:rsid w:val="21620117"/>
    <w:rsid w:val="21685CE7"/>
    <w:rsid w:val="21703A79"/>
    <w:rsid w:val="21720669"/>
    <w:rsid w:val="217555C8"/>
    <w:rsid w:val="217C2DB6"/>
    <w:rsid w:val="21855A30"/>
    <w:rsid w:val="218642C9"/>
    <w:rsid w:val="218B0FE9"/>
    <w:rsid w:val="218E1A15"/>
    <w:rsid w:val="218E4CFC"/>
    <w:rsid w:val="21912FD1"/>
    <w:rsid w:val="2194036A"/>
    <w:rsid w:val="21941FD3"/>
    <w:rsid w:val="21963158"/>
    <w:rsid w:val="219956F9"/>
    <w:rsid w:val="219D6E99"/>
    <w:rsid w:val="21AA4D71"/>
    <w:rsid w:val="21B12192"/>
    <w:rsid w:val="21B16558"/>
    <w:rsid w:val="21B37FAE"/>
    <w:rsid w:val="21B75CF3"/>
    <w:rsid w:val="21D42447"/>
    <w:rsid w:val="21D84067"/>
    <w:rsid w:val="21DA2D92"/>
    <w:rsid w:val="21DA572D"/>
    <w:rsid w:val="21DD39FB"/>
    <w:rsid w:val="21DD7A15"/>
    <w:rsid w:val="21E533A7"/>
    <w:rsid w:val="21F13235"/>
    <w:rsid w:val="22017325"/>
    <w:rsid w:val="22017384"/>
    <w:rsid w:val="22041BFC"/>
    <w:rsid w:val="220635FC"/>
    <w:rsid w:val="22094C63"/>
    <w:rsid w:val="220A3714"/>
    <w:rsid w:val="220B18C9"/>
    <w:rsid w:val="22157149"/>
    <w:rsid w:val="22240953"/>
    <w:rsid w:val="223114C4"/>
    <w:rsid w:val="223553E7"/>
    <w:rsid w:val="223F0AB9"/>
    <w:rsid w:val="22415577"/>
    <w:rsid w:val="225218BA"/>
    <w:rsid w:val="225E061B"/>
    <w:rsid w:val="22610EC9"/>
    <w:rsid w:val="226210C3"/>
    <w:rsid w:val="2268178E"/>
    <w:rsid w:val="226B5A8D"/>
    <w:rsid w:val="2274355A"/>
    <w:rsid w:val="227D7A53"/>
    <w:rsid w:val="227F0294"/>
    <w:rsid w:val="227F137A"/>
    <w:rsid w:val="227F1F27"/>
    <w:rsid w:val="22861473"/>
    <w:rsid w:val="228D34B8"/>
    <w:rsid w:val="22942FE2"/>
    <w:rsid w:val="229E625C"/>
    <w:rsid w:val="22A9593D"/>
    <w:rsid w:val="22A96D48"/>
    <w:rsid w:val="22B10530"/>
    <w:rsid w:val="22B106E9"/>
    <w:rsid w:val="22B27AA1"/>
    <w:rsid w:val="22B75B6E"/>
    <w:rsid w:val="22BA18BF"/>
    <w:rsid w:val="22BA3E94"/>
    <w:rsid w:val="22C60C42"/>
    <w:rsid w:val="22CC3650"/>
    <w:rsid w:val="22CD2A06"/>
    <w:rsid w:val="22CF5C4E"/>
    <w:rsid w:val="22E141E1"/>
    <w:rsid w:val="22E50084"/>
    <w:rsid w:val="22E5147A"/>
    <w:rsid w:val="22E93E0F"/>
    <w:rsid w:val="22EC3E30"/>
    <w:rsid w:val="22ED1416"/>
    <w:rsid w:val="22F30E16"/>
    <w:rsid w:val="22F8207F"/>
    <w:rsid w:val="230054FF"/>
    <w:rsid w:val="23054EBE"/>
    <w:rsid w:val="23090D15"/>
    <w:rsid w:val="230F2DB1"/>
    <w:rsid w:val="23173F14"/>
    <w:rsid w:val="231B3916"/>
    <w:rsid w:val="231C05A8"/>
    <w:rsid w:val="231E32A5"/>
    <w:rsid w:val="23204A3C"/>
    <w:rsid w:val="23215307"/>
    <w:rsid w:val="2324389F"/>
    <w:rsid w:val="232E7DAB"/>
    <w:rsid w:val="233658F3"/>
    <w:rsid w:val="233763EB"/>
    <w:rsid w:val="2338173F"/>
    <w:rsid w:val="2349180A"/>
    <w:rsid w:val="234A1A17"/>
    <w:rsid w:val="23535D2E"/>
    <w:rsid w:val="2355799A"/>
    <w:rsid w:val="235A704A"/>
    <w:rsid w:val="23611072"/>
    <w:rsid w:val="23641601"/>
    <w:rsid w:val="236C7EE6"/>
    <w:rsid w:val="23705A22"/>
    <w:rsid w:val="23715C2D"/>
    <w:rsid w:val="237429BA"/>
    <w:rsid w:val="237F167A"/>
    <w:rsid w:val="238377FB"/>
    <w:rsid w:val="238979C0"/>
    <w:rsid w:val="238B0AA6"/>
    <w:rsid w:val="238B375C"/>
    <w:rsid w:val="238D4DB3"/>
    <w:rsid w:val="239006C8"/>
    <w:rsid w:val="23940374"/>
    <w:rsid w:val="239F71EA"/>
    <w:rsid w:val="23B27444"/>
    <w:rsid w:val="23B90188"/>
    <w:rsid w:val="23C504FA"/>
    <w:rsid w:val="23C741BB"/>
    <w:rsid w:val="23D14399"/>
    <w:rsid w:val="23D2236D"/>
    <w:rsid w:val="23DC3577"/>
    <w:rsid w:val="23E25BEA"/>
    <w:rsid w:val="23E25C04"/>
    <w:rsid w:val="23EF10C5"/>
    <w:rsid w:val="23F63BEA"/>
    <w:rsid w:val="23F72CE3"/>
    <w:rsid w:val="2405005E"/>
    <w:rsid w:val="240A562E"/>
    <w:rsid w:val="240D4808"/>
    <w:rsid w:val="240F4B6A"/>
    <w:rsid w:val="241462A1"/>
    <w:rsid w:val="241D57A1"/>
    <w:rsid w:val="24201D10"/>
    <w:rsid w:val="242620ED"/>
    <w:rsid w:val="242D1DB8"/>
    <w:rsid w:val="242D7020"/>
    <w:rsid w:val="242F2570"/>
    <w:rsid w:val="2431556D"/>
    <w:rsid w:val="24377BC8"/>
    <w:rsid w:val="2447677B"/>
    <w:rsid w:val="24482570"/>
    <w:rsid w:val="244B26C0"/>
    <w:rsid w:val="244E3718"/>
    <w:rsid w:val="2471428F"/>
    <w:rsid w:val="24787C65"/>
    <w:rsid w:val="248A3184"/>
    <w:rsid w:val="248A555D"/>
    <w:rsid w:val="248C781D"/>
    <w:rsid w:val="248E644E"/>
    <w:rsid w:val="24967A79"/>
    <w:rsid w:val="24A026C9"/>
    <w:rsid w:val="24A47CB9"/>
    <w:rsid w:val="24A82435"/>
    <w:rsid w:val="24B23ACA"/>
    <w:rsid w:val="24B52AB6"/>
    <w:rsid w:val="24C47E07"/>
    <w:rsid w:val="24C71D05"/>
    <w:rsid w:val="24CD0D1E"/>
    <w:rsid w:val="24E000BE"/>
    <w:rsid w:val="24E26E47"/>
    <w:rsid w:val="24E31170"/>
    <w:rsid w:val="24E74812"/>
    <w:rsid w:val="24EA5627"/>
    <w:rsid w:val="24F0364F"/>
    <w:rsid w:val="24F31886"/>
    <w:rsid w:val="24F632D5"/>
    <w:rsid w:val="251A590A"/>
    <w:rsid w:val="251E031C"/>
    <w:rsid w:val="25253E65"/>
    <w:rsid w:val="25253F64"/>
    <w:rsid w:val="25275A70"/>
    <w:rsid w:val="252D3EEE"/>
    <w:rsid w:val="253C7361"/>
    <w:rsid w:val="253D19B7"/>
    <w:rsid w:val="2546175E"/>
    <w:rsid w:val="25526577"/>
    <w:rsid w:val="25534055"/>
    <w:rsid w:val="255523BC"/>
    <w:rsid w:val="255C0779"/>
    <w:rsid w:val="255C3C8C"/>
    <w:rsid w:val="255C7481"/>
    <w:rsid w:val="25640985"/>
    <w:rsid w:val="25692085"/>
    <w:rsid w:val="257D1A85"/>
    <w:rsid w:val="257D35A4"/>
    <w:rsid w:val="257D661C"/>
    <w:rsid w:val="258224F9"/>
    <w:rsid w:val="258D0B28"/>
    <w:rsid w:val="25930718"/>
    <w:rsid w:val="25945DAA"/>
    <w:rsid w:val="259D7FC6"/>
    <w:rsid w:val="259F379A"/>
    <w:rsid w:val="259F4702"/>
    <w:rsid w:val="25A15BEF"/>
    <w:rsid w:val="25A33856"/>
    <w:rsid w:val="25A37C93"/>
    <w:rsid w:val="25A63746"/>
    <w:rsid w:val="25AC3829"/>
    <w:rsid w:val="25B0598F"/>
    <w:rsid w:val="25BC6E4A"/>
    <w:rsid w:val="25BF2BB6"/>
    <w:rsid w:val="25C31325"/>
    <w:rsid w:val="25C33972"/>
    <w:rsid w:val="25C41CD7"/>
    <w:rsid w:val="25C62728"/>
    <w:rsid w:val="25CD14B1"/>
    <w:rsid w:val="25CE175E"/>
    <w:rsid w:val="25CE4249"/>
    <w:rsid w:val="25D2437F"/>
    <w:rsid w:val="25E52E11"/>
    <w:rsid w:val="25F16FE2"/>
    <w:rsid w:val="26051140"/>
    <w:rsid w:val="26054356"/>
    <w:rsid w:val="26073E9C"/>
    <w:rsid w:val="2608690B"/>
    <w:rsid w:val="260C5620"/>
    <w:rsid w:val="26193F5D"/>
    <w:rsid w:val="2623171C"/>
    <w:rsid w:val="262C0DC2"/>
    <w:rsid w:val="262D1B01"/>
    <w:rsid w:val="2630585C"/>
    <w:rsid w:val="26345AF8"/>
    <w:rsid w:val="264021DC"/>
    <w:rsid w:val="26453719"/>
    <w:rsid w:val="264B1E4B"/>
    <w:rsid w:val="264C7DA1"/>
    <w:rsid w:val="265F626B"/>
    <w:rsid w:val="265F6F2F"/>
    <w:rsid w:val="26657F99"/>
    <w:rsid w:val="266911C6"/>
    <w:rsid w:val="26740572"/>
    <w:rsid w:val="267438D6"/>
    <w:rsid w:val="26757DD0"/>
    <w:rsid w:val="267C7226"/>
    <w:rsid w:val="267F1BE8"/>
    <w:rsid w:val="267F61A0"/>
    <w:rsid w:val="268151EE"/>
    <w:rsid w:val="268250C1"/>
    <w:rsid w:val="26880F83"/>
    <w:rsid w:val="268B6FBA"/>
    <w:rsid w:val="26906610"/>
    <w:rsid w:val="26975419"/>
    <w:rsid w:val="26A803AB"/>
    <w:rsid w:val="26A97392"/>
    <w:rsid w:val="26B473FC"/>
    <w:rsid w:val="26C34CC7"/>
    <w:rsid w:val="26CB2421"/>
    <w:rsid w:val="26CB2F60"/>
    <w:rsid w:val="26D36456"/>
    <w:rsid w:val="26DA2586"/>
    <w:rsid w:val="26DE509B"/>
    <w:rsid w:val="26DF1F37"/>
    <w:rsid w:val="26E35258"/>
    <w:rsid w:val="26F31032"/>
    <w:rsid w:val="26F5528F"/>
    <w:rsid w:val="27022FC5"/>
    <w:rsid w:val="270B64BA"/>
    <w:rsid w:val="270E3941"/>
    <w:rsid w:val="270F6D5E"/>
    <w:rsid w:val="27101DC1"/>
    <w:rsid w:val="2719294A"/>
    <w:rsid w:val="271C22DE"/>
    <w:rsid w:val="271D2074"/>
    <w:rsid w:val="272243F4"/>
    <w:rsid w:val="272448DA"/>
    <w:rsid w:val="272D27A6"/>
    <w:rsid w:val="272E0DF2"/>
    <w:rsid w:val="27307A75"/>
    <w:rsid w:val="273E7D2E"/>
    <w:rsid w:val="27411B0C"/>
    <w:rsid w:val="27435AB8"/>
    <w:rsid w:val="27436099"/>
    <w:rsid w:val="274946E3"/>
    <w:rsid w:val="274F7FE7"/>
    <w:rsid w:val="27507954"/>
    <w:rsid w:val="27514E3D"/>
    <w:rsid w:val="27517531"/>
    <w:rsid w:val="2756605A"/>
    <w:rsid w:val="275F088B"/>
    <w:rsid w:val="276501FF"/>
    <w:rsid w:val="27653D29"/>
    <w:rsid w:val="27676905"/>
    <w:rsid w:val="27696391"/>
    <w:rsid w:val="276F64AB"/>
    <w:rsid w:val="277150B8"/>
    <w:rsid w:val="2777799E"/>
    <w:rsid w:val="2779320F"/>
    <w:rsid w:val="27797557"/>
    <w:rsid w:val="277C7E9E"/>
    <w:rsid w:val="277D1523"/>
    <w:rsid w:val="27814478"/>
    <w:rsid w:val="2783102A"/>
    <w:rsid w:val="2788545A"/>
    <w:rsid w:val="27945A4C"/>
    <w:rsid w:val="27993EA1"/>
    <w:rsid w:val="279F2453"/>
    <w:rsid w:val="27A06A88"/>
    <w:rsid w:val="27A2309C"/>
    <w:rsid w:val="27A316B5"/>
    <w:rsid w:val="27AA5C1D"/>
    <w:rsid w:val="27AB683A"/>
    <w:rsid w:val="27AC7C5B"/>
    <w:rsid w:val="27AF0D3D"/>
    <w:rsid w:val="27B20D7D"/>
    <w:rsid w:val="27B45D99"/>
    <w:rsid w:val="27BB0A57"/>
    <w:rsid w:val="27BD7E96"/>
    <w:rsid w:val="27C6025C"/>
    <w:rsid w:val="27C630B8"/>
    <w:rsid w:val="27CC4B4E"/>
    <w:rsid w:val="27CC60D6"/>
    <w:rsid w:val="27CC6659"/>
    <w:rsid w:val="27CD2215"/>
    <w:rsid w:val="27CE16F0"/>
    <w:rsid w:val="27DF531E"/>
    <w:rsid w:val="27E75D3C"/>
    <w:rsid w:val="27E85929"/>
    <w:rsid w:val="27E9267E"/>
    <w:rsid w:val="27EE2550"/>
    <w:rsid w:val="27EE5D9D"/>
    <w:rsid w:val="27F658A5"/>
    <w:rsid w:val="27FA44C9"/>
    <w:rsid w:val="27FC0AA9"/>
    <w:rsid w:val="27FF61E6"/>
    <w:rsid w:val="28047EF4"/>
    <w:rsid w:val="28073686"/>
    <w:rsid w:val="280D4D0A"/>
    <w:rsid w:val="28184262"/>
    <w:rsid w:val="28267905"/>
    <w:rsid w:val="282D5682"/>
    <w:rsid w:val="283F22E9"/>
    <w:rsid w:val="2840769D"/>
    <w:rsid w:val="284240C9"/>
    <w:rsid w:val="28450B21"/>
    <w:rsid w:val="284852FC"/>
    <w:rsid w:val="285554FB"/>
    <w:rsid w:val="28775962"/>
    <w:rsid w:val="289F32C4"/>
    <w:rsid w:val="28A60997"/>
    <w:rsid w:val="28A65558"/>
    <w:rsid w:val="28AD0B7A"/>
    <w:rsid w:val="28C43390"/>
    <w:rsid w:val="28C71839"/>
    <w:rsid w:val="28D411FE"/>
    <w:rsid w:val="28D47A79"/>
    <w:rsid w:val="28DD27BE"/>
    <w:rsid w:val="28E11650"/>
    <w:rsid w:val="28EF76E6"/>
    <w:rsid w:val="28F37816"/>
    <w:rsid w:val="28FF1936"/>
    <w:rsid w:val="29025395"/>
    <w:rsid w:val="29040283"/>
    <w:rsid w:val="29083330"/>
    <w:rsid w:val="29094F93"/>
    <w:rsid w:val="29096DD2"/>
    <w:rsid w:val="290B5A42"/>
    <w:rsid w:val="290D30A7"/>
    <w:rsid w:val="29107469"/>
    <w:rsid w:val="29135CCF"/>
    <w:rsid w:val="29182716"/>
    <w:rsid w:val="29240509"/>
    <w:rsid w:val="292D1A50"/>
    <w:rsid w:val="29310FAA"/>
    <w:rsid w:val="293B56C1"/>
    <w:rsid w:val="294601F3"/>
    <w:rsid w:val="2946054C"/>
    <w:rsid w:val="294A6AAC"/>
    <w:rsid w:val="294D3A31"/>
    <w:rsid w:val="29501286"/>
    <w:rsid w:val="29502EBA"/>
    <w:rsid w:val="295039AC"/>
    <w:rsid w:val="29534106"/>
    <w:rsid w:val="29554BEA"/>
    <w:rsid w:val="29596C06"/>
    <w:rsid w:val="295C6B35"/>
    <w:rsid w:val="29600954"/>
    <w:rsid w:val="296258F9"/>
    <w:rsid w:val="29654A2C"/>
    <w:rsid w:val="29742D5C"/>
    <w:rsid w:val="29753C4A"/>
    <w:rsid w:val="29781BA1"/>
    <w:rsid w:val="297E4C2D"/>
    <w:rsid w:val="29825097"/>
    <w:rsid w:val="29875663"/>
    <w:rsid w:val="29941C98"/>
    <w:rsid w:val="299A3F7A"/>
    <w:rsid w:val="299B209B"/>
    <w:rsid w:val="299F7BF3"/>
    <w:rsid w:val="29AD3066"/>
    <w:rsid w:val="29B03ADA"/>
    <w:rsid w:val="29BC20AE"/>
    <w:rsid w:val="29BD0539"/>
    <w:rsid w:val="29BD1377"/>
    <w:rsid w:val="29C50346"/>
    <w:rsid w:val="29C8684A"/>
    <w:rsid w:val="29D0266F"/>
    <w:rsid w:val="29D07EAF"/>
    <w:rsid w:val="29D65375"/>
    <w:rsid w:val="29DD5685"/>
    <w:rsid w:val="29DE7AA6"/>
    <w:rsid w:val="29DF2D7F"/>
    <w:rsid w:val="29E63EC1"/>
    <w:rsid w:val="29E816AE"/>
    <w:rsid w:val="29EE46F0"/>
    <w:rsid w:val="29F370A6"/>
    <w:rsid w:val="29F837E4"/>
    <w:rsid w:val="2A06517C"/>
    <w:rsid w:val="2A1116D3"/>
    <w:rsid w:val="2A1460DF"/>
    <w:rsid w:val="2A1C0FF6"/>
    <w:rsid w:val="2A1E253E"/>
    <w:rsid w:val="2A2124CD"/>
    <w:rsid w:val="2A2405A0"/>
    <w:rsid w:val="2A254BA1"/>
    <w:rsid w:val="2A270B0A"/>
    <w:rsid w:val="2A326A17"/>
    <w:rsid w:val="2A382303"/>
    <w:rsid w:val="2A425AD7"/>
    <w:rsid w:val="2A4B64C5"/>
    <w:rsid w:val="2A537617"/>
    <w:rsid w:val="2A5536F3"/>
    <w:rsid w:val="2A5675E5"/>
    <w:rsid w:val="2A583D60"/>
    <w:rsid w:val="2A6232E5"/>
    <w:rsid w:val="2A6626A1"/>
    <w:rsid w:val="2A711216"/>
    <w:rsid w:val="2A7B1F29"/>
    <w:rsid w:val="2A7E0F55"/>
    <w:rsid w:val="2A800DE8"/>
    <w:rsid w:val="2A8E1C5B"/>
    <w:rsid w:val="2A8F44D2"/>
    <w:rsid w:val="2AA7577D"/>
    <w:rsid w:val="2AA83043"/>
    <w:rsid w:val="2AAB5179"/>
    <w:rsid w:val="2AAF3B8E"/>
    <w:rsid w:val="2AB17B72"/>
    <w:rsid w:val="2AB2510A"/>
    <w:rsid w:val="2ABC1E3A"/>
    <w:rsid w:val="2ABD6A6D"/>
    <w:rsid w:val="2AC00E7C"/>
    <w:rsid w:val="2AC335F7"/>
    <w:rsid w:val="2AC35A6F"/>
    <w:rsid w:val="2AC611B2"/>
    <w:rsid w:val="2AC66113"/>
    <w:rsid w:val="2AD07767"/>
    <w:rsid w:val="2AD474F4"/>
    <w:rsid w:val="2AD97C45"/>
    <w:rsid w:val="2ADC7159"/>
    <w:rsid w:val="2AE07911"/>
    <w:rsid w:val="2AE46CE9"/>
    <w:rsid w:val="2AE76010"/>
    <w:rsid w:val="2AEF0B60"/>
    <w:rsid w:val="2AEF3A7D"/>
    <w:rsid w:val="2AF341A1"/>
    <w:rsid w:val="2AF8083F"/>
    <w:rsid w:val="2AF93B24"/>
    <w:rsid w:val="2AFF11B9"/>
    <w:rsid w:val="2B07177B"/>
    <w:rsid w:val="2B0B4C6C"/>
    <w:rsid w:val="2B0E23FC"/>
    <w:rsid w:val="2B10467B"/>
    <w:rsid w:val="2B15532D"/>
    <w:rsid w:val="2B1C53B3"/>
    <w:rsid w:val="2B22452F"/>
    <w:rsid w:val="2B245880"/>
    <w:rsid w:val="2B2A07B8"/>
    <w:rsid w:val="2B2B4212"/>
    <w:rsid w:val="2B2C4313"/>
    <w:rsid w:val="2B2E511A"/>
    <w:rsid w:val="2B2F18E4"/>
    <w:rsid w:val="2B370DBF"/>
    <w:rsid w:val="2B38245B"/>
    <w:rsid w:val="2B491EE0"/>
    <w:rsid w:val="2B492388"/>
    <w:rsid w:val="2B4C5398"/>
    <w:rsid w:val="2B4E4882"/>
    <w:rsid w:val="2B551258"/>
    <w:rsid w:val="2B563090"/>
    <w:rsid w:val="2B576A31"/>
    <w:rsid w:val="2B5851CF"/>
    <w:rsid w:val="2B5972B8"/>
    <w:rsid w:val="2B5C7F21"/>
    <w:rsid w:val="2B5F116E"/>
    <w:rsid w:val="2B604C62"/>
    <w:rsid w:val="2B6372A3"/>
    <w:rsid w:val="2B6A672A"/>
    <w:rsid w:val="2B6D28AF"/>
    <w:rsid w:val="2B820767"/>
    <w:rsid w:val="2B876569"/>
    <w:rsid w:val="2B961D70"/>
    <w:rsid w:val="2BA22CA5"/>
    <w:rsid w:val="2BAA367C"/>
    <w:rsid w:val="2BB87BFA"/>
    <w:rsid w:val="2BC25297"/>
    <w:rsid w:val="2BC4574A"/>
    <w:rsid w:val="2BC64AC0"/>
    <w:rsid w:val="2BCA60A4"/>
    <w:rsid w:val="2BCC7B11"/>
    <w:rsid w:val="2BD64B5E"/>
    <w:rsid w:val="2BD65609"/>
    <w:rsid w:val="2BDA2A86"/>
    <w:rsid w:val="2BDA7E38"/>
    <w:rsid w:val="2BDB3DA2"/>
    <w:rsid w:val="2BDD1CEF"/>
    <w:rsid w:val="2BDE471E"/>
    <w:rsid w:val="2BE22B33"/>
    <w:rsid w:val="2BE8005F"/>
    <w:rsid w:val="2BF13CCD"/>
    <w:rsid w:val="2BF33887"/>
    <w:rsid w:val="2C0538FD"/>
    <w:rsid w:val="2C0E65AB"/>
    <w:rsid w:val="2C1514D7"/>
    <w:rsid w:val="2C1C33A8"/>
    <w:rsid w:val="2C226723"/>
    <w:rsid w:val="2C231E25"/>
    <w:rsid w:val="2C27406D"/>
    <w:rsid w:val="2C275FBC"/>
    <w:rsid w:val="2C2773C2"/>
    <w:rsid w:val="2C2829E2"/>
    <w:rsid w:val="2C2A0D0C"/>
    <w:rsid w:val="2C305150"/>
    <w:rsid w:val="2C3D0DE9"/>
    <w:rsid w:val="2C3D2D87"/>
    <w:rsid w:val="2C407B02"/>
    <w:rsid w:val="2C443663"/>
    <w:rsid w:val="2C456C9F"/>
    <w:rsid w:val="2C457551"/>
    <w:rsid w:val="2C4D406C"/>
    <w:rsid w:val="2C4E3D20"/>
    <w:rsid w:val="2C515DFE"/>
    <w:rsid w:val="2C553428"/>
    <w:rsid w:val="2C5555B0"/>
    <w:rsid w:val="2C61001E"/>
    <w:rsid w:val="2C6757E2"/>
    <w:rsid w:val="2C6C5D21"/>
    <w:rsid w:val="2C732653"/>
    <w:rsid w:val="2C742D4A"/>
    <w:rsid w:val="2C75275F"/>
    <w:rsid w:val="2C8276C6"/>
    <w:rsid w:val="2C8A0842"/>
    <w:rsid w:val="2C945B80"/>
    <w:rsid w:val="2C96115E"/>
    <w:rsid w:val="2CA35898"/>
    <w:rsid w:val="2CA51E9F"/>
    <w:rsid w:val="2CA708B3"/>
    <w:rsid w:val="2CB11096"/>
    <w:rsid w:val="2CB64DA1"/>
    <w:rsid w:val="2CBD0E03"/>
    <w:rsid w:val="2CC73BE9"/>
    <w:rsid w:val="2CD1652C"/>
    <w:rsid w:val="2CD815A2"/>
    <w:rsid w:val="2CDF3FBE"/>
    <w:rsid w:val="2CEA1908"/>
    <w:rsid w:val="2CEC0032"/>
    <w:rsid w:val="2CF068B4"/>
    <w:rsid w:val="2CF5288A"/>
    <w:rsid w:val="2CFE69D2"/>
    <w:rsid w:val="2CFF241A"/>
    <w:rsid w:val="2D061599"/>
    <w:rsid w:val="2D0E37C3"/>
    <w:rsid w:val="2D183C58"/>
    <w:rsid w:val="2D193221"/>
    <w:rsid w:val="2D1E6177"/>
    <w:rsid w:val="2D294F8F"/>
    <w:rsid w:val="2D2A596F"/>
    <w:rsid w:val="2D2B597B"/>
    <w:rsid w:val="2D321245"/>
    <w:rsid w:val="2D3440FD"/>
    <w:rsid w:val="2D3B7E0E"/>
    <w:rsid w:val="2D3E16A3"/>
    <w:rsid w:val="2D461B74"/>
    <w:rsid w:val="2D4D2F2C"/>
    <w:rsid w:val="2D511821"/>
    <w:rsid w:val="2D5223EB"/>
    <w:rsid w:val="2D53633C"/>
    <w:rsid w:val="2D564E30"/>
    <w:rsid w:val="2D5C0D1B"/>
    <w:rsid w:val="2D5E3850"/>
    <w:rsid w:val="2D6076EF"/>
    <w:rsid w:val="2D6C6748"/>
    <w:rsid w:val="2D6E4BF1"/>
    <w:rsid w:val="2D754D9A"/>
    <w:rsid w:val="2D7C2F53"/>
    <w:rsid w:val="2D7F0543"/>
    <w:rsid w:val="2D8072B1"/>
    <w:rsid w:val="2D925359"/>
    <w:rsid w:val="2D937D02"/>
    <w:rsid w:val="2D944BD6"/>
    <w:rsid w:val="2D963786"/>
    <w:rsid w:val="2D977B4B"/>
    <w:rsid w:val="2D9C022C"/>
    <w:rsid w:val="2D9D1E1E"/>
    <w:rsid w:val="2D9F626F"/>
    <w:rsid w:val="2DA61C47"/>
    <w:rsid w:val="2DA8500B"/>
    <w:rsid w:val="2DB92019"/>
    <w:rsid w:val="2DBE6E75"/>
    <w:rsid w:val="2DD0233F"/>
    <w:rsid w:val="2DD12122"/>
    <w:rsid w:val="2DD82B4F"/>
    <w:rsid w:val="2DDA3414"/>
    <w:rsid w:val="2DE039A6"/>
    <w:rsid w:val="2DE214E1"/>
    <w:rsid w:val="2DE70D8A"/>
    <w:rsid w:val="2DE90501"/>
    <w:rsid w:val="2DED01AC"/>
    <w:rsid w:val="2DF219D7"/>
    <w:rsid w:val="2DFA7320"/>
    <w:rsid w:val="2DFC2EDD"/>
    <w:rsid w:val="2E002903"/>
    <w:rsid w:val="2E066635"/>
    <w:rsid w:val="2E0C0A58"/>
    <w:rsid w:val="2E126772"/>
    <w:rsid w:val="2E143F9F"/>
    <w:rsid w:val="2E181CD2"/>
    <w:rsid w:val="2E1E3027"/>
    <w:rsid w:val="2E270AF7"/>
    <w:rsid w:val="2E294874"/>
    <w:rsid w:val="2E3124DC"/>
    <w:rsid w:val="2E3244A7"/>
    <w:rsid w:val="2E4623D3"/>
    <w:rsid w:val="2E4B0F8B"/>
    <w:rsid w:val="2E54103A"/>
    <w:rsid w:val="2E545140"/>
    <w:rsid w:val="2E5D55A9"/>
    <w:rsid w:val="2E690965"/>
    <w:rsid w:val="2E6C4221"/>
    <w:rsid w:val="2E6E7857"/>
    <w:rsid w:val="2E754941"/>
    <w:rsid w:val="2E755F20"/>
    <w:rsid w:val="2E7D28C8"/>
    <w:rsid w:val="2E7F3A97"/>
    <w:rsid w:val="2E8C1226"/>
    <w:rsid w:val="2E9912E2"/>
    <w:rsid w:val="2E9F2A05"/>
    <w:rsid w:val="2EB25DA0"/>
    <w:rsid w:val="2EB26859"/>
    <w:rsid w:val="2EC30F3D"/>
    <w:rsid w:val="2EC85297"/>
    <w:rsid w:val="2EC91C60"/>
    <w:rsid w:val="2EC9243D"/>
    <w:rsid w:val="2ECF3677"/>
    <w:rsid w:val="2ED070C1"/>
    <w:rsid w:val="2ED10A04"/>
    <w:rsid w:val="2ED5475A"/>
    <w:rsid w:val="2ED706C6"/>
    <w:rsid w:val="2ED873BC"/>
    <w:rsid w:val="2EDD0058"/>
    <w:rsid w:val="2EDD353A"/>
    <w:rsid w:val="2EEB6C73"/>
    <w:rsid w:val="2EF34F17"/>
    <w:rsid w:val="2F041003"/>
    <w:rsid w:val="2F0D4D6E"/>
    <w:rsid w:val="2F133281"/>
    <w:rsid w:val="2F13368C"/>
    <w:rsid w:val="2F1C3861"/>
    <w:rsid w:val="2F260912"/>
    <w:rsid w:val="2F311FE5"/>
    <w:rsid w:val="2F3722D5"/>
    <w:rsid w:val="2F3C0D92"/>
    <w:rsid w:val="2F4067A7"/>
    <w:rsid w:val="2F4160FB"/>
    <w:rsid w:val="2F476A96"/>
    <w:rsid w:val="2F492C32"/>
    <w:rsid w:val="2F4E2A18"/>
    <w:rsid w:val="2F566814"/>
    <w:rsid w:val="2F5C1741"/>
    <w:rsid w:val="2F5F3A5D"/>
    <w:rsid w:val="2F634991"/>
    <w:rsid w:val="2F83284A"/>
    <w:rsid w:val="2F840DAD"/>
    <w:rsid w:val="2F976FD6"/>
    <w:rsid w:val="2F992ECA"/>
    <w:rsid w:val="2FA71303"/>
    <w:rsid w:val="2FA80FFF"/>
    <w:rsid w:val="2FAB64C8"/>
    <w:rsid w:val="2FAC2EBE"/>
    <w:rsid w:val="2FAE4D3A"/>
    <w:rsid w:val="2FB269C4"/>
    <w:rsid w:val="2FB478A5"/>
    <w:rsid w:val="2FB8287E"/>
    <w:rsid w:val="2FB854AD"/>
    <w:rsid w:val="2FC5466F"/>
    <w:rsid w:val="2FC6740A"/>
    <w:rsid w:val="2FC745C0"/>
    <w:rsid w:val="2FC94013"/>
    <w:rsid w:val="2FCF6875"/>
    <w:rsid w:val="2FD23059"/>
    <w:rsid w:val="2FD81B09"/>
    <w:rsid w:val="2FDB34F0"/>
    <w:rsid w:val="2FE364E6"/>
    <w:rsid w:val="2FE365A4"/>
    <w:rsid w:val="2FE5760F"/>
    <w:rsid w:val="2FEC79C3"/>
    <w:rsid w:val="2FF5425F"/>
    <w:rsid w:val="2FF72330"/>
    <w:rsid w:val="30057C07"/>
    <w:rsid w:val="30112512"/>
    <w:rsid w:val="301B1FC6"/>
    <w:rsid w:val="30380180"/>
    <w:rsid w:val="30385E39"/>
    <w:rsid w:val="3039764D"/>
    <w:rsid w:val="303D07E1"/>
    <w:rsid w:val="30407403"/>
    <w:rsid w:val="305548B7"/>
    <w:rsid w:val="305659A3"/>
    <w:rsid w:val="305E398F"/>
    <w:rsid w:val="3063289A"/>
    <w:rsid w:val="30700329"/>
    <w:rsid w:val="30753CE2"/>
    <w:rsid w:val="307750E9"/>
    <w:rsid w:val="307770D9"/>
    <w:rsid w:val="307A03D5"/>
    <w:rsid w:val="307D49BF"/>
    <w:rsid w:val="30826817"/>
    <w:rsid w:val="308E11FF"/>
    <w:rsid w:val="30931FC2"/>
    <w:rsid w:val="309C5E1C"/>
    <w:rsid w:val="30A13949"/>
    <w:rsid w:val="30A172AE"/>
    <w:rsid w:val="30A2041B"/>
    <w:rsid w:val="30B41FFE"/>
    <w:rsid w:val="30BF4AAA"/>
    <w:rsid w:val="30C42BD6"/>
    <w:rsid w:val="30C56C52"/>
    <w:rsid w:val="30C80EB6"/>
    <w:rsid w:val="30D26240"/>
    <w:rsid w:val="30D85F33"/>
    <w:rsid w:val="30DC4450"/>
    <w:rsid w:val="30E5374A"/>
    <w:rsid w:val="30E54394"/>
    <w:rsid w:val="30E83DEE"/>
    <w:rsid w:val="30EA1276"/>
    <w:rsid w:val="30ED07BC"/>
    <w:rsid w:val="30F74FB5"/>
    <w:rsid w:val="30F9156D"/>
    <w:rsid w:val="31061404"/>
    <w:rsid w:val="3108293F"/>
    <w:rsid w:val="310F1FEC"/>
    <w:rsid w:val="31125FBC"/>
    <w:rsid w:val="312D618B"/>
    <w:rsid w:val="31331398"/>
    <w:rsid w:val="31371CBA"/>
    <w:rsid w:val="313C61FC"/>
    <w:rsid w:val="313E6343"/>
    <w:rsid w:val="313E67E5"/>
    <w:rsid w:val="313E6DC3"/>
    <w:rsid w:val="31497193"/>
    <w:rsid w:val="314A4CE8"/>
    <w:rsid w:val="314B3ECA"/>
    <w:rsid w:val="3152248F"/>
    <w:rsid w:val="315370F1"/>
    <w:rsid w:val="315A27E9"/>
    <w:rsid w:val="315E53C5"/>
    <w:rsid w:val="31617BC3"/>
    <w:rsid w:val="316311CC"/>
    <w:rsid w:val="316464FB"/>
    <w:rsid w:val="31650FFE"/>
    <w:rsid w:val="31660B66"/>
    <w:rsid w:val="31697BD4"/>
    <w:rsid w:val="317057B8"/>
    <w:rsid w:val="3174121A"/>
    <w:rsid w:val="317522FA"/>
    <w:rsid w:val="31804DAB"/>
    <w:rsid w:val="3183633E"/>
    <w:rsid w:val="31861ABC"/>
    <w:rsid w:val="318A2F71"/>
    <w:rsid w:val="318A43E7"/>
    <w:rsid w:val="31915379"/>
    <w:rsid w:val="31A15666"/>
    <w:rsid w:val="31A9406C"/>
    <w:rsid w:val="31AB1D0D"/>
    <w:rsid w:val="31AC172B"/>
    <w:rsid w:val="31AF7784"/>
    <w:rsid w:val="31B76EAD"/>
    <w:rsid w:val="31BE2010"/>
    <w:rsid w:val="31C1652B"/>
    <w:rsid w:val="31C252D9"/>
    <w:rsid w:val="31CD32B8"/>
    <w:rsid w:val="31CF24F1"/>
    <w:rsid w:val="31D62973"/>
    <w:rsid w:val="31D71541"/>
    <w:rsid w:val="31DA376F"/>
    <w:rsid w:val="31DC2C72"/>
    <w:rsid w:val="31DD6E97"/>
    <w:rsid w:val="31DF0E13"/>
    <w:rsid w:val="31E409B7"/>
    <w:rsid w:val="31EB5760"/>
    <w:rsid w:val="31F274C3"/>
    <w:rsid w:val="31FA25AF"/>
    <w:rsid w:val="31FC0A0E"/>
    <w:rsid w:val="320534C9"/>
    <w:rsid w:val="321F077A"/>
    <w:rsid w:val="322E62BD"/>
    <w:rsid w:val="3232436C"/>
    <w:rsid w:val="323B0F15"/>
    <w:rsid w:val="32452CAD"/>
    <w:rsid w:val="32495D1D"/>
    <w:rsid w:val="324E25A2"/>
    <w:rsid w:val="324F09E9"/>
    <w:rsid w:val="3254169B"/>
    <w:rsid w:val="3257403B"/>
    <w:rsid w:val="32686126"/>
    <w:rsid w:val="326B669F"/>
    <w:rsid w:val="3275787D"/>
    <w:rsid w:val="32774BCD"/>
    <w:rsid w:val="32791CDC"/>
    <w:rsid w:val="32793A4D"/>
    <w:rsid w:val="327B1385"/>
    <w:rsid w:val="32970EB5"/>
    <w:rsid w:val="329A499E"/>
    <w:rsid w:val="329F68CC"/>
    <w:rsid w:val="32AB1C0C"/>
    <w:rsid w:val="32AB3FC9"/>
    <w:rsid w:val="32B973A2"/>
    <w:rsid w:val="32BF01AD"/>
    <w:rsid w:val="32CB0BEF"/>
    <w:rsid w:val="32CF1BEE"/>
    <w:rsid w:val="32D44061"/>
    <w:rsid w:val="32D95674"/>
    <w:rsid w:val="32DC71AC"/>
    <w:rsid w:val="32E27FE6"/>
    <w:rsid w:val="32E66A70"/>
    <w:rsid w:val="32E71920"/>
    <w:rsid w:val="32E949B8"/>
    <w:rsid w:val="32EA2C79"/>
    <w:rsid w:val="32EF216D"/>
    <w:rsid w:val="32F04BB2"/>
    <w:rsid w:val="3301001F"/>
    <w:rsid w:val="33013D31"/>
    <w:rsid w:val="33190EFF"/>
    <w:rsid w:val="331B27A4"/>
    <w:rsid w:val="3323735A"/>
    <w:rsid w:val="332722EB"/>
    <w:rsid w:val="332754EE"/>
    <w:rsid w:val="33283B95"/>
    <w:rsid w:val="332A1FF6"/>
    <w:rsid w:val="333277E5"/>
    <w:rsid w:val="333B466D"/>
    <w:rsid w:val="33475AC4"/>
    <w:rsid w:val="334A7287"/>
    <w:rsid w:val="335449B3"/>
    <w:rsid w:val="33594385"/>
    <w:rsid w:val="33675FE5"/>
    <w:rsid w:val="336D561C"/>
    <w:rsid w:val="33717DB2"/>
    <w:rsid w:val="33791943"/>
    <w:rsid w:val="337A4A6A"/>
    <w:rsid w:val="337E0C54"/>
    <w:rsid w:val="337E0DBF"/>
    <w:rsid w:val="337F12B3"/>
    <w:rsid w:val="3384786F"/>
    <w:rsid w:val="33872C23"/>
    <w:rsid w:val="33875024"/>
    <w:rsid w:val="338A559D"/>
    <w:rsid w:val="338B1579"/>
    <w:rsid w:val="3393654D"/>
    <w:rsid w:val="33995962"/>
    <w:rsid w:val="339B097F"/>
    <w:rsid w:val="339D78F3"/>
    <w:rsid w:val="33A07882"/>
    <w:rsid w:val="33A20150"/>
    <w:rsid w:val="33AA2D95"/>
    <w:rsid w:val="33AE2D8A"/>
    <w:rsid w:val="33B04400"/>
    <w:rsid w:val="33B350DC"/>
    <w:rsid w:val="33B423C6"/>
    <w:rsid w:val="33B803C1"/>
    <w:rsid w:val="33BA1D22"/>
    <w:rsid w:val="33BA4EE8"/>
    <w:rsid w:val="33CC076B"/>
    <w:rsid w:val="33D25869"/>
    <w:rsid w:val="33D6052A"/>
    <w:rsid w:val="33D63F3E"/>
    <w:rsid w:val="33DF154F"/>
    <w:rsid w:val="33E85B91"/>
    <w:rsid w:val="33F07229"/>
    <w:rsid w:val="3401171A"/>
    <w:rsid w:val="34015391"/>
    <w:rsid w:val="34041D90"/>
    <w:rsid w:val="3407348B"/>
    <w:rsid w:val="3414501A"/>
    <w:rsid w:val="341865CC"/>
    <w:rsid w:val="34200008"/>
    <w:rsid w:val="34204516"/>
    <w:rsid w:val="342658FF"/>
    <w:rsid w:val="342E39F2"/>
    <w:rsid w:val="344D548F"/>
    <w:rsid w:val="344F6672"/>
    <w:rsid w:val="345778F5"/>
    <w:rsid w:val="34587577"/>
    <w:rsid w:val="346F1F01"/>
    <w:rsid w:val="347B44F1"/>
    <w:rsid w:val="347C02CA"/>
    <w:rsid w:val="34867B77"/>
    <w:rsid w:val="348E24A8"/>
    <w:rsid w:val="34927A4B"/>
    <w:rsid w:val="34A01B6E"/>
    <w:rsid w:val="34B57D6E"/>
    <w:rsid w:val="34BB17AB"/>
    <w:rsid w:val="34BF6036"/>
    <w:rsid w:val="34CE1B77"/>
    <w:rsid w:val="34D01B3F"/>
    <w:rsid w:val="34DF39AA"/>
    <w:rsid w:val="34E0789C"/>
    <w:rsid w:val="34E26F6E"/>
    <w:rsid w:val="34EF1FA2"/>
    <w:rsid w:val="34F471DE"/>
    <w:rsid w:val="34FB431A"/>
    <w:rsid w:val="34FD3074"/>
    <w:rsid w:val="34FE526B"/>
    <w:rsid w:val="35002050"/>
    <w:rsid w:val="350408BD"/>
    <w:rsid w:val="350A5F7E"/>
    <w:rsid w:val="350C0B13"/>
    <w:rsid w:val="3510469D"/>
    <w:rsid w:val="35183D86"/>
    <w:rsid w:val="35196CF0"/>
    <w:rsid w:val="35197698"/>
    <w:rsid w:val="35235D3A"/>
    <w:rsid w:val="35276D90"/>
    <w:rsid w:val="352A6DFD"/>
    <w:rsid w:val="352C7499"/>
    <w:rsid w:val="352F18D6"/>
    <w:rsid w:val="353554CC"/>
    <w:rsid w:val="35364492"/>
    <w:rsid w:val="35372B3A"/>
    <w:rsid w:val="35385AF9"/>
    <w:rsid w:val="353B7A83"/>
    <w:rsid w:val="353C47A2"/>
    <w:rsid w:val="353D7E4F"/>
    <w:rsid w:val="353E699E"/>
    <w:rsid w:val="354315B2"/>
    <w:rsid w:val="354925FA"/>
    <w:rsid w:val="35503D27"/>
    <w:rsid w:val="35511B5F"/>
    <w:rsid w:val="355B54BA"/>
    <w:rsid w:val="356D5C58"/>
    <w:rsid w:val="35795919"/>
    <w:rsid w:val="357E3057"/>
    <w:rsid w:val="35814BDB"/>
    <w:rsid w:val="3585626B"/>
    <w:rsid w:val="358710A9"/>
    <w:rsid w:val="35905EBD"/>
    <w:rsid w:val="35906F28"/>
    <w:rsid w:val="35A602C7"/>
    <w:rsid w:val="35A96A51"/>
    <w:rsid w:val="35AB4245"/>
    <w:rsid w:val="35C02F69"/>
    <w:rsid w:val="35C76383"/>
    <w:rsid w:val="35CD569D"/>
    <w:rsid w:val="35CD5DC8"/>
    <w:rsid w:val="35D17246"/>
    <w:rsid w:val="35E03983"/>
    <w:rsid w:val="35E378D8"/>
    <w:rsid w:val="35E94C7C"/>
    <w:rsid w:val="35EA0225"/>
    <w:rsid w:val="35EA369A"/>
    <w:rsid w:val="35EB1A7A"/>
    <w:rsid w:val="35EF0324"/>
    <w:rsid w:val="360052B1"/>
    <w:rsid w:val="360A6340"/>
    <w:rsid w:val="36120D74"/>
    <w:rsid w:val="36143429"/>
    <w:rsid w:val="361E4AE3"/>
    <w:rsid w:val="36251F63"/>
    <w:rsid w:val="36263CDA"/>
    <w:rsid w:val="36352A4C"/>
    <w:rsid w:val="363564B1"/>
    <w:rsid w:val="363A6A6D"/>
    <w:rsid w:val="363B2B07"/>
    <w:rsid w:val="364077B3"/>
    <w:rsid w:val="364C4233"/>
    <w:rsid w:val="365A6003"/>
    <w:rsid w:val="365D62BA"/>
    <w:rsid w:val="36603788"/>
    <w:rsid w:val="36621F84"/>
    <w:rsid w:val="36645AB4"/>
    <w:rsid w:val="36797AB2"/>
    <w:rsid w:val="368547F0"/>
    <w:rsid w:val="368C57C9"/>
    <w:rsid w:val="36980D45"/>
    <w:rsid w:val="36990736"/>
    <w:rsid w:val="369D3087"/>
    <w:rsid w:val="369F47BC"/>
    <w:rsid w:val="36A1288D"/>
    <w:rsid w:val="36A87D08"/>
    <w:rsid w:val="36AB2228"/>
    <w:rsid w:val="36C23E4F"/>
    <w:rsid w:val="36D16564"/>
    <w:rsid w:val="36E900A1"/>
    <w:rsid w:val="36EA565F"/>
    <w:rsid w:val="36EA6B97"/>
    <w:rsid w:val="36F262F0"/>
    <w:rsid w:val="36F562F4"/>
    <w:rsid w:val="36FC0948"/>
    <w:rsid w:val="36FE4544"/>
    <w:rsid w:val="37067706"/>
    <w:rsid w:val="3714538F"/>
    <w:rsid w:val="371A55F1"/>
    <w:rsid w:val="372063E1"/>
    <w:rsid w:val="37246282"/>
    <w:rsid w:val="372F6969"/>
    <w:rsid w:val="373A2E7C"/>
    <w:rsid w:val="37474264"/>
    <w:rsid w:val="374A5A56"/>
    <w:rsid w:val="374C3DDF"/>
    <w:rsid w:val="374E23B6"/>
    <w:rsid w:val="375566E7"/>
    <w:rsid w:val="37571B75"/>
    <w:rsid w:val="37587117"/>
    <w:rsid w:val="37622BBB"/>
    <w:rsid w:val="37645F6C"/>
    <w:rsid w:val="37686F0E"/>
    <w:rsid w:val="376960CE"/>
    <w:rsid w:val="376B6847"/>
    <w:rsid w:val="37705400"/>
    <w:rsid w:val="37710C5C"/>
    <w:rsid w:val="37761109"/>
    <w:rsid w:val="377C53E5"/>
    <w:rsid w:val="37817235"/>
    <w:rsid w:val="37824CC9"/>
    <w:rsid w:val="37880558"/>
    <w:rsid w:val="379906A0"/>
    <w:rsid w:val="37994A5D"/>
    <w:rsid w:val="379D6B42"/>
    <w:rsid w:val="37A020B2"/>
    <w:rsid w:val="37A4661F"/>
    <w:rsid w:val="37A518CA"/>
    <w:rsid w:val="37A749CD"/>
    <w:rsid w:val="37A80E7B"/>
    <w:rsid w:val="37AE459E"/>
    <w:rsid w:val="37B55151"/>
    <w:rsid w:val="37BA184B"/>
    <w:rsid w:val="37BE1262"/>
    <w:rsid w:val="37BF3B7E"/>
    <w:rsid w:val="37C52A31"/>
    <w:rsid w:val="37CA7F1A"/>
    <w:rsid w:val="37CD00CD"/>
    <w:rsid w:val="37DC5CE7"/>
    <w:rsid w:val="37E230B1"/>
    <w:rsid w:val="37ED32D7"/>
    <w:rsid w:val="37EE567F"/>
    <w:rsid w:val="37F2537A"/>
    <w:rsid w:val="37F54AB8"/>
    <w:rsid w:val="37F77FAC"/>
    <w:rsid w:val="37F935EB"/>
    <w:rsid w:val="37F95798"/>
    <w:rsid w:val="380F6510"/>
    <w:rsid w:val="38115B53"/>
    <w:rsid w:val="38193A9C"/>
    <w:rsid w:val="381978AC"/>
    <w:rsid w:val="382553D0"/>
    <w:rsid w:val="38262340"/>
    <w:rsid w:val="3826686F"/>
    <w:rsid w:val="38311398"/>
    <w:rsid w:val="383154CD"/>
    <w:rsid w:val="383416DD"/>
    <w:rsid w:val="38372C86"/>
    <w:rsid w:val="38444E81"/>
    <w:rsid w:val="38446ADE"/>
    <w:rsid w:val="384D11B1"/>
    <w:rsid w:val="384E6830"/>
    <w:rsid w:val="38526532"/>
    <w:rsid w:val="38527054"/>
    <w:rsid w:val="38560707"/>
    <w:rsid w:val="385A729A"/>
    <w:rsid w:val="385F60B7"/>
    <w:rsid w:val="385F6517"/>
    <w:rsid w:val="38605FE6"/>
    <w:rsid w:val="38695184"/>
    <w:rsid w:val="38717E1C"/>
    <w:rsid w:val="38790CB6"/>
    <w:rsid w:val="387D3108"/>
    <w:rsid w:val="387D3F15"/>
    <w:rsid w:val="387E5402"/>
    <w:rsid w:val="388263D7"/>
    <w:rsid w:val="38890244"/>
    <w:rsid w:val="388F6879"/>
    <w:rsid w:val="38925D2A"/>
    <w:rsid w:val="38953B82"/>
    <w:rsid w:val="389820A0"/>
    <w:rsid w:val="389A655A"/>
    <w:rsid w:val="389B484A"/>
    <w:rsid w:val="389D5847"/>
    <w:rsid w:val="389D6A55"/>
    <w:rsid w:val="389F62A1"/>
    <w:rsid w:val="38A10FDA"/>
    <w:rsid w:val="38A272B7"/>
    <w:rsid w:val="38A80B8B"/>
    <w:rsid w:val="38B3641B"/>
    <w:rsid w:val="38B73E50"/>
    <w:rsid w:val="38B74932"/>
    <w:rsid w:val="38B913DA"/>
    <w:rsid w:val="38BD2930"/>
    <w:rsid w:val="38BD3145"/>
    <w:rsid w:val="38BE7B20"/>
    <w:rsid w:val="38C00AD8"/>
    <w:rsid w:val="38C12DD0"/>
    <w:rsid w:val="38C2030E"/>
    <w:rsid w:val="38C36B9F"/>
    <w:rsid w:val="38D1106A"/>
    <w:rsid w:val="38D30666"/>
    <w:rsid w:val="38DA3B95"/>
    <w:rsid w:val="38E01980"/>
    <w:rsid w:val="38E51DB3"/>
    <w:rsid w:val="38E665A6"/>
    <w:rsid w:val="38ED7186"/>
    <w:rsid w:val="38F33AB2"/>
    <w:rsid w:val="38F72466"/>
    <w:rsid w:val="390E5E3E"/>
    <w:rsid w:val="391135FE"/>
    <w:rsid w:val="39121F38"/>
    <w:rsid w:val="39157C15"/>
    <w:rsid w:val="39165869"/>
    <w:rsid w:val="391B6207"/>
    <w:rsid w:val="391E006F"/>
    <w:rsid w:val="39244825"/>
    <w:rsid w:val="39350DAC"/>
    <w:rsid w:val="393804B8"/>
    <w:rsid w:val="39483E41"/>
    <w:rsid w:val="39536FFE"/>
    <w:rsid w:val="396853E6"/>
    <w:rsid w:val="396C07E9"/>
    <w:rsid w:val="396D0E20"/>
    <w:rsid w:val="39730E29"/>
    <w:rsid w:val="397A40A9"/>
    <w:rsid w:val="3987656C"/>
    <w:rsid w:val="39893A6B"/>
    <w:rsid w:val="398B7BDA"/>
    <w:rsid w:val="398C635D"/>
    <w:rsid w:val="398E29A0"/>
    <w:rsid w:val="399448A1"/>
    <w:rsid w:val="39963D9E"/>
    <w:rsid w:val="39965EC8"/>
    <w:rsid w:val="39A07410"/>
    <w:rsid w:val="39A30A0C"/>
    <w:rsid w:val="39AA1E8C"/>
    <w:rsid w:val="39AC2A23"/>
    <w:rsid w:val="39B90DFB"/>
    <w:rsid w:val="39C13E43"/>
    <w:rsid w:val="39C41ECE"/>
    <w:rsid w:val="39C8017A"/>
    <w:rsid w:val="39C94AE5"/>
    <w:rsid w:val="39CC153A"/>
    <w:rsid w:val="39CF0249"/>
    <w:rsid w:val="39D4213E"/>
    <w:rsid w:val="39D85E06"/>
    <w:rsid w:val="39DA4790"/>
    <w:rsid w:val="39DF2D91"/>
    <w:rsid w:val="39E43838"/>
    <w:rsid w:val="39EC1419"/>
    <w:rsid w:val="39FA4831"/>
    <w:rsid w:val="3A082049"/>
    <w:rsid w:val="3A087067"/>
    <w:rsid w:val="3A0D3117"/>
    <w:rsid w:val="3A0D60D4"/>
    <w:rsid w:val="3A0E15D8"/>
    <w:rsid w:val="3A0F3FFB"/>
    <w:rsid w:val="3A153539"/>
    <w:rsid w:val="3A182DB0"/>
    <w:rsid w:val="3A1B51BB"/>
    <w:rsid w:val="3A1D71CA"/>
    <w:rsid w:val="3A22657D"/>
    <w:rsid w:val="3A246497"/>
    <w:rsid w:val="3A2C74E7"/>
    <w:rsid w:val="3A2C7DB0"/>
    <w:rsid w:val="3A2E27D6"/>
    <w:rsid w:val="3A2E45C4"/>
    <w:rsid w:val="3A4334B7"/>
    <w:rsid w:val="3A59012C"/>
    <w:rsid w:val="3A5A680F"/>
    <w:rsid w:val="3A5D0CDF"/>
    <w:rsid w:val="3A5F6741"/>
    <w:rsid w:val="3A600366"/>
    <w:rsid w:val="3A640CBE"/>
    <w:rsid w:val="3A64471A"/>
    <w:rsid w:val="3A703F52"/>
    <w:rsid w:val="3A706422"/>
    <w:rsid w:val="3A757080"/>
    <w:rsid w:val="3A7911CF"/>
    <w:rsid w:val="3A7C7196"/>
    <w:rsid w:val="3A8368E6"/>
    <w:rsid w:val="3A847D47"/>
    <w:rsid w:val="3A86186F"/>
    <w:rsid w:val="3A925F52"/>
    <w:rsid w:val="3A9515D1"/>
    <w:rsid w:val="3A97015D"/>
    <w:rsid w:val="3A9E02E4"/>
    <w:rsid w:val="3A9E1D58"/>
    <w:rsid w:val="3A9F6A60"/>
    <w:rsid w:val="3AAB6118"/>
    <w:rsid w:val="3AAE2254"/>
    <w:rsid w:val="3AC172BD"/>
    <w:rsid w:val="3AC3658E"/>
    <w:rsid w:val="3AC36DDB"/>
    <w:rsid w:val="3AC72970"/>
    <w:rsid w:val="3ACC7015"/>
    <w:rsid w:val="3ACD6C9C"/>
    <w:rsid w:val="3ACE2E05"/>
    <w:rsid w:val="3AD468E7"/>
    <w:rsid w:val="3AD50808"/>
    <w:rsid w:val="3AE00D6A"/>
    <w:rsid w:val="3AE134B1"/>
    <w:rsid w:val="3AE173AD"/>
    <w:rsid w:val="3AE31C6C"/>
    <w:rsid w:val="3AE424F5"/>
    <w:rsid w:val="3AF0513C"/>
    <w:rsid w:val="3AF57836"/>
    <w:rsid w:val="3B02746C"/>
    <w:rsid w:val="3B036874"/>
    <w:rsid w:val="3B105A75"/>
    <w:rsid w:val="3B137981"/>
    <w:rsid w:val="3B21234F"/>
    <w:rsid w:val="3B2525DB"/>
    <w:rsid w:val="3B2A2866"/>
    <w:rsid w:val="3B2F2EB3"/>
    <w:rsid w:val="3B360C15"/>
    <w:rsid w:val="3B3A7755"/>
    <w:rsid w:val="3B3D2D50"/>
    <w:rsid w:val="3B433519"/>
    <w:rsid w:val="3B463245"/>
    <w:rsid w:val="3B4824B0"/>
    <w:rsid w:val="3B5753CB"/>
    <w:rsid w:val="3B5B67E4"/>
    <w:rsid w:val="3B6026FA"/>
    <w:rsid w:val="3B603AD3"/>
    <w:rsid w:val="3B6C0B09"/>
    <w:rsid w:val="3B6E4E51"/>
    <w:rsid w:val="3B6F1F82"/>
    <w:rsid w:val="3B703729"/>
    <w:rsid w:val="3B7C32E3"/>
    <w:rsid w:val="3B7D17E7"/>
    <w:rsid w:val="3B814063"/>
    <w:rsid w:val="3B8202B1"/>
    <w:rsid w:val="3B8C2868"/>
    <w:rsid w:val="3B8C6154"/>
    <w:rsid w:val="3B8D745E"/>
    <w:rsid w:val="3B9C6E10"/>
    <w:rsid w:val="3B9D3B5E"/>
    <w:rsid w:val="3B9D5AE6"/>
    <w:rsid w:val="3B9F5DE7"/>
    <w:rsid w:val="3BAC02C4"/>
    <w:rsid w:val="3BB066F3"/>
    <w:rsid w:val="3BB10AE6"/>
    <w:rsid w:val="3BB53006"/>
    <w:rsid w:val="3BBE0B12"/>
    <w:rsid w:val="3BC10112"/>
    <w:rsid w:val="3BCB0D28"/>
    <w:rsid w:val="3BCD06B9"/>
    <w:rsid w:val="3BD0140D"/>
    <w:rsid w:val="3BD04786"/>
    <w:rsid w:val="3BD44BC0"/>
    <w:rsid w:val="3BD44E3C"/>
    <w:rsid w:val="3BDD4B2E"/>
    <w:rsid w:val="3BE23A36"/>
    <w:rsid w:val="3BE5401F"/>
    <w:rsid w:val="3BEF3A5C"/>
    <w:rsid w:val="3BF85FEB"/>
    <w:rsid w:val="3C087874"/>
    <w:rsid w:val="3C0B6B23"/>
    <w:rsid w:val="3C110989"/>
    <w:rsid w:val="3C406337"/>
    <w:rsid w:val="3C65465A"/>
    <w:rsid w:val="3C784B77"/>
    <w:rsid w:val="3C7E6D99"/>
    <w:rsid w:val="3C815D5F"/>
    <w:rsid w:val="3C820DEA"/>
    <w:rsid w:val="3C876288"/>
    <w:rsid w:val="3C8F06FD"/>
    <w:rsid w:val="3C8F2148"/>
    <w:rsid w:val="3C937CEC"/>
    <w:rsid w:val="3CA07408"/>
    <w:rsid w:val="3CA525A4"/>
    <w:rsid w:val="3CA54276"/>
    <w:rsid w:val="3CA56147"/>
    <w:rsid w:val="3CAB7A77"/>
    <w:rsid w:val="3CB854AF"/>
    <w:rsid w:val="3CB905F0"/>
    <w:rsid w:val="3CC636CF"/>
    <w:rsid w:val="3CC80935"/>
    <w:rsid w:val="3CCB78BA"/>
    <w:rsid w:val="3CCC171A"/>
    <w:rsid w:val="3CCE67ED"/>
    <w:rsid w:val="3CD47ED8"/>
    <w:rsid w:val="3CF5506A"/>
    <w:rsid w:val="3CFF1792"/>
    <w:rsid w:val="3D0426E1"/>
    <w:rsid w:val="3D117AC0"/>
    <w:rsid w:val="3D126BBC"/>
    <w:rsid w:val="3D1567D7"/>
    <w:rsid w:val="3D1859EF"/>
    <w:rsid w:val="3D1C50CB"/>
    <w:rsid w:val="3D243760"/>
    <w:rsid w:val="3D3574EC"/>
    <w:rsid w:val="3D392605"/>
    <w:rsid w:val="3D3F0627"/>
    <w:rsid w:val="3D44378F"/>
    <w:rsid w:val="3D4A50F0"/>
    <w:rsid w:val="3D4C1BE5"/>
    <w:rsid w:val="3D536014"/>
    <w:rsid w:val="3D543A82"/>
    <w:rsid w:val="3D54450C"/>
    <w:rsid w:val="3D5707FA"/>
    <w:rsid w:val="3D662038"/>
    <w:rsid w:val="3D664FC9"/>
    <w:rsid w:val="3D67779B"/>
    <w:rsid w:val="3D690AD7"/>
    <w:rsid w:val="3D6A6980"/>
    <w:rsid w:val="3D6B1600"/>
    <w:rsid w:val="3D7934FA"/>
    <w:rsid w:val="3D7B18A1"/>
    <w:rsid w:val="3D802B48"/>
    <w:rsid w:val="3D947822"/>
    <w:rsid w:val="3D9E4E0A"/>
    <w:rsid w:val="3DA004AB"/>
    <w:rsid w:val="3DA21546"/>
    <w:rsid w:val="3DA270CE"/>
    <w:rsid w:val="3DA474D7"/>
    <w:rsid w:val="3DB04E32"/>
    <w:rsid w:val="3DB466FA"/>
    <w:rsid w:val="3DB6127B"/>
    <w:rsid w:val="3DB95296"/>
    <w:rsid w:val="3DBB6182"/>
    <w:rsid w:val="3DC111ED"/>
    <w:rsid w:val="3DD34B4D"/>
    <w:rsid w:val="3DD610A7"/>
    <w:rsid w:val="3DEE6027"/>
    <w:rsid w:val="3DF052C2"/>
    <w:rsid w:val="3DF0600F"/>
    <w:rsid w:val="3DFD17CB"/>
    <w:rsid w:val="3E020F26"/>
    <w:rsid w:val="3E0A51E4"/>
    <w:rsid w:val="3E0C0A11"/>
    <w:rsid w:val="3E0C4910"/>
    <w:rsid w:val="3E155703"/>
    <w:rsid w:val="3E1D1D46"/>
    <w:rsid w:val="3E1F1D14"/>
    <w:rsid w:val="3E296F8A"/>
    <w:rsid w:val="3E360C42"/>
    <w:rsid w:val="3E425609"/>
    <w:rsid w:val="3E4901AC"/>
    <w:rsid w:val="3E4A5C4A"/>
    <w:rsid w:val="3E4F79B6"/>
    <w:rsid w:val="3E5126A6"/>
    <w:rsid w:val="3E5153D5"/>
    <w:rsid w:val="3E5A731E"/>
    <w:rsid w:val="3E6354BA"/>
    <w:rsid w:val="3E662637"/>
    <w:rsid w:val="3E667866"/>
    <w:rsid w:val="3E6821A8"/>
    <w:rsid w:val="3E6A245E"/>
    <w:rsid w:val="3E6E05CF"/>
    <w:rsid w:val="3E6E6AC5"/>
    <w:rsid w:val="3E790781"/>
    <w:rsid w:val="3E7A7E71"/>
    <w:rsid w:val="3E7D2420"/>
    <w:rsid w:val="3E7F14B6"/>
    <w:rsid w:val="3E8243C5"/>
    <w:rsid w:val="3E866F6D"/>
    <w:rsid w:val="3E886C73"/>
    <w:rsid w:val="3E904E02"/>
    <w:rsid w:val="3E957ABA"/>
    <w:rsid w:val="3EB14E1E"/>
    <w:rsid w:val="3EB22D23"/>
    <w:rsid w:val="3EB30A00"/>
    <w:rsid w:val="3EBA36CD"/>
    <w:rsid w:val="3EBE576E"/>
    <w:rsid w:val="3EC17197"/>
    <w:rsid w:val="3EC43FD2"/>
    <w:rsid w:val="3ECF1599"/>
    <w:rsid w:val="3ECF1C4E"/>
    <w:rsid w:val="3ED11DD2"/>
    <w:rsid w:val="3ED34331"/>
    <w:rsid w:val="3ED90C05"/>
    <w:rsid w:val="3EDF3E59"/>
    <w:rsid w:val="3EE53721"/>
    <w:rsid w:val="3EE62E96"/>
    <w:rsid w:val="3EEC12F4"/>
    <w:rsid w:val="3EEF65C3"/>
    <w:rsid w:val="3EF51336"/>
    <w:rsid w:val="3EFA15D7"/>
    <w:rsid w:val="3F065BC6"/>
    <w:rsid w:val="3F0B79F9"/>
    <w:rsid w:val="3F0D17E4"/>
    <w:rsid w:val="3F150D7F"/>
    <w:rsid w:val="3F16118A"/>
    <w:rsid w:val="3F183DB0"/>
    <w:rsid w:val="3F187A17"/>
    <w:rsid w:val="3F1D480D"/>
    <w:rsid w:val="3F303B7D"/>
    <w:rsid w:val="3F3242F7"/>
    <w:rsid w:val="3F3568F4"/>
    <w:rsid w:val="3F372292"/>
    <w:rsid w:val="3F3D4544"/>
    <w:rsid w:val="3F4F39B7"/>
    <w:rsid w:val="3F536DD2"/>
    <w:rsid w:val="3F56409D"/>
    <w:rsid w:val="3F5D576F"/>
    <w:rsid w:val="3F641921"/>
    <w:rsid w:val="3F672853"/>
    <w:rsid w:val="3F672DF3"/>
    <w:rsid w:val="3F6F1B40"/>
    <w:rsid w:val="3F7430F2"/>
    <w:rsid w:val="3F85700A"/>
    <w:rsid w:val="3F8E6A5E"/>
    <w:rsid w:val="3F9243E5"/>
    <w:rsid w:val="3FA32AA5"/>
    <w:rsid w:val="3FA3687C"/>
    <w:rsid w:val="3FA91D8E"/>
    <w:rsid w:val="3FAA747E"/>
    <w:rsid w:val="3FAB449E"/>
    <w:rsid w:val="3FB14153"/>
    <w:rsid w:val="3FB81656"/>
    <w:rsid w:val="3FC44780"/>
    <w:rsid w:val="3FDA10F1"/>
    <w:rsid w:val="3FDA7B9E"/>
    <w:rsid w:val="3FE62971"/>
    <w:rsid w:val="3FF26370"/>
    <w:rsid w:val="3FF405FD"/>
    <w:rsid w:val="3FF410AF"/>
    <w:rsid w:val="3FFB3A93"/>
    <w:rsid w:val="400A43F0"/>
    <w:rsid w:val="400D1DCC"/>
    <w:rsid w:val="40142334"/>
    <w:rsid w:val="40252C37"/>
    <w:rsid w:val="402A490F"/>
    <w:rsid w:val="40435D31"/>
    <w:rsid w:val="4049769A"/>
    <w:rsid w:val="40551FB7"/>
    <w:rsid w:val="40556530"/>
    <w:rsid w:val="40597505"/>
    <w:rsid w:val="405B044B"/>
    <w:rsid w:val="40607E69"/>
    <w:rsid w:val="406406BB"/>
    <w:rsid w:val="406466D7"/>
    <w:rsid w:val="40685E88"/>
    <w:rsid w:val="406944F6"/>
    <w:rsid w:val="406D13FB"/>
    <w:rsid w:val="40734AF0"/>
    <w:rsid w:val="40741EFD"/>
    <w:rsid w:val="4077215F"/>
    <w:rsid w:val="40827EDD"/>
    <w:rsid w:val="40844C57"/>
    <w:rsid w:val="408C5472"/>
    <w:rsid w:val="408E430B"/>
    <w:rsid w:val="409E6664"/>
    <w:rsid w:val="40A155E6"/>
    <w:rsid w:val="40A82082"/>
    <w:rsid w:val="40A87679"/>
    <w:rsid w:val="40AA1CBE"/>
    <w:rsid w:val="40AA6858"/>
    <w:rsid w:val="40B86887"/>
    <w:rsid w:val="40C14F08"/>
    <w:rsid w:val="40C20EFA"/>
    <w:rsid w:val="40C70177"/>
    <w:rsid w:val="40CB426D"/>
    <w:rsid w:val="40CC3EF8"/>
    <w:rsid w:val="40CC7E0C"/>
    <w:rsid w:val="40CD7D32"/>
    <w:rsid w:val="40D62182"/>
    <w:rsid w:val="40DF69D6"/>
    <w:rsid w:val="40E239D9"/>
    <w:rsid w:val="40E869F3"/>
    <w:rsid w:val="40FC3E29"/>
    <w:rsid w:val="4101629D"/>
    <w:rsid w:val="41025797"/>
    <w:rsid w:val="410829EE"/>
    <w:rsid w:val="410E04D7"/>
    <w:rsid w:val="411808D6"/>
    <w:rsid w:val="411900EA"/>
    <w:rsid w:val="41197D64"/>
    <w:rsid w:val="411D598C"/>
    <w:rsid w:val="4121519B"/>
    <w:rsid w:val="41382436"/>
    <w:rsid w:val="41384096"/>
    <w:rsid w:val="41393261"/>
    <w:rsid w:val="41394C43"/>
    <w:rsid w:val="413A3AAE"/>
    <w:rsid w:val="413A50E8"/>
    <w:rsid w:val="413C1CD0"/>
    <w:rsid w:val="413E3FAA"/>
    <w:rsid w:val="41400BED"/>
    <w:rsid w:val="41463ECD"/>
    <w:rsid w:val="415236C3"/>
    <w:rsid w:val="415E024B"/>
    <w:rsid w:val="415F1232"/>
    <w:rsid w:val="41607DC8"/>
    <w:rsid w:val="416938F2"/>
    <w:rsid w:val="41724958"/>
    <w:rsid w:val="41790474"/>
    <w:rsid w:val="417B061B"/>
    <w:rsid w:val="417B5826"/>
    <w:rsid w:val="417C189D"/>
    <w:rsid w:val="41800BDB"/>
    <w:rsid w:val="418E62D3"/>
    <w:rsid w:val="41902FEB"/>
    <w:rsid w:val="4192524E"/>
    <w:rsid w:val="41961A18"/>
    <w:rsid w:val="419833D1"/>
    <w:rsid w:val="419F1829"/>
    <w:rsid w:val="41A70C20"/>
    <w:rsid w:val="41BD4F9E"/>
    <w:rsid w:val="41BE25BF"/>
    <w:rsid w:val="41C37E95"/>
    <w:rsid w:val="41C510DE"/>
    <w:rsid w:val="41C66480"/>
    <w:rsid w:val="41C76A75"/>
    <w:rsid w:val="41CB5A5F"/>
    <w:rsid w:val="41D47F05"/>
    <w:rsid w:val="41DC3A1F"/>
    <w:rsid w:val="41E27502"/>
    <w:rsid w:val="41E82B36"/>
    <w:rsid w:val="41EF06CC"/>
    <w:rsid w:val="41F65A8F"/>
    <w:rsid w:val="41FB4131"/>
    <w:rsid w:val="42043DBD"/>
    <w:rsid w:val="42044E8C"/>
    <w:rsid w:val="420825DB"/>
    <w:rsid w:val="4211020F"/>
    <w:rsid w:val="421B2DBF"/>
    <w:rsid w:val="42282A47"/>
    <w:rsid w:val="422B4ACC"/>
    <w:rsid w:val="423908B2"/>
    <w:rsid w:val="423F12B4"/>
    <w:rsid w:val="423F2EAE"/>
    <w:rsid w:val="4242268F"/>
    <w:rsid w:val="42466673"/>
    <w:rsid w:val="424C086A"/>
    <w:rsid w:val="424C3C9E"/>
    <w:rsid w:val="424D37D3"/>
    <w:rsid w:val="42524934"/>
    <w:rsid w:val="4256223F"/>
    <w:rsid w:val="425A322A"/>
    <w:rsid w:val="425A4166"/>
    <w:rsid w:val="425D6CF3"/>
    <w:rsid w:val="426D7D2D"/>
    <w:rsid w:val="42700B25"/>
    <w:rsid w:val="4271011F"/>
    <w:rsid w:val="427515C7"/>
    <w:rsid w:val="427D3333"/>
    <w:rsid w:val="428077DD"/>
    <w:rsid w:val="428E163C"/>
    <w:rsid w:val="42916FFD"/>
    <w:rsid w:val="429326E6"/>
    <w:rsid w:val="429D25D4"/>
    <w:rsid w:val="429F7E4D"/>
    <w:rsid w:val="42A11461"/>
    <w:rsid w:val="42A2011F"/>
    <w:rsid w:val="42A65BBE"/>
    <w:rsid w:val="42AC35F9"/>
    <w:rsid w:val="42AC51AD"/>
    <w:rsid w:val="42B27A00"/>
    <w:rsid w:val="42B755D6"/>
    <w:rsid w:val="42C169DE"/>
    <w:rsid w:val="42C574B9"/>
    <w:rsid w:val="42DA7926"/>
    <w:rsid w:val="42DE22DA"/>
    <w:rsid w:val="42DE6ED4"/>
    <w:rsid w:val="42DF4419"/>
    <w:rsid w:val="42E337FF"/>
    <w:rsid w:val="42E36B1E"/>
    <w:rsid w:val="42F4414D"/>
    <w:rsid w:val="42F87EFD"/>
    <w:rsid w:val="42FD4A18"/>
    <w:rsid w:val="430041CB"/>
    <w:rsid w:val="43077E2F"/>
    <w:rsid w:val="430D1820"/>
    <w:rsid w:val="430F05F8"/>
    <w:rsid w:val="430F0D37"/>
    <w:rsid w:val="43137833"/>
    <w:rsid w:val="43180EA6"/>
    <w:rsid w:val="43242E2E"/>
    <w:rsid w:val="433056B9"/>
    <w:rsid w:val="433364B4"/>
    <w:rsid w:val="433944A5"/>
    <w:rsid w:val="433A64DF"/>
    <w:rsid w:val="433C30FD"/>
    <w:rsid w:val="43465E16"/>
    <w:rsid w:val="434875E3"/>
    <w:rsid w:val="434B016E"/>
    <w:rsid w:val="434E181A"/>
    <w:rsid w:val="43506E03"/>
    <w:rsid w:val="435435D0"/>
    <w:rsid w:val="43592522"/>
    <w:rsid w:val="435F664B"/>
    <w:rsid w:val="436935AE"/>
    <w:rsid w:val="43723036"/>
    <w:rsid w:val="43740F52"/>
    <w:rsid w:val="43795E85"/>
    <w:rsid w:val="43830F44"/>
    <w:rsid w:val="438755AF"/>
    <w:rsid w:val="4397168B"/>
    <w:rsid w:val="43A84BF2"/>
    <w:rsid w:val="43A85F93"/>
    <w:rsid w:val="43B43681"/>
    <w:rsid w:val="43C22084"/>
    <w:rsid w:val="43CD07A1"/>
    <w:rsid w:val="43CD417A"/>
    <w:rsid w:val="43D44390"/>
    <w:rsid w:val="43DA527A"/>
    <w:rsid w:val="43DC24DE"/>
    <w:rsid w:val="43E0610B"/>
    <w:rsid w:val="43E6476E"/>
    <w:rsid w:val="43EB7CBD"/>
    <w:rsid w:val="43FD12E6"/>
    <w:rsid w:val="43FD545B"/>
    <w:rsid w:val="4427498A"/>
    <w:rsid w:val="442752D1"/>
    <w:rsid w:val="442819DC"/>
    <w:rsid w:val="44321581"/>
    <w:rsid w:val="443C6CFC"/>
    <w:rsid w:val="444018F2"/>
    <w:rsid w:val="444068DB"/>
    <w:rsid w:val="44464697"/>
    <w:rsid w:val="444729A8"/>
    <w:rsid w:val="44502969"/>
    <w:rsid w:val="4457063A"/>
    <w:rsid w:val="44597E8D"/>
    <w:rsid w:val="445C0775"/>
    <w:rsid w:val="44637FE1"/>
    <w:rsid w:val="44676B4E"/>
    <w:rsid w:val="446902DF"/>
    <w:rsid w:val="446934B8"/>
    <w:rsid w:val="446C4E2F"/>
    <w:rsid w:val="44785494"/>
    <w:rsid w:val="44790C04"/>
    <w:rsid w:val="44853963"/>
    <w:rsid w:val="448F635F"/>
    <w:rsid w:val="4491415B"/>
    <w:rsid w:val="449A2941"/>
    <w:rsid w:val="449D0843"/>
    <w:rsid w:val="44AA098A"/>
    <w:rsid w:val="44B577B6"/>
    <w:rsid w:val="44BD7B2A"/>
    <w:rsid w:val="44C071C4"/>
    <w:rsid w:val="44C601E4"/>
    <w:rsid w:val="44CD5E69"/>
    <w:rsid w:val="44CF1705"/>
    <w:rsid w:val="44D04783"/>
    <w:rsid w:val="44D13EEF"/>
    <w:rsid w:val="44D869EF"/>
    <w:rsid w:val="44E67F98"/>
    <w:rsid w:val="44E71B78"/>
    <w:rsid w:val="44E83A07"/>
    <w:rsid w:val="44EA7E38"/>
    <w:rsid w:val="44F15B6E"/>
    <w:rsid w:val="44F45128"/>
    <w:rsid w:val="44F832C3"/>
    <w:rsid w:val="44F903A3"/>
    <w:rsid w:val="44FA0F7B"/>
    <w:rsid w:val="44FC207C"/>
    <w:rsid w:val="450E1AE0"/>
    <w:rsid w:val="450E3E12"/>
    <w:rsid w:val="451323F9"/>
    <w:rsid w:val="451371E7"/>
    <w:rsid w:val="451512B0"/>
    <w:rsid w:val="451B1802"/>
    <w:rsid w:val="451E53CC"/>
    <w:rsid w:val="45215810"/>
    <w:rsid w:val="45241BD2"/>
    <w:rsid w:val="45292354"/>
    <w:rsid w:val="4534194A"/>
    <w:rsid w:val="453E0B02"/>
    <w:rsid w:val="453F137A"/>
    <w:rsid w:val="45402EB0"/>
    <w:rsid w:val="454371FB"/>
    <w:rsid w:val="454528A1"/>
    <w:rsid w:val="45461D3E"/>
    <w:rsid w:val="454E7965"/>
    <w:rsid w:val="45516C3E"/>
    <w:rsid w:val="45552037"/>
    <w:rsid w:val="45594CBE"/>
    <w:rsid w:val="455C4C9D"/>
    <w:rsid w:val="4565245B"/>
    <w:rsid w:val="45656B30"/>
    <w:rsid w:val="4567108C"/>
    <w:rsid w:val="45676F70"/>
    <w:rsid w:val="456F14A4"/>
    <w:rsid w:val="456F5976"/>
    <w:rsid w:val="45880DD8"/>
    <w:rsid w:val="458C4971"/>
    <w:rsid w:val="45926EEA"/>
    <w:rsid w:val="4595085A"/>
    <w:rsid w:val="459641C0"/>
    <w:rsid w:val="45AA64EE"/>
    <w:rsid w:val="45B05B91"/>
    <w:rsid w:val="45B1596C"/>
    <w:rsid w:val="45B51968"/>
    <w:rsid w:val="45BB6EFC"/>
    <w:rsid w:val="45BE7740"/>
    <w:rsid w:val="45CD1FF3"/>
    <w:rsid w:val="45D72262"/>
    <w:rsid w:val="45DC7D2E"/>
    <w:rsid w:val="45E33617"/>
    <w:rsid w:val="45E46FC6"/>
    <w:rsid w:val="45E550CD"/>
    <w:rsid w:val="45EF089D"/>
    <w:rsid w:val="45F04172"/>
    <w:rsid w:val="45F06D7A"/>
    <w:rsid w:val="45F63AFC"/>
    <w:rsid w:val="460437F6"/>
    <w:rsid w:val="46095667"/>
    <w:rsid w:val="460D75BA"/>
    <w:rsid w:val="461C636C"/>
    <w:rsid w:val="461D01B4"/>
    <w:rsid w:val="46250BF2"/>
    <w:rsid w:val="462837C6"/>
    <w:rsid w:val="462A7AA4"/>
    <w:rsid w:val="46366024"/>
    <w:rsid w:val="46367096"/>
    <w:rsid w:val="464204F7"/>
    <w:rsid w:val="464452B9"/>
    <w:rsid w:val="46475247"/>
    <w:rsid w:val="464D5746"/>
    <w:rsid w:val="464E6C07"/>
    <w:rsid w:val="4652306A"/>
    <w:rsid w:val="46554B48"/>
    <w:rsid w:val="4661684D"/>
    <w:rsid w:val="466B2726"/>
    <w:rsid w:val="466E7576"/>
    <w:rsid w:val="467C21F2"/>
    <w:rsid w:val="467E6DC8"/>
    <w:rsid w:val="4681763F"/>
    <w:rsid w:val="46913CAA"/>
    <w:rsid w:val="4697348C"/>
    <w:rsid w:val="46A61BFD"/>
    <w:rsid w:val="46A7355E"/>
    <w:rsid w:val="46C41F77"/>
    <w:rsid w:val="46D131A7"/>
    <w:rsid w:val="46D32C80"/>
    <w:rsid w:val="46D336B0"/>
    <w:rsid w:val="46D734D1"/>
    <w:rsid w:val="46DD2C18"/>
    <w:rsid w:val="46DF267B"/>
    <w:rsid w:val="46E26E65"/>
    <w:rsid w:val="46ED539A"/>
    <w:rsid w:val="46EE148F"/>
    <w:rsid w:val="46F27C78"/>
    <w:rsid w:val="46F353D6"/>
    <w:rsid w:val="46F35D13"/>
    <w:rsid w:val="46F76480"/>
    <w:rsid w:val="46FB3A51"/>
    <w:rsid w:val="46FB5C88"/>
    <w:rsid w:val="470178BC"/>
    <w:rsid w:val="47052A5B"/>
    <w:rsid w:val="470533C1"/>
    <w:rsid w:val="471719A2"/>
    <w:rsid w:val="471B3868"/>
    <w:rsid w:val="47357AE2"/>
    <w:rsid w:val="473C55B7"/>
    <w:rsid w:val="473F470C"/>
    <w:rsid w:val="473F6DB0"/>
    <w:rsid w:val="4742286A"/>
    <w:rsid w:val="474C0126"/>
    <w:rsid w:val="47522A8A"/>
    <w:rsid w:val="47575A28"/>
    <w:rsid w:val="475F57A9"/>
    <w:rsid w:val="476640B2"/>
    <w:rsid w:val="4772434B"/>
    <w:rsid w:val="47846DF4"/>
    <w:rsid w:val="4786400E"/>
    <w:rsid w:val="47870149"/>
    <w:rsid w:val="478B2283"/>
    <w:rsid w:val="478E6A28"/>
    <w:rsid w:val="4791293A"/>
    <w:rsid w:val="47973ABA"/>
    <w:rsid w:val="4798137E"/>
    <w:rsid w:val="479A48E9"/>
    <w:rsid w:val="479B043C"/>
    <w:rsid w:val="47A06D86"/>
    <w:rsid w:val="47A64BEC"/>
    <w:rsid w:val="47AF7F6E"/>
    <w:rsid w:val="47B040CF"/>
    <w:rsid w:val="47BA2E98"/>
    <w:rsid w:val="47C43776"/>
    <w:rsid w:val="47C52E6F"/>
    <w:rsid w:val="47CA610C"/>
    <w:rsid w:val="47CB573F"/>
    <w:rsid w:val="47D178FD"/>
    <w:rsid w:val="47D320F9"/>
    <w:rsid w:val="47D71F9F"/>
    <w:rsid w:val="47E12632"/>
    <w:rsid w:val="47EA3DAA"/>
    <w:rsid w:val="47EC1120"/>
    <w:rsid w:val="47F22F77"/>
    <w:rsid w:val="47F42DFF"/>
    <w:rsid w:val="47FC782A"/>
    <w:rsid w:val="48045EC8"/>
    <w:rsid w:val="48085492"/>
    <w:rsid w:val="48151831"/>
    <w:rsid w:val="48155063"/>
    <w:rsid w:val="481E0E29"/>
    <w:rsid w:val="48352F00"/>
    <w:rsid w:val="483829F6"/>
    <w:rsid w:val="483E03A1"/>
    <w:rsid w:val="48406FEF"/>
    <w:rsid w:val="485108B4"/>
    <w:rsid w:val="48581B1B"/>
    <w:rsid w:val="48590EB2"/>
    <w:rsid w:val="485D42C2"/>
    <w:rsid w:val="48623287"/>
    <w:rsid w:val="486A0617"/>
    <w:rsid w:val="486B5B1F"/>
    <w:rsid w:val="486E6EEB"/>
    <w:rsid w:val="487249A5"/>
    <w:rsid w:val="487A6CCB"/>
    <w:rsid w:val="48824D9B"/>
    <w:rsid w:val="48864741"/>
    <w:rsid w:val="4888656D"/>
    <w:rsid w:val="4892300F"/>
    <w:rsid w:val="48992E34"/>
    <w:rsid w:val="48A35484"/>
    <w:rsid w:val="48A40B36"/>
    <w:rsid w:val="48AC2C76"/>
    <w:rsid w:val="48AE6A4D"/>
    <w:rsid w:val="48B32CA5"/>
    <w:rsid w:val="48B7622C"/>
    <w:rsid w:val="48B931F7"/>
    <w:rsid w:val="48B96E82"/>
    <w:rsid w:val="48BC6A1A"/>
    <w:rsid w:val="48D1036E"/>
    <w:rsid w:val="48D74BB5"/>
    <w:rsid w:val="48DF5253"/>
    <w:rsid w:val="48E47722"/>
    <w:rsid w:val="48E755C3"/>
    <w:rsid w:val="48EE2267"/>
    <w:rsid w:val="48FF2528"/>
    <w:rsid w:val="49034BEA"/>
    <w:rsid w:val="490672C7"/>
    <w:rsid w:val="490C6944"/>
    <w:rsid w:val="490F0759"/>
    <w:rsid w:val="49161B52"/>
    <w:rsid w:val="491F0D76"/>
    <w:rsid w:val="492420DF"/>
    <w:rsid w:val="492E0FFC"/>
    <w:rsid w:val="49346B63"/>
    <w:rsid w:val="49362656"/>
    <w:rsid w:val="49454DBB"/>
    <w:rsid w:val="494649D2"/>
    <w:rsid w:val="494D68D7"/>
    <w:rsid w:val="494F5502"/>
    <w:rsid w:val="49503D27"/>
    <w:rsid w:val="49593BD4"/>
    <w:rsid w:val="49617657"/>
    <w:rsid w:val="496517B4"/>
    <w:rsid w:val="4968059C"/>
    <w:rsid w:val="496E150A"/>
    <w:rsid w:val="49706CFF"/>
    <w:rsid w:val="497154D5"/>
    <w:rsid w:val="49720E07"/>
    <w:rsid w:val="49731643"/>
    <w:rsid w:val="49752D77"/>
    <w:rsid w:val="497B6D9E"/>
    <w:rsid w:val="497C233D"/>
    <w:rsid w:val="4988760E"/>
    <w:rsid w:val="498B5CA2"/>
    <w:rsid w:val="498C4E75"/>
    <w:rsid w:val="49920894"/>
    <w:rsid w:val="499F29F8"/>
    <w:rsid w:val="49A358AF"/>
    <w:rsid w:val="49B03282"/>
    <w:rsid w:val="49BD50BA"/>
    <w:rsid w:val="49BD5C96"/>
    <w:rsid w:val="49C05CB4"/>
    <w:rsid w:val="49C30428"/>
    <w:rsid w:val="49CE38D0"/>
    <w:rsid w:val="49D15402"/>
    <w:rsid w:val="49D42A43"/>
    <w:rsid w:val="49D727D8"/>
    <w:rsid w:val="49D9673D"/>
    <w:rsid w:val="49DA743C"/>
    <w:rsid w:val="49E2378B"/>
    <w:rsid w:val="49E43E42"/>
    <w:rsid w:val="49E5210A"/>
    <w:rsid w:val="49EB7D92"/>
    <w:rsid w:val="49EC2E8E"/>
    <w:rsid w:val="49EF2C41"/>
    <w:rsid w:val="49FC12A2"/>
    <w:rsid w:val="4A016CDB"/>
    <w:rsid w:val="4A0D1CB5"/>
    <w:rsid w:val="4A117FBB"/>
    <w:rsid w:val="4A1C7579"/>
    <w:rsid w:val="4A291682"/>
    <w:rsid w:val="4A3578BB"/>
    <w:rsid w:val="4A384AAD"/>
    <w:rsid w:val="4A3C1545"/>
    <w:rsid w:val="4A413C1A"/>
    <w:rsid w:val="4A48031D"/>
    <w:rsid w:val="4A5350AC"/>
    <w:rsid w:val="4A5506BF"/>
    <w:rsid w:val="4A5F6EED"/>
    <w:rsid w:val="4A673D99"/>
    <w:rsid w:val="4A754493"/>
    <w:rsid w:val="4A761D4F"/>
    <w:rsid w:val="4A7704FA"/>
    <w:rsid w:val="4A7E496A"/>
    <w:rsid w:val="4A806932"/>
    <w:rsid w:val="4A8427F2"/>
    <w:rsid w:val="4A864086"/>
    <w:rsid w:val="4A8D4CAA"/>
    <w:rsid w:val="4A8E0CA3"/>
    <w:rsid w:val="4A9F6512"/>
    <w:rsid w:val="4AAB388A"/>
    <w:rsid w:val="4AAF1E31"/>
    <w:rsid w:val="4AC20CD4"/>
    <w:rsid w:val="4AC25B60"/>
    <w:rsid w:val="4AC412A3"/>
    <w:rsid w:val="4AC56436"/>
    <w:rsid w:val="4AC75A4E"/>
    <w:rsid w:val="4AC86F53"/>
    <w:rsid w:val="4ACA6A0E"/>
    <w:rsid w:val="4ACC23B4"/>
    <w:rsid w:val="4ACD6D51"/>
    <w:rsid w:val="4ACE775D"/>
    <w:rsid w:val="4AD00A5F"/>
    <w:rsid w:val="4AD24386"/>
    <w:rsid w:val="4AD365EF"/>
    <w:rsid w:val="4AE307FF"/>
    <w:rsid w:val="4AE35528"/>
    <w:rsid w:val="4AE8236C"/>
    <w:rsid w:val="4AF241CE"/>
    <w:rsid w:val="4AF76A55"/>
    <w:rsid w:val="4AF84256"/>
    <w:rsid w:val="4B084673"/>
    <w:rsid w:val="4B114A06"/>
    <w:rsid w:val="4B147A98"/>
    <w:rsid w:val="4B16605F"/>
    <w:rsid w:val="4B1D698B"/>
    <w:rsid w:val="4B215C74"/>
    <w:rsid w:val="4B2377E0"/>
    <w:rsid w:val="4B295468"/>
    <w:rsid w:val="4B301B28"/>
    <w:rsid w:val="4B306C86"/>
    <w:rsid w:val="4B3E694D"/>
    <w:rsid w:val="4B411416"/>
    <w:rsid w:val="4B4667C5"/>
    <w:rsid w:val="4B4B6AFE"/>
    <w:rsid w:val="4B4F735F"/>
    <w:rsid w:val="4B5217AE"/>
    <w:rsid w:val="4B541AEC"/>
    <w:rsid w:val="4B5A52D4"/>
    <w:rsid w:val="4B65672F"/>
    <w:rsid w:val="4B692A14"/>
    <w:rsid w:val="4B694E7E"/>
    <w:rsid w:val="4B7C748E"/>
    <w:rsid w:val="4B84122F"/>
    <w:rsid w:val="4B873DDF"/>
    <w:rsid w:val="4B8740F3"/>
    <w:rsid w:val="4B877724"/>
    <w:rsid w:val="4B8E41E8"/>
    <w:rsid w:val="4B906C07"/>
    <w:rsid w:val="4B965EA9"/>
    <w:rsid w:val="4B983192"/>
    <w:rsid w:val="4B9B2710"/>
    <w:rsid w:val="4BA243E3"/>
    <w:rsid w:val="4BB27A04"/>
    <w:rsid w:val="4BB41D5F"/>
    <w:rsid w:val="4BB46AEC"/>
    <w:rsid w:val="4BB46D28"/>
    <w:rsid w:val="4BB639BC"/>
    <w:rsid w:val="4BBB52CA"/>
    <w:rsid w:val="4BBC61DE"/>
    <w:rsid w:val="4BC61831"/>
    <w:rsid w:val="4BD4213A"/>
    <w:rsid w:val="4BD73CC0"/>
    <w:rsid w:val="4BE1487E"/>
    <w:rsid w:val="4BE37492"/>
    <w:rsid w:val="4BE40D82"/>
    <w:rsid w:val="4BE63277"/>
    <w:rsid w:val="4BE715D0"/>
    <w:rsid w:val="4BE719D0"/>
    <w:rsid w:val="4BEF4FCD"/>
    <w:rsid w:val="4BF37400"/>
    <w:rsid w:val="4BF85C75"/>
    <w:rsid w:val="4BFC623C"/>
    <w:rsid w:val="4BFC7340"/>
    <w:rsid w:val="4C002C84"/>
    <w:rsid w:val="4C066755"/>
    <w:rsid w:val="4C0843AC"/>
    <w:rsid w:val="4C0F740F"/>
    <w:rsid w:val="4C1A167A"/>
    <w:rsid w:val="4C1A2404"/>
    <w:rsid w:val="4C260F91"/>
    <w:rsid w:val="4C2E2E4B"/>
    <w:rsid w:val="4C2F6BBD"/>
    <w:rsid w:val="4C32172A"/>
    <w:rsid w:val="4C326301"/>
    <w:rsid w:val="4C354900"/>
    <w:rsid w:val="4C3553B3"/>
    <w:rsid w:val="4C3A09AC"/>
    <w:rsid w:val="4C3C26FF"/>
    <w:rsid w:val="4C452294"/>
    <w:rsid w:val="4C457F07"/>
    <w:rsid w:val="4C4703E9"/>
    <w:rsid w:val="4C4733BF"/>
    <w:rsid w:val="4C5A6740"/>
    <w:rsid w:val="4C5F0284"/>
    <w:rsid w:val="4C695C07"/>
    <w:rsid w:val="4C6D405E"/>
    <w:rsid w:val="4C6E4161"/>
    <w:rsid w:val="4C7063BD"/>
    <w:rsid w:val="4C72387C"/>
    <w:rsid w:val="4C803351"/>
    <w:rsid w:val="4C8D12F3"/>
    <w:rsid w:val="4C8F1816"/>
    <w:rsid w:val="4C9019E0"/>
    <w:rsid w:val="4C9F3958"/>
    <w:rsid w:val="4CA31C33"/>
    <w:rsid w:val="4CAC77F2"/>
    <w:rsid w:val="4CAF2930"/>
    <w:rsid w:val="4CBB0620"/>
    <w:rsid w:val="4CBC2465"/>
    <w:rsid w:val="4CBD7EBF"/>
    <w:rsid w:val="4CBF0972"/>
    <w:rsid w:val="4CC53424"/>
    <w:rsid w:val="4CCA632A"/>
    <w:rsid w:val="4CCC0AE2"/>
    <w:rsid w:val="4CD378E0"/>
    <w:rsid w:val="4CDA5ED4"/>
    <w:rsid w:val="4CDE1AD5"/>
    <w:rsid w:val="4CDF0D3C"/>
    <w:rsid w:val="4CE2379C"/>
    <w:rsid w:val="4CE271A2"/>
    <w:rsid w:val="4CE3179B"/>
    <w:rsid w:val="4CE96AFA"/>
    <w:rsid w:val="4CFB135D"/>
    <w:rsid w:val="4CFC2B5D"/>
    <w:rsid w:val="4D05104B"/>
    <w:rsid w:val="4D1153AD"/>
    <w:rsid w:val="4D122319"/>
    <w:rsid w:val="4D135635"/>
    <w:rsid w:val="4D1A3A9E"/>
    <w:rsid w:val="4D1E7538"/>
    <w:rsid w:val="4D2A5770"/>
    <w:rsid w:val="4D332BC0"/>
    <w:rsid w:val="4D3B063E"/>
    <w:rsid w:val="4D3D30EA"/>
    <w:rsid w:val="4D4A68DF"/>
    <w:rsid w:val="4D521735"/>
    <w:rsid w:val="4D5B4E5A"/>
    <w:rsid w:val="4D6E3C3E"/>
    <w:rsid w:val="4D700A0A"/>
    <w:rsid w:val="4D702A72"/>
    <w:rsid w:val="4D7E6966"/>
    <w:rsid w:val="4D7F400F"/>
    <w:rsid w:val="4D8339E1"/>
    <w:rsid w:val="4D841C11"/>
    <w:rsid w:val="4D8854E8"/>
    <w:rsid w:val="4D8F3017"/>
    <w:rsid w:val="4D9B7858"/>
    <w:rsid w:val="4DA52F9B"/>
    <w:rsid w:val="4DA71B80"/>
    <w:rsid w:val="4DBE7B68"/>
    <w:rsid w:val="4DC75BEC"/>
    <w:rsid w:val="4DC8482D"/>
    <w:rsid w:val="4DCB73D6"/>
    <w:rsid w:val="4DCD7AB3"/>
    <w:rsid w:val="4DD34C8F"/>
    <w:rsid w:val="4DD55E24"/>
    <w:rsid w:val="4DD74ADC"/>
    <w:rsid w:val="4DDD52DF"/>
    <w:rsid w:val="4DE16731"/>
    <w:rsid w:val="4DE31E49"/>
    <w:rsid w:val="4DEA73F4"/>
    <w:rsid w:val="4DEC69B6"/>
    <w:rsid w:val="4DF53C2B"/>
    <w:rsid w:val="4DF8764F"/>
    <w:rsid w:val="4DFB0F0C"/>
    <w:rsid w:val="4E02195D"/>
    <w:rsid w:val="4E090A51"/>
    <w:rsid w:val="4E137F54"/>
    <w:rsid w:val="4E140A76"/>
    <w:rsid w:val="4E1E3986"/>
    <w:rsid w:val="4E1E79AB"/>
    <w:rsid w:val="4E2B2ECA"/>
    <w:rsid w:val="4E3079CC"/>
    <w:rsid w:val="4E3D3C53"/>
    <w:rsid w:val="4E3E17C5"/>
    <w:rsid w:val="4E424E0A"/>
    <w:rsid w:val="4E430744"/>
    <w:rsid w:val="4E433CC5"/>
    <w:rsid w:val="4E4818E7"/>
    <w:rsid w:val="4E4C2A60"/>
    <w:rsid w:val="4E5529D7"/>
    <w:rsid w:val="4E597007"/>
    <w:rsid w:val="4E5D1640"/>
    <w:rsid w:val="4E83483E"/>
    <w:rsid w:val="4E8757D8"/>
    <w:rsid w:val="4E907E71"/>
    <w:rsid w:val="4E922D7B"/>
    <w:rsid w:val="4E931509"/>
    <w:rsid w:val="4E963CD6"/>
    <w:rsid w:val="4EAD4863"/>
    <w:rsid w:val="4EB042BB"/>
    <w:rsid w:val="4EBD0362"/>
    <w:rsid w:val="4EC4140B"/>
    <w:rsid w:val="4ED34529"/>
    <w:rsid w:val="4EDA20E9"/>
    <w:rsid w:val="4EE313F7"/>
    <w:rsid w:val="4EE9504C"/>
    <w:rsid w:val="4EEE7BD8"/>
    <w:rsid w:val="4EF4610A"/>
    <w:rsid w:val="4F0F01E8"/>
    <w:rsid w:val="4F0F596D"/>
    <w:rsid w:val="4F1376A4"/>
    <w:rsid w:val="4F143784"/>
    <w:rsid w:val="4F1902AC"/>
    <w:rsid w:val="4F295009"/>
    <w:rsid w:val="4F326A65"/>
    <w:rsid w:val="4F4D5393"/>
    <w:rsid w:val="4F50595C"/>
    <w:rsid w:val="4F5269A4"/>
    <w:rsid w:val="4F555439"/>
    <w:rsid w:val="4F5B52E2"/>
    <w:rsid w:val="4F5C247A"/>
    <w:rsid w:val="4F666433"/>
    <w:rsid w:val="4F6A26E5"/>
    <w:rsid w:val="4F6B5F32"/>
    <w:rsid w:val="4F6D42DF"/>
    <w:rsid w:val="4F6E529B"/>
    <w:rsid w:val="4F6F0FDE"/>
    <w:rsid w:val="4F7B5B61"/>
    <w:rsid w:val="4F896757"/>
    <w:rsid w:val="4F9F6C61"/>
    <w:rsid w:val="4FA27320"/>
    <w:rsid w:val="4FA75486"/>
    <w:rsid w:val="4FA95A40"/>
    <w:rsid w:val="4FB16D04"/>
    <w:rsid w:val="4FB408BD"/>
    <w:rsid w:val="4FB44E89"/>
    <w:rsid w:val="4FB56C6C"/>
    <w:rsid w:val="4FB95C76"/>
    <w:rsid w:val="4FBF6668"/>
    <w:rsid w:val="4FC52B8C"/>
    <w:rsid w:val="4FCA38B8"/>
    <w:rsid w:val="4FD41B13"/>
    <w:rsid w:val="4FD775AB"/>
    <w:rsid w:val="4FDF474B"/>
    <w:rsid w:val="4FE4008C"/>
    <w:rsid w:val="4FE90A4B"/>
    <w:rsid w:val="4FE919F6"/>
    <w:rsid w:val="4FE95145"/>
    <w:rsid w:val="4FEA5B71"/>
    <w:rsid w:val="4FEF7A0A"/>
    <w:rsid w:val="4FF579B6"/>
    <w:rsid w:val="500855AF"/>
    <w:rsid w:val="50093516"/>
    <w:rsid w:val="500A5CD2"/>
    <w:rsid w:val="50215BC6"/>
    <w:rsid w:val="50320C4B"/>
    <w:rsid w:val="503659CB"/>
    <w:rsid w:val="50443F88"/>
    <w:rsid w:val="506B5B4E"/>
    <w:rsid w:val="50732FA1"/>
    <w:rsid w:val="508E5DC2"/>
    <w:rsid w:val="508F7D26"/>
    <w:rsid w:val="5092573D"/>
    <w:rsid w:val="50A401C5"/>
    <w:rsid w:val="50AE2C23"/>
    <w:rsid w:val="50AE78F6"/>
    <w:rsid w:val="50B92D38"/>
    <w:rsid w:val="50CB242F"/>
    <w:rsid w:val="50D725AB"/>
    <w:rsid w:val="50DC5AC3"/>
    <w:rsid w:val="50E76594"/>
    <w:rsid w:val="50EC6D23"/>
    <w:rsid w:val="50F5234B"/>
    <w:rsid w:val="50F5754E"/>
    <w:rsid w:val="50FE5F0D"/>
    <w:rsid w:val="51095FB2"/>
    <w:rsid w:val="510B000C"/>
    <w:rsid w:val="510D191B"/>
    <w:rsid w:val="510D4AD7"/>
    <w:rsid w:val="51115D0E"/>
    <w:rsid w:val="511650EA"/>
    <w:rsid w:val="51170A05"/>
    <w:rsid w:val="511E61AC"/>
    <w:rsid w:val="51306688"/>
    <w:rsid w:val="51312361"/>
    <w:rsid w:val="5137779C"/>
    <w:rsid w:val="513B4F0F"/>
    <w:rsid w:val="51416DDF"/>
    <w:rsid w:val="515423FE"/>
    <w:rsid w:val="515769C3"/>
    <w:rsid w:val="51622688"/>
    <w:rsid w:val="5168648E"/>
    <w:rsid w:val="516B342B"/>
    <w:rsid w:val="516D3B0D"/>
    <w:rsid w:val="517C2101"/>
    <w:rsid w:val="517C4A1D"/>
    <w:rsid w:val="51847E47"/>
    <w:rsid w:val="51855D64"/>
    <w:rsid w:val="519268E7"/>
    <w:rsid w:val="51934EE7"/>
    <w:rsid w:val="519555A7"/>
    <w:rsid w:val="51A677CC"/>
    <w:rsid w:val="51AA5183"/>
    <w:rsid w:val="51BB408E"/>
    <w:rsid w:val="51BF62DF"/>
    <w:rsid w:val="51C06AD8"/>
    <w:rsid w:val="51C32DB0"/>
    <w:rsid w:val="51C6197A"/>
    <w:rsid w:val="51C930DB"/>
    <w:rsid w:val="51CC35E9"/>
    <w:rsid w:val="51D55469"/>
    <w:rsid w:val="51DA5195"/>
    <w:rsid w:val="51DB4D62"/>
    <w:rsid w:val="51DE5321"/>
    <w:rsid w:val="51E3762A"/>
    <w:rsid w:val="51EC4557"/>
    <w:rsid w:val="51F14AED"/>
    <w:rsid w:val="51F2552A"/>
    <w:rsid w:val="51F41AF0"/>
    <w:rsid w:val="51F50142"/>
    <w:rsid w:val="51F5233B"/>
    <w:rsid w:val="51F55A22"/>
    <w:rsid w:val="5200040D"/>
    <w:rsid w:val="520354CB"/>
    <w:rsid w:val="520541F0"/>
    <w:rsid w:val="52073B7E"/>
    <w:rsid w:val="521765E8"/>
    <w:rsid w:val="521C11C9"/>
    <w:rsid w:val="521C6281"/>
    <w:rsid w:val="521D2FE9"/>
    <w:rsid w:val="52233D4A"/>
    <w:rsid w:val="52294B9F"/>
    <w:rsid w:val="522C22A3"/>
    <w:rsid w:val="522D2A50"/>
    <w:rsid w:val="522F1F8F"/>
    <w:rsid w:val="52316617"/>
    <w:rsid w:val="52353700"/>
    <w:rsid w:val="52354240"/>
    <w:rsid w:val="52366388"/>
    <w:rsid w:val="523B0129"/>
    <w:rsid w:val="523E496F"/>
    <w:rsid w:val="52484B88"/>
    <w:rsid w:val="524B2C32"/>
    <w:rsid w:val="52574ACD"/>
    <w:rsid w:val="52646DB1"/>
    <w:rsid w:val="52707276"/>
    <w:rsid w:val="52845EB7"/>
    <w:rsid w:val="52906FD2"/>
    <w:rsid w:val="529356BA"/>
    <w:rsid w:val="52966C2F"/>
    <w:rsid w:val="529E0F36"/>
    <w:rsid w:val="52A23C0B"/>
    <w:rsid w:val="52A6610C"/>
    <w:rsid w:val="52A963E2"/>
    <w:rsid w:val="52AC4D56"/>
    <w:rsid w:val="52B247FA"/>
    <w:rsid w:val="52B54557"/>
    <w:rsid w:val="52B75523"/>
    <w:rsid w:val="52BD0319"/>
    <w:rsid w:val="52BF1C4C"/>
    <w:rsid w:val="52C75236"/>
    <w:rsid w:val="52CB6C02"/>
    <w:rsid w:val="52D72801"/>
    <w:rsid w:val="52DA39EB"/>
    <w:rsid w:val="52E527CE"/>
    <w:rsid w:val="52F31070"/>
    <w:rsid w:val="52F9634E"/>
    <w:rsid w:val="52FC47D9"/>
    <w:rsid w:val="53102AD3"/>
    <w:rsid w:val="53136379"/>
    <w:rsid w:val="531E61D4"/>
    <w:rsid w:val="53220C74"/>
    <w:rsid w:val="532C2830"/>
    <w:rsid w:val="53390769"/>
    <w:rsid w:val="53421A0C"/>
    <w:rsid w:val="534F756F"/>
    <w:rsid w:val="53520A71"/>
    <w:rsid w:val="535B1E03"/>
    <w:rsid w:val="535C0C90"/>
    <w:rsid w:val="536C21A9"/>
    <w:rsid w:val="53721B0A"/>
    <w:rsid w:val="5372773D"/>
    <w:rsid w:val="53802ED2"/>
    <w:rsid w:val="53842794"/>
    <w:rsid w:val="53854EEE"/>
    <w:rsid w:val="53921B0A"/>
    <w:rsid w:val="53A72354"/>
    <w:rsid w:val="53A85008"/>
    <w:rsid w:val="53B706AA"/>
    <w:rsid w:val="53BA61E4"/>
    <w:rsid w:val="53C47235"/>
    <w:rsid w:val="53C925D9"/>
    <w:rsid w:val="53CC12AA"/>
    <w:rsid w:val="53D42E6E"/>
    <w:rsid w:val="53D43B1B"/>
    <w:rsid w:val="53DD526E"/>
    <w:rsid w:val="53E029A2"/>
    <w:rsid w:val="53E547D3"/>
    <w:rsid w:val="53EA7E04"/>
    <w:rsid w:val="53F41131"/>
    <w:rsid w:val="53F574AE"/>
    <w:rsid w:val="53F74202"/>
    <w:rsid w:val="54026824"/>
    <w:rsid w:val="540C4DFC"/>
    <w:rsid w:val="540D0AA4"/>
    <w:rsid w:val="54263737"/>
    <w:rsid w:val="54383CB5"/>
    <w:rsid w:val="543A53F1"/>
    <w:rsid w:val="543E6A4D"/>
    <w:rsid w:val="544357B4"/>
    <w:rsid w:val="54465F32"/>
    <w:rsid w:val="544A290C"/>
    <w:rsid w:val="54585883"/>
    <w:rsid w:val="54597AAC"/>
    <w:rsid w:val="5463222A"/>
    <w:rsid w:val="546332E9"/>
    <w:rsid w:val="546C25C1"/>
    <w:rsid w:val="546F49CE"/>
    <w:rsid w:val="5474707F"/>
    <w:rsid w:val="548B28B2"/>
    <w:rsid w:val="548D7D11"/>
    <w:rsid w:val="549E51CE"/>
    <w:rsid w:val="54A038F0"/>
    <w:rsid w:val="54A42661"/>
    <w:rsid w:val="54AD4386"/>
    <w:rsid w:val="54AE1F7B"/>
    <w:rsid w:val="54AE28DD"/>
    <w:rsid w:val="54B41788"/>
    <w:rsid w:val="54BB22D5"/>
    <w:rsid w:val="54BD7EA8"/>
    <w:rsid w:val="54C348F3"/>
    <w:rsid w:val="54D94277"/>
    <w:rsid w:val="54DC5DF9"/>
    <w:rsid w:val="54DE4A6C"/>
    <w:rsid w:val="54E05932"/>
    <w:rsid w:val="54E621CF"/>
    <w:rsid w:val="54ED2559"/>
    <w:rsid w:val="54F16A8B"/>
    <w:rsid w:val="54F73880"/>
    <w:rsid w:val="55072D48"/>
    <w:rsid w:val="55097099"/>
    <w:rsid w:val="551873A0"/>
    <w:rsid w:val="551A3E80"/>
    <w:rsid w:val="551B6D58"/>
    <w:rsid w:val="551C1CF9"/>
    <w:rsid w:val="551E0B73"/>
    <w:rsid w:val="552B71A0"/>
    <w:rsid w:val="552C6193"/>
    <w:rsid w:val="552D212B"/>
    <w:rsid w:val="552D73F1"/>
    <w:rsid w:val="55420070"/>
    <w:rsid w:val="5551156F"/>
    <w:rsid w:val="555603D6"/>
    <w:rsid w:val="555820DE"/>
    <w:rsid w:val="555E20A2"/>
    <w:rsid w:val="55601C81"/>
    <w:rsid w:val="55615F25"/>
    <w:rsid w:val="55631929"/>
    <w:rsid w:val="556327FA"/>
    <w:rsid w:val="556C2A31"/>
    <w:rsid w:val="556F4CDC"/>
    <w:rsid w:val="55752396"/>
    <w:rsid w:val="557578BA"/>
    <w:rsid w:val="5578103F"/>
    <w:rsid w:val="557E4F88"/>
    <w:rsid w:val="557F18FF"/>
    <w:rsid w:val="558A2526"/>
    <w:rsid w:val="558B2D8E"/>
    <w:rsid w:val="558C361C"/>
    <w:rsid w:val="55946DE6"/>
    <w:rsid w:val="559664D9"/>
    <w:rsid w:val="55AE4728"/>
    <w:rsid w:val="55BB667A"/>
    <w:rsid w:val="55C05DB6"/>
    <w:rsid w:val="55D92BD8"/>
    <w:rsid w:val="55DD064F"/>
    <w:rsid w:val="55DE0247"/>
    <w:rsid w:val="55EE7DAE"/>
    <w:rsid w:val="55EF0A06"/>
    <w:rsid w:val="55F043A1"/>
    <w:rsid w:val="55F11252"/>
    <w:rsid w:val="55F16E3C"/>
    <w:rsid w:val="55F3103B"/>
    <w:rsid w:val="55F72763"/>
    <w:rsid w:val="55FE7D65"/>
    <w:rsid w:val="56020D31"/>
    <w:rsid w:val="5606205A"/>
    <w:rsid w:val="561361E0"/>
    <w:rsid w:val="562306D4"/>
    <w:rsid w:val="562E6265"/>
    <w:rsid w:val="562F5724"/>
    <w:rsid w:val="56307BDA"/>
    <w:rsid w:val="563425F3"/>
    <w:rsid w:val="563E7F76"/>
    <w:rsid w:val="56465731"/>
    <w:rsid w:val="56494A4A"/>
    <w:rsid w:val="564C2384"/>
    <w:rsid w:val="565175B9"/>
    <w:rsid w:val="565569F0"/>
    <w:rsid w:val="56563FD8"/>
    <w:rsid w:val="5657159A"/>
    <w:rsid w:val="5658448A"/>
    <w:rsid w:val="566A4E5F"/>
    <w:rsid w:val="567243C1"/>
    <w:rsid w:val="56843736"/>
    <w:rsid w:val="568657D3"/>
    <w:rsid w:val="5687508A"/>
    <w:rsid w:val="56894682"/>
    <w:rsid w:val="568B5B87"/>
    <w:rsid w:val="56952515"/>
    <w:rsid w:val="569A5635"/>
    <w:rsid w:val="569B2727"/>
    <w:rsid w:val="569D1A2E"/>
    <w:rsid w:val="56A33B92"/>
    <w:rsid w:val="56B02E08"/>
    <w:rsid w:val="56B13F75"/>
    <w:rsid w:val="56B50E7C"/>
    <w:rsid w:val="56B51277"/>
    <w:rsid w:val="56BA3715"/>
    <w:rsid w:val="56C63329"/>
    <w:rsid w:val="56C8000A"/>
    <w:rsid w:val="56D47CBC"/>
    <w:rsid w:val="56D63B94"/>
    <w:rsid w:val="56DF57ED"/>
    <w:rsid w:val="56E034C0"/>
    <w:rsid w:val="56E1584E"/>
    <w:rsid w:val="56E31739"/>
    <w:rsid w:val="56E94382"/>
    <w:rsid w:val="56EC1644"/>
    <w:rsid w:val="56F2596A"/>
    <w:rsid w:val="56F26741"/>
    <w:rsid w:val="56F273CD"/>
    <w:rsid w:val="56F723B0"/>
    <w:rsid w:val="57011D65"/>
    <w:rsid w:val="570A2513"/>
    <w:rsid w:val="570B3C7B"/>
    <w:rsid w:val="57137B7B"/>
    <w:rsid w:val="571A100B"/>
    <w:rsid w:val="571E2D59"/>
    <w:rsid w:val="571E6563"/>
    <w:rsid w:val="571E6CC7"/>
    <w:rsid w:val="572F019E"/>
    <w:rsid w:val="573241F0"/>
    <w:rsid w:val="57343E2A"/>
    <w:rsid w:val="57357E1B"/>
    <w:rsid w:val="573604F1"/>
    <w:rsid w:val="573635DD"/>
    <w:rsid w:val="57393318"/>
    <w:rsid w:val="57395137"/>
    <w:rsid w:val="573A061C"/>
    <w:rsid w:val="573B08FA"/>
    <w:rsid w:val="57542446"/>
    <w:rsid w:val="575A0B21"/>
    <w:rsid w:val="575D1270"/>
    <w:rsid w:val="5766193A"/>
    <w:rsid w:val="576768BA"/>
    <w:rsid w:val="576E5034"/>
    <w:rsid w:val="577821D2"/>
    <w:rsid w:val="577B5C4B"/>
    <w:rsid w:val="57836BFA"/>
    <w:rsid w:val="57865DE5"/>
    <w:rsid w:val="578B1E85"/>
    <w:rsid w:val="579128E3"/>
    <w:rsid w:val="579A6DF4"/>
    <w:rsid w:val="579C6FED"/>
    <w:rsid w:val="57A604DF"/>
    <w:rsid w:val="57B3607C"/>
    <w:rsid w:val="57BA0587"/>
    <w:rsid w:val="57BA449A"/>
    <w:rsid w:val="57BC467D"/>
    <w:rsid w:val="57C14FC7"/>
    <w:rsid w:val="57C273F8"/>
    <w:rsid w:val="57CD7278"/>
    <w:rsid w:val="57D16E87"/>
    <w:rsid w:val="57D37E6D"/>
    <w:rsid w:val="57DE0455"/>
    <w:rsid w:val="57E14D07"/>
    <w:rsid w:val="57E20E24"/>
    <w:rsid w:val="57E40070"/>
    <w:rsid w:val="57E63960"/>
    <w:rsid w:val="57EB2315"/>
    <w:rsid w:val="57EB47EE"/>
    <w:rsid w:val="57EB6509"/>
    <w:rsid w:val="57F95F0F"/>
    <w:rsid w:val="580A2387"/>
    <w:rsid w:val="580D09CB"/>
    <w:rsid w:val="58113635"/>
    <w:rsid w:val="581450AD"/>
    <w:rsid w:val="58161322"/>
    <w:rsid w:val="581E10DB"/>
    <w:rsid w:val="581E4E26"/>
    <w:rsid w:val="58205BC3"/>
    <w:rsid w:val="582121D2"/>
    <w:rsid w:val="5823192F"/>
    <w:rsid w:val="582531CB"/>
    <w:rsid w:val="58274574"/>
    <w:rsid w:val="582A097E"/>
    <w:rsid w:val="582B7996"/>
    <w:rsid w:val="583833EC"/>
    <w:rsid w:val="583B07F8"/>
    <w:rsid w:val="58454EFD"/>
    <w:rsid w:val="584637BB"/>
    <w:rsid w:val="58540B69"/>
    <w:rsid w:val="58552F17"/>
    <w:rsid w:val="58566096"/>
    <w:rsid w:val="58566355"/>
    <w:rsid w:val="58601FCE"/>
    <w:rsid w:val="58627B4D"/>
    <w:rsid w:val="586D4F50"/>
    <w:rsid w:val="58720ADF"/>
    <w:rsid w:val="58721754"/>
    <w:rsid w:val="588028E9"/>
    <w:rsid w:val="588806E7"/>
    <w:rsid w:val="58895290"/>
    <w:rsid w:val="588D1B64"/>
    <w:rsid w:val="58932A50"/>
    <w:rsid w:val="589349CB"/>
    <w:rsid w:val="58AD385A"/>
    <w:rsid w:val="58AE24D6"/>
    <w:rsid w:val="58B4092F"/>
    <w:rsid w:val="58B7788D"/>
    <w:rsid w:val="58BE607F"/>
    <w:rsid w:val="58C84D97"/>
    <w:rsid w:val="58D0301E"/>
    <w:rsid w:val="58DD4D67"/>
    <w:rsid w:val="58E53F1E"/>
    <w:rsid w:val="58EA2EB6"/>
    <w:rsid w:val="58F50165"/>
    <w:rsid w:val="58F92654"/>
    <w:rsid w:val="58FD0A64"/>
    <w:rsid w:val="58FD2A23"/>
    <w:rsid w:val="59035BFD"/>
    <w:rsid w:val="59066EC7"/>
    <w:rsid w:val="590955B9"/>
    <w:rsid w:val="592164E1"/>
    <w:rsid w:val="59222993"/>
    <w:rsid w:val="59236EAE"/>
    <w:rsid w:val="5924089B"/>
    <w:rsid w:val="592471E6"/>
    <w:rsid w:val="592A5170"/>
    <w:rsid w:val="592D6BAC"/>
    <w:rsid w:val="592E7833"/>
    <w:rsid w:val="59322FA4"/>
    <w:rsid w:val="59395444"/>
    <w:rsid w:val="593C5340"/>
    <w:rsid w:val="594314F6"/>
    <w:rsid w:val="59477273"/>
    <w:rsid w:val="594A06FD"/>
    <w:rsid w:val="59671FCA"/>
    <w:rsid w:val="596A6252"/>
    <w:rsid w:val="597B2EAD"/>
    <w:rsid w:val="597D3006"/>
    <w:rsid w:val="598018C2"/>
    <w:rsid w:val="59850AC6"/>
    <w:rsid w:val="5987442F"/>
    <w:rsid w:val="5994067E"/>
    <w:rsid w:val="59A363FB"/>
    <w:rsid w:val="59A971E2"/>
    <w:rsid w:val="59AE4602"/>
    <w:rsid w:val="59AF2962"/>
    <w:rsid w:val="59AF5727"/>
    <w:rsid w:val="59B1697A"/>
    <w:rsid w:val="59B562CF"/>
    <w:rsid w:val="59B722DD"/>
    <w:rsid w:val="59B96E9E"/>
    <w:rsid w:val="59C06D19"/>
    <w:rsid w:val="59C23F59"/>
    <w:rsid w:val="59C634C0"/>
    <w:rsid w:val="59D4172F"/>
    <w:rsid w:val="59D61556"/>
    <w:rsid w:val="59DA2AE6"/>
    <w:rsid w:val="59E00BCD"/>
    <w:rsid w:val="59E30F94"/>
    <w:rsid w:val="59E62E48"/>
    <w:rsid w:val="59EA73BF"/>
    <w:rsid w:val="59F2620D"/>
    <w:rsid w:val="59F952D5"/>
    <w:rsid w:val="59FA2C63"/>
    <w:rsid w:val="59FE5733"/>
    <w:rsid w:val="5A001FDE"/>
    <w:rsid w:val="5A07169B"/>
    <w:rsid w:val="5A0912B1"/>
    <w:rsid w:val="5A12377D"/>
    <w:rsid w:val="5A1413D3"/>
    <w:rsid w:val="5A175A54"/>
    <w:rsid w:val="5A1A0EC8"/>
    <w:rsid w:val="5A1F0FA9"/>
    <w:rsid w:val="5A24383C"/>
    <w:rsid w:val="5A246D65"/>
    <w:rsid w:val="5A290D59"/>
    <w:rsid w:val="5A311769"/>
    <w:rsid w:val="5A3330B3"/>
    <w:rsid w:val="5A487AF9"/>
    <w:rsid w:val="5A541D21"/>
    <w:rsid w:val="5A580517"/>
    <w:rsid w:val="5A5D14B2"/>
    <w:rsid w:val="5A5D547C"/>
    <w:rsid w:val="5A6838D1"/>
    <w:rsid w:val="5A6B1963"/>
    <w:rsid w:val="5A6D46D3"/>
    <w:rsid w:val="5A7831A7"/>
    <w:rsid w:val="5A7D3D08"/>
    <w:rsid w:val="5A7E2F43"/>
    <w:rsid w:val="5A7F74B6"/>
    <w:rsid w:val="5A8337F3"/>
    <w:rsid w:val="5A8615A4"/>
    <w:rsid w:val="5A864F05"/>
    <w:rsid w:val="5A866425"/>
    <w:rsid w:val="5A883428"/>
    <w:rsid w:val="5A8B2353"/>
    <w:rsid w:val="5A8D18B6"/>
    <w:rsid w:val="5A8D5E79"/>
    <w:rsid w:val="5A911579"/>
    <w:rsid w:val="5A963A2C"/>
    <w:rsid w:val="5A9B2E9B"/>
    <w:rsid w:val="5AA05C23"/>
    <w:rsid w:val="5AA1750E"/>
    <w:rsid w:val="5AA517A5"/>
    <w:rsid w:val="5AAA783D"/>
    <w:rsid w:val="5AAB4BAC"/>
    <w:rsid w:val="5AAD5598"/>
    <w:rsid w:val="5AC3547B"/>
    <w:rsid w:val="5AC84754"/>
    <w:rsid w:val="5ACB4D5D"/>
    <w:rsid w:val="5ACD0BD1"/>
    <w:rsid w:val="5AD263B9"/>
    <w:rsid w:val="5AD50F77"/>
    <w:rsid w:val="5AD92FD3"/>
    <w:rsid w:val="5ADC2466"/>
    <w:rsid w:val="5ADD7F0D"/>
    <w:rsid w:val="5ADE06CB"/>
    <w:rsid w:val="5AE37CCF"/>
    <w:rsid w:val="5AE7474D"/>
    <w:rsid w:val="5AE8436A"/>
    <w:rsid w:val="5AEA433E"/>
    <w:rsid w:val="5AFB04BB"/>
    <w:rsid w:val="5B010305"/>
    <w:rsid w:val="5B023EC3"/>
    <w:rsid w:val="5B0B2228"/>
    <w:rsid w:val="5B0B6592"/>
    <w:rsid w:val="5B110DE6"/>
    <w:rsid w:val="5B16578A"/>
    <w:rsid w:val="5B1825BA"/>
    <w:rsid w:val="5B1C43A2"/>
    <w:rsid w:val="5B206AED"/>
    <w:rsid w:val="5B21632C"/>
    <w:rsid w:val="5B26781B"/>
    <w:rsid w:val="5B3069D5"/>
    <w:rsid w:val="5B32766D"/>
    <w:rsid w:val="5B356970"/>
    <w:rsid w:val="5B4138E1"/>
    <w:rsid w:val="5B4324D2"/>
    <w:rsid w:val="5B4641F3"/>
    <w:rsid w:val="5B471A90"/>
    <w:rsid w:val="5B4E64FB"/>
    <w:rsid w:val="5B56776D"/>
    <w:rsid w:val="5B683F40"/>
    <w:rsid w:val="5B686A02"/>
    <w:rsid w:val="5B6B5AC2"/>
    <w:rsid w:val="5B70101D"/>
    <w:rsid w:val="5B70779D"/>
    <w:rsid w:val="5B7106D7"/>
    <w:rsid w:val="5B723831"/>
    <w:rsid w:val="5B7C0EA1"/>
    <w:rsid w:val="5B8156E9"/>
    <w:rsid w:val="5B853951"/>
    <w:rsid w:val="5B866486"/>
    <w:rsid w:val="5B9312DB"/>
    <w:rsid w:val="5B955AE0"/>
    <w:rsid w:val="5B9749FF"/>
    <w:rsid w:val="5B983A01"/>
    <w:rsid w:val="5B9950E7"/>
    <w:rsid w:val="5B9A1671"/>
    <w:rsid w:val="5B9F3B78"/>
    <w:rsid w:val="5B9F60A7"/>
    <w:rsid w:val="5BA9528D"/>
    <w:rsid w:val="5BAD519C"/>
    <w:rsid w:val="5BAD72B9"/>
    <w:rsid w:val="5BB121C7"/>
    <w:rsid w:val="5BB56952"/>
    <w:rsid w:val="5BB70362"/>
    <w:rsid w:val="5BC638E7"/>
    <w:rsid w:val="5BC6455F"/>
    <w:rsid w:val="5BC72E68"/>
    <w:rsid w:val="5BE45089"/>
    <w:rsid w:val="5BEB2002"/>
    <w:rsid w:val="5BEC3CF3"/>
    <w:rsid w:val="5BF542BE"/>
    <w:rsid w:val="5BFF22FD"/>
    <w:rsid w:val="5C0557AC"/>
    <w:rsid w:val="5C0B1215"/>
    <w:rsid w:val="5C1C138A"/>
    <w:rsid w:val="5C1D74E6"/>
    <w:rsid w:val="5C2036DD"/>
    <w:rsid w:val="5C216BDB"/>
    <w:rsid w:val="5C2648AB"/>
    <w:rsid w:val="5C284528"/>
    <w:rsid w:val="5C334B13"/>
    <w:rsid w:val="5C355841"/>
    <w:rsid w:val="5C3F1EB9"/>
    <w:rsid w:val="5C49348B"/>
    <w:rsid w:val="5C4C6043"/>
    <w:rsid w:val="5C4D7BF2"/>
    <w:rsid w:val="5C4F474F"/>
    <w:rsid w:val="5C536354"/>
    <w:rsid w:val="5C542E34"/>
    <w:rsid w:val="5C553AB2"/>
    <w:rsid w:val="5C553B77"/>
    <w:rsid w:val="5C5E674E"/>
    <w:rsid w:val="5C5F281C"/>
    <w:rsid w:val="5C633134"/>
    <w:rsid w:val="5C683DF0"/>
    <w:rsid w:val="5C690F2A"/>
    <w:rsid w:val="5C6D2D57"/>
    <w:rsid w:val="5C6E2E6A"/>
    <w:rsid w:val="5C746AD6"/>
    <w:rsid w:val="5C7532D0"/>
    <w:rsid w:val="5C76314A"/>
    <w:rsid w:val="5C795135"/>
    <w:rsid w:val="5C874D9C"/>
    <w:rsid w:val="5C912A0E"/>
    <w:rsid w:val="5C9F4151"/>
    <w:rsid w:val="5CA455B1"/>
    <w:rsid w:val="5CA72FF4"/>
    <w:rsid w:val="5CA770E8"/>
    <w:rsid w:val="5CAA7ED2"/>
    <w:rsid w:val="5CAF581F"/>
    <w:rsid w:val="5CC463EA"/>
    <w:rsid w:val="5CCB2FA4"/>
    <w:rsid w:val="5CCD2F7B"/>
    <w:rsid w:val="5CD437C7"/>
    <w:rsid w:val="5CD50461"/>
    <w:rsid w:val="5CD80A26"/>
    <w:rsid w:val="5CD8751C"/>
    <w:rsid w:val="5CDF4D3B"/>
    <w:rsid w:val="5CE415AF"/>
    <w:rsid w:val="5CEB425B"/>
    <w:rsid w:val="5CED56B3"/>
    <w:rsid w:val="5CF52DE9"/>
    <w:rsid w:val="5CFA5594"/>
    <w:rsid w:val="5D073C8D"/>
    <w:rsid w:val="5D0D3316"/>
    <w:rsid w:val="5D0D63C3"/>
    <w:rsid w:val="5D131DBD"/>
    <w:rsid w:val="5D1769BA"/>
    <w:rsid w:val="5D194597"/>
    <w:rsid w:val="5D2C51FF"/>
    <w:rsid w:val="5D335984"/>
    <w:rsid w:val="5D3831A9"/>
    <w:rsid w:val="5D4719D0"/>
    <w:rsid w:val="5D4C06B6"/>
    <w:rsid w:val="5D4F0615"/>
    <w:rsid w:val="5D510A93"/>
    <w:rsid w:val="5D536B0C"/>
    <w:rsid w:val="5D5B1F20"/>
    <w:rsid w:val="5D631B97"/>
    <w:rsid w:val="5D6B4940"/>
    <w:rsid w:val="5D701CE9"/>
    <w:rsid w:val="5D745CED"/>
    <w:rsid w:val="5D76285A"/>
    <w:rsid w:val="5D770429"/>
    <w:rsid w:val="5D801093"/>
    <w:rsid w:val="5D8030EE"/>
    <w:rsid w:val="5D8142B6"/>
    <w:rsid w:val="5D8F1669"/>
    <w:rsid w:val="5D931437"/>
    <w:rsid w:val="5D9505AC"/>
    <w:rsid w:val="5D9E6704"/>
    <w:rsid w:val="5DA27308"/>
    <w:rsid w:val="5DA301B1"/>
    <w:rsid w:val="5DA97CDF"/>
    <w:rsid w:val="5DB840D5"/>
    <w:rsid w:val="5DBC6243"/>
    <w:rsid w:val="5DBE6003"/>
    <w:rsid w:val="5DC72C1B"/>
    <w:rsid w:val="5DF243F9"/>
    <w:rsid w:val="5DF2762A"/>
    <w:rsid w:val="5DFC354E"/>
    <w:rsid w:val="5E0006EA"/>
    <w:rsid w:val="5E060E97"/>
    <w:rsid w:val="5E094727"/>
    <w:rsid w:val="5E0D0108"/>
    <w:rsid w:val="5E1D4371"/>
    <w:rsid w:val="5E2354C1"/>
    <w:rsid w:val="5E241226"/>
    <w:rsid w:val="5E283023"/>
    <w:rsid w:val="5E2D5824"/>
    <w:rsid w:val="5E322837"/>
    <w:rsid w:val="5E336A69"/>
    <w:rsid w:val="5E3800CC"/>
    <w:rsid w:val="5E3B2A02"/>
    <w:rsid w:val="5E3C1BE2"/>
    <w:rsid w:val="5E4944E6"/>
    <w:rsid w:val="5E4C0E2D"/>
    <w:rsid w:val="5E601F09"/>
    <w:rsid w:val="5E6B15CF"/>
    <w:rsid w:val="5E6C5F4A"/>
    <w:rsid w:val="5E6F61F1"/>
    <w:rsid w:val="5E72073D"/>
    <w:rsid w:val="5E721BE4"/>
    <w:rsid w:val="5E737440"/>
    <w:rsid w:val="5E737B4F"/>
    <w:rsid w:val="5E7602D4"/>
    <w:rsid w:val="5E793C6B"/>
    <w:rsid w:val="5E7A375C"/>
    <w:rsid w:val="5E7A7E09"/>
    <w:rsid w:val="5E834061"/>
    <w:rsid w:val="5E8500F6"/>
    <w:rsid w:val="5E9141D4"/>
    <w:rsid w:val="5E9650BF"/>
    <w:rsid w:val="5E967012"/>
    <w:rsid w:val="5EA4633C"/>
    <w:rsid w:val="5EAB6DDE"/>
    <w:rsid w:val="5EB03AB1"/>
    <w:rsid w:val="5EB11968"/>
    <w:rsid w:val="5EBD5F0F"/>
    <w:rsid w:val="5EC63076"/>
    <w:rsid w:val="5EC840D4"/>
    <w:rsid w:val="5ECB2AEB"/>
    <w:rsid w:val="5ED65A65"/>
    <w:rsid w:val="5ED70D17"/>
    <w:rsid w:val="5EF94647"/>
    <w:rsid w:val="5EFD7482"/>
    <w:rsid w:val="5F0C4853"/>
    <w:rsid w:val="5F1757F5"/>
    <w:rsid w:val="5F184CEC"/>
    <w:rsid w:val="5F1929CF"/>
    <w:rsid w:val="5F287056"/>
    <w:rsid w:val="5F2C4964"/>
    <w:rsid w:val="5F2E0905"/>
    <w:rsid w:val="5F347454"/>
    <w:rsid w:val="5F373CA1"/>
    <w:rsid w:val="5F3A0E25"/>
    <w:rsid w:val="5F465884"/>
    <w:rsid w:val="5F483791"/>
    <w:rsid w:val="5F4F7CB1"/>
    <w:rsid w:val="5F502C8B"/>
    <w:rsid w:val="5F542E93"/>
    <w:rsid w:val="5F61113E"/>
    <w:rsid w:val="5F614C45"/>
    <w:rsid w:val="5F627F96"/>
    <w:rsid w:val="5F63012B"/>
    <w:rsid w:val="5F667C80"/>
    <w:rsid w:val="5F6F2BBD"/>
    <w:rsid w:val="5F7467D9"/>
    <w:rsid w:val="5F785DBE"/>
    <w:rsid w:val="5F7879F4"/>
    <w:rsid w:val="5F7D395B"/>
    <w:rsid w:val="5F815A76"/>
    <w:rsid w:val="5F865C37"/>
    <w:rsid w:val="5F972D18"/>
    <w:rsid w:val="5FA035C1"/>
    <w:rsid w:val="5FAD18E9"/>
    <w:rsid w:val="5FAD3E5E"/>
    <w:rsid w:val="5FAF5AD6"/>
    <w:rsid w:val="5FB157C6"/>
    <w:rsid w:val="5FB879DC"/>
    <w:rsid w:val="5FCF4618"/>
    <w:rsid w:val="5FDA019E"/>
    <w:rsid w:val="5FDD5E5D"/>
    <w:rsid w:val="5FE2436C"/>
    <w:rsid w:val="5FEC26B6"/>
    <w:rsid w:val="5FF21CEF"/>
    <w:rsid w:val="5FF2371E"/>
    <w:rsid w:val="5FF26E42"/>
    <w:rsid w:val="5FF6593F"/>
    <w:rsid w:val="5FF8174E"/>
    <w:rsid w:val="5FFA45B8"/>
    <w:rsid w:val="5FFB53A8"/>
    <w:rsid w:val="600140E3"/>
    <w:rsid w:val="600442CD"/>
    <w:rsid w:val="600609B8"/>
    <w:rsid w:val="60170A22"/>
    <w:rsid w:val="60185761"/>
    <w:rsid w:val="601A17C5"/>
    <w:rsid w:val="601D3615"/>
    <w:rsid w:val="60216FB8"/>
    <w:rsid w:val="60251DD3"/>
    <w:rsid w:val="602A5BC3"/>
    <w:rsid w:val="603019D3"/>
    <w:rsid w:val="603807DE"/>
    <w:rsid w:val="60392DE9"/>
    <w:rsid w:val="60410E69"/>
    <w:rsid w:val="60412D3D"/>
    <w:rsid w:val="60490BA1"/>
    <w:rsid w:val="604C4C15"/>
    <w:rsid w:val="605465F7"/>
    <w:rsid w:val="60552E09"/>
    <w:rsid w:val="60560F69"/>
    <w:rsid w:val="605916E7"/>
    <w:rsid w:val="60596586"/>
    <w:rsid w:val="60636E33"/>
    <w:rsid w:val="607A6903"/>
    <w:rsid w:val="607E2A76"/>
    <w:rsid w:val="608B0ED4"/>
    <w:rsid w:val="608E6871"/>
    <w:rsid w:val="608F2EEC"/>
    <w:rsid w:val="609376AD"/>
    <w:rsid w:val="609F689E"/>
    <w:rsid w:val="60A308D4"/>
    <w:rsid w:val="60C16F3B"/>
    <w:rsid w:val="60C83CA1"/>
    <w:rsid w:val="60CF2884"/>
    <w:rsid w:val="60D422A0"/>
    <w:rsid w:val="60D6645F"/>
    <w:rsid w:val="60E10F00"/>
    <w:rsid w:val="60E1122B"/>
    <w:rsid w:val="60E26B05"/>
    <w:rsid w:val="60E6145D"/>
    <w:rsid w:val="60E965FE"/>
    <w:rsid w:val="60EA3E67"/>
    <w:rsid w:val="60EB65C9"/>
    <w:rsid w:val="60EC7C7E"/>
    <w:rsid w:val="60FB7668"/>
    <w:rsid w:val="60FC55D0"/>
    <w:rsid w:val="60FC72A6"/>
    <w:rsid w:val="61052119"/>
    <w:rsid w:val="61070989"/>
    <w:rsid w:val="610F79CC"/>
    <w:rsid w:val="611A38B2"/>
    <w:rsid w:val="611B495F"/>
    <w:rsid w:val="612527CE"/>
    <w:rsid w:val="61290CBF"/>
    <w:rsid w:val="613C6FAA"/>
    <w:rsid w:val="614004BB"/>
    <w:rsid w:val="61556812"/>
    <w:rsid w:val="61664BE1"/>
    <w:rsid w:val="616A4972"/>
    <w:rsid w:val="616E3F0A"/>
    <w:rsid w:val="61716E68"/>
    <w:rsid w:val="61755A98"/>
    <w:rsid w:val="61796666"/>
    <w:rsid w:val="61826F0E"/>
    <w:rsid w:val="61861069"/>
    <w:rsid w:val="61953CA0"/>
    <w:rsid w:val="619F7DF1"/>
    <w:rsid w:val="61A07B55"/>
    <w:rsid w:val="61A4514F"/>
    <w:rsid w:val="61A527DB"/>
    <w:rsid w:val="61A6048F"/>
    <w:rsid w:val="61AA5908"/>
    <w:rsid w:val="61B675FF"/>
    <w:rsid w:val="61B9288B"/>
    <w:rsid w:val="61BB2F40"/>
    <w:rsid w:val="61C6559F"/>
    <w:rsid w:val="61C9634D"/>
    <w:rsid w:val="61D56313"/>
    <w:rsid w:val="61DE66FD"/>
    <w:rsid w:val="61E007AE"/>
    <w:rsid w:val="61E138C1"/>
    <w:rsid w:val="61F367B2"/>
    <w:rsid w:val="61F81E07"/>
    <w:rsid w:val="620D55C1"/>
    <w:rsid w:val="621574BF"/>
    <w:rsid w:val="621602F2"/>
    <w:rsid w:val="621D1F96"/>
    <w:rsid w:val="622178EB"/>
    <w:rsid w:val="623531CA"/>
    <w:rsid w:val="62371FD9"/>
    <w:rsid w:val="62372377"/>
    <w:rsid w:val="623B3850"/>
    <w:rsid w:val="623E4142"/>
    <w:rsid w:val="624B7A4D"/>
    <w:rsid w:val="624D1464"/>
    <w:rsid w:val="624D2BC7"/>
    <w:rsid w:val="624D66B5"/>
    <w:rsid w:val="625020B7"/>
    <w:rsid w:val="625115B6"/>
    <w:rsid w:val="626339DC"/>
    <w:rsid w:val="62634C8F"/>
    <w:rsid w:val="62641BFE"/>
    <w:rsid w:val="627168E2"/>
    <w:rsid w:val="627369C4"/>
    <w:rsid w:val="62741B9E"/>
    <w:rsid w:val="62762D50"/>
    <w:rsid w:val="62784F4A"/>
    <w:rsid w:val="627D2B0F"/>
    <w:rsid w:val="62836F74"/>
    <w:rsid w:val="628767CC"/>
    <w:rsid w:val="62886FC2"/>
    <w:rsid w:val="62892B5F"/>
    <w:rsid w:val="628D7D23"/>
    <w:rsid w:val="628E5D0F"/>
    <w:rsid w:val="629165D6"/>
    <w:rsid w:val="62940DB0"/>
    <w:rsid w:val="629F71A6"/>
    <w:rsid w:val="62A93BDD"/>
    <w:rsid w:val="62B152E8"/>
    <w:rsid w:val="62B526D6"/>
    <w:rsid w:val="62B667E6"/>
    <w:rsid w:val="62BF272C"/>
    <w:rsid w:val="62C443C5"/>
    <w:rsid w:val="62CA2935"/>
    <w:rsid w:val="62CB39F6"/>
    <w:rsid w:val="62D6725F"/>
    <w:rsid w:val="62DA1415"/>
    <w:rsid w:val="62DD6F2A"/>
    <w:rsid w:val="62E37B44"/>
    <w:rsid w:val="62E44652"/>
    <w:rsid w:val="62E852F4"/>
    <w:rsid w:val="62E90BE3"/>
    <w:rsid w:val="62E93557"/>
    <w:rsid w:val="62EB5DE6"/>
    <w:rsid w:val="62EC2B88"/>
    <w:rsid w:val="62EC5612"/>
    <w:rsid w:val="62ED1BC6"/>
    <w:rsid w:val="62ED33A3"/>
    <w:rsid w:val="63035C1A"/>
    <w:rsid w:val="630F25BC"/>
    <w:rsid w:val="630F6278"/>
    <w:rsid w:val="6311035B"/>
    <w:rsid w:val="63130AF8"/>
    <w:rsid w:val="63156ABF"/>
    <w:rsid w:val="63231947"/>
    <w:rsid w:val="632C1441"/>
    <w:rsid w:val="6330344D"/>
    <w:rsid w:val="63334E3E"/>
    <w:rsid w:val="63354E11"/>
    <w:rsid w:val="63363827"/>
    <w:rsid w:val="633A7931"/>
    <w:rsid w:val="633C7E8E"/>
    <w:rsid w:val="633F5A81"/>
    <w:rsid w:val="6341298D"/>
    <w:rsid w:val="634408A5"/>
    <w:rsid w:val="63474B4C"/>
    <w:rsid w:val="634857A2"/>
    <w:rsid w:val="634B789F"/>
    <w:rsid w:val="634E1186"/>
    <w:rsid w:val="63562FAA"/>
    <w:rsid w:val="63584CCB"/>
    <w:rsid w:val="635B098E"/>
    <w:rsid w:val="635D6DCF"/>
    <w:rsid w:val="63616A89"/>
    <w:rsid w:val="63655728"/>
    <w:rsid w:val="636A3CBA"/>
    <w:rsid w:val="636E44AC"/>
    <w:rsid w:val="6370272D"/>
    <w:rsid w:val="63764A9F"/>
    <w:rsid w:val="63793EA2"/>
    <w:rsid w:val="638549A6"/>
    <w:rsid w:val="63855016"/>
    <w:rsid w:val="63912D37"/>
    <w:rsid w:val="63A0274D"/>
    <w:rsid w:val="63A15CC9"/>
    <w:rsid w:val="63A85ADE"/>
    <w:rsid w:val="63AC1313"/>
    <w:rsid w:val="63AD551A"/>
    <w:rsid w:val="63B24807"/>
    <w:rsid w:val="63D23D7B"/>
    <w:rsid w:val="63D405FA"/>
    <w:rsid w:val="63D443E6"/>
    <w:rsid w:val="63DB1AE7"/>
    <w:rsid w:val="63DC4E53"/>
    <w:rsid w:val="63DF5A32"/>
    <w:rsid w:val="6401719D"/>
    <w:rsid w:val="640F3228"/>
    <w:rsid w:val="64141869"/>
    <w:rsid w:val="64166079"/>
    <w:rsid w:val="642C1EE6"/>
    <w:rsid w:val="64327F6D"/>
    <w:rsid w:val="64350AE2"/>
    <w:rsid w:val="643F716E"/>
    <w:rsid w:val="643F7FFB"/>
    <w:rsid w:val="64401A84"/>
    <w:rsid w:val="644049D3"/>
    <w:rsid w:val="64526662"/>
    <w:rsid w:val="64527992"/>
    <w:rsid w:val="64611819"/>
    <w:rsid w:val="646128C9"/>
    <w:rsid w:val="6462481D"/>
    <w:rsid w:val="64666993"/>
    <w:rsid w:val="646F722A"/>
    <w:rsid w:val="64797BA8"/>
    <w:rsid w:val="64820376"/>
    <w:rsid w:val="64822BA4"/>
    <w:rsid w:val="64825E61"/>
    <w:rsid w:val="64911000"/>
    <w:rsid w:val="64A03BC0"/>
    <w:rsid w:val="64A14C1E"/>
    <w:rsid w:val="64A775A2"/>
    <w:rsid w:val="64B149F6"/>
    <w:rsid w:val="64CA1ABF"/>
    <w:rsid w:val="64D80854"/>
    <w:rsid w:val="64D831EE"/>
    <w:rsid w:val="64DA00D0"/>
    <w:rsid w:val="64DE6189"/>
    <w:rsid w:val="64E113AF"/>
    <w:rsid w:val="64F47A26"/>
    <w:rsid w:val="64FA1069"/>
    <w:rsid w:val="650A1DE6"/>
    <w:rsid w:val="650F563E"/>
    <w:rsid w:val="65104404"/>
    <w:rsid w:val="65110D57"/>
    <w:rsid w:val="65134C39"/>
    <w:rsid w:val="6521520C"/>
    <w:rsid w:val="65217A97"/>
    <w:rsid w:val="65264CBD"/>
    <w:rsid w:val="65394772"/>
    <w:rsid w:val="6542246D"/>
    <w:rsid w:val="65443B3C"/>
    <w:rsid w:val="65472B98"/>
    <w:rsid w:val="65513065"/>
    <w:rsid w:val="65516212"/>
    <w:rsid w:val="6559705D"/>
    <w:rsid w:val="655E64B8"/>
    <w:rsid w:val="65605EC7"/>
    <w:rsid w:val="656D2DF0"/>
    <w:rsid w:val="656D3292"/>
    <w:rsid w:val="656F66B5"/>
    <w:rsid w:val="657753AD"/>
    <w:rsid w:val="657B33A1"/>
    <w:rsid w:val="6589050A"/>
    <w:rsid w:val="658D7701"/>
    <w:rsid w:val="65981B5D"/>
    <w:rsid w:val="65A93DB5"/>
    <w:rsid w:val="65AF71D8"/>
    <w:rsid w:val="65B04687"/>
    <w:rsid w:val="65B259AD"/>
    <w:rsid w:val="65B34445"/>
    <w:rsid w:val="65BF7FA2"/>
    <w:rsid w:val="65C35796"/>
    <w:rsid w:val="65C40705"/>
    <w:rsid w:val="65C826A8"/>
    <w:rsid w:val="65C92840"/>
    <w:rsid w:val="65D40637"/>
    <w:rsid w:val="65D97E5D"/>
    <w:rsid w:val="65E31C0C"/>
    <w:rsid w:val="65E74614"/>
    <w:rsid w:val="65EB2AC0"/>
    <w:rsid w:val="65F97545"/>
    <w:rsid w:val="65FC1F86"/>
    <w:rsid w:val="660452DD"/>
    <w:rsid w:val="660A4B53"/>
    <w:rsid w:val="660E31CF"/>
    <w:rsid w:val="660F1F1A"/>
    <w:rsid w:val="661257C6"/>
    <w:rsid w:val="661E038F"/>
    <w:rsid w:val="66221598"/>
    <w:rsid w:val="662A64A6"/>
    <w:rsid w:val="662B4636"/>
    <w:rsid w:val="662D6AFD"/>
    <w:rsid w:val="662E625F"/>
    <w:rsid w:val="66327A4C"/>
    <w:rsid w:val="6635049E"/>
    <w:rsid w:val="663F017E"/>
    <w:rsid w:val="66457DC8"/>
    <w:rsid w:val="66461AFB"/>
    <w:rsid w:val="6646395A"/>
    <w:rsid w:val="66510F62"/>
    <w:rsid w:val="66567EE2"/>
    <w:rsid w:val="66593BF8"/>
    <w:rsid w:val="665946C3"/>
    <w:rsid w:val="6660229D"/>
    <w:rsid w:val="66634CEC"/>
    <w:rsid w:val="66674C80"/>
    <w:rsid w:val="666E1E91"/>
    <w:rsid w:val="667154E4"/>
    <w:rsid w:val="667B4119"/>
    <w:rsid w:val="667D5A03"/>
    <w:rsid w:val="667F61C0"/>
    <w:rsid w:val="66893489"/>
    <w:rsid w:val="668A688B"/>
    <w:rsid w:val="66914AF8"/>
    <w:rsid w:val="669713A4"/>
    <w:rsid w:val="66A374B1"/>
    <w:rsid w:val="66A57ADD"/>
    <w:rsid w:val="66B0107A"/>
    <w:rsid w:val="66B07211"/>
    <w:rsid w:val="66C01989"/>
    <w:rsid w:val="66C01FFF"/>
    <w:rsid w:val="66C2244F"/>
    <w:rsid w:val="66CB1A13"/>
    <w:rsid w:val="66CF7B64"/>
    <w:rsid w:val="66D05CE6"/>
    <w:rsid w:val="66DA35EF"/>
    <w:rsid w:val="66E23147"/>
    <w:rsid w:val="66E80097"/>
    <w:rsid w:val="66E979FF"/>
    <w:rsid w:val="66EA3CAB"/>
    <w:rsid w:val="66EC749B"/>
    <w:rsid w:val="66F60961"/>
    <w:rsid w:val="66FE2892"/>
    <w:rsid w:val="67015348"/>
    <w:rsid w:val="670433AC"/>
    <w:rsid w:val="6706508F"/>
    <w:rsid w:val="670E6CBE"/>
    <w:rsid w:val="67110686"/>
    <w:rsid w:val="671241D1"/>
    <w:rsid w:val="67192B0C"/>
    <w:rsid w:val="671B77C6"/>
    <w:rsid w:val="671F2376"/>
    <w:rsid w:val="67240CB1"/>
    <w:rsid w:val="67272BE8"/>
    <w:rsid w:val="672F460B"/>
    <w:rsid w:val="67324B9B"/>
    <w:rsid w:val="673506BA"/>
    <w:rsid w:val="67391372"/>
    <w:rsid w:val="6747218F"/>
    <w:rsid w:val="674833CE"/>
    <w:rsid w:val="675023DD"/>
    <w:rsid w:val="67511123"/>
    <w:rsid w:val="67512483"/>
    <w:rsid w:val="6760070C"/>
    <w:rsid w:val="67606F78"/>
    <w:rsid w:val="676D0357"/>
    <w:rsid w:val="677802B1"/>
    <w:rsid w:val="677B2A6C"/>
    <w:rsid w:val="677C350F"/>
    <w:rsid w:val="677D1F61"/>
    <w:rsid w:val="678409C5"/>
    <w:rsid w:val="6785772A"/>
    <w:rsid w:val="679426EF"/>
    <w:rsid w:val="67971C5C"/>
    <w:rsid w:val="679840FE"/>
    <w:rsid w:val="679D38A7"/>
    <w:rsid w:val="679E3803"/>
    <w:rsid w:val="67A115B1"/>
    <w:rsid w:val="67A4540E"/>
    <w:rsid w:val="67A72290"/>
    <w:rsid w:val="67A804DD"/>
    <w:rsid w:val="67AB0A41"/>
    <w:rsid w:val="67AF1230"/>
    <w:rsid w:val="67AF28C7"/>
    <w:rsid w:val="67CA0D4A"/>
    <w:rsid w:val="67D36E2F"/>
    <w:rsid w:val="67D46406"/>
    <w:rsid w:val="67D5017D"/>
    <w:rsid w:val="67D84C7E"/>
    <w:rsid w:val="67D86476"/>
    <w:rsid w:val="67E400AE"/>
    <w:rsid w:val="67E85AA3"/>
    <w:rsid w:val="67ED75D1"/>
    <w:rsid w:val="67EE3A24"/>
    <w:rsid w:val="67F847FF"/>
    <w:rsid w:val="67FC52EA"/>
    <w:rsid w:val="67FE288E"/>
    <w:rsid w:val="67FE74A2"/>
    <w:rsid w:val="680022A8"/>
    <w:rsid w:val="68006691"/>
    <w:rsid w:val="6806492C"/>
    <w:rsid w:val="68176F07"/>
    <w:rsid w:val="681F247B"/>
    <w:rsid w:val="68592BA2"/>
    <w:rsid w:val="685A54E2"/>
    <w:rsid w:val="685C087D"/>
    <w:rsid w:val="685D610F"/>
    <w:rsid w:val="685E6283"/>
    <w:rsid w:val="686660CE"/>
    <w:rsid w:val="686A02A3"/>
    <w:rsid w:val="686D2FA1"/>
    <w:rsid w:val="68702E98"/>
    <w:rsid w:val="688B1136"/>
    <w:rsid w:val="68942067"/>
    <w:rsid w:val="689955E3"/>
    <w:rsid w:val="689F2DCC"/>
    <w:rsid w:val="689F3BB7"/>
    <w:rsid w:val="68AF32BE"/>
    <w:rsid w:val="68B251B2"/>
    <w:rsid w:val="68B711D6"/>
    <w:rsid w:val="68B81DD1"/>
    <w:rsid w:val="68C94E37"/>
    <w:rsid w:val="68D36E92"/>
    <w:rsid w:val="68E27A86"/>
    <w:rsid w:val="68E73E4E"/>
    <w:rsid w:val="68EF6857"/>
    <w:rsid w:val="68F916F9"/>
    <w:rsid w:val="68F965D1"/>
    <w:rsid w:val="68FE7A59"/>
    <w:rsid w:val="690037B1"/>
    <w:rsid w:val="69011750"/>
    <w:rsid w:val="69046F0A"/>
    <w:rsid w:val="690F5B20"/>
    <w:rsid w:val="69135944"/>
    <w:rsid w:val="69142024"/>
    <w:rsid w:val="69171912"/>
    <w:rsid w:val="69192862"/>
    <w:rsid w:val="691973C7"/>
    <w:rsid w:val="691C2C88"/>
    <w:rsid w:val="691E2C25"/>
    <w:rsid w:val="691E3299"/>
    <w:rsid w:val="69262FE5"/>
    <w:rsid w:val="69293CBE"/>
    <w:rsid w:val="692A1A5F"/>
    <w:rsid w:val="69322D39"/>
    <w:rsid w:val="69323AF9"/>
    <w:rsid w:val="693A3DAD"/>
    <w:rsid w:val="693F6105"/>
    <w:rsid w:val="69457758"/>
    <w:rsid w:val="694E68CB"/>
    <w:rsid w:val="69536B1E"/>
    <w:rsid w:val="69580163"/>
    <w:rsid w:val="695E784F"/>
    <w:rsid w:val="69614DEF"/>
    <w:rsid w:val="69623A3D"/>
    <w:rsid w:val="696302D6"/>
    <w:rsid w:val="696A27E9"/>
    <w:rsid w:val="697A7E71"/>
    <w:rsid w:val="697B0DA2"/>
    <w:rsid w:val="699008A3"/>
    <w:rsid w:val="699E602F"/>
    <w:rsid w:val="69A1678E"/>
    <w:rsid w:val="69AE58B4"/>
    <w:rsid w:val="69AF0830"/>
    <w:rsid w:val="69B01209"/>
    <w:rsid w:val="69B26F69"/>
    <w:rsid w:val="69BB7C4F"/>
    <w:rsid w:val="69BC45B2"/>
    <w:rsid w:val="69C05E78"/>
    <w:rsid w:val="69C06859"/>
    <w:rsid w:val="69C20E6A"/>
    <w:rsid w:val="69CA5C0B"/>
    <w:rsid w:val="69CD2849"/>
    <w:rsid w:val="69D12944"/>
    <w:rsid w:val="69D34772"/>
    <w:rsid w:val="69E66DC4"/>
    <w:rsid w:val="69EF392A"/>
    <w:rsid w:val="69F13DD2"/>
    <w:rsid w:val="69F41BB1"/>
    <w:rsid w:val="69F62987"/>
    <w:rsid w:val="69F8203A"/>
    <w:rsid w:val="6A060A1F"/>
    <w:rsid w:val="6A066607"/>
    <w:rsid w:val="6A0A34C2"/>
    <w:rsid w:val="6A0E002F"/>
    <w:rsid w:val="6A184189"/>
    <w:rsid w:val="6A1B7D52"/>
    <w:rsid w:val="6A216C19"/>
    <w:rsid w:val="6A246A40"/>
    <w:rsid w:val="6A2652AE"/>
    <w:rsid w:val="6A2A02CC"/>
    <w:rsid w:val="6A3044EA"/>
    <w:rsid w:val="6A3552D8"/>
    <w:rsid w:val="6A3D241D"/>
    <w:rsid w:val="6A3D7B02"/>
    <w:rsid w:val="6A413EF9"/>
    <w:rsid w:val="6A471B15"/>
    <w:rsid w:val="6A4C46E0"/>
    <w:rsid w:val="6A5D7B83"/>
    <w:rsid w:val="6A615D26"/>
    <w:rsid w:val="6A632129"/>
    <w:rsid w:val="6A633DDF"/>
    <w:rsid w:val="6A73445D"/>
    <w:rsid w:val="6A751A73"/>
    <w:rsid w:val="6A78210C"/>
    <w:rsid w:val="6A7A3403"/>
    <w:rsid w:val="6A7B57F2"/>
    <w:rsid w:val="6A8D6670"/>
    <w:rsid w:val="6A923535"/>
    <w:rsid w:val="6AA14EF2"/>
    <w:rsid w:val="6AA703F7"/>
    <w:rsid w:val="6AAB7DF4"/>
    <w:rsid w:val="6AAC10E1"/>
    <w:rsid w:val="6AAE3021"/>
    <w:rsid w:val="6AB5544C"/>
    <w:rsid w:val="6ABC2C6E"/>
    <w:rsid w:val="6ABE5AE3"/>
    <w:rsid w:val="6AC43ADC"/>
    <w:rsid w:val="6ACB05EE"/>
    <w:rsid w:val="6AD62A51"/>
    <w:rsid w:val="6AD65C96"/>
    <w:rsid w:val="6AD76D8A"/>
    <w:rsid w:val="6ADA7083"/>
    <w:rsid w:val="6ADB3DBE"/>
    <w:rsid w:val="6ADC0EBE"/>
    <w:rsid w:val="6AE845EB"/>
    <w:rsid w:val="6AE91B08"/>
    <w:rsid w:val="6AE91BF8"/>
    <w:rsid w:val="6AE9482F"/>
    <w:rsid w:val="6AEA3F25"/>
    <w:rsid w:val="6AF37D29"/>
    <w:rsid w:val="6AFB11A8"/>
    <w:rsid w:val="6AFC210B"/>
    <w:rsid w:val="6B003D41"/>
    <w:rsid w:val="6B074ED1"/>
    <w:rsid w:val="6B1278F5"/>
    <w:rsid w:val="6B143D50"/>
    <w:rsid w:val="6B1B6C93"/>
    <w:rsid w:val="6B1C55D9"/>
    <w:rsid w:val="6B1D53B0"/>
    <w:rsid w:val="6B2142BC"/>
    <w:rsid w:val="6B294E4E"/>
    <w:rsid w:val="6B2A5F96"/>
    <w:rsid w:val="6B301B7D"/>
    <w:rsid w:val="6B362B30"/>
    <w:rsid w:val="6B380244"/>
    <w:rsid w:val="6B560E7C"/>
    <w:rsid w:val="6B5919C6"/>
    <w:rsid w:val="6B62070F"/>
    <w:rsid w:val="6B6D6743"/>
    <w:rsid w:val="6B6E30CE"/>
    <w:rsid w:val="6B715F58"/>
    <w:rsid w:val="6B7951BE"/>
    <w:rsid w:val="6B7D491C"/>
    <w:rsid w:val="6B842FF4"/>
    <w:rsid w:val="6B863C88"/>
    <w:rsid w:val="6B8B7217"/>
    <w:rsid w:val="6B917DD2"/>
    <w:rsid w:val="6B9612D0"/>
    <w:rsid w:val="6B9767A7"/>
    <w:rsid w:val="6BA812F1"/>
    <w:rsid w:val="6BB57E3F"/>
    <w:rsid w:val="6BB6157B"/>
    <w:rsid w:val="6BC1708E"/>
    <w:rsid w:val="6BD414AF"/>
    <w:rsid w:val="6BDA450B"/>
    <w:rsid w:val="6BE150E1"/>
    <w:rsid w:val="6BE4546C"/>
    <w:rsid w:val="6BE6319A"/>
    <w:rsid w:val="6BEA6C25"/>
    <w:rsid w:val="6BF50F97"/>
    <w:rsid w:val="6BFC7436"/>
    <w:rsid w:val="6C000E51"/>
    <w:rsid w:val="6C01647C"/>
    <w:rsid w:val="6C02029B"/>
    <w:rsid w:val="6C0C7FB9"/>
    <w:rsid w:val="6C115836"/>
    <w:rsid w:val="6C180682"/>
    <w:rsid w:val="6C1D7A77"/>
    <w:rsid w:val="6C2A057F"/>
    <w:rsid w:val="6C2A7881"/>
    <w:rsid w:val="6C312647"/>
    <w:rsid w:val="6C322D49"/>
    <w:rsid w:val="6C3A38F0"/>
    <w:rsid w:val="6C3A6745"/>
    <w:rsid w:val="6C443196"/>
    <w:rsid w:val="6C52286A"/>
    <w:rsid w:val="6C5F28A4"/>
    <w:rsid w:val="6C6C3888"/>
    <w:rsid w:val="6C6C6468"/>
    <w:rsid w:val="6C6E1B2C"/>
    <w:rsid w:val="6C731D84"/>
    <w:rsid w:val="6C733306"/>
    <w:rsid w:val="6C7872A2"/>
    <w:rsid w:val="6C7C1743"/>
    <w:rsid w:val="6C7F13BC"/>
    <w:rsid w:val="6C807E57"/>
    <w:rsid w:val="6C8A1DE9"/>
    <w:rsid w:val="6C94585C"/>
    <w:rsid w:val="6C9C4171"/>
    <w:rsid w:val="6CBA3B06"/>
    <w:rsid w:val="6CBD6A88"/>
    <w:rsid w:val="6CC438F6"/>
    <w:rsid w:val="6CC546A3"/>
    <w:rsid w:val="6CC73B77"/>
    <w:rsid w:val="6CCA062C"/>
    <w:rsid w:val="6CCE3F0D"/>
    <w:rsid w:val="6CCE5F93"/>
    <w:rsid w:val="6CD204DE"/>
    <w:rsid w:val="6CE06DC3"/>
    <w:rsid w:val="6CE339A2"/>
    <w:rsid w:val="6CE86255"/>
    <w:rsid w:val="6CEF63F7"/>
    <w:rsid w:val="6CF23D4D"/>
    <w:rsid w:val="6CFB6774"/>
    <w:rsid w:val="6D081C8D"/>
    <w:rsid w:val="6D093EB3"/>
    <w:rsid w:val="6D131FC5"/>
    <w:rsid w:val="6D1645C1"/>
    <w:rsid w:val="6D1C0F73"/>
    <w:rsid w:val="6D1E6E2A"/>
    <w:rsid w:val="6D1F6F3D"/>
    <w:rsid w:val="6D282813"/>
    <w:rsid w:val="6D2D6300"/>
    <w:rsid w:val="6D32180C"/>
    <w:rsid w:val="6D327CC1"/>
    <w:rsid w:val="6D501A86"/>
    <w:rsid w:val="6D5F55CE"/>
    <w:rsid w:val="6D6607CF"/>
    <w:rsid w:val="6D674987"/>
    <w:rsid w:val="6D6D4EC9"/>
    <w:rsid w:val="6D73549B"/>
    <w:rsid w:val="6D745AC5"/>
    <w:rsid w:val="6D7A3884"/>
    <w:rsid w:val="6D805B9C"/>
    <w:rsid w:val="6D814F22"/>
    <w:rsid w:val="6D8A3B82"/>
    <w:rsid w:val="6D8A3D7B"/>
    <w:rsid w:val="6D8B775C"/>
    <w:rsid w:val="6D93141B"/>
    <w:rsid w:val="6D945A55"/>
    <w:rsid w:val="6D973F8E"/>
    <w:rsid w:val="6D9A5172"/>
    <w:rsid w:val="6D9F02A8"/>
    <w:rsid w:val="6DA53B3D"/>
    <w:rsid w:val="6DAC3244"/>
    <w:rsid w:val="6DB23350"/>
    <w:rsid w:val="6DB4285B"/>
    <w:rsid w:val="6DB84421"/>
    <w:rsid w:val="6DB96B83"/>
    <w:rsid w:val="6DC00174"/>
    <w:rsid w:val="6DC73C6C"/>
    <w:rsid w:val="6DCA454F"/>
    <w:rsid w:val="6DCC7E9E"/>
    <w:rsid w:val="6DCD65B3"/>
    <w:rsid w:val="6DCE233F"/>
    <w:rsid w:val="6DCE34F8"/>
    <w:rsid w:val="6DD7247F"/>
    <w:rsid w:val="6DE3232F"/>
    <w:rsid w:val="6DE35FB1"/>
    <w:rsid w:val="6DEE319B"/>
    <w:rsid w:val="6DF93F1E"/>
    <w:rsid w:val="6DF97E79"/>
    <w:rsid w:val="6DFA0EDB"/>
    <w:rsid w:val="6DFE0285"/>
    <w:rsid w:val="6DFE1AB0"/>
    <w:rsid w:val="6E014E53"/>
    <w:rsid w:val="6E016618"/>
    <w:rsid w:val="6E0750CC"/>
    <w:rsid w:val="6E086826"/>
    <w:rsid w:val="6E0920FE"/>
    <w:rsid w:val="6E2E2E54"/>
    <w:rsid w:val="6E311775"/>
    <w:rsid w:val="6E451684"/>
    <w:rsid w:val="6E4C1D06"/>
    <w:rsid w:val="6E4D5278"/>
    <w:rsid w:val="6E4F0C35"/>
    <w:rsid w:val="6E5556FA"/>
    <w:rsid w:val="6E5B2DC6"/>
    <w:rsid w:val="6E620301"/>
    <w:rsid w:val="6E664051"/>
    <w:rsid w:val="6E681E77"/>
    <w:rsid w:val="6E6D3D63"/>
    <w:rsid w:val="6E6F6C81"/>
    <w:rsid w:val="6E780992"/>
    <w:rsid w:val="6E796E6F"/>
    <w:rsid w:val="6E7D2BC3"/>
    <w:rsid w:val="6E823F2B"/>
    <w:rsid w:val="6E85241B"/>
    <w:rsid w:val="6E872FCF"/>
    <w:rsid w:val="6EA57A74"/>
    <w:rsid w:val="6EA633B4"/>
    <w:rsid w:val="6EA9580D"/>
    <w:rsid w:val="6EAA76BD"/>
    <w:rsid w:val="6EAB170F"/>
    <w:rsid w:val="6EB0142D"/>
    <w:rsid w:val="6EB0440B"/>
    <w:rsid w:val="6EB446FC"/>
    <w:rsid w:val="6EC07F8A"/>
    <w:rsid w:val="6EC454DE"/>
    <w:rsid w:val="6EC60E8B"/>
    <w:rsid w:val="6EC85F52"/>
    <w:rsid w:val="6ECC520B"/>
    <w:rsid w:val="6ECF3B67"/>
    <w:rsid w:val="6ED90606"/>
    <w:rsid w:val="6ED95D03"/>
    <w:rsid w:val="6ED96561"/>
    <w:rsid w:val="6EE12250"/>
    <w:rsid w:val="6EE52D27"/>
    <w:rsid w:val="6EE96347"/>
    <w:rsid w:val="6EF307F8"/>
    <w:rsid w:val="6EFA61AC"/>
    <w:rsid w:val="6EFC58B0"/>
    <w:rsid w:val="6EFF73EE"/>
    <w:rsid w:val="6F051B51"/>
    <w:rsid w:val="6F076E12"/>
    <w:rsid w:val="6F0C26C5"/>
    <w:rsid w:val="6F102F1B"/>
    <w:rsid w:val="6F355481"/>
    <w:rsid w:val="6F3562FB"/>
    <w:rsid w:val="6F390AC5"/>
    <w:rsid w:val="6F3913B1"/>
    <w:rsid w:val="6F395667"/>
    <w:rsid w:val="6F3D1807"/>
    <w:rsid w:val="6F3E6C99"/>
    <w:rsid w:val="6F41690B"/>
    <w:rsid w:val="6F471A1C"/>
    <w:rsid w:val="6F4E4F48"/>
    <w:rsid w:val="6F521363"/>
    <w:rsid w:val="6F57066C"/>
    <w:rsid w:val="6F593D48"/>
    <w:rsid w:val="6F664391"/>
    <w:rsid w:val="6F6976CC"/>
    <w:rsid w:val="6F6A03E0"/>
    <w:rsid w:val="6F6C7A57"/>
    <w:rsid w:val="6F6E10DE"/>
    <w:rsid w:val="6F755B99"/>
    <w:rsid w:val="6F781D53"/>
    <w:rsid w:val="6F8559CC"/>
    <w:rsid w:val="6F873327"/>
    <w:rsid w:val="6F8844C0"/>
    <w:rsid w:val="6F8A7A1C"/>
    <w:rsid w:val="6F9641C9"/>
    <w:rsid w:val="6FA678B3"/>
    <w:rsid w:val="6FBB16F9"/>
    <w:rsid w:val="6FC450E1"/>
    <w:rsid w:val="6FC542E5"/>
    <w:rsid w:val="6FCE2733"/>
    <w:rsid w:val="6FCF1F97"/>
    <w:rsid w:val="6FDA2E0A"/>
    <w:rsid w:val="6FF8053C"/>
    <w:rsid w:val="6FFA1B91"/>
    <w:rsid w:val="7008719E"/>
    <w:rsid w:val="702A42F3"/>
    <w:rsid w:val="70342925"/>
    <w:rsid w:val="70387D64"/>
    <w:rsid w:val="70391EB4"/>
    <w:rsid w:val="703D41DB"/>
    <w:rsid w:val="7048070F"/>
    <w:rsid w:val="704A4152"/>
    <w:rsid w:val="704A73A6"/>
    <w:rsid w:val="704A7A1C"/>
    <w:rsid w:val="70531554"/>
    <w:rsid w:val="705362D1"/>
    <w:rsid w:val="705B19B1"/>
    <w:rsid w:val="705B2443"/>
    <w:rsid w:val="70630F31"/>
    <w:rsid w:val="706324D3"/>
    <w:rsid w:val="70640A9F"/>
    <w:rsid w:val="7068250D"/>
    <w:rsid w:val="706C03CE"/>
    <w:rsid w:val="707851E9"/>
    <w:rsid w:val="707E52C8"/>
    <w:rsid w:val="7083264D"/>
    <w:rsid w:val="708C0D28"/>
    <w:rsid w:val="708C4D6A"/>
    <w:rsid w:val="70951787"/>
    <w:rsid w:val="709A241F"/>
    <w:rsid w:val="70A238E6"/>
    <w:rsid w:val="70AC25D6"/>
    <w:rsid w:val="70AD0CF6"/>
    <w:rsid w:val="70AD2596"/>
    <w:rsid w:val="70BB2B9F"/>
    <w:rsid w:val="70D37B6E"/>
    <w:rsid w:val="70E738B9"/>
    <w:rsid w:val="70E76F8A"/>
    <w:rsid w:val="70E77ACE"/>
    <w:rsid w:val="70EC6B30"/>
    <w:rsid w:val="70F4785D"/>
    <w:rsid w:val="71001C9E"/>
    <w:rsid w:val="71050E29"/>
    <w:rsid w:val="71071B55"/>
    <w:rsid w:val="71077AA0"/>
    <w:rsid w:val="710964DA"/>
    <w:rsid w:val="710B4D56"/>
    <w:rsid w:val="711546AA"/>
    <w:rsid w:val="711B14F5"/>
    <w:rsid w:val="71265794"/>
    <w:rsid w:val="71357666"/>
    <w:rsid w:val="71375DB5"/>
    <w:rsid w:val="71472EBB"/>
    <w:rsid w:val="71501D66"/>
    <w:rsid w:val="71680DBE"/>
    <w:rsid w:val="7177457A"/>
    <w:rsid w:val="717B62B7"/>
    <w:rsid w:val="717D482D"/>
    <w:rsid w:val="718123AC"/>
    <w:rsid w:val="71A80E34"/>
    <w:rsid w:val="71AA7DEB"/>
    <w:rsid w:val="71AC689B"/>
    <w:rsid w:val="71AC79AC"/>
    <w:rsid w:val="71AE0CF1"/>
    <w:rsid w:val="71B93C05"/>
    <w:rsid w:val="71B954A8"/>
    <w:rsid w:val="71BA5E6D"/>
    <w:rsid w:val="71C257D3"/>
    <w:rsid w:val="71C90892"/>
    <w:rsid w:val="71CC4E11"/>
    <w:rsid w:val="71CE03C7"/>
    <w:rsid w:val="71CF3F70"/>
    <w:rsid w:val="71D25B47"/>
    <w:rsid w:val="71DA0488"/>
    <w:rsid w:val="71DD2F89"/>
    <w:rsid w:val="71E8697A"/>
    <w:rsid w:val="71EC6591"/>
    <w:rsid w:val="71ED3BAD"/>
    <w:rsid w:val="71ED57E1"/>
    <w:rsid w:val="71F15473"/>
    <w:rsid w:val="71F16CB2"/>
    <w:rsid w:val="71F639C8"/>
    <w:rsid w:val="71F76C2D"/>
    <w:rsid w:val="7204521C"/>
    <w:rsid w:val="720E32FD"/>
    <w:rsid w:val="720F6C9A"/>
    <w:rsid w:val="72140F1D"/>
    <w:rsid w:val="721A7E2E"/>
    <w:rsid w:val="722F397D"/>
    <w:rsid w:val="72347DE3"/>
    <w:rsid w:val="724841DA"/>
    <w:rsid w:val="72632393"/>
    <w:rsid w:val="72671CED"/>
    <w:rsid w:val="7279062F"/>
    <w:rsid w:val="727C172C"/>
    <w:rsid w:val="727C5B27"/>
    <w:rsid w:val="7280632A"/>
    <w:rsid w:val="72847BA4"/>
    <w:rsid w:val="72891E2D"/>
    <w:rsid w:val="7292279B"/>
    <w:rsid w:val="72942DB3"/>
    <w:rsid w:val="729A51AB"/>
    <w:rsid w:val="729E5E40"/>
    <w:rsid w:val="72A64380"/>
    <w:rsid w:val="72A72050"/>
    <w:rsid w:val="72B062D1"/>
    <w:rsid w:val="72B16CF3"/>
    <w:rsid w:val="72B90DB5"/>
    <w:rsid w:val="72BB0B49"/>
    <w:rsid w:val="72C326B1"/>
    <w:rsid w:val="72C5771B"/>
    <w:rsid w:val="72CA33A9"/>
    <w:rsid w:val="72D249BA"/>
    <w:rsid w:val="72DB675D"/>
    <w:rsid w:val="72E12E2C"/>
    <w:rsid w:val="72E721B7"/>
    <w:rsid w:val="72EB05F6"/>
    <w:rsid w:val="72F154BC"/>
    <w:rsid w:val="72F300B2"/>
    <w:rsid w:val="72F814B5"/>
    <w:rsid w:val="72FC6892"/>
    <w:rsid w:val="730218E9"/>
    <w:rsid w:val="7302267B"/>
    <w:rsid w:val="73023F2E"/>
    <w:rsid w:val="730910EE"/>
    <w:rsid w:val="7316615E"/>
    <w:rsid w:val="73181BF9"/>
    <w:rsid w:val="731C37CD"/>
    <w:rsid w:val="731C7C59"/>
    <w:rsid w:val="732700BD"/>
    <w:rsid w:val="73276B64"/>
    <w:rsid w:val="732C5E46"/>
    <w:rsid w:val="73364BE7"/>
    <w:rsid w:val="733B0149"/>
    <w:rsid w:val="73404AB7"/>
    <w:rsid w:val="7343306D"/>
    <w:rsid w:val="73462D4C"/>
    <w:rsid w:val="735F2E72"/>
    <w:rsid w:val="73614DD7"/>
    <w:rsid w:val="736157B6"/>
    <w:rsid w:val="73623C26"/>
    <w:rsid w:val="73630C84"/>
    <w:rsid w:val="73634BC8"/>
    <w:rsid w:val="73657405"/>
    <w:rsid w:val="73690E78"/>
    <w:rsid w:val="736B2D54"/>
    <w:rsid w:val="73753833"/>
    <w:rsid w:val="73786F95"/>
    <w:rsid w:val="73795D1C"/>
    <w:rsid w:val="737E34F1"/>
    <w:rsid w:val="73801C47"/>
    <w:rsid w:val="7391534C"/>
    <w:rsid w:val="73980C67"/>
    <w:rsid w:val="739D12CC"/>
    <w:rsid w:val="73A057F9"/>
    <w:rsid w:val="73A111F3"/>
    <w:rsid w:val="73A51B7B"/>
    <w:rsid w:val="73A9576B"/>
    <w:rsid w:val="73AA0B61"/>
    <w:rsid w:val="73AE539D"/>
    <w:rsid w:val="73B66CA7"/>
    <w:rsid w:val="73B80618"/>
    <w:rsid w:val="73BD77E3"/>
    <w:rsid w:val="73DE6BD2"/>
    <w:rsid w:val="73E52803"/>
    <w:rsid w:val="73EB4EF9"/>
    <w:rsid w:val="73FB3EC2"/>
    <w:rsid w:val="73FF47E5"/>
    <w:rsid w:val="7400038C"/>
    <w:rsid w:val="7402772A"/>
    <w:rsid w:val="740F18B5"/>
    <w:rsid w:val="74152A5D"/>
    <w:rsid w:val="74170877"/>
    <w:rsid w:val="74175314"/>
    <w:rsid w:val="741F03BA"/>
    <w:rsid w:val="74200C22"/>
    <w:rsid w:val="74217723"/>
    <w:rsid w:val="74225935"/>
    <w:rsid w:val="743240B4"/>
    <w:rsid w:val="74334048"/>
    <w:rsid w:val="74375C8B"/>
    <w:rsid w:val="743D270E"/>
    <w:rsid w:val="743D7E72"/>
    <w:rsid w:val="74456C9C"/>
    <w:rsid w:val="74484F13"/>
    <w:rsid w:val="74514747"/>
    <w:rsid w:val="74560A9F"/>
    <w:rsid w:val="745633A6"/>
    <w:rsid w:val="74577FD3"/>
    <w:rsid w:val="745F236F"/>
    <w:rsid w:val="746412A6"/>
    <w:rsid w:val="74674023"/>
    <w:rsid w:val="746F78F9"/>
    <w:rsid w:val="74781F1F"/>
    <w:rsid w:val="748441D1"/>
    <w:rsid w:val="7490763F"/>
    <w:rsid w:val="74911568"/>
    <w:rsid w:val="74A5247E"/>
    <w:rsid w:val="74A57477"/>
    <w:rsid w:val="74AE1A17"/>
    <w:rsid w:val="74C26FEA"/>
    <w:rsid w:val="74C36794"/>
    <w:rsid w:val="74C55CA3"/>
    <w:rsid w:val="74C8562C"/>
    <w:rsid w:val="74C962DF"/>
    <w:rsid w:val="74DD616A"/>
    <w:rsid w:val="74E15A93"/>
    <w:rsid w:val="74E24539"/>
    <w:rsid w:val="74E27CE2"/>
    <w:rsid w:val="74E4002C"/>
    <w:rsid w:val="74EF1651"/>
    <w:rsid w:val="74F14189"/>
    <w:rsid w:val="74F43D32"/>
    <w:rsid w:val="74FD65E5"/>
    <w:rsid w:val="75032A03"/>
    <w:rsid w:val="75137DD8"/>
    <w:rsid w:val="75190674"/>
    <w:rsid w:val="751969B6"/>
    <w:rsid w:val="752131A0"/>
    <w:rsid w:val="75223087"/>
    <w:rsid w:val="752825DA"/>
    <w:rsid w:val="753A479D"/>
    <w:rsid w:val="753D6449"/>
    <w:rsid w:val="753E50FC"/>
    <w:rsid w:val="75463F71"/>
    <w:rsid w:val="754764D8"/>
    <w:rsid w:val="75490868"/>
    <w:rsid w:val="75490BDF"/>
    <w:rsid w:val="75492356"/>
    <w:rsid w:val="754B159F"/>
    <w:rsid w:val="754E4D98"/>
    <w:rsid w:val="755C2D00"/>
    <w:rsid w:val="756D2A3F"/>
    <w:rsid w:val="75773B59"/>
    <w:rsid w:val="757B248B"/>
    <w:rsid w:val="757D637E"/>
    <w:rsid w:val="757F06EF"/>
    <w:rsid w:val="75820452"/>
    <w:rsid w:val="75830E43"/>
    <w:rsid w:val="758F7BAA"/>
    <w:rsid w:val="7597048C"/>
    <w:rsid w:val="759A1347"/>
    <w:rsid w:val="759B1048"/>
    <w:rsid w:val="759C20E0"/>
    <w:rsid w:val="75A07BB8"/>
    <w:rsid w:val="75A351E7"/>
    <w:rsid w:val="75A45611"/>
    <w:rsid w:val="75AD0846"/>
    <w:rsid w:val="75B17C55"/>
    <w:rsid w:val="75B73A3A"/>
    <w:rsid w:val="75BE093A"/>
    <w:rsid w:val="75C91F52"/>
    <w:rsid w:val="75CA512F"/>
    <w:rsid w:val="75CA6A9D"/>
    <w:rsid w:val="75CB213C"/>
    <w:rsid w:val="75D04988"/>
    <w:rsid w:val="75D169F2"/>
    <w:rsid w:val="75DA3017"/>
    <w:rsid w:val="75E5061B"/>
    <w:rsid w:val="75F30609"/>
    <w:rsid w:val="75F659FB"/>
    <w:rsid w:val="75F801C6"/>
    <w:rsid w:val="75FA2D4B"/>
    <w:rsid w:val="75FE4C42"/>
    <w:rsid w:val="7600622D"/>
    <w:rsid w:val="760B3462"/>
    <w:rsid w:val="7612090A"/>
    <w:rsid w:val="76132F32"/>
    <w:rsid w:val="76195B01"/>
    <w:rsid w:val="7620009B"/>
    <w:rsid w:val="7620142D"/>
    <w:rsid w:val="762D5EA3"/>
    <w:rsid w:val="762E4078"/>
    <w:rsid w:val="76377578"/>
    <w:rsid w:val="763C0EF2"/>
    <w:rsid w:val="76494305"/>
    <w:rsid w:val="765716B2"/>
    <w:rsid w:val="76577F14"/>
    <w:rsid w:val="765B2136"/>
    <w:rsid w:val="765C109D"/>
    <w:rsid w:val="7666096B"/>
    <w:rsid w:val="766E48CE"/>
    <w:rsid w:val="767900A1"/>
    <w:rsid w:val="76791797"/>
    <w:rsid w:val="767B5782"/>
    <w:rsid w:val="76856806"/>
    <w:rsid w:val="76860152"/>
    <w:rsid w:val="768710EB"/>
    <w:rsid w:val="769833EA"/>
    <w:rsid w:val="76984F50"/>
    <w:rsid w:val="76A75E72"/>
    <w:rsid w:val="76A80F6F"/>
    <w:rsid w:val="76A968FF"/>
    <w:rsid w:val="76BC61DB"/>
    <w:rsid w:val="76C571F0"/>
    <w:rsid w:val="76C65C81"/>
    <w:rsid w:val="76CB1018"/>
    <w:rsid w:val="76CE15D0"/>
    <w:rsid w:val="76CF530A"/>
    <w:rsid w:val="76D02166"/>
    <w:rsid w:val="76D455B0"/>
    <w:rsid w:val="76DF65FF"/>
    <w:rsid w:val="76F253E9"/>
    <w:rsid w:val="76FC5255"/>
    <w:rsid w:val="770233F4"/>
    <w:rsid w:val="7707136F"/>
    <w:rsid w:val="770A60CC"/>
    <w:rsid w:val="770C5619"/>
    <w:rsid w:val="770F57E4"/>
    <w:rsid w:val="771130B4"/>
    <w:rsid w:val="77120FC4"/>
    <w:rsid w:val="771543E5"/>
    <w:rsid w:val="77196E50"/>
    <w:rsid w:val="77267708"/>
    <w:rsid w:val="77290ADE"/>
    <w:rsid w:val="773336A0"/>
    <w:rsid w:val="774744C2"/>
    <w:rsid w:val="77476107"/>
    <w:rsid w:val="774B3405"/>
    <w:rsid w:val="774E0FD7"/>
    <w:rsid w:val="7754071C"/>
    <w:rsid w:val="77647C38"/>
    <w:rsid w:val="77682348"/>
    <w:rsid w:val="77682605"/>
    <w:rsid w:val="776A5D8D"/>
    <w:rsid w:val="77721A98"/>
    <w:rsid w:val="77785B72"/>
    <w:rsid w:val="778371CA"/>
    <w:rsid w:val="77881C45"/>
    <w:rsid w:val="778D4F61"/>
    <w:rsid w:val="77943FD5"/>
    <w:rsid w:val="77A51CC2"/>
    <w:rsid w:val="77A71D59"/>
    <w:rsid w:val="77AF30B7"/>
    <w:rsid w:val="77B54AEF"/>
    <w:rsid w:val="77BA18BD"/>
    <w:rsid w:val="77BC1236"/>
    <w:rsid w:val="77C532EC"/>
    <w:rsid w:val="77CB0FE0"/>
    <w:rsid w:val="77D10F12"/>
    <w:rsid w:val="77D86FAA"/>
    <w:rsid w:val="77E35495"/>
    <w:rsid w:val="77E724D3"/>
    <w:rsid w:val="77EB55EE"/>
    <w:rsid w:val="77EC7C1F"/>
    <w:rsid w:val="77F27908"/>
    <w:rsid w:val="77F31815"/>
    <w:rsid w:val="77F64760"/>
    <w:rsid w:val="77FC3AA9"/>
    <w:rsid w:val="77FE1C97"/>
    <w:rsid w:val="77FF0B95"/>
    <w:rsid w:val="780E100B"/>
    <w:rsid w:val="7819458F"/>
    <w:rsid w:val="781C4351"/>
    <w:rsid w:val="78234AA9"/>
    <w:rsid w:val="782E504D"/>
    <w:rsid w:val="783C0755"/>
    <w:rsid w:val="783C3444"/>
    <w:rsid w:val="78486477"/>
    <w:rsid w:val="78545D38"/>
    <w:rsid w:val="786017A5"/>
    <w:rsid w:val="786313DC"/>
    <w:rsid w:val="78634497"/>
    <w:rsid w:val="786A5BCC"/>
    <w:rsid w:val="786A7019"/>
    <w:rsid w:val="787443B8"/>
    <w:rsid w:val="787D3D53"/>
    <w:rsid w:val="78883832"/>
    <w:rsid w:val="789B2BCF"/>
    <w:rsid w:val="78A0407E"/>
    <w:rsid w:val="78A12A4C"/>
    <w:rsid w:val="78A22983"/>
    <w:rsid w:val="78A37658"/>
    <w:rsid w:val="78A40D76"/>
    <w:rsid w:val="78AA20DD"/>
    <w:rsid w:val="78B423D6"/>
    <w:rsid w:val="78BE72D2"/>
    <w:rsid w:val="78C01739"/>
    <w:rsid w:val="78C84230"/>
    <w:rsid w:val="78C9656E"/>
    <w:rsid w:val="78DA2DBA"/>
    <w:rsid w:val="78DC1A48"/>
    <w:rsid w:val="78DC4F27"/>
    <w:rsid w:val="78DE7BD8"/>
    <w:rsid w:val="78DF5206"/>
    <w:rsid w:val="78DF6082"/>
    <w:rsid w:val="78E315F5"/>
    <w:rsid w:val="78E9618E"/>
    <w:rsid w:val="78EC1F1A"/>
    <w:rsid w:val="78EE408E"/>
    <w:rsid w:val="78F5390D"/>
    <w:rsid w:val="78FF225E"/>
    <w:rsid w:val="791527B6"/>
    <w:rsid w:val="791D6E20"/>
    <w:rsid w:val="791F487C"/>
    <w:rsid w:val="792928D1"/>
    <w:rsid w:val="79325864"/>
    <w:rsid w:val="793C6559"/>
    <w:rsid w:val="793E416C"/>
    <w:rsid w:val="79404A55"/>
    <w:rsid w:val="79430300"/>
    <w:rsid w:val="794509BA"/>
    <w:rsid w:val="79527F70"/>
    <w:rsid w:val="795A11B6"/>
    <w:rsid w:val="795F2F5B"/>
    <w:rsid w:val="79607951"/>
    <w:rsid w:val="79611838"/>
    <w:rsid w:val="7965220F"/>
    <w:rsid w:val="796E0A82"/>
    <w:rsid w:val="797058AF"/>
    <w:rsid w:val="79705F29"/>
    <w:rsid w:val="797F1CE5"/>
    <w:rsid w:val="798563B8"/>
    <w:rsid w:val="79880B32"/>
    <w:rsid w:val="799072A0"/>
    <w:rsid w:val="79992904"/>
    <w:rsid w:val="79A079E8"/>
    <w:rsid w:val="79A50FC3"/>
    <w:rsid w:val="79B24354"/>
    <w:rsid w:val="79B658FA"/>
    <w:rsid w:val="79BF0D07"/>
    <w:rsid w:val="79C163FD"/>
    <w:rsid w:val="79C30335"/>
    <w:rsid w:val="79C74384"/>
    <w:rsid w:val="79CA79DF"/>
    <w:rsid w:val="79CD4A13"/>
    <w:rsid w:val="79D00CCD"/>
    <w:rsid w:val="79D14FBB"/>
    <w:rsid w:val="79D34CDA"/>
    <w:rsid w:val="79F304D9"/>
    <w:rsid w:val="79F3605F"/>
    <w:rsid w:val="79F91206"/>
    <w:rsid w:val="7A0215E0"/>
    <w:rsid w:val="7A034392"/>
    <w:rsid w:val="7A044DA6"/>
    <w:rsid w:val="7A0E5ED1"/>
    <w:rsid w:val="7A1C0C2A"/>
    <w:rsid w:val="7A203314"/>
    <w:rsid w:val="7A206562"/>
    <w:rsid w:val="7A24233C"/>
    <w:rsid w:val="7A3F4508"/>
    <w:rsid w:val="7A4460A3"/>
    <w:rsid w:val="7A4E35D9"/>
    <w:rsid w:val="7A4E7808"/>
    <w:rsid w:val="7A505549"/>
    <w:rsid w:val="7A506C70"/>
    <w:rsid w:val="7A584A11"/>
    <w:rsid w:val="7A5A3E2C"/>
    <w:rsid w:val="7A60373A"/>
    <w:rsid w:val="7A646C95"/>
    <w:rsid w:val="7A662F5D"/>
    <w:rsid w:val="7A6661B0"/>
    <w:rsid w:val="7A6F39B3"/>
    <w:rsid w:val="7A731BF2"/>
    <w:rsid w:val="7A776D36"/>
    <w:rsid w:val="7A7A445B"/>
    <w:rsid w:val="7A80200C"/>
    <w:rsid w:val="7A9602E2"/>
    <w:rsid w:val="7A980B63"/>
    <w:rsid w:val="7A9B3893"/>
    <w:rsid w:val="7AA2464C"/>
    <w:rsid w:val="7AA50EE9"/>
    <w:rsid w:val="7AB23BE2"/>
    <w:rsid w:val="7AB51D48"/>
    <w:rsid w:val="7ABC1735"/>
    <w:rsid w:val="7ABE149B"/>
    <w:rsid w:val="7AC4271B"/>
    <w:rsid w:val="7AC73C27"/>
    <w:rsid w:val="7AC94B34"/>
    <w:rsid w:val="7AD406D8"/>
    <w:rsid w:val="7AD6280A"/>
    <w:rsid w:val="7ADD6549"/>
    <w:rsid w:val="7ADF69F3"/>
    <w:rsid w:val="7AFD3528"/>
    <w:rsid w:val="7B014194"/>
    <w:rsid w:val="7B061E67"/>
    <w:rsid w:val="7B183350"/>
    <w:rsid w:val="7B1F6721"/>
    <w:rsid w:val="7B275C40"/>
    <w:rsid w:val="7B3108F2"/>
    <w:rsid w:val="7B313A9D"/>
    <w:rsid w:val="7B315E89"/>
    <w:rsid w:val="7B372CE3"/>
    <w:rsid w:val="7B3D1B68"/>
    <w:rsid w:val="7B3F209B"/>
    <w:rsid w:val="7B401B7D"/>
    <w:rsid w:val="7B402BCA"/>
    <w:rsid w:val="7B46654B"/>
    <w:rsid w:val="7B497575"/>
    <w:rsid w:val="7B4A4B8D"/>
    <w:rsid w:val="7B5832CA"/>
    <w:rsid w:val="7B584572"/>
    <w:rsid w:val="7B584E65"/>
    <w:rsid w:val="7B6133CA"/>
    <w:rsid w:val="7B667C3C"/>
    <w:rsid w:val="7B695A5F"/>
    <w:rsid w:val="7B6A7A1F"/>
    <w:rsid w:val="7B6C1D20"/>
    <w:rsid w:val="7B715B31"/>
    <w:rsid w:val="7B721EB2"/>
    <w:rsid w:val="7B727361"/>
    <w:rsid w:val="7B7C1355"/>
    <w:rsid w:val="7B812D70"/>
    <w:rsid w:val="7B833FED"/>
    <w:rsid w:val="7B8B35C8"/>
    <w:rsid w:val="7B9130F2"/>
    <w:rsid w:val="7B9312C6"/>
    <w:rsid w:val="7B945706"/>
    <w:rsid w:val="7B963C99"/>
    <w:rsid w:val="7BA055C4"/>
    <w:rsid w:val="7BA3607B"/>
    <w:rsid w:val="7BA60D93"/>
    <w:rsid w:val="7BA65420"/>
    <w:rsid w:val="7BA95F17"/>
    <w:rsid w:val="7BAA19F1"/>
    <w:rsid w:val="7BAE3737"/>
    <w:rsid w:val="7BB0599B"/>
    <w:rsid w:val="7BBC1DB3"/>
    <w:rsid w:val="7BBF2534"/>
    <w:rsid w:val="7BCD68EB"/>
    <w:rsid w:val="7BCE04E4"/>
    <w:rsid w:val="7BD65065"/>
    <w:rsid w:val="7BD71CC1"/>
    <w:rsid w:val="7BD71D5E"/>
    <w:rsid w:val="7BEB68FE"/>
    <w:rsid w:val="7BEC2168"/>
    <w:rsid w:val="7BED2991"/>
    <w:rsid w:val="7BEF2135"/>
    <w:rsid w:val="7BF30794"/>
    <w:rsid w:val="7BF509FA"/>
    <w:rsid w:val="7BF90C42"/>
    <w:rsid w:val="7BF96E23"/>
    <w:rsid w:val="7BFF1184"/>
    <w:rsid w:val="7C004DD8"/>
    <w:rsid w:val="7C0433BF"/>
    <w:rsid w:val="7C080F38"/>
    <w:rsid w:val="7C096930"/>
    <w:rsid w:val="7C143FBD"/>
    <w:rsid w:val="7C15073F"/>
    <w:rsid w:val="7C1B0EBC"/>
    <w:rsid w:val="7C1E2712"/>
    <w:rsid w:val="7C1F2CE9"/>
    <w:rsid w:val="7C203D0C"/>
    <w:rsid w:val="7C2C6444"/>
    <w:rsid w:val="7C2E2D5E"/>
    <w:rsid w:val="7C367CBF"/>
    <w:rsid w:val="7C404C1D"/>
    <w:rsid w:val="7C4E2D3B"/>
    <w:rsid w:val="7C5412B5"/>
    <w:rsid w:val="7C54596F"/>
    <w:rsid w:val="7C5F0164"/>
    <w:rsid w:val="7C682403"/>
    <w:rsid w:val="7C691AD3"/>
    <w:rsid w:val="7C756877"/>
    <w:rsid w:val="7C806E49"/>
    <w:rsid w:val="7C871388"/>
    <w:rsid w:val="7C8E710A"/>
    <w:rsid w:val="7C906148"/>
    <w:rsid w:val="7C9A0776"/>
    <w:rsid w:val="7C9C1CAE"/>
    <w:rsid w:val="7C9C4506"/>
    <w:rsid w:val="7CA5179F"/>
    <w:rsid w:val="7CA62470"/>
    <w:rsid w:val="7CA82280"/>
    <w:rsid w:val="7CA92598"/>
    <w:rsid w:val="7CAA01B3"/>
    <w:rsid w:val="7CAC5978"/>
    <w:rsid w:val="7CAD11D7"/>
    <w:rsid w:val="7CBA46A9"/>
    <w:rsid w:val="7CBE6989"/>
    <w:rsid w:val="7CBF6652"/>
    <w:rsid w:val="7CC61BCD"/>
    <w:rsid w:val="7CD712E1"/>
    <w:rsid w:val="7CD774BC"/>
    <w:rsid w:val="7CDA3FFD"/>
    <w:rsid w:val="7CDB0F75"/>
    <w:rsid w:val="7CE45A09"/>
    <w:rsid w:val="7CE63BF6"/>
    <w:rsid w:val="7CE70D71"/>
    <w:rsid w:val="7CEA21B3"/>
    <w:rsid w:val="7CEB72AF"/>
    <w:rsid w:val="7CEC46DF"/>
    <w:rsid w:val="7CF4229A"/>
    <w:rsid w:val="7D0C1B5E"/>
    <w:rsid w:val="7D0D546A"/>
    <w:rsid w:val="7D145CAB"/>
    <w:rsid w:val="7D1B28F9"/>
    <w:rsid w:val="7D2357E1"/>
    <w:rsid w:val="7D277CDB"/>
    <w:rsid w:val="7D2B388B"/>
    <w:rsid w:val="7D302357"/>
    <w:rsid w:val="7D321A41"/>
    <w:rsid w:val="7D356301"/>
    <w:rsid w:val="7D3956CF"/>
    <w:rsid w:val="7D3B137F"/>
    <w:rsid w:val="7D3F20B7"/>
    <w:rsid w:val="7D4105F6"/>
    <w:rsid w:val="7D416E33"/>
    <w:rsid w:val="7D461622"/>
    <w:rsid w:val="7D4A7CAF"/>
    <w:rsid w:val="7D4C6496"/>
    <w:rsid w:val="7D5676D2"/>
    <w:rsid w:val="7D5A3176"/>
    <w:rsid w:val="7D5D6A38"/>
    <w:rsid w:val="7D5F684E"/>
    <w:rsid w:val="7D643462"/>
    <w:rsid w:val="7D6A19D4"/>
    <w:rsid w:val="7D7B1151"/>
    <w:rsid w:val="7D7E3AF2"/>
    <w:rsid w:val="7D8342C7"/>
    <w:rsid w:val="7D8364A8"/>
    <w:rsid w:val="7D844785"/>
    <w:rsid w:val="7D8939A9"/>
    <w:rsid w:val="7D8E0538"/>
    <w:rsid w:val="7D9101EC"/>
    <w:rsid w:val="7D93021D"/>
    <w:rsid w:val="7D9609AF"/>
    <w:rsid w:val="7DA34448"/>
    <w:rsid w:val="7DA823F0"/>
    <w:rsid w:val="7DA93E30"/>
    <w:rsid w:val="7DB91582"/>
    <w:rsid w:val="7DBB703E"/>
    <w:rsid w:val="7DC00942"/>
    <w:rsid w:val="7DC43581"/>
    <w:rsid w:val="7DC5171B"/>
    <w:rsid w:val="7DC91378"/>
    <w:rsid w:val="7DD132AF"/>
    <w:rsid w:val="7DD478D1"/>
    <w:rsid w:val="7DE03835"/>
    <w:rsid w:val="7DE379FE"/>
    <w:rsid w:val="7DE736AD"/>
    <w:rsid w:val="7DE8451A"/>
    <w:rsid w:val="7DE957B0"/>
    <w:rsid w:val="7DEB416F"/>
    <w:rsid w:val="7DF538A6"/>
    <w:rsid w:val="7DF71B8E"/>
    <w:rsid w:val="7DF72344"/>
    <w:rsid w:val="7E030D32"/>
    <w:rsid w:val="7E04766B"/>
    <w:rsid w:val="7E097E6D"/>
    <w:rsid w:val="7E0F758E"/>
    <w:rsid w:val="7E1211BB"/>
    <w:rsid w:val="7E140FEC"/>
    <w:rsid w:val="7E174435"/>
    <w:rsid w:val="7E182CDE"/>
    <w:rsid w:val="7E1B2016"/>
    <w:rsid w:val="7E2567DA"/>
    <w:rsid w:val="7E2A76BB"/>
    <w:rsid w:val="7E2F5C2F"/>
    <w:rsid w:val="7E3C2A73"/>
    <w:rsid w:val="7E3C37FB"/>
    <w:rsid w:val="7E417769"/>
    <w:rsid w:val="7E446190"/>
    <w:rsid w:val="7E4751B1"/>
    <w:rsid w:val="7E4A52A6"/>
    <w:rsid w:val="7E4A58F2"/>
    <w:rsid w:val="7E4C35AA"/>
    <w:rsid w:val="7E5811EA"/>
    <w:rsid w:val="7E5B631A"/>
    <w:rsid w:val="7E5C294A"/>
    <w:rsid w:val="7E5F78E3"/>
    <w:rsid w:val="7E637D45"/>
    <w:rsid w:val="7E7A19D0"/>
    <w:rsid w:val="7E804A41"/>
    <w:rsid w:val="7E8A1881"/>
    <w:rsid w:val="7E9C1BCA"/>
    <w:rsid w:val="7EA1444D"/>
    <w:rsid w:val="7EAA0D34"/>
    <w:rsid w:val="7EAC4720"/>
    <w:rsid w:val="7EAD0480"/>
    <w:rsid w:val="7EB103DA"/>
    <w:rsid w:val="7EB5169E"/>
    <w:rsid w:val="7EB96705"/>
    <w:rsid w:val="7EBB18E3"/>
    <w:rsid w:val="7EBD210F"/>
    <w:rsid w:val="7EBF4D33"/>
    <w:rsid w:val="7EC26987"/>
    <w:rsid w:val="7EC90E64"/>
    <w:rsid w:val="7ECA31A0"/>
    <w:rsid w:val="7ECB4027"/>
    <w:rsid w:val="7ECC4048"/>
    <w:rsid w:val="7ED33CE4"/>
    <w:rsid w:val="7ED40266"/>
    <w:rsid w:val="7ED553AA"/>
    <w:rsid w:val="7ED96211"/>
    <w:rsid w:val="7ED9790E"/>
    <w:rsid w:val="7EEF0363"/>
    <w:rsid w:val="7EEF39E7"/>
    <w:rsid w:val="7EF259C7"/>
    <w:rsid w:val="7EF914E8"/>
    <w:rsid w:val="7EFB724F"/>
    <w:rsid w:val="7EFC5B20"/>
    <w:rsid w:val="7EFD4155"/>
    <w:rsid w:val="7EFF691C"/>
    <w:rsid w:val="7F0960D6"/>
    <w:rsid w:val="7F1A0AED"/>
    <w:rsid w:val="7F1A4419"/>
    <w:rsid w:val="7F1F2C47"/>
    <w:rsid w:val="7F21427B"/>
    <w:rsid w:val="7F243B1D"/>
    <w:rsid w:val="7F27530C"/>
    <w:rsid w:val="7F293CAD"/>
    <w:rsid w:val="7F2E10D2"/>
    <w:rsid w:val="7F3A703D"/>
    <w:rsid w:val="7F3B0006"/>
    <w:rsid w:val="7F4512FC"/>
    <w:rsid w:val="7F4751A0"/>
    <w:rsid w:val="7F497E38"/>
    <w:rsid w:val="7F4D7EC3"/>
    <w:rsid w:val="7F53007C"/>
    <w:rsid w:val="7F586112"/>
    <w:rsid w:val="7F5E2231"/>
    <w:rsid w:val="7F5E5C1D"/>
    <w:rsid w:val="7F600095"/>
    <w:rsid w:val="7F632D3A"/>
    <w:rsid w:val="7F677FED"/>
    <w:rsid w:val="7F723928"/>
    <w:rsid w:val="7F790549"/>
    <w:rsid w:val="7F7F7F02"/>
    <w:rsid w:val="7F836AEF"/>
    <w:rsid w:val="7F8B6F40"/>
    <w:rsid w:val="7F8C232E"/>
    <w:rsid w:val="7F976C2B"/>
    <w:rsid w:val="7F983C1A"/>
    <w:rsid w:val="7F9C5501"/>
    <w:rsid w:val="7F9D699D"/>
    <w:rsid w:val="7F9E7832"/>
    <w:rsid w:val="7FA32DE1"/>
    <w:rsid w:val="7FB569C4"/>
    <w:rsid w:val="7FC022D5"/>
    <w:rsid w:val="7FC21030"/>
    <w:rsid w:val="7FC91B24"/>
    <w:rsid w:val="7FCB6FF2"/>
    <w:rsid w:val="7FCF63AD"/>
    <w:rsid w:val="7FD036D7"/>
    <w:rsid w:val="7FD167EA"/>
    <w:rsid w:val="7FD54EF5"/>
    <w:rsid w:val="7FD721C8"/>
    <w:rsid w:val="7FDC5F62"/>
    <w:rsid w:val="7FDC77D4"/>
    <w:rsid w:val="7FE108B0"/>
    <w:rsid w:val="7FE5436A"/>
    <w:rsid w:val="7FE72878"/>
    <w:rsid w:val="7FF42995"/>
    <w:rsid w:val="7FFB028F"/>
    <w:rsid w:val="F77D6A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99" w:semiHidden="0" w:name="annotation reference"/>
    <w:lsdException w:uiPriority="99" w:name="line number"/>
    <w:lsdException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qFormat="1" w:uiPriority="99" w:name="List Bullet 3"/>
    <w:lsdException w:uiPriority="99" w:name="List Bullet 4"/>
    <w:lsdException w:uiPriority="99" w:name="List Bullet 5"/>
    <w:lsdException w:qFormat="1"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qFormat="1" w:unhideWhenUsed="0" w:uiPriority="99" w:semiHidden="0"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68"/>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118"/>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link w:val="67"/>
    <w:autoRedefine/>
    <w:semiHidden/>
    <w:unhideWhenUsed/>
    <w:qFormat/>
    <w:uiPriority w:val="9"/>
    <w:pPr>
      <w:keepNext/>
      <w:keepLines/>
      <w:numPr>
        <w:ilvl w:val="2"/>
        <w:numId w:val="1"/>
      </w:numPr>
      <w:spacing w:before="260" w:after="260" w:line="412" w:lineRule="auto"/>
      <w:outlineLvl w:val="2"/>
    </w:pPr>
    <w:rPr>
      <w:rFonts w:ascii="Times New Roman" w:hAnsi="Times New Roman" w:eastAsia="宋体" w:cs="Times New Roman"/>
      <w:b/>
      <w:bCs/>
      <w:sz w:val="32"/>
      <w:szCs w:val="32"/>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customStyle="1" w:styleId="2">
    <w:name w:val="索引 41"/>
    <w:basedOn w:val="1"/>
    <w:next w:val="1"/>
    <w:semiHidden/>
    <w:qFormat/>
    <w:uiPriority w:val="0"/>
    <w:pPr>
      <w:ind w:left="1260"/>
    </w:pPr>
    <w:rPr>
      <w:rFonts w:ascii="Calibri" w:hAnsi="Calibri" w:eastAsia="Calibri" w:cs="宋体"/>
      <w:sz w:val="20"/>
      <w:lang w:val="zh-CN"/>
    </w:rPr>
  </w:style>
  <w:style w:type="paragraph" w:styleId="6">
    <w:name w:val="List Number 2"/>
    <w:basedOn w:val="1"/>
    <w:autoRedefine/>
    <w:semiHidden/>
    <w:unhideWhenUsed/>
    <w:qFormat/>
    <w:uiPriority w:val="99"/>
    <w:pPr>
      <w:tabs>
        <w:tab w:val="left" w:pos="780"/>
      </w:tabs>
      <w:spacing w:line="360" w:lineRule="auto"/>
      <w:ind w:left="902" w:hanging="420"/>
    </w:pPr>
    <w:rPr>
      <w:rFonts w:ascii="Times New Roman" w:hAnsi="Times New Roman" w:eastAsia="宋体" w:cs="Times New Roman"/>
      <w:sz w:val="24"/>
      <w:szCs w:val="20"/>
    </w:rPr>
  </w:style>
  <w:style w:type="paragraph" w:styleId="7">
    <w:name w:val="Normal Indent"/>
    <w:basedOn w:val="1"/>
    <w:autoRedefine/>
    <w:qFormat/>
    <w:uiPriority w:val="0"/>
    <w:pPr>
      <w:ind w:firstLine="420"/>
    </w:pPr>
    <w:rPr>
      <w:rFonts w:ascii="Times New Roman" w:hAnsi="Times New Roman" w:eastAsia="宋体" w:cs="Times New Roman"/>
      <w:szCs w:val="20"/>
    </w:rPr>
  </w:style>
  <w:style w:type="paragraph" w:styleId="8">
    <w:name w:val="Document Map"/>
    <w:basedOn w:val="1"/>
    <w:link w:val="104"/>
    <w:autoRedefine/>
    <w:semiHidden/>
    <w:unhideWhenUsed/>
    <w:qFormat/>
    <w:uiPriority w:val="99"/>
    <w:pPr>
      <w:shd w:val="clear" w:color="auto" w:fill="000080"/>
    </w:pPr>
  </w:style>
  <w:style w:type="paragraph" w:styleId="9">
    <w:name w:val="annotation text"/>
    <w:basedOn w:val="1"/>
    <w:link w:val="71"/>
    <w:autoRedefine/>
    <w:qFormat/>
    <w:uiPriority w:val="99"/>
    <w:pPr>
      <w:jc w:val="left"/>
    </w:pPr>
    <w:rPr>
      <w:rFonts w:ascii="Times New Roman" w:hAnsi="Times New Roman" w:eastAsia="宋体" w:cs="Times New Roman"/>
      <w:szCs w:val="20"/>
    </w:rPr>
  </w:style>
  <w:style w:type="paragraph" w:styleId="10">
    <w:name w:val="Body Text 3"/>
    <w:basedOn w:val="1"/>
    <w:link w:val="48"/>
    <w:autoRedefine/>
    <w:qFormat/>
    <w:uiPriority w:val="0"/>
    <w:pPr>
      <w:spacing w:after="120"/>
    </w:pPr>
    <w:rPr>
      <w:rFonts w:ascii="Times New Roman" w:hAnsi="Times New Roman" w:eastAsia="宋体" w:cs="Times New Roman"/>
      <w:sz w:val="16"/>
      <w:szCs w:val="16"/>
    </w:rPr>
  </w:style>
  <w:style w:type="paragraph" w:styleId="11">
    <w:name w:val="List Bullet 3"/>
    <w:basedOn w:val="1"/>
    <w:autoRedefine/>
    <w:semiHidden/>
    <w:unhideWhenUsed/>
    <w:qFormat/>
    <w:uiPriority w:val="99"/>
    <w:pPr>
      <w:tabs>
        <w:tab w:val="left" w:pos="780"/>
      </w:tabs>
      <w:spacing w:line="360" w:lineRule="auto"/>
      <w:ind w:left="902" w:hanging="420"/>
    </w:pPr>
    <w:rPr>
      <w:rFonts w:ascii="Times New Roman" w:hAnsi="Times New Roman" w:eastAsia="宋体" w:cs="Times New Roman"/>
      <w:sz w:val="24"/>
      <w:szCs w:val="20"/>
    </w:rPr>
  </w:style>
  <w:style w:type="paragraph" w:styleId="12">
    <w:name w:val="Body Text"/>
    <w:basedOn w:val="1"/>
    <w:link w:val="51"/>
    <w:autoRedefine/>
    <w:unhideWhenUsed/>
    <w:qFormat/>
    <w:uiPriority w:val="99"/>
    <w:pPr>
      <w:spacing w:after="120"/>
    </w:pPr>
  </w:style>
  <w:style w:type="paragraph" w:styleId="13">
    <w:name w:val="Body Text Indent"/>
    <w:basedOn w:val="1"/>
    <w:link w:val="41"/>
    <w:autoRedefine/>
    <w:qFormat/>
    <w:uiPriority w:val="0"/>
    <w:pPr>
      <w:autoSpaceDE w:val="0"/>
      <w:autoSpaceDN w:val="0"/>
      <w:adjustRightInd w:val="0"/>
      <w:spacing w:after="120" w:line="360" w:lineRule="atLeast"/>
      <w:ind w:left="900"/>
    </w:pPr>
    <w:rPr>
      <w:rFonts w:ascii="楷体_GB2312" w:hAnsi="Times New Roman" w:eastAsia="楷体_GB2312" w:cs="Times New Roman"/>
      <w:kern w:val="0"/>
      <w:sz w:val="28"/>
      <w:szCs w:val="20"/>
    </w:rPr>
  </w:style>
  <w:style w:type="paragraph" w:styleId="14">
    <w:name w:val="index 4"/>
    <w:basedOn w:val="1"/>
    <w:next w:val="1"/>
    <w:autoRedefine/>
    <w:semiHidden/>
    <w:unhideWhenUsed/>
    <w:qFormat/>
    <w:uiPriority w:val="99"/>
    <w:pPr>
      <w:ind w:left="600" w:leftChars="600"/>
    </w:pPr>
  </w:style>
  <w:style w:type="paragraph" w:styleId="15">
    <w:name w:val="toc 3"/>
    <w:basedOn w:val="1"/>
    <w:next w:val="1"/>
    <w:autoRedefine/>
    <w:unhideWhenUsed/>
    <w:qFormat/>
    <w:uiPriority w:val="39"/>
    <w:pPr>
      <w:widowControl/>
      <w:spacing w:after="100" w:line="259" w:lineRule="auto"/>
      <w:ind w:left="440"/>
      <w:jc w:val="left"/>
    </w:pPr>
    <w:rPr>
      <w:rFonts w:ascii="Times New Roman" w:hAnsi="Times New Roman" w:eastAsia="宋体" w:cs="Times New Roman"/>
      <w:kern w:val="0"/>
      <w:sz w:val="22"/>
    </w:rPr>
  </w:style>
  <w:style w:type="paragraph" w:styleId="16">
    <w:name w:val="Plain Text"/>
    <w:basedOn w:val="1"/>
    <w:link w:val="44"/>
    <w:autoRedefine/>
    <w:qFormat/>
    <w:uiPriority w:val="99"/>
    <w:rPr>
      <w:rFonts w:ascii="宋体" w:hAnsi="Courier New" w:eastAsia="宋体" w:cs="Times New Roman"/>
      <w:szCs w:val="20"/>
    </w:rPr>
  </w:style>
  <w:style w:type="paragraph" w:styleId="17">
    <w:name w:val="Date"/>
    <w:basedOn w:val="1"/>
    <w:next w:val="1"/>
    <w:link w:val="46"/>
    <w:autoRedefine/>
    <w:unhideWhenUsed/>
    <w:qFormat/>
    <w:uiPriority w:val="99"/>
    <w:pPr>
      <w:ind w:left="100" w:leftChars="2500"/>
    </w:pPr>
  </w:style>
  <w:style w:type="paragraph" w:styleId="18">
    <w:name w:val="Balloon Text"/>
    <w:basedOn w:val="1"/>
    <w:link w:val="45"/>
    <w:autoRedefine/>
    <w:unhideWhenUsed/>
    <w:qFormat/>
    <w:uiPriority w:val="99"/>
    <w:rPr>
      <w:sz w:val="18"/>
      <w:szCs w:val="18"/>
    </w:rPr>
  </w:style>
  <w:style w:type="paragraph" w:styleId="19">
    <w:name w:val="footer"/>
    <w:basedOn w:val="1"/>
    <w:link w:val="37"/>
    <w:autoRedefine/>
    <w:unhideWhenUsed/>
    <w:qFormat/>
    <w:uiPriority w:val="99"/>
    <w:pPr>
      <w:tabs>
        <w:tab w:val="center" w:pos="4153"/>
        <w:tab w:val="right" w:pos="8306"/>
      </w:tabs>
      <w:snapToGrid w:val="0"/>
      <w:jc w:val="left"/>
    </w:pPr>
    <w:rPr>
      <w:sz w:val="18"/>
      <w:szCs w:val="18"/>
    </w:rPr>
  </w:style>
  <w:style w:type="paragraph" w:styleId="20">
    <w:name w:val="header"/>
    <w:basedOn w:val="1"/>
    <w:link w:val="36"/>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autoRedefine/>
    <w:unhideWhenUsed/>
    <w:qFormat/>
    <w:uiPriority w:val="39"/>
    <w:pPr>
      <w:widowControl/>
      <w:tabs>
        <w:tab w:val="right" w:leader="dot" w:pos="8777"/>
      </w:tabs>
      <w:spacing w:line="360" w:lineRule="auto"/>
      <w:jc w:val="left"/>
    </w:pPr>
    <w:rPr>
      <w:rFonts w:ascii="Times New Roman" w:hAnsi="Times New Roman" w:eastAsia="黑体" w:cs="Times New Roman"/>
      <w:kern w:val="0"/>
      <w:sz w:val="24"/>
    </w:rPr>
  </w:style>
  <w:style w:type="paragraph" w:styleId="22">
    <w:name w:val="toc 2"/>
    <w:basedOn w:val="1"/>
    <w:next w:val="1"/>
    <w:autoRedefine/>
    <w:unhideWhenUsed/>
    <w:qFormat/>
    <w:uiPriority w:val="39"/>
    <w:pPr>
      <w:widowControl/>
      <w:spacing w:line="360" w:lineRule="auto"/>
      <w:ind w:left="221"/>
      <w:jc w:val="left"/>
    </w:pPr>
    <w:rPr>
      <w:rFonts w:ascii="Times New Roman" w:hAnsi="Times New Roman" w:eastAsia="宋体" w:cs="Times New Roman"/>
      <w:kern w:val="0"/>
      <w:sz w:val="22"/>
    </w:rPr>
  </w:style>
  <w:style w:type="paragraph" w:styleId="23">
    <w:name w:val="HTML Preformatted"/>
    <w:basedOn w:val="1"/>
    <w:link w:val="77"/>
    <w:autoRedefine/>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szCs w:val="24"/>
    </w:rPr>
  </w:style>
  <w:style w:type="paragraph" w:styleId="24">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25">
    <w:name w:val="Title"/>
    <w:basedOn w:val="1"/>
    <w:link w:val="105"/>
    <w:autoRedefine/>
    <w:qFormat/>
    <w:uiPriority w:val="10"/>
    <w:pPr>
      <w:spacing w:before="240" w:after="60"/>
      <w:jc w:val="center"/>
      <w:outlineLvl w:val="0"/>
    </w:pPr>
    <w:rPr>
      <w:rFonts w:ascii="Arial" w:hAnsi="Arial"/>
      <w:b/>
      <w:sz w:val="32"/>
    </w:rPr>
  </w:style>
  <w:style w:type="paragraph" w:styleId="26">
    <w:name w:val="annotation subject"/>
    <w:basedOn w:val="9"/>
    <w:next w:val="9"/>
    <w:link w:val="55"/>
    <w:autoRedefine/>
    <w:unhideWhenUsed/>
    <w:qFormat/>
    <w:uiPriority w:val="99"/>
    <w:rPr>
      <w:rFonts w:asciiTheme="minorHAnsi" w:hAnsiTheme="minorHAnsi" w:eastAsiaTheme="minorEastAsia" w:cstheme="minorBidi"/>
      <w:b/>
      <w:bCs/>
      <w:szCs w:val="22"/>
    </w:rPr>
  </w:style>
  <w:style w:type="paragraph" w:styleId="27">
    <w:name w:val="Body Text First Indent 2"/>
    <w:basedOn w:val="1"/>
    <w:next w:val="1"/>
    <w:autoRedefine/>
    <w:qFormat/>
    <w:uiPriority w:val="99"/>
    <w:pPr>
      <w:ind w:firstLine="420" w:firstLineChars="200"/>
    </w:pPr>
  </w:style>
  <w:style w:type="table" w:styleId="29">
    <w:name w:val="Table Grid"/>
    <w:basedOn w:val="28"/>
    <w:autoRedefine/>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tcBorders>
        <w:top w:val="single" w:color="auto" w:sz="4" w:space="0"/>
        <w:left w:val="single" w:color="auto" w:sz="4" w:space="0"/>
        <w:bottom w:val="single" w:color="auto" w:sz="4" w:space="0"/>
        <w:right w:val="single" w:color="auto" w:sz="4" w:space="0"/>
      </w:tcBorders>
    </w:tcPr>
  </w:style>
  <w:style w:type="character" w:styleId="31">
    <w:name w:val="Strong"/>
    <w:autoRedefine/>
    <w:qFormat/>
    <w:uiPriority w:val="22"/>
    <w:rPr>
      <w:b/>
      <w:bCs/>
    </w:rPr>
  </w:style>
  <w:style w:type="character" w:styleId="32">
    <w:name w:val="FollowedHyperlink"/>
    <w:basedOn w:val="30"/>
    <w:autoRedefine/>
    <w:unhideWhenUsed/>
    <w:qFormat/>
    <w:uiPriority w:val="99"/>
    <w:rPr>
      <w:color w:val="333333"/>
      <w:u w:val="none"/>
    </w:rPr>
  </w:style>
  <w:style w:type="character" w:styleId="33">
    <w:name w:val="Emphasis"/>
    <w:basedOn w:val="30"/>
    <w:autoRedefine/>
    <w:qFormat/>
    <w:uiPriority w:val="20"/>
  </w:style>
  <w:style w:type="character" w:styleId="34">
    <w:name w:val="Hyperlink"/>
    <w:basedOn w:val="30"/>
    <w:autoRedefine/>
    <w:unhideWhenUsed/>
    <w:qFormat/>
    <w:uiPriority w:val="99"/>
    <w:rPr>
      <w:color w:val="0563C1" w:themeColor="hyperlink"/>
      <w:u w:val="single"/>
      <w14:textFill>
        <w14:solidFill>
          <w14:schemeClr w14:val="hlink"/>
        </w14:solidFill>
      </w14:textFill>
    </w:rPr>
  </w:style>
  <w:style w:type="character" w:styleId="35">
    <w:name w:val="annotation reference"/>
    <w:basedOn w:val="30"/>
    <w:autoRedefine/>
    <w:qFormat/>
    <w:uiPriority w:val="99"/>
    <w:rPr>
      <w:sz w:val="21"/>
      <w:szCs w:val="21"/>
    </w:rPr>
  </w:style>
  <w:style w:type="character" w:customStyle="1" w:styleId="36">
    <w:name w:val="页眉 字符"/>
    <w:basedOn w:val="30"/>
    <w:link w:val="20"/>
    <w:autoRedefine/>
    <w:qFormat/>
    <w:uiPriority w:val="99"/>
    <w:rPr>
      <w:sz w:val="18"/>
      <w:szCs w:val="18"/>
    </w:rPr>
  </w:style>
  <w:style w:type="character" w:customStyle="1" w:styleId="37">
    <w:name w:val="页脚 字符"/>
    <w:basedOn w:val="30"/>
    <w:link w:val="19"/>
    <w:autoRedefine/>
    <w:qFormat/>
    <w:uiPriority w:val="99"/>
    <w:rPr>
      <w:sz w:val="18"/>
      <w:szCs w:val="18"/>
    </w:rPr>
  </w:style>
  <w:style w:type="character" w:customStyle="1" w:styleId="38">
    <w:name w:val="标题 1 Char"/>
    <w:basedOn w:val="30"/>
    <w:autoRedefine/>
    <w:qFormat/>
    <w:uiPriority w:val="9"/>
    <w:rPr>
      <w:b/>
      <w:bCs/>
      <w:kern w:val="44"/>
      <w:sz w:val="44"/>
      <w:szCs w:val="44"/>
    </w:rPr>
  </w:style>
  <w:style w:type="paragraph" w:customStyle="1" w:styleId="39">
    <w:name w:val="TOC 标题1"/>
    <w:basedOn w:val="3"/>
    <w:next w:val="1"/>
    <w:autoRedefine/>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paragraph" w:customStyle="1" w:styleId="40">
    <w:name w:val="列出段落1"/>
    <w:basedOn w:val="1"/>
    <w:autoRedefine/>
    <w:unhideWhenUsed/>
    <w:qFormat/>
    <w:uiPriority w:val="34"/>
    <w:pPr>
      <w:widowControl/>
      <w:spacing w:before="60" w:after="60"/>
      <w:ind w:firstLine="420" w:firstLineChars="200"/>
      <w:jc w:val="left"/>
    </w:pPr>
    <w:rPr>
      <w:rFonts w:hint="eastAsia" w:ascii="Arial Unicode MS" w:hAnsi="Arial Unicode MS" w:eastAsia="Times New Roman" w:cs="Arial Unicode MS"/>
      <w:color w:val="000000"/>
      <w:kern w:val="0"/>
      <w:sz w:val="20"/>
      <w:szCs w:val="20"/>
      <w:u w:color="000000"/>
      <w:lang w:eastAsia="en-US"/>
    </w:rPr>
  </w:style>
  <w:style w:type="character" w:customStyle="1" w:styleId="41">
    <w:name w:val="正文文本缩进 字符"/>
    <w:basedOn w:val="30"/>
    <w:link w:val="13"/>
    <w:autoRedefine/>
    <w:qFormat/>
    <w:uiPriority w:val="0"/>
    <w:rPr>
      <w:rFonts w:ascii="楷体_GB2312" w:hAnsi="Times New Roman" w:eastAsia="楷体_GB2312" w:cs="Times New Roman"/>
      <w:kern w:val="0"/>
      <w:sz w:val="28"/>
      <w:szCs w:val="20"/>
    </w:rPr>
  </w:style>
  <w:style w:type="paragraph" w:customStyle="1" w:styleId="42">
    <w:name w:val="蓝色显示"/>
    <w:basedOn w:val="1"/>
    <w:link w:val="43"/>
    <w:autoRedefine/>
    <w:qFormat/>
    <w:uiPriority w:val="0"/>
    <w:pPr>
      <w:spacing w:before="340" w:after="330" w:line="400" w:lineRule="exact"/>
    </w:pPr>
    <w:rPr>
      <w:rFonts w:ascii="Times New Roman" w:hAnsi="Times New Roman" w:eastAsia="宋体" w:cs="Times New Roman"/>
      <w:b/>
      <w:color w:val="0070C0"/>
      <w:szCs w:val="24"/>
    </w:rPr>
  </w:style>
  <w:style w:type="character" w:customStyle="1" w:styleId="43">
    <w:name w:val="蓝色显示 Char"/>
    <w:link w:val="42"/>
    <w:autoRedefine/>
    <w:qFormat/>
    <w:uiPriority w:val="0"/>
    <w:rPr>
      <w:rFonts w:ascii="Times New Roman" w:hAnsi="Times New Roman" w:eastAsia="宋体" w:cs="Times New Roman"/>
      <w:b/>
      <w:color w:val="0070C0"/>
      <w:szCs w:val="24"/>
    </w:rPr>
  </w:style>
  <w:style w:type="character" w:customStyle="1" w:styleId="44">
    <w:name w:val="纯文本 字符"/>
    <w:basedOn w:val="30"/>
    <w:link w:val="16"/>
    <w:autoRedefine/>
    <w:qFormat/>
    <w:uiPriority w:val="0"/>
    <w:rPr>
      <w:rFonts w:ascii="宋体" w:hAnsi="Courier New" w:eastAsia="宋体" w:cs="Times New Roman"/>
      <w:szCs w:val="20"/>
    </w:rPr>
  </w:style>
  <w:style w:type="character" w:customStyle="1" w:styleId="45">
    <w:name w:val="批注框文本 字符"/>
    <w:basedOn w:val="30"/>
    <w:link w:val="18"/>
    <w:autoRedefine/>
    <w:semiHidden/>
    <w:qFormat/>
    <w:uiPriority w:val="99"/>
    <w:rPr>
      <w:sz w:val="18"/>
      <w:szCs w:val="18"/>
    </w:rPr>
  </w:style>
  <w:style w:type="character" w:customStyle="1" w:styleId="46">
    <w:name w:val="日期 字符"/>
    <w:basedOn w:val="30"/>
    <w:link w:val="17"/>
    <w:autoRedefine/>
    <w:semiHidden/>
    <w:qFormat/>
    <w:uiPriority w:val="99"/>
  </w:style>
  <w:style w:type="character" w:customStyle="1" w:styleId="47">
    <w:name w:val="批注文字 Char"/>
    <w:basedOn w:val="30"/>
    <w:autoRedefine/>
    <w:qFormat/>
    <w:uiPriority w:val="99"/>
    <w:rPr>
      <w:rFonts w:ascii="Times New Roman" w:hAnsi="Times New Roman" w:eastAsia="宋体" w:cs="Times New Roman"/>
      <w:szCs w:val="20"/>
    </w:rPr>
  </w:style>
  <w:style w:type="character" w:customStyle="1" w:styleId="48">
    <w:name w:val="正文文本 3 字符"/>
    <w:basedOn w:val="30"/>
    <w:link w:val="10"/>
    <w:autoRedefine/>
    <w:qFormat/>
    <w:uiPriority w:val="0"/>
    <w:rPr>
      <w:rFonts w:ascii="Times New Roman" w:hAnsi="Times New Roman" w:eastAsia="宋体" w:cs="Times New Roman"/>
      <w:sz w:val="16"/>
      <w:szCs w:val="16"/>
    </w:rPr>
  </w:style>
  <w:style w:type="paragraph" w:customStyle="1" w:styleId="49">
    <w:name w:val="正文00"/>
    <w:basedOn w:val="1"/>
    <w:autoRedefine/>
    <w:qFormat/>
    <w:uiPriority w:val="0"/>
    <w:pPr>
      <w:topLinePunct/>
      <w:spacing w:line="360" w:lineRule="auto"/>
      <w:ind w:firstLine="200" w:firstLineChars="200"/>
    </w:pPr>
    <w:rPr>
      <w:rFonts w:ascii="Times New Roman" w:hAnsi="Times New Roman" w:eastAsia="宋体" w:cs="Times New Roman"/>
      <w:sz w:val="24"/>
      <w:szCs w:val="21"/>
    </w:rPr>
  </w:style>
  <w:style w:type="paragraph" w:customStyle="1" w:styleId="50">
    <w:name w:val="普通正文"/>
    <w:basedOn w:val="1"/>
    <w:autoRedefine/>
    <w:qFormat/>
    <w:uiPriority w:val="0"/>
    <w:pPr>
      <w:widowControl/>
      <w:adjustRightInd w:val="0"/>
      <w:spacing w:before="120" w:after="120" w:line="360" w:lineRule="auto"/>
      <w:ind w:firstLine="480"/>
      <w:jc w:val="left"/>
      <w:textAlignment w:val="baseline"/>
    </w:pPr>
    <w:rPr>
      <w:rFonts w:ascii="Arial" w:hAnsi="Arial" w:eastAsia="宋体" w:cs="宋体"/>
      <w:kern w:val="0"/>
      <w:sz w:val="24"/>
      <w:szCs w:val="24"/>
    </w:rPr>
  </w:style>
  <w:style w:type="character" w:customStyle="1" w:styleId="51">
    <w:name w:val="正文文本 字符"/>
    <w:basedOn w:val="30"/>
    <w:link w:val="12"/>
    <w:autoRedefine/>
    <w:qFormat/>
    <w:uiPriority w:val="0"/>
  </w:style>
  <w:style w:type="paragraph" w:customStyle="1" w:styleId="52">
    <w:name w:val="Default"/>
    <w:autoRedefine/>
    <w:qFormat/>
    <w:uiPriority w:val="0"/>
    <w:pPr>
      <w:autoSpaceDE w:val="0"/>
      <w:autoSpaceDN w:val="0"/>
      <w:adjustRightInd w:val="0"/>
    </w:pPr>
    <w:rPr>
      <w:rFonts w:ascii="宋体" w:hAnsi="Times New Roman" w:eastAsia="宋体" w:cs="宋体"/>
      <w:color w:val="000000"/>
      <w:sz w:val="24"/>
      <w:szCs w:val="24"/>
      <w:lang w:val="en-US" w:eastAsia="zh-CN" w:bidi="ar-SA"/>
    </w:rPr>
  </w:style>
  <w:style w:type="paragraph" w:customStyle="1" w:styleId="53">
    <w:name w:val="Table Paragraph"/>
    <w:basedOn w:val="1"/>
    <w:autoRedefine/>
    <w:qFormat/>
    <w:uiPriority w:val="1"/>
    <w:pPr>
      <w:autoSpaceDE w:val="0"/>
      <w:autoSpaceDN w:val="0"/>
      <w:adjustRightInd w:val="0"/>
      <w:jc w:val="left"/>
    </w:pPr>
    <w:rPr>
      <w:rFonts w:ascii="Times New Roman" w:hAnsi="Times New Roman" w:eastAsia="宋体" w:cs="Times New Roman"/>
      <w:kern w:val="0"/>
      <w:sz w:val="24"/>
      <w:szCs w:val="24"/>
    </w:rPr>
  </w:style>
  <w:style w:type="paragraph" w:customStyle="1" w:styleId="54">
    <w:name w:val="_Style 20"/>
    <w:basedOn w:val="1"/>
    <w:next w:val="40"/>
    <w:autoRedefine/>
    <w:qFormat/>
    <w:uiPriority w:val="34"/>
    <w:pPr>
      <w:ind w:firstLine="420" w:firstLineChars="200"/>
    </w:pPr>
    <w:rPr>
      <w:rFonts w:ascii="Times New Roman" w:hAnsi="Times New Roman" w:eastAsia="宋体" w:cs="Times New Roman"/>
      <w:szCs w:val="21"/>
    </w:rPr>
  </w:style>
  <w:style w:type="character" w:customStyle="1" w:styleId="55">
    <w:name w:val="批注主题 字符"/>
    <w:basedOn w:val="47"/>
    <w:link w:val="26"/>
    <w:autoRedefine/>
    <w:semiHidden/>
    <w:qFormat/>
    <w:uiPriority w:val="99"/>
    <w:rPr>
      <w:rFonts w:ascii="Times New Roman" w:hAnsi="Times New Roman" w:eastAsia="宋体" w:cs="Times New Roman"/>
      <w:b/>
      <w:bCs/>
      <w:kern w:val="2"/>
      <w:sz w:val="21"/>
      <w:szCs w:val="22"/>
    </w:rPr>
  </w:style>
  <w:style w:type="paragraph" w:customStyle="1" w:styleId="56">
    <w:name w:val="_Style 6"/>
    <w:basedOn w:val="1"/>
    <w:autoRedefine/>
    <w:qFormat/>
    <w:uiPriority w:val="34"/>
    <w:pPr>
      <w:widowControl/>
      <w:ind w:firstLine="420"/>
    </w:pPr>
    <w:rPr>
      <w:rFonts w:ascii="Calibri" w:hAnsi="Calibri"/>
      <w:sz w:val="34"/>
      <w:szCs w:val="21"/>
    </w:rPr>
  </w:style>
  <w:style w:type="paragraph" w:customStyle="1" w:styleId="57">
    <w:name w:val="列出段落11"/>
    <w:basedOn w:val="1"/>
    <w:autoRedefine/>
    <w:qFormat/>
    <w:uiPriority w:val="99"/>
    <w:pPr>
      <w:ind w:left="720"/>
      <w:contextualSpacing/>
    </w:pPr>
    <w:rPr>
      <w:rFonts w:ascii="黑体" w:hAnsi="黑体" w:eastAsia="Arial" w:cs="黑体"/>
      <w:szCs w:val="21"/>
    </w:rPr>
  </w:style>
  <w:style w:type="character" w:customStyle="1" w:styleId="58">
    <w:name w:val="bsharetext"/>
    <w:basedOn w:val="30"/>
    <w:autoRedefine/>
    <w:qFormat/>
    <w:uiPriority w:val="0"/>
  </w:style>
  <w:style w:type="character" w:customStyle="1" w:styleId="59">
    <w:name w:val="active2"/>
    <w:basedOn w:val="30"/>
    <w:autoRedefine/>
    <w:qFormat/>
    <w:uiPriority w:val="0"/>
    <w:rPr>
      <w:shd w:val="clear" w:color="auto" w:fill="0162B1"/>
    </w:rPr>
  </w:style>
  <w:style w:type="character" w:customStyle="1" w:styleId="60">
    <w:name w:val="add3"/>
    <w:basedOn w:val="30"/>
    <w:autoRedefine/>
    <w:qFormat/>
    <w:uiPriority w:val="0"/>
  </w:style>
  <w:style w:type="paragraph" w:styleId="61">
    <w:name w:val="List Paragraph"/>
    <w:basedOn w:val="1"/>
    <w:autoRedefine/>
    <w:qFormat/>
    <w:uiPriority w:val="34"/>
    <w:pPr>
      <w:widowControl/>
      <w:spacing w:before="60" w:after="60"/>
      <w:ind w:firstLine="420" w:firstLineChars="200"/>
      <w:jc w:val="left"/>
    </w:pPr>
    <w:rPr>
      <w:rFonts w:hint="eastAsia" w:ascii="Arial Unicode MS" w:hAnsi="Arial Unicode MS" w:eastAsia="Times New Roman" w:cs="Arial Unicode MS"/>
      <w:color w:val="000000"/>
      <w:kern w:val="0"/>
      <w:sz w:val="20"/>
      <w:szCs w:val="20"/>
      <w:lang w:eastAsia="en-US"/>
    </w:rPr>
  </w:style>
  <w:style w:type="character" w:customStyle="1" w:styleId="62">
    <w:name w:val="fontstyle01"/>
    <w:autoRedefine/>
    <w:qFormat/>
    <w:uiPriority w:val="0"/>
    <w:rPr>
      <w:rFonts w:hint="eastAsia" w:ascii="宋体" w:hAnsi="宋体" w:eastAsia="宋体"/>
      <w:color w:val="000000"/>
      <w:sz w:val="24"/>
      <w:szCs w:val="24"/>
    </w:rPr>
  </w:style>
  <w:style w:type="character" w:customStyle="1" w:styleId="63">
    <w:name w:val="fontstyle21"/>
    <w:autoRedefine/>
    <w:qFormat/>
    <w:uiPriority w:val="0"/>
    <w:rPr>
      <w:rFonts w:hint="default" w:ascii="Times New Roman" w:hAnsi="Times New Roman" w:cs="Times New Roman"/>
      <w:color w:val="000000"/>
      <w:sz w:val="24"/>
      <w:szCs w:val="24"/>
    </w:rPr>
  </w:style>
  <w:style w:type="paragraph" w:customStyle="1" w:styleId="64">
    <w:name w:val="正文（绿盟科技）"/>
    <w:autoRedefine/>
    <w:qFormat/>
    <w:uiPriority w:val="0"/>
    <w:pPr>
      <w:spacing w:line="300" w:lineRule="auto"/>
    </w:pPr>
    <w:rPr>
      <w:rFonts w:ascii="Arial" w:hAnsi="Arial" w:eastAsia="宋体" w:cs="Times New Roman"/>
      <w:sz w:val="21"/>
      <w:szCs w:val="21"/>
      <w:lang w:val="en-US" w:eastAsia="zh-CN" w:bidi="ar-SA"/>
    </w:rPr>
  </w:style>
  <w:style w:type="paragraph" w:customStyle="1" w:styleId="65">
    <w:name w:val="表格中文字（dbapp）"/>
    <w:basedOn w:val="1"/>
    <w:autoRedefine/>
    <w:qFormat/>
    <w:uiPriority w:val="0"/>
    <w:pPr>
      <w:spacing w:before="20" w:beforeLines="20" w:after="20" w:afterLines="20"/>
      <w:jc w:val="left"/>
    </w:pPr>
    <w:rPr>
      <w:rFonts w:ascii="方正兰亭黑简体" w:hAnsi="方正兰亭黑简体" w:eastAsia="方正兰亭黑简体"/>
      <w:kern w:val="0"/>
      <w:szCs w:val="21"/>
    </w:rPr>
  </w:style>
  <w:style w:type="paragraph" w:customStyle="1" w:styleId="66">
    <w:name w:val="msolistparagraph"/>
    <w:basedOn w:val="1"/>
    <w:autoRedefine/>
    <w:qFormat/>
    <w:uiPriority w:val="0"/>
    <w:pPr>
      <w:ind w:firstLine="420" w:firstLineChars="200"/>
    </w:pPr>
    <w:rPr>
      <w:rFonts w:ascii="Calibri" w:hAnsi="Calibri" w:eastAsia="宋体" w:cs="Times New Roman"/>
    </w:rPr>
  </w:style>
  <w:style w:type="character" w:customStyle="1" w:styleId="67">
    <w:name w:val="标题 3 字符1"/>
    <w:basedOn w:val="30"/>
    <w:link w:val="5"/>
    <w:autoRedefine/>
    <w:qFormat/>
    <w:uiPriority w:val="0"/>
    <w:rPr>
      <w:b/>
      <w:bCs/>
      <w:kern w:val="2"/>
      <w:sz w:val="32"/>
      <w:szCs w:val="32"/>
    </w:rPr>
  </w:style>
  <w:style w:type="character" w:customStyle="1" w:styleId="68">
    <w:name w:val="标题 1 字符1"/>
    <w:basedOn w:val="30"/>
    <w:link w:val="3"/>
    <w:autoRedefine/>
    <w:qFormat/>
    <w:uiPriority w:val="0"/>
    <w:rPr>
      <w:b/>
      <w:bCs/>
      <w:kern w:val="44"/>
      <w:sz w:val="32"/>
      <w:szCs w:val="44"/>
    </w:rPr>
  </w:style>
  <w:style w:type="character" w:customStyle="1" w:styleId="69">
    <w:name w:val="标题 2 字符1"/>
    <w:basedOn w:val="30"/>
    <w:autoRedefine/>
    <w:qFormat/>
    <w:uiPriority w:val="0"/>
    <w:rPr>
      <w:rFonts w:hint="default" w:ascii="Cambria" w:hAnsi="Cambria" w:eastAsia="Cambria" w:cs="Cambria"/>
      <w:b/>
      <w:bCs/>
      <w:kern w:val="2"/>
      <w:sz w:val="32"/>
      <w:szCs w:val="32"/>
    </w:rPr>
  </w:style>
  <w:style w:type="character" w:customStyle="1" w:styleId="70">
    <w:name w:val="批注文字 字符1"/>
    <w:basedOn w:val="30"/>
    <w:autoRedefine/>
    <w:qFormat/>
    <w:uiPriority w:val="0"/>
    <w:rPr>
      <w:kern w:val="2"/>
      <w:sz w:val="21"/>
      <w:szCs w:val="24"/>
    </w:rPr>
  </w:style>
  <w:style w:type="character" w:customStyle="1" w:styleId="71">
    <w:name w:val="批注文字 字符"/>
    <w:basedOn w:val="30"/>
    <w:link w:val="9"/>
    <w:autoRedefine/>
    <w:qFormat/>
    <w:uiPriority w:val="99"/>
    <w:rPr>
      <w:kern w:val="2"/>
      <w:sz w:val="21"/>
      <w:szCs w:val="24"/>
    </w:rPr>
  </w:style>
  <w:style w:type="paragraph" w:customStyle="1" w:styleId="72">
    <w:name w:val="修订1"/>
    <w:autoRedefine/>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73">
    <w:name w:val="修订2"/>
    <w:autoRedefine/>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74">
    <w:name w:val="修订3"/>
    <w:autoRedefine/>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75">
    <w:name w:val="修订4"/>
    <w:autoRedefine/>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76">
    <w:name w:val="修订5"/>
    <w:autoRedefine/>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77">
    <w:name w:val="HTML 预设格式 字符"/>
    <w:basedOn w:val="30"/>
    <w:link w:val="23"/>
    <w:autoRedefine/>
    <w:qFormat/>
    <w:uiPriority w:val="0"/>
    <w:rPr>
      <w:rFonts w:hint="eastAsia" w:ascii="宋体" w:hAnsi="宋体" w:eastAsia="宋体" w:cs="宋体"/>
      <w:kern w:val="0"/>
      <w:sz w:val="24"/>
      <w:szCs w:val="24"/>
    </w:rPr>
  </w:style>
  <w:style w:type="paragraph" w:customStyle="1" w:styleId="78">
    <w:name w:val="修订6"/>
    <w:autoRedefine/>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79">
    <w:name w:val="修订7"/>
    <w:autoRedefine/>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80">
    <w:name w:val="修订8"/>
    <w:autoRedefine/>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81">
    <w:name w:val="修订9"/>
    <w:autoRedefine/>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82">
    <w:name w:val="修订10"/>
    <w:autoRedefine/>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83">
    <w:name w:val="修订11"/>
    <w:autoRedefine/>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84">
    <w:name w:val="_正文段落 Char Char"/>
    <w:basedOn w:val="30"/>
    <w:autoRedefine/>
    <w:qFormat/>
    <w:uiPriority w:val="0"/>
    <w:rPr>
      <w:kern w:val="2"/>
      <w:sz w:val="24"/>
      <w:szCs w:val="24"/>
    </w:rPr>
  </w:style>
  <w:style w:type="paragraph" w:customStyle="1" w:styleId="85">
    <w:name w:val="正文段落样式"/>
    <w:basedOn w:val="1"/>
    <w:link w:val="87"/>
    <w:autoRedefine/>
    <w:qFormat/>
    <w:uiPriority w:val="0"/>
    <w:pPr>
      <w:spacing w:line="360" w:lineRule="auto"/>
      <w:ind w:firstLine="420"/>
      <w:jc w:val="left"/>
    </w:pPr>
    <w:rPr>
      <w:rFonts w:hint="eastAsia" w:ascii="等线" w:hAnsi="等线" w:eastAsia="等线" w:cs="Times New Roman"/>
      <w:sz w:val="24"/>
      <w:szCs w:val="21"/>
    </w:rPr>
  </w:style>
  <w:style w:type="character" w:customStyle="1" w:styleId="86">
    <w:name w:val="列表段落 字符"/>
    <w:basedOn w:val="30"/>
    <w:autoRedefine/>
    <w:qFormat/>
    <w:uiPriority w:val="0"/>
    <w:rPr>
      <w:rFonts w:hint="eastAsia" w:ascii="Arial Unicode MS" w:hAnsi="Arial Unicode MS" w:eastAsia="等线" w:cs="Arial Unicode MS"/>
      <w:color w:val="000000"/>
      <w:lang w:eastAsia="en-US"/>
    </w:rPr>
  </w:style>
  <w:style w:type="character" w:customStyle="1" w:styleId="87">
    <w:name w:val="正文段落样式 Char"/>
    <w:basedOn w:val="30"/>
    <w:link w:val="85"/>
    <w:autoRedefine/>
    <w:qFormat/>
    <w:uiPriority w:val="0"/>
    <w:rPr>
      <w:rFonts w:hint="eastAsia" w:ascii="等线" w:hAnsi="等线" w:eastAsia="等线" w:cs="Times New Roman"/>
      <w:kern w:val="2"/>
      <w:sz w:val="24"/>
      <w:szCs w:val="21"/>
    </w:rPr>
  </w:style>
  <w:style w:type="paragraph" w:customStyle="1" w:styleId="88">
    <w:name w:val="修订12"/>
    <w:autoRedefine/>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89">
    <w:name w:val="修订13"/>
    <w:autoRedefine/>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90">
    <w:name w:val="标题 6 字符"/>
    <w:basedOn w:val="30"/>
    <w:autoRedefine/>
    <w:qFormat/>
    <w:uiPriority w:val="0"/>
    <w:rPr>
      <w:rFonts w:ascii="Arial" w:hAnsi="Arial" w:eastAsia="黑体" w:cs="Times New Roman"/>
      <w:sz w:val="22"/>
      <w:szCs w:val="20"/>
    </w:rPr>
  </w:style>
  <w:style w:type="character" w:customStyle="1" w:styleId="91">
    <w:name w:val="文档正文 Char"/>
    <w:basedOn w:val="30"/>
    <w:autoRedefine/>
    <w:qFormat/>
    <w:uiPriority w:val="0"/>
    <w:rPr>
      <w:rFonts w:hint="default" w:ascii="Times New Roman" w:hAnsi="Times New Roman" w:eastAsia="宋体" w:cs="Times New Roman"/>
      <w:sz w:val="22"/>
      <w:szCs w:val="20"/>
    </w:rPr>
  </w:style>
  <w:style w:type="character" w:customStyle="1" w:styleId="92">
    <w:name w:val="标题 5 字符"/>
    <w:basedOn w:val="30"/>
    <w:autoRedefine/>
    <w:qFormat/>
    <w:uiPriority w:val="0"/>
    <w:rPr>
      <w:rFonts w:hint="default" w:ascii="Times New Roman" w:hAnsi="Times New Roman" w:eastAsia="宋体" w:cs="Times New Roman"/>
      <w:sz w:val="28"/>
      <w:szCs w:val="20"/>
    </w:rPr>
  </w:style>
  <w:style w:type="character" w:customStyle="1" w:styleId="93">
    <w:name w:val="正文(首行缩进) Char"/>
    <w:basedOn w:val="30"/>
    <w:link w:val="94"/>
    <w:autoRedefine/>
    <w:qFormat/>
    <w:uiPriority w:val="0"/>
    <w:rPr>
      <w:rFonts w:hint="default" w:ascii="Times New Roman" w:hAnsi="Times New Roman" w:eastAsia="宋体" w:cs="Times New Roman"/>
      <w:sz w:val="24"/>
      <w:szCs w:val="24"/>
    </w:rPr>
  </w:style>
  <w:style w:type="paragraph" w:customStyle="1" w:styleId="94">
    <w:name w:val="正文(首行缩进)"/>
    <w:basedOn w:val="1"/>
    <w:next w:val="1"/>
    <w:link w:val="93"/>
    <w:autoRedefine/>
    <w:qFormat/>
    <w:uiPriority w:val="0"/>
    <w:pPr>
      <w:spacing w:line="360" w:lineRule="auto"/>
      <w:ind w:firstLine="480" w:firstLineChars="200"/>
    </w:pPr>
    <w:rPr>
      <w:rFonts w:ascii="Times New Roman" w:hAnsi="Times New Roman" w:eastAsia="宋体" w:cs="Times New Roman"/>
      <w:sz w:val="24"/>
      <w:szCs w:val="24"/>
    </w:rPr>
  </w:style>
  <w:style w:type="character" w:customStyle="1" w:styleId="95">
    <w:name w:val="标题 4 字符"/>
    <w:basedOn w:val="30"/>
    <w:autoRedefine/>
    <w:qFormat/>
    <w:uiPriority w:val="0"/>
    <w:rPr>
      <w:rFonts w:hint="eastAsia" w:ascii="宋体" w:hAnsi="宋体" w:eastAsia="宋体" w:cs="Times New Roman"/>
      <w:b/>
      <w:sz w:val="24"/>
      <w:szCs w:val="24"/>
    </w:rPr>
  </w:style>
  <w:style w:type="paragraph" w:customStyle="1" w:styleId="96">
    <w:name w:val="表格内容"/>
    <w:basedOn w:val="1"/>
    <w:autoRedefine/>
    <w:qFormat/>
    <w:uiPriority w:val="0"/>
    <w:pPr>
      <w:spacing w:before="156" w:beforeLines="50" w:after="156" w:afterLines="50" w:line="300" w:lineRule="auto"/>
      <w:ind w:left="420" w:leftChars="200"/>
    </w:pPr>
    <w:rPr>
      <w:rFonts w:ascii="Times New Roman" w:hAnsi="Times New Roman" w:eastAsia="宋体" w:cs="Times New Roman"/>
      <w:sz w:val="18"/>
      <w:szCs w:val="24"/>
    </w:rPr>
  </w:style>
  <w:style w:type="character" w:customStyle="1" w:styleId="97">
    <w:name w:val="标题 3 字符"/>
    <w:basedOn w:val="30"/>
    <w:autoRedefine/>
    <w:qFormat/>
    <w:uiPriority w:val="0"/>
    <w:rPr>
      <w:rFonts w:hint="eastAsia" w:ascii="宋体" w:hAnsi="宋体" w:eastAsia="宋体" w:cs="Times New Roman"/>
      <w:b/>
      <w:bCs/>
      <w:sz w:val="24"/>
      <w:szCs w:val="24"/>
    </w:rPr>
  </w:style>
  <w:style w:type="character" w:customStyle="1" w:styleId="98">
    <w:name w:val="标题 1 字符"/>
    <w:basedOn w:val="30"/>
    <w:autoRedefine/>
    <w:qFormat/>
    <w:uiPriority w:val="0"/>
    <w:rPr>
      <w:rFonts w:hint="eastAsia" w:ascii="宋体" w:hAnsi="宋体" w:eastAsia="宋体" w:cs="Times New Roman"/>
      <w:b/>
      <w:bCs/>
      <w:kern w:val="44"/>
      <w:sz w:val="36"/>
      <w:szCs w:val="36"/>
    </w:rPr>
  </w:style>
  <w:style w:type="character" w:customStyle="1" w:styleId="99">
    <w:name w:val="标题 9 字符"/>
    <w:basedOn w:val="30"/>
    <w:autoRedefine/>
    <w:qFormat/>
    <w:uiPriority w:val="0"/>
    <w:rPr>
      <w:rFonts w:hint="default" w:ascii="Arial" w:hAnsi="Arial" w:eastAsia="黑体" w:cs="Times New Roman"/>
      <w:sz w:val="22"/>
      <w:szCs w:val="20"/>
    </w:rPr>
  </w:style>
  <w:style w:type="character" w:customStyle="1" w:styleId="100">
    <w:name w:val="标题 8 字符"/>
    <w:basedOn w:val="30"/>
    <w:autoRedefine/>
    <w:qFormat/>
    <w:uiPriority w:val="0"/>
    <w:rPr>
      <w:rFonts w:hint="default" w:ascii="Arial" w:hAnsi="Arial" w:eastAsia="黑体" w:cs="Times New Roman"/>
      <w:sz w:val="22"/>
      <w:szCs w:val="20"/>
    </w:rPr>
  </w:style>
  <w:style w:type="character" w:customStyle="1" w:styleId="101">
    <w:name w:val="[正文行首缩进] Char"/>
    <w:basedOn w:val="30"/>
    <w:link w:val="102"/>
    <w:autoRedefine/>
    <w:qFormat/>
    <w:uiPriority w:val="0"/>
    <w:rPr>
      <w:rFonts w:hint="eastAsia" w:ascii="宋体" w:hAnsi="宋体" w:eastAsia="宋体" w:cs="宋体"/>
      <w:color w:val="000000"/>
      <w:sz w:val="24"/>
      <w:szCs w:val="24"/>
    </w:rPr>
  </w:style>
  <w:style w:type="paragraph" w:customStyle="1" w:styleId="102">
    <w:name w:val="[正文行首缩进]"/>
    <w:basedOn w:val="1"/>
    <w:link w:val="101"/>
    <w:autoRedefine/>
    <w:qFormat/>
    <w:uiPriority w:val="0"/>
    <w:pPr>
      <w:spacing w:line="360" w:lineRule="auto"/>
      <w:jc w:val="center"/>
    </w:pPr>
    <w:rPr>
      <w:rFonts w:hint="eastAsia" w:ascii="宋体" w:hAnsi="等线" w:eastAsia="等线" w:cs="Times New Roman"/>
      <w:color w:val="000000"/>
      <w:sz w:val="24"/>
      <w:szCs w:val="24"/>
    </w:rPr>
  </w:style>
  <w:style w:type="character" w:customStyle="1" w:styleId="103">
    <w:name w:val="正文缩进 字符"/>
    <w:basedOn w:val="30"/>
    <w:autoRedefine/>
    <w:qFormat/>
    <w:uiPriority w:val="0"/>
    <w:rPr>
      <w:sz w:val="24"/>
    </w:rPr>
  </w:style>
  <w:style w:type="character" w:customStyle="1" w:styleId="104">
    <w:name w:val="文档结构图 字符"/>
    <w:basedOn w:val="30"/>
    <w:link w:val="8"/>
    <w:autoRedefine/>
    <w:qFormat/>
    <w:uiPriority w:val="0"/>
    <w:rPr>
      <w:rFonts w:hint="eastAsia" w:ascii="Microsoft YaHei UI" w:hAnsi="Microsoft YaHei UI" w:eastAsia="Microsoft YaHei UI" w:cs="Microsoft YaHei UI"/>
      <w:sz w:val="18"/>
      <w:szCs w:val="18"/>
    </w:rPr>
  </w:style>
  <w:style w:type="character" w:customStyle="1" w:styleId="105">
    <w:name w:val="标题 字符"/>
    <w:basedOn w:val="30"/>
    <w:link w:val="25"/>
    <w:autoRedefine/>
    <w:qFormat/>
    <w:uiPriority w:val="0"/>
    <w:rPr>
      <w:rFonts w:ascii="等线 Light" w:hAnsi="等线 Light" w:eastAsia="等线 Light" w:cs="Times New Roman"/>
      <w:b/>
      <w:bCs/>
      <w:sz w:val="32"/>
      <w:szCs w:val="32"/>
    </w:rPr>
  </w:style>
  <w:style w:type="character" w:customStyle="1" w:styleId="106">
    <w:name w:val="标题 2 字符"/>
    <w:basedOn w:val="30"/>
    <w:autoRedefine/>
    <w:qFormat/>
    <w:uiPriority w:val="0"/>
    <w:rPr>
      <w:rFonts w:hint="eastAsia" w:ascii="宋体" w:hAnsi="宋体" w:eastAsia="宋体" w:cs="Times New Roman"/>
      <w:b/>
      <w:bCs/>
      <w:sz w:val="28"/>
      <w:szCs w:val="32"/>
    </w:rPr>
  </w:style>
  <w:style w:type="character" w:customStyle="1" w:styleId="107">
    <w:name w:val="标题 7 字符"/>
    <w:basedOn w:val="30"/>
    <w:autoRedefine/>
    <w:qFormat/>
    <w:uiPriority w:val="0"/>
    <w:rPr>
      <w:rFonts w:hint="default" w:ascii="Times New Roman" w:hAnsi="Times New Roman" w:eastAsia="宋体" w:cs="Times New Roman"/>
      <w:b/>
      <w:sz w:val="22"/>
      <w:szCs w:val="20"/>
    </w:rPr>
  </w:style>
  <w:style w:type="paragraph" w:customStyle="1" w:styleId="108">
    <w:name w:val="表格标题"/>
    <w:basedOn w:val="1"/>
    <w:autoRedefine/>
    <w:qFormat/>
    <w:uiPriority w:val="0"/>
    <w:pPr>
      <w:spacing w:before="62" w:after="62" w:line="360" w:lineRule="auto"/>
      <w:jc w:val="center"/>
    </w:pPr>
    <w:rPr>
      <w:rFonts w:hint="eastAsia" w:ascii="宋体" w:hAnsi="宋体" w:eastAsia="宋体" w:cs="Times New Roman"/>
      <w:b/>
      <w:bCs/>
      <w:szCs w:val="20"/>
    </w:rPr>
  </w:style>
  <w:style w:type="table" w:customStyle="1" w:styleId="109">
    <w:name w:val="Table Normal"/>
    <w:basedOn w:val="28"/>
    <w:autoRedefine/>
    <w:semiHidden/>
    <w:qFormat/>
    <w:uiPriority w:val="0"/>
    <w:pPr>
      <w:widowControl w:val="0"/>
      <w:autoSpaceDE w:val="0"/>
      <w:autoSpaceDN w:val="0"/>
    </w:pPr>
    <w:rPr>
      <w:rFonts w:hint="eastAsia"/>
      <w:sz w:val="22"/>
      <w:szCs w:val="22"/>
      <w:lang w:eastAsia="en-US"/>
    </w:rPr>
    <w:tblPr>
      <w:tblCellMar>
        <w:left w:w="0" w:type="dxa"/>
        <w:right w:w="0" w:type="dxa"/>
      </w:tblCellMar>
    </w:tblPr>
  </w:style>
  <w:style w:type="paragraph" w:customStyle="1" w:styleId="110">
    <w:name w:val="修订14"/>
    <w:autoRedefine/>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111">
    <w:name w:val="正文文本首行缩进 字符"/>
    <w:autoRedefine/>
    <w:qFormat/>
    <w:uiPriority w:val="0"/>
    <w:rPr>
      <w:rFonts w:hint="default" w:ascii="Calibri" w:hAnsi="Calibri" w:eastAsia="宋体" w:cs="Times New Roman"/>
      <w:kern w:val="2"/>
      <w:sz w:val="21"/>
      <w:szCs w:val="22"/>
    </w:rPr>
  </w:style>
  <w:style w:type="paragraph" w:customStyle="1" w:styleId="112">
    <w:name w:val="表正文"/>
    <w:basedOn w:val="1"/>
    <w:autoRedefine/>
    <w:qFormat/>
    <w:uiPriority w:val="0"/>
    <w:rPr>
      <w:rFonts w:hint="eastAsia" w:ascii="等线" w:hAnsi="等线" w:eastAsia="宋体" w:cs="Times New Roman"/>
      <w:sz w:val="18"/>
    </w:rPr>
  </w:style>
  <w:style w:type="paragraph" w:customStyle="1" w:styleId="113">
    <w:name w:val="修订15"/>
    <w:autoRedefine/>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114">
    <w:name w:val="列出段落 Char"/>
    <w:basedOn w:val="30"/>
    <w:autoRedefine/>
    <w:qFormat/>
    <w:uiPriority w:val="0"/>
    <w:rPr>
      <w:rFonts w:hint="eastAsia" w:ascii="Arial Unicode MS" w:hAnsi="Arial Unicode MS" w:eastAsia="Arial Unicode MS" w:cs="Arial Unicode MS"/>
      <w:color w:val="000000"/>
      <w:kern w:val="0"/>
      <w:sz w:val="20"/>
      <w:szCs w:val="20"/>
      <w:lang w:eastAsia="en-US"/>
    </w:rPr>
  </w:style>
  <w:style w:type="character" w:customStyle="1" w:styleId="115">
    <w:name w:val="标题 2 字符2"/>
    <w:basedOn w:val="30"/>
    <w:autoRedefine/>
    <w:qFormat/>
    <w:uiPriority w:val="0"/>
    <w:rPr>
      <w:rFonts w:hint="default" w:ascii="Arial" w:hAnsi="Arial" w:eastAsia="黑体" w:cs="Arial"/>
      <w:b/>
      <w:bCs/>
      <w:sz w:val="32"/>
      <w:szCs w:val="32"/>
    </w:rPr>
  </w:style>
  <w:style w:type="paragraph" w:customStyle="1" w:styleId="116">
    <w:name w:val="修订16"/>
    <w:autoRedefine/>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117">
    <w:name w:val="修订17"/>
    <w:autoRedefine/>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118">
    <w:name w:val="标题 2 字符3"/>
    <w:basedOn w:val="30"/>
    <w:link w:val="4"/>
    <w:autoRedefine/>
    <w:qFormat/>
    <w:uiPriority w:val="0"/>
    <w:rPr>
      <w:rFonts w:hint="default" w:ascii="Arial" w:hAnsi="Arial" w:eastAsia="黑体" w:cs="Arial"/>
      <w:b/>
      <w:bCs/>
      <w:sz w:val="32"/>
      <w:szCs w:val="32"/>
    </w:rPr>
  </w:style>
  <w:style w:type="character" w:customStyle="1" w:styleId="119">
    <w:name w:val="列出段落 Char1"/>
    <w:basedOn w:val="30"/>
    <w:autoRedefine/>
    <w:qFormat/>
    <w:uiPriority w:val="0"/>
    <w:rPr>
      <w:rFonts w:hint="eastAsia" w:ascii="Arial Unicode MS" w:hAnsi="Arial Unicode MS" w:eastAsia="Arial Unicode MS" w:cs="Arial Unicode MS"/>
      <w:color w:val="000000"/>
      <w:kern w:val="0"/>
      <w:sz w:val="20"/>
      <w:szCs w:val="20"/>
      <w:lang w:eastAsia="en-US"/>
    </w:rPr>
  </w:style>
  <w:style w:type="paragraph" w:customStyle="1" w:styleId="120">
    <w:name w:val="修订18"/>
    <w:autoRedefine/>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121">
    <w:name w:val="修订19"/>
    <w:autoRedefine/>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122">
    <w:name w:val="Table Text"/>
    <w:basedOn w:val="1"/>
    <w:autoRedefine/>
    <w:hidden/>
    <w:qFormat/>
    <w:uiPriority w:val="0"/>
    <w:pPr>
      <w:widowControl/>
      <w:kinsoku w:val="0"/>
      <w:autoSpaceDE w:val="0"/>
      <w:autoSpaceDN w:val="0"/>
      <w:adjustRightInd w:val="0"/>
      <w:snapToGrid w:val="0"/>
      <w:jc w:val="left"/>
    </w:pPr>
    <w:rPr>
      <w:rFonts w:hint="eastAsia" w:ascii="宋体" w:hAnsi="宋体" w:eastAsia="宋体" w:cs="Times New Roman"/>
      <w:color w:val="000000"/>
      <w:kern w:val="0"/>
      <w:szCs w:val="21"/>
    </w:rPr>
  </w:style>
  <w:style w:type="paragraph" w:customStyle="1" w:styleId="123">
    <w:name w:val="修订20"/>
    <w:autoRedefine/>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124">
    <w:name w:val="修订21"/>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125">
    <w:name w:val="纯文本 字符1"/>
    <w:basedOn w:val="30"/>
    <w:qFormat/>
    <w:uiPriority w:val="0"/>
    <w:rPr>
      <w:rFonts w:hint="eastAsia" w:ascii="宋体" w:hAnsi="Courier New" w:eastAsia="宋体" w:cs="Courier New"/>
      <w:szCs w:val="24"/>
    </w:rPr>
  </w:style>
  <w:style w:type="paragraph" w:customStyle="1" w:styleId="126">
    <w:name w:val="修订22"/>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127">
    <w:name w:val="段"/>
    <w:basedOn w:val="1"/>
    <w:next w:val="1"/>
    <w:qFormat/>
    <w:uiPriority w:val="0"/>
    <w:pPr>
      <w:widowControl/>
      <w:autoSpaceDE w:val="0"/>
      <w:autoSpaceDN w:val="0"/>
      <w:adjustRightInd w:val="0"/>
      <w:snapToGrid w:val="0"/>
      <w:spacing w:line="360" w:lineRule="auto"/>
      <w:ind w:firstLine="200" w:firstLineChars="200"/>
    </w:pPr>
    <w:rPr>
      <w:rFonts w:hint="eastAsia" w:ascii="宋体" w:hAnsi="Times New Roman" w:eastAsia="宋体" w:cs="Times New Roman"/>
      <w:kern w:val="0"/>
      <w:sz w:val="24"/>
    </w:rPr>
  </w:style>
  <w:style w:type="paragraph" w:customStyle="1" w:styleId="128">
    <w:name w:val="修订23"/>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129">
    <w:name w:val="修订24"/>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130">
    <w:name w:val="修订25"/>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131">
    <w:name w:val="修订26"/>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132">
    <w:name w:val="正文文本首行缩进 2 字符"/>
    <w:qFormat/>
    <w:uiPriority w:val="0"/>
    <w:rPr>
      <w:kern w:val="2"/>
      <w:sz w:val="21"/>
      <w:szCs w:val="24"/>
    </w:rPr>
  </w:style>
  <w:style w:type="paragraph" w:customStyle="1" w:styleId="133">
    <w:name w:val="qq正文"/>
    <w:basedOn w:val="1"/>
    <w:qFormat/>
    <w:uiPriority w:val="0"/>
    <w:pPr>
      <w:snapToGrid w:val="0"/>
      <w:spacing w:line="360" w:lineRule="auto"/>
      <w:ind w:firstLine="200" w:firstLineChars="200"/>
    </w:pPr>
    <w:rPr>
      <w:rFonts w:ascii="Times New Roman" w:hAnsi="Times New Roman" w:eastAsia="宋体" w:cs="Times New Roman"/>
      <w:sz w:val="24"/>
      <w:szCs w:val="24"/>
    </w:rPr>
  </w:style>
  <w:style w:type="paragraph" w:customStyle="1" w:styleId="134">
    <w:name w:val="修订27"/>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135">
    <w:name w:val="15"/>
    <w:basedOn w:val="30"/>
    <w:qFormat/>
    <w:uiPriority w:val="0"/>
    <w:rPr>
      <w:rFonts w:hint="default" w:ascii="Times New Roman" w:hAnsi="Times New Roman" w:cs="Times New Roman"/>
    </w:rPr>
  </w:style>
  <w:style w:type="paragraph" w:customStyle="1" w:styleId="136">
    <w:name w:val="修订28"/>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137">
    <w:name w:val="Revision"/>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55</Pages>
  <Words>4562</Words>
  <Characters>5076</Characters>
  <Lines>217</Lines>
  <Paragraphs>61</Paragraphs>
  <TotalTime>56</TotalTime>
  <ScaleCrop>false</ScaleCrop>
  <LinksUpToDate>false</LinksUpToDate>
  <CharactersWithSpaces>5234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2025-11-19T09:03:00Z</dcterms:created>
  <dc:creator>ibm</dc:creator>
  <cp:lastModifiedBy>1</cp:lastModifiedBy>
  <cp:lastPrinted>2023-10-19T06:06:00Z</cp:lastPrinted>
  <dcterms:modified xsi:type="dcterms:W3CDTF">2025-11-19T09:53:24Z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BE0CC9C46A4E4E848BCB712AC8E007A8_13</vt:lpwstr>
  </property>
  <property fmtid="{D5CDD505-2E9C-101B-9397-08002B2CF9AE}" pid="4" name="KSOTemplateDocerSaveRecord">
    <vt:lpwstr>eyJoZGlkIjoiNTE3ODBhODAwYWZlYmM2Zjk2MjA5ZjdiYTk1Y2U0OTQiLCJ1c2VySWQiOiI5NTc1NDY5NDYifQ==</vt:lpwstr>
  </property>
</Properties>
</file>